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0D" w:rsidRDefault="00BA4CB8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31000D" w:rsidRDefault="0031000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000D" w:rsidRDefault="0031000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000D" w:rsidRDefault="0031000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000D" w:rsidRDefault="0031000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000D" w:rsidRDefault="0031000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000D" w:rsidRDefault="0031000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000D" w:rsidRDefault="00BA4CB8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巴音郭楞蒙古自治州财政项目</w:t>
      </w:r>
    </w:p>
    <w:p w:rsidR="0031000D" w:rsidRDefault="00BA4CB8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支出绩效自评报告</w:t>
      </w:r>
    </w:p>
    <w:p w:rsidR="0031000D" w:rsidRDefault="0031000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000D" w:rsidRDefault="00BA4CB8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2017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31000D" w:rsidRDefault="0031000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000D" w:rsidRDefault="0031000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000D" w:rsidRDefault="0031000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000D" w:rsidRDefault="0031000D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1000D" w:rsidRDefault="00BA4CB8">
      <w:pPr>
        <w:spacing w:line="700" w:lineRule="exact"/>
        <w:ind w:firstLineChars="500" w:firstLine="18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卫生监督检查项目经费</w:t>
      </w:r>
    </w:p>
    <w:p w:rsidR="0031000D" w:rsidRDefault="00BA4CB8">
      <w:pPr>
        <w:spacing w:line="700" w:lineRule="exact"/>
        <w:ind w:left="3240" w:hangingChars="900" w:hanging="324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巴州卫生和计划生育综合监督执法所</w:t>
      </w:r>
    </w:p>
    <w:p w:rsidR="0031000D" w:rsidRDefault="00BA4CB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巴州卫计委</w:t>
      </w:r>
    </w:p>
    <w:p w:rsidR="0031000D" w:rsidRDefault="00BA4CB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张波</w:t>
      </w:r>
    </w:p>
    <w:p w:rsidR="0031000D" w:rsidRDefault="00BA4CB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D37552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D37552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D37552"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4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31000D" w:rsidRDefault="0031000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000D" w:rsidRDefault="0031000D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31000D" w:rsidRDefault="00BA4C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31000D" w:rsidRDefault="00BA4CB8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（一）项目单位基本情况</w:t>
      </w:r>
    </w:p>
    <w:p w:rsidR="0031000D" w:rsidRDefault="00BA4CB8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、受巴州卫生行政部门委托，代表巴州卫计委依法行使卫生法律、法规、规章规定的卫生监督执法职责。负责面向社会的职业卫生、公共场所卫生、学校卫生、化妆品卫生、放射诊疗等公共卫生、传染病、医疗机构、健康相关产品等日常卫生监督执法任务。负责公共场所、生活饮用水、放射诊疗卫生许可证的申请受理、现场卫生审查和发证工作。负责对违反卫生法律、法规、规章案件的受理、立案和调查处理工作。负责国家、自治区和自治州卫生行政部门下达产品抽检，快检监测工作和专项整治任务的实施。负责国家卫生法律、法规、规章包括卫生知识的宣传培训工作。负</w:t>
      </w:r>
      <w:r>
        <w:rPr>
          <w:rFonts w:ascii="仿宋_GB2312" w:eastAsia="仿宋_GB2312" w:hint="eastAsia"/>
          <w:sz w:val="32"/>
        </w:rPr>
        <w:t>责上级卫生行政部门交办的其它卫生监督工作。</w:t>
      </w:r>
    </w:p>
    <w:p w:rsidR="0031000D" w:rsidRDefault="00BA4CB8">
      <w:pPr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巴州卫生</w:t>
      </w:r>
      <w:r>
        <w:rPr>
          <w:rFonts w:ascii="仿宋_GB2312" w:eastAsia="仿宋_GB2312" w:hAnsi="仿宋_GB2312" w:cs="仿宋_GB2312" w:hint="eastAsia"/>
          <w:sz w:val="32"/>
        </w:rPr>
        <w:t>和计划生育</w:t>
      </w:r>
      <w:r>
        <w:rPr>
          <w:rFonts w:ascii="仿宋_GB2312" w:eastAsia="仿宋_GB2312" w:hAnsi="仿宋_GB2312" w:cs="仿宋_GB2312" w:hint="eastAsia"/>
          <w:sz w:val="32"/>
        </w:rPr>
        <w:t>综合监督执法所</w:t>
      </w:r>
      <w:r>
        <w:rPr>
          <w:rFonts w:ascii="仿宋_GB2312" w:eastAsia="仿宋_GB2312" w:hAnsi="仿宋_GB2312" w:cs="仿宋_GB2312" w:hint="eastAsia"/>
          <w:sz w:val="32"/>
        </w:rPr>
        <w:t>，</w:t>
      </w:r>
      <w:r>
        <w:rPr>
          <w:rFonts w:ascii="仿宋_GB2312" w:eastAsia="仿宋_GB2312" w:hAnsi="仿宋_GB2312" w:cs="仿宋_GB2312" w:hint="eastAsia"/>
          <w:sz w:val="32"/>
        </w:rPr>
        <w:t>下设</w:t>
      </w:r>
      <w:r>
        <w:rPr>
          <w:rFonts w:ascii="仿宋_GB2312" w:eastAsia="仿宋_GB2312" w:hAnsi="仿宋_GB2312" w:cs="仿宋_GB2312" w:hint="eastAsia"/>
          <w:sz w:val="32"/>
        </w:rPr>
        <w:t>6</w:t>
      </w:r>
      <w:r>
        <w:rPr>
          <w:rFonts w:ascii="仿宋_GB2312" w:eastAsia="仿宋_GB2312" w:hAnsi="仿宋_GB2312" w:cs="仿宋_GB2312" w:hint="eastAsia"/>
          <w:sz w:val="32"/>
        </w:rPr>
        <w:t>个科室，分别是：办公室、医疗卫生监督科、职业卫生监督科、稽查科、公共卫生监督科、许可审查科。</w:t>
      </w:r>
      <w:r>
        <w:rPr>
          <w:rFonts w:ascii="仿宋_GB2312" w:eastAsia="仿宋_GB2312" w:hAnsi="仿宋_GB2312" w:cs="仿宋_GB2312" w:hint="eastAsia"/>
          <w:sz w:val="32"/>
        </w:rPr>
        <w:t xml:space="preserve"> </w:t>
      </w:r>
    </w:p>
    <w:p w:rsidR="0031000D" w:rsidRDefault="00BA4CB8">
      <w:pPr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单位编制数</w:t>
      </w:r>
      <w:r>
        <w:rPr>
          <w:rFonts w:ascii="仿宋_GB2312" w:eastAsia="仿宋_GB2312" w:hAnsi="仿宋_GB2312" w:cs="仿宋_GB2312" w:hint="eastAsia"/>
          <w:sz w:val="32"/>
        </w:rPr>
        <w:t>24</w:t>
      </w:r>
      <w:r>
        <w:rPr>
          <w:rFonts w:ascii="仿宋_GB2312" w:eastAsia="仿宋_GB2312" w:hAnsi="仿宋_GB2312" w:cs="仿宋_GB2312" w:hint="eastAsia"/>
          <w:sz w:val="32"/>
        </w:rPr>
        <w:t>名，实有人数</w:t>
      </w:r>
      <w:r>
        <w:rPr>
          <w:rFonts w:ascii="仿宋_GB2312" w:eastAsia="仿宋_GB2312" w:hAnsi="仿宋_GB2312" w:cs="仿宋_GB2312" w:hint="eastAsia"/>
          <w:sz w:val="32"/>
        </w:rPr>
        <w:t xml:space="preserve"> 30</w:t>
      </w:r>
      <w:r>
        <w:rPr>
          <w:rFonts w:ascii="仿宋_GB2312" w:eastAsia="仿宋_GB2312" w:hAnsi="仿宋_GB2312" w:cs="仿宋_GB2312" w:hint="eastAsia"/>
          <w:sz w:val="32"/>
        </w:rPr>
        <w:t>人，其中：在职</w:t>
      </w:r>
      <w:r>
        <w:rPr>
          <w:rFonts w:ascii="仿宋_GB2312" w:eastAsia="仿宋_GB2312" w:hAnsi="仿宋_GB2312" w:cs="仿宋_GB2312" w:hint="eastAsia"/>
          <w:sz w:val="32"/>
        </w:rPr>
        <w:t xml:space="preserve">23 </w:t>
      </w:r>
      <w:r>
        <w:rPr>
          <w:rFonts w:ascii="仿宋_GB2312" w:eastAsia="仿宋_GB2312" w:hAnsi="仿宋_GB2312" w:cs="仿宋_GB2312" w:hint="eastAsia"/>
          <w:sz w:val="32"/>
        </w:rPr>
        <w:t>人，较上年增加</w:t>
      </w: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人；</w:t>
      </w:r>
      <w:r>
        <w:rPr>
          <w:rFonts w:ascii="仿宋_GB2312" w:eastAsia="仿宋_GB2312" w:hAnsi="仿宋_GB2312" w:cs="仿宋_GB2312" w:hint="eastAsia"/>
          <w:sz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</w:rPr>
        <w:t>退休</w:t>
      </w:r>
      <w:r>
        <w:rPr>
          <w:rFonts w:ascii="仿宋_GB2312" w:eastAsia="仿宋_GB2312" w:hAnsi="仿宋_GB2312" w:cs="仿宋_GB2312" w:hint="eastAsia"/>
          <w:sz w:val="32"/>
        </w:rPr>
        <w:t xml:space="preserve"> 7</w:t>
      </w:r>
      <w:r>
        <w:rPr>
          <w:rFonts w:ascii="仿宋_GB2312" w:eastAsia="仿宋_GB2312" w:hAnsi="仿宋_GB2312" w:cs="仿宋_GB2312" w:hint="eastAsia"/>
          <w:sz w:val="32"/>
        </w:rPr>
        <w:t>人，收编工勤后勤聘用人员</w:t>
      </w: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名</w:t>
      </w:r>
    </w:p>
    <w:p w:rsidR="0031000D" w:rsidRDefault="00BA4C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31000D" w:rsidRDefault="00BA4CB8" w:rsidP="00D37552">
      <w:pPr>
        <w:spacing w:line="54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1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、预期目标及阶段性目标</w:t>
      </w:r>
    </w:p>
    <w:p w:rsidR="0031000D" w:rsidRDefault="00BA4CB8">
      <w:pPr>
        <w:ind w:left="600"/>
        <w:rPr>
          <w:rFonts w:ascii="仿宋_GB2312" w:eastAsia="仿宋_GB2312"/>
          <w:sz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紧紧围绕本年度工作任务目标，以开展</w:t>
      </w:r>
      <w:r>
        <w:rPr>
          <w:rFonts w:ascii="方正仿宋_GBK" w:eastAsia="方正仿宋_GBK" w:hAnsi="方正仿宋_GBK" w:cs="方正仿宋_GBK"/>
          <w:kern w:val="0"/>
          <w:sz w:val="32"/>
          <w:szCs w:val="32"/>
        </w:rPr>
        <w:t>“</w:t>
      </w:r>
      <w:r>
        <w:rPr>
          <w:rFonts w:ascii="方正仿宋_GBK" w:eastAsia="方正仿宋_GBK" w:hAnsi="方正仿宋_GBK" w:cs="方正仿宋_GBK"/>
          <w:kern w:val="0"/>
          <w:sz w:val="32"/>
          <w:szCs w:val="32"/>
        </w:rPr>
        <w:t>两学一做</w:t>
      </w:r>
      <w:r>
        <w:rPr>
          <w:rFonts w:ascii="方正仿宋_GBK" w:eastAsia="方正仿宋_GBK" w:hAnsi="方正仿宋_GBK" w:cs="方正仿宋_GBK"/>
          <w:kern w:val="0"/>
          <w:sz w:val="32"/>
          <w:szCs w:val="32"/>
        </w:rPr>
        <w:t>”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活动为抓手，以转变干部作风、加强行政效能建设为契机，牢牢把握“质量、效率、落实”这条工作主线，按照“建设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lastRenderedPageBreak/>
        <w:t>一流队伍、培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养一流作风、争创一流业绩”要求，着力强化队伍建设、作风建设、能力建设，不断提高卫生执法综合能力</w:t>
      </w:r>
    </w:p>
    <w:p w:rsidR="0031000D" w:rsidRDefault="00BA4CB8" w:rsidP="00D3755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、项目基本性质、用途</w:t>
      </w:r>
    </w:p>
    <w:p w:rsidR="0031000D" w:rsidRDefault="00BA4CB8">
      <w:pPr>
        <w:ind w:left="600" w:firstLineChars="100" w:firstLine="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项目基本性质：州本级安排资金</w:t>
      </w:r>
    </w:p>
    <w:p w:rsidR="0031000D" w:rsidRDefault="00BA4CB8">
      <w:pPr>
        <w:ind w:left="600" w:firstLineChars="100" w:firstLine="320"/>
        <w:rPr>
          <w:rFonts w:ascii="方正仿宋_GBK" w:eastAsia="仿宋_GB2312" w:hAnsi="宋体"/>
          <w:sz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用途：</w:t>
      </w:r>
      <w:r>
        <w:rPr>
          <w:rFonts w:ascii="仿宋_GB2312" w:eastAsia="仿宋_GB2312" w:hint="eastAsia"/>
          <w:sz w:val="32"/>
        </w:rPr>
        <w:t>卫生监督专项监督检查经费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.2</w:t>
      </w:r>
      <w:r>
        <w:rPr>
          <w:rFonts w:ascii="仿宋_GB2312" w:eastAsia="仿宋_GB2312" w:hint="eastAsia"/>
          <w:sz w:val="32"/>
        </w:rPr>
        <w:t>万元，卫生监督执法办案经费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.2</w:t>
      </w:r>
      <w:r>
        <w:rPr>
          <w:rFonts w:ascii="仿宋_GB2312" w:eastAsia="仿宋_GB2312" w:hint="eastAsia"/>
          <w:sz w:val="32"/>
        </w:rPr>
        <w:t>万元。根据卫生监督制、着装管理规定各季度服装每年加发，需开支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万元。聘用人员工资支出</w:t>
      </w:r>
      <w:r>
        <w:rPr>
          <w:rFonts w:ascii="仿宋_GB2312" w:eastAsia="仿宋_GB2312" w:hint="eastAsia"/>
          <w:sz w:val="32"/>
        </w:rPr>
        <w:t>1.7</w:t>
      </w:r>
      <w:r>
        <w:rPr>
          <w:rFonts w:ascii="仿宋_GB2312" w:eastAsia="仿宋_GB2312" w:hint="eastAsia"/>
          <w:sz w:val="32"/>
        </w:rPr>
        <w:t>万元，</w:t>
      </w:r>
      <w:r>
        <w:rPr>
          <w:rFonts w:ascii="仿宋_GB2312" w:eastAsia="仿宋_GB2312" w:hint="eastAsia"/>
          <w:sz w:val="32"/>
        </w:rPr>
        <w:t>卫生</w:t>
      </w:r>
      <w:r>
        <w:rPr>
          <w:rFonts w:ascii="仿宋_GB2312" w:eastAsia="仿宋_GB2312" w:hint="eastAsia"/>
          <w:sz w:val="32"/>
        </w:rPr>
        <w:t>法律法规宣传制作费</w:t>
      </w:r>
      <w:r>
        <w:rPr>
          <w:rFonts w:ascii="仿宋_GB2312" w:eastAsia="仿宋_GB2312" w:hint="eastAsia"/>
          <w:sz w:val="32"/>
        </w:rPr>
        <w:t>0.55</w:t>
      </w:r>
      <w:r>
        <w:rPr>
          <w:rFonts w:ascii="仿宋_GB2312" w:eastAsia="仿宋_GB2312" w:hint="eastAsia"/>
          <w:sz w:val="32"/>
        </w:rPr>
        <w:t>万元</w:t>
      </w:r>
      <w:r>
        <w:rPr>
          <w:rFonts w:ascii="仿宋_GB2312" w:eastAsia="仿宋_GB2312" w:hint="eastAsia"/>
          <w:sz w:val="32"/>
        </w:rPr>
        <w:t>。设备复印机、扫描仪采购</w:t>
      </w:r>
      <w:r>
        <w:rPr>
          <w:rFonts w:ascii="仿宋_GB2312" w:eastAsia="仿宋_GB2312" w:hint="eastAsia"/>
          <w:sz w:val="32"/>
        </w:rPr>
        <w:t>1.25</w:t>
      </w:r>
      <w:r>
        <w:rPr>
          <w:rFonts w:ascii="仿宋_GB2312" w:eastAsia="仿宋_GB2312" w:hint="eastAsia"/>
          <w:sz w:val="32"/>
        </w:rPr>
        <w:t>万元，</w:t>
      </w:r>
      <w:r>
        <w:rPr>
          <w:rFonts w:ascii="仿宋_GB2312" w:eastAsia="仿宋_GB2312" w:hint="eastAsia"/>
          <w:sz w:val="32"/>
        </w:rPr>
        <w:t>事业发展综合办公费</w:t>
      </w:r>
      <w:r>
        <w:rPr>
          <w:rFonts w:ascii="仿宋_GB2312" w:eastAsia="仿宋_GB2312" w:hint="eastAsia"/>
          <w:sz w:val="32"/>
        </w:rPr>
        <w:t>5.46</w:t>
      </w:r>
      <w:r>
        <w:rPr>
          <w:rFonts w:ascii="仿宋_GB2312" w:eastAsia="仿宋_GB2312" w:hint="eastAsia"/>
          <w:sz w:val="32"/>
        </w:rPr>
        <w:t>万元，更换暖气片</w:t>
      </w:r>
      <w:r>
        <w:rPr>
          <w:rFonts w:ascii="仿宋_GB2312" w:eastAsia="仿宋_GB2312" w:hint="eastAsia"/>
          <w:sz w:val="32"/>
        </w:rPr>
        <w:t>2.64</w:t>
      </w:r>
      <w:r>
        <w:rPr>
          <w:rFonts w:ascii="仿宋_GB2312" w:eastAsia="仿宋_GB2312" w:hint="eastAsia"/>
          <w:sz w:val="32"/>
        </w:rPr>
        <w:t>万元，访惠聚工作安排</w:t>
      </w:r>
      <w:r>
        <w:rPr>
          <w:rFonts w:ascii="仿宋_GB2312" w:eastAsia="仿宋_GB2312" w:hint="eastAsia"/>
          <w:sz w:val="32"/>
        </w:rPr>
        <w:t>4.21</w:t>
      </w:r>
      <w:r>
        <w:rPr>
          <w:rFonts w:ascii="仿宋_GB2312" w:eastAsia="仿宋_GB2312" w:hint="eastAsia"/>
          <w:sz w:val="32"/>
        </w:rPr>
        <w:t>万元</w:t>
      </w:r>
    </w:p>
    <w:p w:rsidR="0031000D" w:rsidRDefault="00BA4CB8" w:rsidP="00D37552">
      <w:pPr>
        <w:numPr>
          <w:ilvl w:val="0"/>
          <w:numId w:val="1"/>
        </w:num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主要内容、涉及范围</w:t>
      </w:r>
    </w:p>
    <w:p w:rsidR="0031000D" w:rsidRDefault="00BA4CB8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_GB2312" w:eastAsia="仿宋_GB2312" w:hint="eastAsia"/>
          <w:sz w:val="32"/>
        </w:rPr>
        <w:t>监督检查经费</w:t>
      </w:r>
      <w:r>
        <w:rPr>
          <w:rFonts w:ascii="仿宋_GB2312" w:eastAsia="仿宋_GB2312" w:hint="eastAsia"/>
          <w:sz w:val="32"/>
        </w:rPr>
        <w:t>、</w:t>
      </w:r>
      <w:r>
        <w:rPr>
          <w:rFonts w:ascii="仿宋_GB2312" w:eastAsia="仿宋_GB2312" w:hint="eastAsia"/>
          <w:sz w:val="32"/>
        </w:rPr>
        <w:t>执法办案</w:t>
      </w:r>
      <w:r>
        <w:rPr>
          <w:rFonts w:ascii="仿宋_GB2312" w:eastAsia="仿宋_GB2312" w:hint="eastAsia"/>
          <w:sz w:val="32"/>
        </w:rPr>
        <w:t>、</w:t>
      </w:r>
      <w:r>
        <w:rPr>
          <w:rFonts w:ascii="仿宋_GB2312" w:eastAsia="仿宋_GB2312" w:hint="eastAsia"/>
          <w:sz w:val="32"/>
        </w:rPr>
        <w:t>监督制、着装管理规定各季度服装每年加发，宣传栏、条幅、走廊文化、文件红头等制作费</w:t>
      </w:r>
      <w:r>
        <w:rPr>
          <w:rFonts w:ascii="仿宋_GB2312" w:eastAsia="仿宋_GB2312" w:hint="eastAsia"/>
          <w:sz w:val="32"/>
        </w:rPr>
        <w:t>、</w:t>
      </w:r>
      <w:r>
        <w:rPr>
          <w:rFonts w:ascii="仿宋_GB2312" w:eastAsia="仿宋_GB2312" w:hint="eastAsia"/>
          <w:sz w:val="32"/>
        </w:rPr>
        <w:t>收编聘用司机人员及聘用保安工资补差</w:t>
      </w:r>
      <w:r>
        <w:rPr>
          <w:rFonts w:ascii="仿宋_GB2312" w:eastAsia="仿宋_GB2312" w:hint="eastAsia"/>
          <w:sz w:val="32"/>
        </w:rPr>
        <w:t>、</w:t>
      </w:r>
      <w:r>
        <w:rPr>
          <w:rFonts w:ascii="仿宋_GB2312" w:eastAsia="仿宋_GB2312" w:hint="eastAsia"/>
          <w:sz w:val="32"/>
        </w:rPr>
        <w:t>更新单位办公电脑老化</w:t>
      </w:r>
      <w:r>
        <w:rPr>
          <w:rFonts w:ascii="仿宋_GB2312" w:eastAsia="仿宋_GB2312" w:hint="eastAsia"/>
          <w:sz w:val="32"/>
        </w:rPr>
        <w:t>等</w:t>
      </w:r>
    </w:p>
    <w:p w:rsidR="0031000D" w:rsidRDefault="00BA4C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31000D" w:rsidRDefault="00BA4C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31000D" w:rsidRDefault="00BA4CB8">
      <w:pPr>
        <w:spacing w:line="700" w:lineRule="exact"/>
        <w:jc w:val="lef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2017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卫生监督检查项目经费总投入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19.21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万元，项目指标预算数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19.21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31000D" w:rsidRDefault="00BA4C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31000D" w:rsidRDefault="00BA4CB8">
      <w:pPr>
        <w:spacing w:line="700" w:lineRule="exact"/>
        <w:jc w:val="lef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2017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卫生监督检查项目经费总投入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19.21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万元，项目指标预算数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19.21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31000D" w:rsidRDefault="00BA4C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（三）项目资金管理情况分析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ab/>
      </w:r>
    </w:p>
    <w:p w:rsidR="0031000D" w:rsidRDefault="00BA4CB8">
      <w:pPr>
        <w:spacing w:line="700" w:lineRule="exact"/>
        <w:jc w:val="lef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项目财务管理制度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健全、机构设置、会计核算及账务处理等相关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情况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。对照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项目资金管理办法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，项目严格执行财务管理制度、财务处理及时、会计核算规范。</w:t>
      </w:r>
    </w:p>
    <w:p w:rsidR="0031000D" w:rsidRDefault="00BA4CB8">
      <w:pPr>
        <w:spacing w:line="700" w:lineRule="exact"/>
        <w:jc w:val="lef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31000D" w:rsidRDefault="00BA4C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31000D" w:rsidRDefault="00BA4CB8">
      <w:pPr>
        <w:spacing w:line="700" w:lineRule="exact"/>
        <w:jc w:val="left"/>
        <w:rPr>
          <w:rStyle w:val="a8"/>
          <w:rFonts w:ascii="仿宋" w:eastAsia="仿宋" w:hAnsi="仿宋"/>
          <w:b w:val="0"/>
          <w:spacing w:val="-4"/>
          <w:sz w:val="32"/>
          <w:szCs w:val="2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负责面向社会的职业卫生、公共场所卫生、学校卫生、化妆品卫生、放射诊疗等公共卫生、传染病、医疗机构、健康相关产品等日常卫生监督执法任务。负责公共场所、生活饮用水、放射诊疗卫生许可证的申请受理、现场卫生审查和发证工作。负责对违反卫生法律、法规、规章案件的受理、立案和调查处理工作。负责国家、自治区和自治州卫生行政部门下达产品抽检，快检监测工作和专项整治任务的实施。负责国家卫生法律、法规、规章包括卫生知识的宣传培训工作。负责上级卫生行政部门交办的其它卫生监督工作。</w:t>
      </w:r>
    </w:p>
    <w:p w:rsidR="0031000D" w:rsidRDefault="00BA4C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31000D" w:rsidRDefault="00BA4CB8">
      <w:pPr>
        <w:spacing w:line="700" w:lineRule="exact"/>
        <w:ind w:firstLineChars="200" w:firstLine="624"/>
        <w:jc w:val="left"/>
        <w:rPr>
          <w:rStyle w:val="a8"/>
          <w:rFonts w:ascii="仿宋" w:eastAsia="仿宋" w:hAnsi="仿宋"/>
          <w:b w:val="0"/>
          <w:spacing w:val="-4"/>
          <w:sz w:val="32"/>
          <w:szCs w:val="22"/>
        </w:rPr>
      </w:pPr>
      <w:bookmarkStart w:id="0" w:name="_Toc357906265"/>
      <w:bookmarkStart w:id="1" w:name="_Toc418174353"/>
      <w:bookmarkStart w:id="2" w:name="_Toc2302"/>
      <w:bookmarkStart w:id="3" w:name="_Toc357906266"/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为顺利开展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卫生监督各项工作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，巴州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卫生和计划生育综合监督执法所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健全项目管理制度、检查验收制度。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单位一把手任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组长，科室主任为项目具体负责人，按照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卫生监督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t>体系标准要求，贯彻落实到各个环节，做到工作进度周报、月报。采用分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22"/>
        </w:rPr>
        <w:lastRenderedPageBreak/>
        <w:t>阶段成果检查制度，每一阶段成果需经检查合格后方转入下一阶段，避免将错误带入下阶段工作，保证成果质量。</w:t>
      </w:r>
      <w:bookmarkEnd w:id="0"/>
      <w:bookmarkEnd w:id="1"/>
      <w:bookmarkEnd w:id="2"/>
      <w:bookmarkEnd w:id="3"/>
    </w:p>
    <w:p w:rsidR="0031000D" w:rsidRDefault="00BA4CB8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31000D" w:rsidRDefault="00BA4C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31000D" w:rsidRDefault="00BA4CB8">
      <w:pPr>
        <w:ind w:left="600" w:firstLineChars="200" w:firstLine="640"/>
        <w:rPr>
          <w:rFonts w:ascii="方正仿宋_GBK" w:eastAsia="方正仿宋_GBK" w:hAnsi="宋体"/>
          <w:sz w:val="32"/>
        </w:rPr>
      </w:pPr>
      <w:r>
        <w:rPr>
          <w:rFonts w:ascii="仿宋_GB2312" w:eastAsia="仿宋_GB2312" w:hint="eastAsia"/>
          <w:sz w:val="32"/>
        </w:rPr>
        <w:t>完成了</w:t>
      </w:r>
      <w:r>
        <w:rPr>
          <w:rFonts w:ascii="仿宋_GB2312" w:eastAsia="仿宋_GB2312" w:hint="eastAsia"/>
          <w:sz w:val="32"/>
        </w:rPr>
        <w:t>卫生监督专项监督检查，</w:t>
      </w:r>
      <w:r>
        <w:rPr>
          <w:rFonts w:ascii="仿宋_GB2312" w:eastAsia="仿宋_GB2312" w:hint="eastAsia"/>
          <w:sz w:val="32"/>
        </w:rPr>
        <w:t>完成</w:t>
      </w:r>
      <w:r>
        <w:rPr>
          <w:rFonts w:ascii="仿宋_GB2312" w:eastAsia="仿宋_GB2312" w:hint="eastAsia"/>
          <w:sz w:val="32"/>
        </w:rPr>
        <w:t>卫生监督执法办案。根据卫生监督制装管理规定各季度服装每年加发</w:t>
      </w:r>
      <w:r>
        <w:rPr>
          <w:rFonts w:ascii="仿宋_GB2312" w:eastAsia="仿宋_GB2312" w:hint="eastAsia"/>
          <w:sz w:val="32"/>
        </w:rPr>
        <w:t>制服，</w:t>
      </w:r>
      <w:r>
        <w:rPr>
          <w:rFonts w:ascii="仿宋_GB2312" w:eastAsia="仿宋_GB2312" w:hint="eastAsia"/>
          <w:sz w:val="32"/>
        </w:rPr>
        <w:t>根据年度各项文件精神及法律法规宣传日工作需要计划申请宣传栏、条幅、走廊文化、文件红头等制作。根据维稳工作公益性岗位招聘保安人员的工资补助差数</w:t>
      </w:r>
      <w:r>
        <w:rPr>
          <w:rFonts w:ascii="仿宋_GB2312" w:eastAsia="仿宋_GB2312" w:hint="eastAsia"/>
          <w:sz w:val="32"/>
        </w:rPr>
        <w:t>。完成</w:t>
      </w:r>
      <w:r>
        <w:rPr>
          <w:rFonts w:ascii="仿宋_GB2312" w:eastAsia="仿宋_GB2312" w:hint="eastAsia"/>
          <w:sz w:val="32"/>
        </w:rPr>
        <w:t>精神文明建设工作指令性安排订阅党报党刊、杂志</w:t>
      </w:r>
      <w:r>
        <w:rPr>
          <w:rFonts w:ascii="仿宋_GB2312" w:eastAsia="仿宋_GB2312" w:hint="eastAsia"/>
          <w:sz w:val="32"/>
        </w:rPr>
        <w:t>，完成</w:t>
      </w:r>
      <w:r>
        <w:rPr>
          <w:rFonts w:ascii="仿宋_GB2312" w:eastAsia="仿宋_GB2312" w:hint="eastAsia"/>
          <w:sz w:val="32"/>
        </w:rPr>
        <w:t>光纤线路租赁费</w:t>
      </w:r>
      <w:r>
        <w:rPr>
          <w:rFonts w:ascii="仿宋_GB2312" w:eastAsia="仿宋_GB2312" w:hint="eastAsia"/>
          <w:sz w:val="32"/>
        </w:rPr>
        <w:t>使用</w:t>
      </w:r>
      <w:r>
        <w:rPr>
          <w:rFonts w:ascii="仿宋_GB2312" w:eastAsia="仿宋_GB2312" w:hint="eastAsia"/>
          <w:sz w:val="32"/>
        </w:rPr>
        <w:t>国家卫生监督信息报告系统网络直报、监督员培训学习及卫生监督日常信息化工作</w:t>
      </w:r>
      <w:r>
        <w:rPr>
          <w:rFonts w:ascii="仿宋_GB2312" w:eastAsia="仿宋_GB2312" w:hint="eastAsia"/>
          <w:sz w:val="32"/>
        </w:rPr>
        <w:t>。</w:t>
      </w:r>
      <w:r>
        <w:rPr>
          <w:rFonts w:ascii="仿宋_GB2312" w:eastAsia="仿宋_GB2312" w:hint="eastAsia"/>
          <w:sz w:val="32"/>
        </w:rPr>
        <w:t>按精神文明建设工作要求领养公共绿地管护</w:t>
      </w:r>
      <w:r>
        <w:rPr>
          <w:rFonts w:ascii="仿宋_GB2312" w:eastAsia="仿宋_GB2312" w:hint="eastAsia"/>
          <w:sz w:val="32"/>
        </w:rPr>
        <w:t>地。</w:t>
      </w:r>
      <w:r>
        <w:rPr>
          <w:rFonts w:ascii="仿宋_GB2312" w:eastAsia="仿宋_GB2312" w:hint="eastAsia"/>
          <w:sz w:val="32"/>
        </w:rPr>
        <w:t>弥补</w:t>
      </w:r>
      <w:r>
        <w:rPr>
          <w:rFonts w:ascii="仿宋_GB2312" w:eastAsia="仿宋_GB2312" w:hint="eastAsia"/>
          <w:sz w:val="32"/>
        </w:rPr>
        <w:t>了</w:t>
      </w:r>
      <w:r>
        <w:rPr>
          <w:rFonts w:ascii="仿宋_GB2312" w:eastAsia="仿宋_GB2312" w:hint="eastAsia"/>
          <w:sz w:val="32"/>
        </w:rPr>
        <w:t>基本支出资金安排不足电费及电梯、消防维护费及单位卫生间踏板、水龙头以及办公室水龙头、门锁、灯管等维修</w:t>
      </w:r>
      <w:r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 w:hint="eastAsia"/>
          <w:sz w:val="32"/>
        </w:rPr>
        <w:t>更新单位办公电脑老化电脑。</w:t>
      </w:r>
    </w:p>
    <w:p w:rsidR="0031000D" w:rsidRDefault="00BA4C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1000D" w:rsidRDefault="00BA4CB8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没有未完成的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绩效目标</w:t>
      </w:r>
    </w:p>
    <w:p w:rsidR="0031000D" w:rsidRDefault="00BA4C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31000D" w:rsidRDefault="00BA4CB8" w:rsidP="00D37552">
      <w:pPr>
        <w:spacing w:line="54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Cs/>
          <w:spacing w:val="-4"/>
          <w:sz w:val="32"/>
          <w:szCs w:val="32"/>
        </w:rPr>
        <w:t>（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一）后续工作计划</w:t>
      </w:r>
    </w:p>
    <w:p w:rsidR="0031000D" w:rsidRDefault="00BA4CB8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加大打击非法行医工作力度。按照依法行政、守法执业，执法必严、失职必究的原则，建立权责明确、行为规范、监督有力的医疗服务市场监管长效机制，严厉打击非法行医，切实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保障人民群众的健康权益和生命安全。在政府的统一协调下，密切与各有关部门的联系，开展综合执法，加大打击力度，形成综合执法合力，提高行政执法效率。加快完善全区卫生监督信息网络建设。充分利用网络信息平台，做到卫生监督信息共享、信息快速传递。</w:t>
      </w:r>
    </w:p>
    <w:p w:rsidR="0031000D" w:rsidRDefault="00BA4C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（二）主要做法、存在问题</w:t>
      </w:r>
    </w:p>
    <w:p w:rsidR="0031000D" w:rsidRDefault="00BA4CB8">
      <w:pPr>
        <w:spacing w:line="54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6"/>
        </w:rPr>
      </w:pPr>
      <w:r>
        <w:rPr>
          <w:rFonts w:ascii="仿宋_GB2312" w:eastAsia="仿宋_GB2312" w:hAnsi="微软雅黑" w:hint="eastAsia"/>
          <w:color w:val="000000"/>
          <w:sz w:val="32"/>
          <w:szCs w:val="36"/>
        </w:rPr>
        <w:t>1</w:t>
      </w:r>
      <w:r>
        <w:rPr>
          <w:rFonts w:ascii="仿宋_GB2312" w:eastAsia="仿宋_GB2312" w:hAnsi="微软雅黑" w:hint="eastAsia"/>
          <w:color w:val="000000"/>
          <w:sz w:val="32"/>
          <w:szCs w:val="36"/>
        </w:rPr>
        <w:t>、</w:t>
      </w:r>
      <w:r>
        <w:rPr>
          <w:rFonts w:ascii="仿宋_GB2312" w:eastAsia="仿宋_GB2312" w:hAnsi="微软雅黑"/>
          <w:color w:val="000000"/>
          <w:sz w:val="32"/>
          <w:szCs w:val="36"/>
        </w:rPr>
        <w:t>主要做法</w:t>
      </w:r>
    </w:p>
    <w:p w:rsidR="0031000D" w:rsidRDefault="00BA4CB8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加大打击非法行医工作力度。按照依法行政、守法执业，执法必严、失职必究的原则，建立权责明确、行为规范、监督有力的医疗服务市场监管长效机制，严厉打击非法行医，切实保障人民群众的健康权益和生命安全。在政府的统一协调下，密切与各有关部门的联系，开展综合执法，加大打击力度，形成综合执法合力，提高行政执法效率。加快完善全区卫生监督信息网络建设。充分利用网络信息平台，做到卫生监督信息共享、信息快速传递。</w:t>
      </w:r>
    </w:p>
    <w:p w:rsidR="0031000D" w:rsidRDefault="00BA4CB8">
      <w:pPr>
        <w:spacing w:line="540" w:lineRule="exact"/>
        <w:ind w:firstLineChars="181" w:firstLine="579"/>
        <w:rPr>
          <w:rFonts w:ascii="仿宋_GB2312" w:eastAsia="仿宋_GB2312" w:hAnsi="微软雅黑"/>
          <w:color w:val="000000"/>
          <w:sz w:val="32"/>
          <w:szCs w:val="36"/>
        </w:rPr>
      </w:pPr>
      <w:r>
        <w:rPr>
          <w:rFonts w:ascii="仿宋_GB2312" w:eastAsia="仿宋_GB2312" w:hAnsi="微软雅黑" w:hint="eastAsia"/>
          <w:color w:val="000000"/>
          <w:sz w:val="32"/>
          <w:szCs w:val="36"/>
        </w:rPr>
        <w:t>2</w:t>
      </w:r>
      <w:r>
        <w:rPr>
          <w:rFonts w:ascii="仿宋_GB2312" w:eastAsia="仿宋_GB2312" w:hAnsi="微软雅黑" w:hint="eastAsia"/>
          <w:color w:val="000000"/>
          <w:sz w:val="32"/>
          <w:szCs w:val="36"/>
        </w:rPr>
        <w:t>、</w:t>
      </w:r>
      <w:r>
        <w:rPr>
          <w:rFonts w:ascii="仿宋_GB2312" w:eastAsia="仿宋_GB2312" w:hAnsi="微软雅黑"/>
          <w:color w:val="000000"/>
          <w:sz w:val="32"/>
          <w:szCs w:val="36"/>
        </w:rPr>
        <w:t>存在问题</w:t>
      </w:r>
    </w:p>
    <w:p w:rsidR="0031000D" w:rsidRDefault="00BA4CB8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一是卫生监督员按人口比例配备工作的发展不平衡，普遍存在卫生监督执法人员数量少、人员缺乏，队伍力量不足的问题；随着人们生活水平的改善，对医疗机构、公共场所的监督监测需求不断提高，但监督任务繁重，卫生监督力量薄弱，使得监督频率无法达到规范的要求。</w:t>
      </w:r>
    </w:p>
    <w:p w:rsidR="0031000D" w:rsidRDefault="00BA4CB8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二是卫生监督执法仪器设备不能满足工作的需要，日常监督工作中所用的监测器材、设备陈旧落后，取证工具及检验设备等系统装备的缺乏和不足，严重影响卫生监督执法的公正性和权威性。</w:t>
      </w:r>
    </w:p>
    <w:p w:rsidR="0031000D" w:rsidRDefault="00BA4CB8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三是由于政府财政对卫生监督投入的少，人员培训费用缺乏。目前整个社会生活水平的提高，社会经济活动的丰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富，卫生监督工作面临的形势更加复杂，工作量更大，对监督队伍整体和个人素质提出了更高要求。但由于缺乏培训资金，州所无法对全州八县一市的监督队伍开展系统的教育培训，制约了卫生监督队伍素质的提高。</w:t>
      </w:r>
    </w:p>
    <w:p w:rsidR="0031000D" w:rsidRDefault="00BA4CB8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D99594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四是监督执法车辆陈旧老化，卫生监督机构用于执法的交通等硬件设备的严重不足，制约了卫生监督执法工作的顺利开展，致使部分被监督的单位和行业监管不到位。</w:t>
      </w:r>
    </w:p>
    <w:p w:rsidR="0031000D" w:rsidRDefault="00BA4C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31000D" w:rsidRDefault="00BA4C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    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31000D" w:rsidRDefault="00BA4CB8">
      <w:pPr>
        <w:numPr>
          <w:ilvl w:val="0"/>
          <w:numId w:val="2"/>
        </w:num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项目评价工作情况</w:t>
      </w:r>
    </w:p>
    <w:p w:rsidR="0031000D" w:rsidRDefault="00BA4CB8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“</w:t>
      </w:r>
      <w:r>
        <w:rPr>
          <w:rFonts w:ascii="方正仿宋_GBK" w:eastAsia="方正仿宋_GBK" w:hAnsi="方正仿宋_GBK" w:cs="方正仿宋_GBK"/>
          <w:sz w:val="32"/>
          <w:szCs w:val="32"/>
        </w:rPr>
        <w:t>双随机</w:t>
      </w:r>
      <w:r>
        <w:rPr>
          <w:rFonts w:ascii="方正仿宋_GBK" w:eastAsia="方正仿宋_GBK" w:hAnsi="方正仿宋_GBK" w:cs="方正仿宋_GBK"/>
          <w:sz w:val="32"/>
          <w:szCs w:val="32"/>
        </w:rPr>
        <w:t>”</w:t>
      </w:r>
      <w:r>
        <w:rPr>
          <w:rFonts w:ascii="方正仿宋_GBK" w:eastAsia="方正仿宋_GBK" w:hAnsi="方正仿宋_GBK" w:cs="方正仿宋_GBK"/>
          <w:sz w:val="32"/>
          <w:szCs w:val="32"/>
        </w:rPr>
        <w:t>工作中，巴州卫生计生综合监督执法所成立由所长为组长，相关科室负责人为组员的</w:t>
      </w:r>
      <w:r>
        <w:rPr>
          <w:rFonts w:ascii="方正仿宋_GBK" w:eastAsia="方正仿宋_GBK" w:hAnsi="方正仿宋_GBK" w:cs="方正仿宋_GBK"/>
          <w:sz w:val="32"/>
          <w:szCs w:val="32"/>
        </w:rPr>
        <w:t>“</w:t>
      </w:r>
      <w:r>
        <w:rPr>
          <w:rFonts w:ascii="方正仿宋_GBK" w:eastAsia="方正仿宋_GBK" w:hAnsi="方正仿宋_GBK" w:cs="方正仿宋_GBK"/>
          <w:sz w:val="32"/>
          <w:szCs w:val="32"/>
        </w:rPr>
        <w:t>双随机</w:t>
      </w:r>
      <w:r>
        <w:rPr>
          <w:rFonts w:ascii="方正仿宋_GBK" w:eastAsia="方正仿宋_GBK" w:hAnsi="方正仿宋_GBK" w:cs="方正仿宋_GBK"/>
          <w:sz w:val="32"/>
          <w:szCs w:val="32"/>
        </w:rPr>
        <w:t>”</w:t>
      </w:r>
      <w:r>
        <w:rPr>
          <w:rFonts w:ascii="方正仿宋_GBK" w:eastAsia="方正仿宋_GBK" w:hAnsi="方正仿宋_GBK" w:cs="方正仿宋_GBK"/>
          <w:sz w:val="32"/>
          <w:szCs w:val="32"/>
        </w:rPr>
        <w:t>监督检查小组深入基层，本着查找问题、</w:t>
      </w:r>
      <w:r>
        <w:rPr>
          <w:rFonts w:ascii="方正仿宋_GBK" w:eastAsia="方正仿宋_GBK" w:hAnsi="方正仿宋_GBK" w:cs="方正仿宋_GBK"/>
          <w:sz w:val="32"/>
          <w:szCs w:val="32"/>
        </w:rPr>
        <w:t>汇总问题、解决问题的工作理念，对全州医疗服务机构、传染病防治及公共场所开展了</w:t>
      </w:r>
      <w:r>
        <w:rPr>
          <w:rFonts w:ascii="方正仿宋_GBK" w:eastAsia="方正仿宋_GBK" w:hAnsi="方正仿宋_GBK" w:cs="方正仿宋_GBK"/>
          <w:sz w:val="32"/>
          <w:szCs w:val="32"/>
        </w:rPr>
        <w:t>“</w:t>
      </w:r>
      <w:r>
        <w:rPr>
          <w:rFonts w:ascii="方正仿宋_GBK" w:eastAsia="方正仿宋_GBK" w:hAnsi="方正仿宋_GBK" w:cs="方正仿宋_GBK"/>
          <w:sz w:val="32"/>
          <w:szCs w:val="32"/>
        </w:rPr>
        <w:t>双随机</w:t>
      </w:r>
      <w:r>
        <w:rPr>
          <w:rFonts w:ascii="方正仿宋_GBK" w:eastAsia="方正仿宋_GBK" w:hAnsi="方正仿宋_GBK" w:cs="方正仿宋_GBK"/>
          <w:sz w:val="32"/>
          <w:szCs w:val="32"/>
        </w:rPr>
        <w:t>”</w:t>
      </w:r>
      <w:r>
        <w:rPr>
          <w:rFonts w:ascii="方正仿宋_GBK" w:eastAsia="方正仿宋_GBK" w:hAnsi="方正仿宋_GBK" w:cs="方正仿宋_GBK"/>
          <w:sz w:val="32"/>
          <w:szCs w:val="32"/>
        </w:rPr>
        <w:t>监督检测工作进行指导。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全州各级卫生监督机构以年度校验为抓手，从医疗机构人员资质、科室设置、规章制度建设、处方管理、医疗服务质量、抗菌药物分级应用管理等方面对全州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家各级医疗机构进行了监督检查，监督覆盖率为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针对监督检查中发现的问题及时提出整改意见，并给予行政处罚。加大公共场所卫生监督执法力度，确保公共场所的卫生安全。严格把关《放射诊疗建设项目职业病危害放射防护预评价》、《放射诊疗建设项目职业病危害放射防护设施竣工验收》和《放射诊疗许可证》的审批工作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稽查人员严格按照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《行政许可法》的要求，利用年度卫生计生监督执法专项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稽查的方式，以书面审查为主要形式，以资料收集、许可程序、许可依据为重点，对各县（市）实施的所有卫生行政许可进行认真审查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31000D" w:rsidRDefault="0031000D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31000D" w:rsidRDefault="0031000D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31000D" w:rsidRDefault="00BA4C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31000D" w:rsidRDefault="00BA4CB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>
        <w:rPr>
          <w:rStyle w:val="a8"/>
          <w:rFonts w:ascii="仿宋" w:eastAsia="仿宋" w:hAnsi="仿宋" w:hint="eastAsia"/>
          <w:b w:val="0"/>
          <w:bCs w:val="0"/>
          <w:spacing w:val="-4"/>
          <w:sz w:val="32"/>
          <w:szCs w:val="32"/>
        </w:rPr>
        <w:t>巴音郭楞蒙古自治州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财政项目支出绩效自评表》</w:t>
      </w:r>
    </w:p>
    <w:p w:rsidR="0031000D" w:rsidRDefault="0031000D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31000D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 w:rsidR="0031000D" w:rsidRDefault="00BA4CB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巴音郭楞蒙古自治州财政项目支出绩效自评表</w:t>
            </w:r>
          </w:p>
        </w:tc>
      </w:tr>
      <w:tr w:rsidR="0031000D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2017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31000D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1000D">
        <w:trPr>
          <w:trHeight w:val="9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spacing w:line="700" w:lineRule="exact"/>
              <w:ind w:firstLineChars="500" w:firstLine="1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>卫生监督检查项目经费</w:t>
            </w:r>
          </w:p>
        </w:tc>
      </w:tr>
      <w:tr w:rsidR="0031000D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巴州卫生和计划生育综合监督执法所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00D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19.21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19.21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31000D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191.21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19.21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00D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00D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31000D">
        <w:trPr>
          <w:trHeight w:val="9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围绕本年度工作任务目标，以开展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两学一做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活动为抓手，以转变干部作风、加强行政效能建设为契机，牢牢把握“质量、效率、落实”这条工作主线，按照“建设一流队伍、培养一流作风、争创一流业绩”要求，着力强化队伍建设、作风建设、能力建设，不断提高卫生执法综合能力</w:t>
            </w:r>
          </w:p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围绕本年度工作任务目标，以开展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两学一做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活动为抓手，以转变干部作风、加强行政效能建设为契机，牢牢把握“质量、效率、落实”这条工作主线，按照“建设一流队伍、培养一流作风、争创一流业绩”要求，着力强化队伍建设、作风建设、能力建设，不断提高卫生执法综合能力</w:t>
            </w:r>
          </w:p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1000D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字描述）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开展一级以上医疗机构进行双随机抽查、对所辖医疗机构进行监督检查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卫生监督专项监督检查经费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消毒产品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双随机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监督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检查，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抽检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家，医疗机构依法执业“双随机”监督抽检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家对全州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家各级医疗机构进行了监督检查组织人员对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家二级以上医院、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家一级医院的手术室、产房、治疗室、输液室等科室的空气、物体表面、医护人员手、使用中的消毒液等进行了监测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政府采购率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政府采购达到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政府采购达到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保安工资发放标准规范程度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发放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发放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双随机检测率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检测率达到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检测率达到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系统正常运行费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正常运行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正常运行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系统故障维护响应时间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小时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小时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系统维护响应时间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小时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小时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保安工资发放及时率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各项工作任务按进度完成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完成的工作量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家监管单位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家监管单位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检测机构的检测费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快检设备试剂费用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快检设备试剂费用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解决职工办公效益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职工满意率达到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职工满意率达到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保障卫生监督各项信息化建设及培训工作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有所提升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保障卫生监督各项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工作的顺利完成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 xml:space="preserve">　顺利完成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顺利完成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预防公共场所、饮用水、学校卫生突发公共卫生事件发生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有所提高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保障环境污染、保障公共场所、饮用水、学校卫生安全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有所提高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系统正常使用年限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≧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≧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使用人满意度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有所提高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执法相对人的你满意度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有所提高</w:t>
            </w:r>
          </w:p>
        </w:tc>
      </w:tr>
      <w:tr w:rsidR="0031000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000D" w:rsidRDefault="003100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执法相对人的你满意度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00D" w:rsidRDefault="00BA4CB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有所提高</w:t>
            </w:r>
          </w:p>
        </w:tc>
      </w:tr>
    </w:tbl>
    <w:p w:rsidR="0031000D" w:rsidRDefault="0031000D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bookmarkStart w:id="4" w:name="_GoBack"/>
      <w:bookmarkEnd w:id="4"/>
    </w:p>
    <w:sectPr w:rsidR="0031000D" w:rsidSect="0031000D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CB8" w:rsidRDefault="00BA4CB8" w:rsidP="0031000D">
      <w:r>
        <w:separator/>
      </w:r>
    </w:p>
  </w:endnote>
  <w:endnote w:type="continuationSeparator" w:id="1">
    <w:p w:rsidR="00BA4CB8" w:rsidRDefault="00BA4CB8" w:rsidP="0031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0D" w:rsidRDefault="0031000D">
    <w:pPr>
      <w:pStyle w:val="a4"/>
      <w:jc w:val="center"/>
    </w:pPr>
    <w:r>
      <w:fldChar w:fldCharType="begin"/>
    </w:r>
    <w:r w:rsidR="00BA4CB8">
      <w:instrText>PAGE   \* MERGEFORMAT</w:instrText>
    </w:r>
    <w:r>
      <w:fldChar w:fldCharType="separate"/>
    </w:r>
    <w:r w:rsidR="00D37552" w:rsidRPr="00D37552">
      <w:rPr>
        <w:noProof/>
        <w:lang w:val="zh-CN"/>
      </w:rPr>
      <w:t>2</w:t>
    </w:r>
    <w:r>
      <w:fldChar w:fldCharType="end"/>
    </w:r>
  </w:p>
  <w:p w:rsidR="0031000D" w:rsidRDefault="003100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CB8" w:rsidRDefault="00BA4CB8" w:rsidP="0031000D">
      <w:r>
        <w:separator/>
      </w:r>
    </w:p>
  </w:footnote>
  <w:footnote w:type="continuationSeparator" w:id="1">
    <w:p w:rsidR="00BA4CB8" w:rsidRDefault="00BA4CB8" w:rsidP="00310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lvl w:ilvl="0">
      <w:start w:val="3"/>
      <w:numFmt w:val="decimal"/>
      <w:suff w:val="nothing"/>
      <w:lvlText w:val="%1、"/>
      <w:lvlJc w:val="left"/>
    </w:lvl>
  </w:abstractNum>
  <w:abstractNum w:abstractNumId="1">
    <w:nsid w:val="434863D0"/>
    <w:multiLevelType w:val="singleLevel"/>
    <w:tmpl w:val="434863D0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00D"/>
    <w:rsid w:val="0031000D"/>
    <w:rsid w:val="00BA4CB8"/>
    <w:rsid w:val="00D37552"/>
    <w:rsid w:val="436A25EA"/>
    <w:rsid w:val="539118F8"/>
    <w:rsid w:val="6B275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3" w:qFormat="1"/>
    <w:lsdException w:name="heading 4" w:qFormat="1"/>
    <w:lsdException w:name="heading 5" w:qFormat="1"/>
    <w:lsdException w:name="heading 7" w:qFormat="1"/>
    <w:lsdException w:name="footer" w:qFormat="1"/>
    <w:lsdException w:name="caption" w:semiHidden="1" w:unhideWhenUsed="1" w:qFormat="1"/>
    <w:lsdException w:name="Block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1000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rsid w:val="0031000D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rsid w:val="0031000D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31000D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31000D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1000D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rsid w:val="0031000D"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qFormat/>
    <w:rsid w:val="0031000D"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Char"/>
    <w:rsid w:val="0031000D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Char"/>
    <w:rsid w:val="0031000D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next w:val="a"/>
    <w:link w:val="Char"/>
    <w:qFormat/>
    <w:rsid w:val="0031000D"/>
    <w:pPr>
      <w:widowControl/>
      <w:jc w:val="left"/>
    </w:pPr>
    <w:rPr>
      <w:i/>
      <w:sz w:val="24"/>
    </w:rPr>
  </w:style>
  <w:style w:type="paragraph" w:styleId="a4">
    <w:name w:val="footer"/>
    <w:basedOn w:val="a"/>
    <w:link w:val="Char0"/>
    <w:qFormat/>
    <w:rsid w:val="0031000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rsid w:val="00310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rsid w:val="0031000D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a7">
    <w:name w:val="Title"/>
    <w:basedOn w:val="a"/>
    <w:next w:val="a"/>
    <w:link w:val="Char3"/>
    <w:rsid w:val="0031000D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8">
    <w:name w:val="Strong"/>
    <w:basedOn w:val="a0"/>
    <w:rsid w:val="0031000D"/>
    <w:rPr>
      <w:b/>
      <w:bCs/>
    </w:rPr>
  </w:style>
  <w:style w:type="character" w:styleId="a9">
    <w:name w:val="Emphasis"/>
    <w:basedOn w:val="a0"/>
    <w:rsid w:val="0031000D"/>
    <w:rPr>
      <w:rFonts w:ascii="Calibri" w:hAnsi="Calibri"/>
      <w:b/>
      <w:i/>
      <w:iCs/>
    </w:rPr>
  </w:style>
  <w:style w:type="character" w:customStyle="1" w:styleId="1Char">
    <w:name w:val="标题 1 Char"/>
    <w:basedOn w:val="a0"/>
    <w:link w:val="1"/>
    <w:semiHidden/>
    <w:rsid w:val="0031000D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semiHidden/>
    <w:rsid w:val="0031000D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semiHidden/>
    <w:rsid w:val="0031000D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semiHidden/>
    <w:rsid w:val="0031000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semiHidden/>
    <w:rsid w:val="0031000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semiHidden/>
    <w:rsid w:val="0031000D"/>
    <w:rPr>
      <w:b/>
      <w:bCs/>
    </w:rPr>
  </w:style>
  <w:style w:type="character" w:customStyle="1" w:styleId="7Char">
    <w:name w:val="标题 7 Char"/>
    <w:basedOn w:val="a0"/>
    <w:link w:val="7"/>
    <w:semiHidden/>
    <w:rsid w:val="0031000D"/>
    <w:rPr>
      <w:sz w:val="24"/>
      <w:szCs w:val="24"/>
    </w:rPr>
  </w:style>
  <w:style w:type="character" w:customStyle="1" w:styleId="8Char">
    <w:name w:val="标题 8 Char"/>
    <w:basedOn w:val="a0"/>
    <w:link w:val="8"/>
    <w:semiHidden/>
    <w:rsid w:val="0031000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semiHidden/>
    <w:rsid w:val="0031000D"/>
    <w:rPr>
      <w:rFonts w:ascii="Cambria" w:eastAsia="宋体" w:hAnsi="Cambria"/>
    </w:rPr>
  </w:style>
  <w:style w:type="paragraph" w:customStyle="1" w:styleId="10">
    <w:name w:val="批注框文本1"/>
    <w:basedOn w:val="a"/>
    <w:link w:val="Char4"/>
    <w:rsid w:val="0031000D"/>
    <w:rPr>
      <w:sz w:val="18"/>
      <w:szCs w:val="18"/>
    </w:rPr>
  </w:style>
  <w:style w:type="character" w:customStyle="1" w:styleId="Char4">
    <w:name w:val="批注框文本 Char"/>
    <w:basedOn w:val="a0"/>
    <w:link w:val="10"/>
    <w:semiHidden/>
    <w:rsid w:val="0031000D"/>
    <w:rPr>
      <w:rFonts w:ascii="Times New Roman" w:eastAsia="宋体" w:hAnsi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semiHidden/>
    <w:rsid w:val="0031000D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页眉 Char"/>
    <w:basedOn w:val="a0"/>
    <w:link w:val="a5"/>
    <w:semiHidden/>
    <w:rsid w:val="0031000D"/>
    <w:rPr>
      <w:rFonts w:ascii="Calibri" w:eastAsia="宋体" w:hAnsi="Calibri"/>
      <w:kern w:val="2"/>
      <w:sz w:val="18"/>
      <w:szCs w:val="18"/>
    </w:rPr>
  </w:style>
  <w:style w:type="character" w:customStyle="1" w:styleId="Char2">
    <w:name w:val="副标题 Char"/>
    <w:basedOn w:val="a0"/>
    <w:link w:val="a6"/>
    <w:semiHidden/>
    <w:rsid w:val="0031000D"/>
    <w:rPr>
      <w:rFonts w:ascii="Cambria" w:eastAsia="宋体" w:hAnsi="Cambria"/>
      <w:sz w:val="24"/>
      <w:szCs w:val="24"/>
    </w:rPr>
  </w:style>
  <w:style w:type="character" w:customStyle="1" w:styleId="Char3">
    <w:name w:val="标题 Char"/>
    <w:basedOn w:val="a0"/>
    <w:link w:val="a7"/>
    <w:semiHidden/>
    <w:rsid w:val="0031000D"/>
    <w:rPr>
      <w:rFonts w:ascii="Cambria" w:eastAsia="宋体" w:hAnsi="Cambria"/>
      <w:b/>
      <w:bCs/>
      <w:kern w:val="28"/>
      <w:sz w:val="32"/>
      <w:szCs w:val="32"/>
    </w:rPr>
  </w:style>
  <w:style w:type="paragraph" w:customStyle="1" w:styleId="11">
    <w:name w:val="无间隔1"/>
    <w:basedOn w:val="a"/>
    <w:rsid w:val="0031000D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rsid w:val="0031000D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3">
    <w:name w:val="明显引用1"/>
    <w:basedOn w:val="a"/>
    <w:next w:val="a"/>
    <w:link w:val="Char5"/>
    <w:rsid w:val="0031000D"/>
    <w:pPr>
      <w:widowControl/>
      <w:ind w:left="720" w:right="720"/>
      <w:jc w:val="left"/>
    </w:pPr>
    <w:rPr>
      <w:b/>
      <w:i/>
      <w:sz w:val="24"/>
    </w:rPr>
  </w:style>
  <w:style w:type="paragraph" w:customStyle="1" w:styleId="TOC1">
    <w:name w:val="TOC 标题1"/>
    <w:basedOn w:val="1"/>
    <w:next w:val="a"/>
    <w:rsid w:val="0031000D"/>
    <w:pPr>
      <w:outlineLvl w:val="9"/>
    </w:pPr>
    <w:rPr>
      <w:lang w:eastAsia="en-US" w:bidi="en-US"/>
    </w:rPr>
  </w:style>
  <w:style w:type="paragraph" w:customStyle="1" w:styleId="20">
    <w:name w:val="样式 首行缩进:  2 字符"/>
    <w:basedOn w:val="a"/>
    <w:link w:val="2CharChar"/>
    <w:rsid w:val="0031000D"/>
    <w:pPr>
      <w:spacing w:line="360" w:lineRule="auto"/>
      <w:ind w:firstLineChars="200" w:firstLine="480"/>
    </w:pPr>
    <w:rPr>
      <w:rFonts w:ascii="Calibri" w:hAnsi="Calibri"/>
      <w:kern w:val="0"/>
      <w:sz w:val="24"/>
      <w:szCs w:val="20"/>
      <w:lang/>
    </w:rPr>
  </w:style>
  <w:style w:type="character" w:customStyle="1" w:styleId="Char">
    <w:name w:val="文本块 Char"/>
    <w:basedOn w:val="a0"/>
    <w:link w:val="a3"/>
    <w:semiHidden/>
    <w:rsid w:val="0031000D"/>
    <w:rPr>
      <w:i/>
      <w:sz w:val="24"/>
      <w:szCs w:val="24"/>
    </w:rPr>
  </w:style>
  <w:style w:type="character" w:customStyle="1" w:styleId="Char5">
    <w:name w:val="明显引用 Char"/>
    <w:basedOn w:val="a0"/>
    <w:link w:val="13"/>
    <w:semiHidden/>
    <w:rsid w:val="0031000D"/>
    <w:rPr>
      <w:b/>
      <w:i/>
      <w:sz w:val="24"/>
    </w:rPr>
  </w:style>
  <w:style w:type="character" w:customStyle="1" w:styleId="14">
    <w:name w:val="不明显强调1"/>
    <w:rsid w:val="0031000D"/>
    <w:rPr>
      <w:i/>
      <w:color w:val="565656"/>
    </w:rPr>
  </w:style>
  <w:style w:type="character" w:customStyle="1" w:styleId="15">
    <w:name w:val="明显强调1"/>
    <w:basedOn w:val="a0"/>
    <w:rsid w:val="0031000D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rsid w:val="0031000D"/>
    <w:rPr>
      <w:sz w:val="24"/>
      <w:szCs w:val="24"/>
      <w:u w:val="single"/>
    </w:rPr>
  </w:style>
  <w:style w:type="character" w:customStyle="1" w:styleId="17">
    <w:name w:val="明显参考1"/>
    <w:basedOn w:val="a0"/>
    <w:rsid w:val="0031000D"/>
    <w:rPr>
      <w:b/>
      <w:sz w:val="24"/>
      <w:u w:val="single"/>
    </w:rPr>
  </w:style>
  <w:style w:type="character" w:customStyle="1" w:styleId="18">
    <w:name w:val="书籍标题1"/>
    <w:basedOn w:val="a0"/>
    <w:rsid w:val="0031000D"/>
    <w:rPr>
      <w:rFonts w:ascii="Cambria" w:eastAsia="宋体" w:hAnsi="Cambria"/>
      <w:b/>
      <w:i/>
      <w:sz w:val="24"/>
      <w:szCs w:val="24"/>
    </w:rPr>
  </w:style>
  <w:style w:type="character" w:customStyle="1" w:styleId="2CharChar">
    <w:name w:val="样式 首行缩进:  2 字符 Char Char"/>
    <w:link w:val="20"/>
    <w:semiHidden/>
    <w:rsid w:val="0031000D"/>
    <w:rPr>
      <w:rFonts w:ascii="Calibri" w:eastAsia="宋体" w:hAnsi="Calibri" w:cs="宋体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698</Words>
  <Characters>3982</Characters>
  <Application>Microsoft Office Word</Application>
  <DocSecurity>0</DocSecurity>
  <Lines>33</Lines>
  <Paragraphs>9</Paragraphs>
  <ScaleCrop>false</ScaleCrop>
  <Company>Microsoft</Company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SJY</dc:title>
  <dc:creator>赵 恺（预算处）</dc:creator>
  <cp:lastModifiedBy>1</cp:lastModifiedBy>
  <cp:revision>2</cp:revision>
  <cp:lastPrinted>2018-12-31T18:56:00Z</cp:lastPrinted>
  <dcterms:created xsi:type="dcterms:W3CDTF">2019-01-15T10:02:00Z</dcterms:created>
  <dcterms:modified xsi:type="dcterms:W3CDTF">2019-01-16T13:33:00Z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