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48"/>
          <w:szCs w:val="48"/>
        </w:rPr>
      </w:pPr>
      <w:r>
        <w:rPr>
          <w:rFonts w:hint="eastAsia" w:ascii="仿宋" w:hAnsi="仿宋" w:eastAsia="仿宋" w:cs="宋体"/>
          <w:b/>
          <w:kern w:val="0"/>
          <w:sz w:val="48"/>
          <w:szCs w:val="48"/>
        </w:rPr>
        <w:t>巴州财政项目支出绩效自评报告</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（2018年度）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6"/>
          <w:szCs w:val="36"/>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项目名称：</w:t>
      </w:r>
      <w:r>
        <w:rPr>
          <w:rFonts w:hint="eastAsia" w:ascii="仿宋" w:hAnsi="仿宋" w:eastAsia="仿宋" w:cs="宋体"/>
          <w:kern w:val="0"/>
          <w:sz w:val="36"/>
          <w:szCs w:val="36"/>
          <w:lang w:eastAsia="zh-CN"/>
        </w:rPr>
        <w:t>贯彻落实党的十九大精神</w:t>
      </w:r>
      <w:r>
        <w:rPr>
          <w:rFonts w:hint="eastAsia" w:ascii="仿宋" w:hAnsi="仿宋" w:eastAsia="仿宋" w:cs="宋体"/>
          <w:kern w:val="0"/>
          <w:sz w:val="36"/>
          <w:szCs w:val="36"/>
        </w:rPr>
        <w:t>考察调研</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实施单位（公章）：巴州直属机关工委</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主管部门（公章）：</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项目负责人（签章）：李洪波</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填报时间：2019年1月30日</w:t>
      </w:r>
    </w:p>
    <w:p>
      <w:pPr>
        <w:spacing w:line="540" w:lineRule="exact"/>
        <w:jc w:val="center"/>
        <w:rPr>
          <w:rFonts w:ascii="仿宋" w:hAnsi="仿宋" w:eastAsia="仿宋" w:cs="宋体"/>
          <w:kern w:val="0"/>
          <w:sz w:val="30"/>
          <w:szCs w:val="30"/>
        </w:rPr>
      </w:pPr>
    </w:p>
    <w:p>
      <w:pPr>
        <w:spacing w:line="540" w:lineRule="exact"/>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一、项目概况</w:t>
      </w:r>
    </w:p>
    <w:p>
      <w:pPr>
        <w:spacing w:line="540" w:lineRule="exact"/>
        <w:ind w:firstLine="567"/>
        <w:rPr>
          <w:rStyle w:val="18"/>
          <w:rFonts w:ascii="仿宋" w:hAnsi="仿宋" w:eastAsia="仿宋"/>
          <w:spacing w:val="-4"/>
          <w:sz w:val="32"/>
          <w:szCs w:val="32"/>
        </w:rPr>
      </w:pPr>
      <w:r>
        <w:rPr>
          <w:rStyle w:val="18"/>
          <w:rFonts w:hint="eastAsia" w:ascii="仿宋" w:hAnsi="仿宋" w:eastAsia="仿宋"/>
          <w:spacing w:val="-4"/>
          <w:sz w:val="32"/>
          <w:szCs w:val="32"/>
        </w:rPr>
        <w:t>（一）项目单位基本情况</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1</w:t>
      </w:r>
      <w:r>
        <w:rPr>
          <w:rFonts w:hint="eastAsia" w:ascii="仿宋" w:hAnsi="仿宋" w:eastAsia="仿宋" w:cs="仿宋_GB2312"/>
          <w:sz w:val="32"/>
          <w:szCs w:val="32"/>
        </w:rPr>
        <w:t>、编制自治州机关基层组织党建工作计划，指导全州机关各级党组织加强党的思想、组织和作风建设，做好党员教育管理和党纪党规教育工作。</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2</w:t>
      </w:r>
      <w:r>
        <w:rPr>
          <w:rFonts w:hint="eastAsia" w:ascii="仿宋" w:hAnsi="仿宋" w:eastAsia="仿宋" w:cs="仿宋_GB2312"/>
          <w:sz w:val="32"/>
          <w:szCs w:val="32"/>
        </w:rPr>
        <w:t>、对全州机关党组织建设开展调查研究，指导督促州直机关基层党组织和县市加强机关党建工作，总结推广典型经验。</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3</w:t>
      </w:r>
      <w:r>
        <w:rPr>
          <w:rFonts w:hint="eastAsia" w:ascii="仿宋" w:hAnsi="仿宋" w:eastAsia="仿宋" w:cs="仿宋_GB2312"/>
          <w:sz w:val="32"/>
          <w:szCs w:val="32"/>
        </w:rPr>
        <w:t>、对所属机关基层党组织请示的有关问题作出决定、批复或者答复。</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4</w:t>
      </w:r>
      <w:r>
        <w:rPr>
          <w:rFonts w:hint="eastAsia" w:ascii="仿宋" w:hAnsi="仿宋" w:eastAsia="仿宋" w:cs="仿宋_GB2312"/>
          <w:sz w:val="32"/>
          <w:szCs w:val="32"/>
        </w:rPr>
        <w:t>、督促指导所属机关基层党组织按期进行换届；审批所属机关基层党组织关于召开党员大会或者党员代表大会的请示；审批所属机关基层党组织选出的书记、副书记。</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5</w:t>
      </w:r>
      <w:r>
        <w:rPr>
          <w:rFonts w:hint="eastAsia" w:ascii="仿宋" w:hAnsi="仿宋" w:eastAsia="仿宋" w:cs="仿宋_GB2312"/>
          <w:sz w:val="32"/>
          <w:szCs w:val="32"/>
        </w:rPr>
        <w:t>、配合州委有关部门抓好直属机关领导班子思想政治建设，参与对党员领导干部民主生活会和党组（党委）中心组学习的督促检查和指导工作，了解和掌握情况，按规定报送情况报告。</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6</w:t>
      </w:r>
      <w:r>
        <w:rPr>
          <w:rFonts w:hint="eastAsia" w:ascii="仿宋" w:hAnsi="仿宋" w:eastAsia="仿宋" w:cs="仿宋_GB2312"/>
          <w:sz w:val="32"/>
          <w:szCs w:val="32"/>
        </w:rPr>
        <w:t>、指导所属机关党组织加强党风廉政建设，实施对党员特别是党员领导干部的监督。</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7</w:t>
      </w:r>
      <w:r>
        <w:rPr>
          <w:rFonts w:hint="eastAsia" w:ascii="仿宋" w:hAnsi="仿宋" w:eastAsia="仿宋" w:cs="仿宋_GB2312"/>
          <w:sz w:val="32"/>
          <w:szCs w:val="32"/>
        </w:rPr>
        <w:t>、了解和掌握所属机关工作人员的思想状况，指导所属机关基层党组织加强思想政治工作和精神文明建设。</w:t>
      </w:r>
    </w:p>
    <w:p>
      <w:pPr>
        <w:spacing w:line="520" w:lineRule="exact"/>
        <w:ind w:firstLine="640" w:firstLineChars="200"/>
        <w:rPr>
          <w:rFonts w:ascii="仿宋" w:hAnsi="仿宋" w:eastAsia="仿宋"/>
          <w:sz w:val="32"/>
          <w:szCs w:val="32"/>
        </w:rPr>
      </w:pPr>
      <w:r>
        <w:rPr>
          <w:rFonts w:ascii="仿宋" w:hAnsi="仿宋" w:eastAsia="仿宋" w:cs="仿宋_GB2312"/>
          <w:sz w:val="32"/>
          <w:szCs w:val="32"/>
        </w:rPr>
        <w:t>8</w:t>
      </w:r>
      <w:r>
        <w:rPr>
          <w:rFonts w:hint="eastAsia" w:ascii="仿宋" w:hAnsi="仿宋" w:eastAsia="仿宋" w:cs="仿宋_GB2312"/>
          <w:sz w:val="32"/>
          <w:szCs w:val="32"/>
        </w:rPr>
        <w:t>、负责州直机关发展对象的培训、考察、谈话和所属机关基层党组织吸收新党员、预备党员转正审核审批工作。</w:t>
      </w:r>
    </w:p>
    <w:p>
      <w:pPr>
        <w:spacing w:line="520" w:lineRule="exact"/>
        <w:ind w:firstLine="640" w:firstLineChars="200"/>
        <w:rPr>
          <w:rFonts w:ascii="仿宋" w:hAnsi="仿宋" w:eastAsia="仿宋" w:cs="仿宋_GB2312"/>
          <w:sz w:val="32"/>
          <w:szCs w:val="32"/>
        </w:rPr>
      </w:pPr>
      <w:r>
        <w:rPr>
          <w:rFonts w:ascii="仿宋" w:hAnsi="仿宋" w:eastAsia="仿宋" w:cs="仿宋_GB2312"/>
          <w:sz w:val="32"/>
          <w:szCs w:val="32"/>
        </w:rPr>
        <w:t>9</w:t>
      </w:r>
      <w:r>
        <w:rPr>
          <w:rFonts w:hint="eastAsia" w:ascii="仿宋" w:hAnsi="仿宋" w:eastAsia="仿宋" w:cs="仿宋_GB2312"/>
          <w:sz w:val="32"/>
          <w:szCs w:val="32"/>
        </w:rPr>
        <w:t>、负责州直机关工、青、妇等群众组织的工作。</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10、州直属机关工委无下属预算单位，内设1个科室：办公室；下属1个事业单位：州直机关工委党校。 </w:t>
      </w:r>
    </w:p>
    <w:p>
      <w:pPr>
        <w:spacing w:line="540" w:lineRule="exact"/>
        <w:ind w:firstLine="640" w:firstLineChars="200"/>
        <w:rPr>
          <w:rStyle w:val="18"/>
          <w:rFonts w:ascii="仿宋" w:hAnsi="仿宋" w:eastAsia="仿宋"/>
          <w:spacing w:val="-4"/>
          <w:sz w:val="32"/>
          <w:szCs w:val="32"/>
        </w:rPr>
      </w:pPr>
      <w:r>
        <w:rPr>
          <w:rFonts w:hint="eastAsia" w:ascii="仿宋" w:hAnsi="仿宋" w:eastAsia="仿宋"/>
          <w:sz w:val="32"/>
          <w:szCs w:val="32"/>
        </w:rPr>
        <w:t>11、单位编制数 8，实有人数8人，其中：行政编制5人（其中工勤编1名）、事业编制2人，在职8人，较上年增加或减少0人； 退休3人，较上年增加或减少0人。</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（二）项目预算</w:t>
      </w:r>
      <w:r>
        <w:rPr>
          <w:rStyle w:val="18"/>
          <w:rFonts w:ascii="仿宋" w:hAnsi="仿宋" w:eastAsia="仿宋"/>
          <w:spacing w:val="-4"/>
          <w:sz w:val="32"/>
          <w:szCs w:val="32"/>
        </w:rPr>
        <w:t>绩效目标</w:t>
      </w:r>
      <w:r>
        <w:rPr>
          <w:rStyle w:val="18"/>
          <w:rFonts w:hint="eastAsia" w:ascii="仿宋" w:hAnsi="仿宋" w:eastAsia="仿宋"/>
          <w:spacing w:val="-4"/>
          <w:sz w:val="32"/>
          <w:szCs w:val="32"/>
        </w:rPr>
        <w:t>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1、用途：延续性用途</w:t>
      </w:r>
    </w:p>
    <w:p>
      <w:pPr>
        <w:spacing w:line="540" w:lineRule="exact"/>
        <w:ind w:firstLine="579" w:firstLineChars="181"/>
        <w:rPr>
          <w:rFonts w:ascii="仿宋" w:hAnsi="仿宋" w:eastAsia="仿宋"/>
          <w:sz w:val="32"/>
        </w:rPr>
      </w:pPr>
      <w:r>
        <w:rPr>
          <w:rFonts w:hint="eastAsia" w:ascii="仿宋" w:hAnsi="仿宋" w:eastAsia="仿宋"/>
          <w:sz w:val="32"/>
        </w:rPr>
        <w:t>2、加强州直机关党的思想政治建设、组织建设、作风建设、制度建设和反腐倡廉建设，做好州直机关其他党建工作。指导州直机关党组织抓好党的十九大和习近平总书记系列重要讲话精神，以及州委党代会精神的学习贯彻，把党员干部的思想和行动统一到中央和区委的决策部署上来。</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二、项目资金使用及管理情况</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2018年该项目预算数为22.15元，实际下达预算数为22.15元，实际支出22.15元，完成全年比例的100%。</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（二）项目资金实际使用情况分析</w:t>
      </w:r>
    </w:p>
    <w:p>
      <w:pPr>
        <w:ind w:firstLine="624" w:firstLineChars="200"/>
        <w:rPr>
          <w:rFonts w:ascii="仿宋" w:hAnsi="仿宋" w:eastAsia="仿宋"/>
          <w:sz w:val="32"/>
          <w:szCs w:val="32"/>
        </w:rPr>
      </w:pPr>
      <w:r>
        <w:rPr>
          <w:rStyle w:val="18"/>
          <w:rFonts w:hint="eastAsia" w:ascii="仿宋" w:hAnsi="仿宋" w:eastAsia="仿宋"/>
          <w:b w:val="0"/>
          <w:spacing w:val="-4"/>
          <w:sz w:val="32"/>
          <w:szCs w:val="32"/>
        </w:rPr>
        <w:t>2018年该项目预算数为22.15元，</w:t>
      </w:r>
      <w:r>
        <w:rPr>
          <w:rFonts w:hint="eastAsia" w:ascii="仿宋" w:hAnsi="仿宋" w:eastAsia="仿宋"/>
          <w:sz w:val="32"/>
          <w:szCs w:val="32"/>
        </w:rPr>
        <w:t>其中：1、办公设备购置经费2.69元，其中财政拨款2.69元；</w:t>
      </w:r>
    </w:p>
    <w:p>
      <w:pPr>
        <w:ind w:firstLine="640" w:firstLineChars="200"/>
        <w:rPr>
          <w:rFonts w:ascii="仿宋" w:hAnsi="仿宋" w:eastAsia="仿宋"/>
          <w:sz w:val="32"/>
          <w:szCs w:val="32"/>
        </w:rPr>
      </w:pPr>
      <w:r>
        <w:rPr>
          <w:rFonts w:hint="eastAsia" w:ascii="仿宋" w:hAnsi="仿宋" w:eastAsia="仿宋"/>
          <w:sz w:val="32"/>
          <w:szCs w:val="32"/>
        </w:rPr>
        <w:t>2、办公费13.10元，其中财政拨款13.10元；</w:t>
      </w:r>
    </w:p>
    <w:p>
      <w:pPr>
        <w:ind w:firstLine="640" w:firstLineChars="200"/>
        <w:rPr>
          <w:rFonts w:ascii="仿宋" w:hAnsi="仿宋" w:eastAsia="仿宋"/>
          <w:sz w:val="32"/>
          <w:szCs w:val="32"/>
        </w:rPr>
      </w:pPr>
      <w:r>
        <w:rPr>
          <w:rFonts w:hint="eastAsia" w:ascii="仿宋" w:hAnsi="仿宋" w:eastAsia="仿宋"/>
          <w:sz w:val="32"/>
          <w:szCs w:val="32"/>
        </w:rPr>
        <w:t>3、印刷费3.16元，其中财政拨款3.16元；</w:t>
      </w:r>
    </w:p>
    <w:p>
      <w:pPr>
        <w:ind w:firstLine="640" w:firstLineChars="200"/>
        <w:rPr>
          <w:rFonts w:ascii="仿宋" w:hAnsi="仿宋" w:eastAsia="仿宋"/>
          <w:sz w:val="32"/>
          <w:szCs w:val="32"/>
        </w:rPr>
      </w:pPr>
      <w:r>
        <w:rPr>
          <w:rFonts w:hint="eastAsia" w:ascii="仿宋" w:hAnsi="仿宋" w:eastAsia="仿宋"/>
          <w:sz w:val="32"/>
          <w:szCs w:val="32"/>
        </w:rPr>
        <w:t>4、差旅费3.20元，其中财政拨款3.20元。</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预期目标已完成，2018年度财政收支未发生重大问题。项目的各个阶段严格按照财政标准执行，资金全部用于机构改革业务工作。为合法、合规使用项目资金，我办严格执行《新疆维吾尔自治区财务管理制度》《关于严格规范财政性资金拨付管理的通知》《新疆维吾尔自治区机关差旅管理实施办法》《中共中央 国务院关于印发〈党政机关厉行节约反对浪费条例〉的通知》《新疆维吾尔自治区财政国库集中支付管理办法》，同时受州党办和州财政局的监督，按照资金开支范围及支付进度由州财政局国库科、行政政法科集中支付，确保专款专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三、项目组织实施情况</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项目组织实施按全年工作任务进行分类管理，专人负责，集体分工协作。通过制定专项工作计划方案，确定工作目标，明确组织实施措施和策略，更有效地指导工作的正常有序开展。</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预算编制比较规范和细化,资金及时到位。经费支出的进度达到100%，进展情况良好。严格执行国家、自治区财政厅有关财务开支范围及开支标准，项目经费使用支出实行领导审批制度。项目经费开支必须有经办人、审核人，负责领导审批，由州财政局国库科、行政政法科集中支付，确保了项目资金专款专用，安全高效。</w:t>
      </w:r>
    </w:p>
    <w:p>
      <w:pPr>
        <w:spacing w:line="540" w:lineRule="exact"/>
        <w:ind w:firstLine="640"/>
        <w:rPr>
          <w:rStyle w:val="18"/>
          <w:rFonts w:ascii="仿宋" w:hAnsi="仿宋" w:eastAsia="仿宋"/>
        </w:rPr>
      </w:pPr>
      <w:r>
        <w:rPr>
          <w:rStyle w:val="18"/>
          <w:rFonts w:hint="eastAsia" w:ascii="仿宋" w:hAnsi="仿宋" w:eastAsia="仿宋"/>
          <w:b w:val="0"/>
          <w:spacing w:val="-4"/>
          <w:sz w:val="32"/>
          <w:szCs w:val="32"/>
        </w:rPr>
        <w:t>四、项目绩效情况</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（一）项目绩效目标完成情况分析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通过2018年为期一年的七一慰问，办公设备购置及考察调研经费项目的实施，较好地完成了项目2018年的预期目标，为我委完成2018年全年工作整体目标奠定了坚实的基础。</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(一)项目的经济性分析。2018年该项目预算数为22.15元，实际支出22.15元，在确保工作任务没有减少的情况下，预算控制和成本控制方面没有超出太多预算成本。</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（二）项目的效率性分析。根据我委对2018年的</w:t>
      </w:r>
      <w:r>
        <w:rPr>
          <w:rStyle w:val="18"/>
          <w:rFonts w:hint="eastAsia" w:ascii="仿宋" w:hAnsi="仿宋" w:eastAsia="仿宋"/>
          <w:b w:val="0"/>
          <w:spacing w:val="-4"/>
          <w:sz w:val="32"/>
          <w:szCs w:val="32"/>
          <w:lang w:eastAsia="zh-CN"/>
        </w:rPr>
        <w:t>工作部署</w:t>
      </w:r>
      <w:r>
        <w:rPr>
          <w:rStyle w:val="18"/>
          <w:rFonts w:hint="eastAsia" w:ascii="仿宋" w:hAnsi="仿宋" w:eastAsia="仿宋"/>
          <w:b w:val="0"/>
          <w:spacing w:val="-4"/>
          <w:sz w:val="32"/>
          <w:szCs w:val="32"/>
        </w:rPr>
        <w:t>的实际情况,该项目于2018 年12月底全面高质量实施完成。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(三)项目的效益性分析。本期项目实施完成后，各项指标均达到并超过预期效益目标。</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突出节点重点，加强党建领域监管，保证机构改革不出错误。</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(四)项目的可持续性分析。项目满足我委职责职能的运行需要。</w:t>
      </w:r>
      <w:r>
        <w:rPr>
          <w:rFonts w:hint="eastAsia" w:ascii="仿宋" w:hAnsi="仿宋" w:eastAsia="仿宋"/>
          <w:sz w:val="32"/>
        </w:rPr>
        <w:t>加强州直机关思想政治工作和精神文明建设，宣传、教育和引导干部职工进一步树立中国特色社会主义核心价值观，加强社会公德、职业道德、家庭美德和个人品德的宣传教育，提高干部职工文明素质，自觉为实现“中国梦”贡献心智和力量。</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项目绩效目标已完成</w:t>
      </w:r>
    </w:p>
    <w:p>
      <w:pPr>
        <w:numPr>
          <w:ilvl w:val="0"/>
          <w:numId w:val="1"/>
        </w:num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其他需要说明的问题</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（一）后续工作计划</w:t>
      </w:r>
    </w:p>
    <w:p>
      <w:pPr>
        <w:spacing w:line="540" w:lineRule="exact"/>
        <w:ind w:firstLine="624" w:firstLineChars="200"/>
        <w:rPr>
          <w:rFonts w:ascii="方正仿宋_GBK" w:hAnsi="仿宋" w:eastAsia="方正仿宋_GBK"/>
          <w:bCs/>
          <w:spacing w:val="-4"/>
          <w:sz w:val="32"/>
          <w:szCs w:val="32"/>
        </w:rPr>
      </w:pPr>
      <w:r>
        <w:rPr>
          <w:rFonts w:hint="eastAsia" w:ascii="方正仿宋_GBK" w:hAnsi="仿宋" w:eastAsia="方正仿宋_GBK"/>
          <w:spacing w:val="-4"/>
          <w:sz w:val="32"/>
          <w:szCs w:val="32"/>
        </w:rPr>
        <w:t>按照中央和自治区要求，进一步做好党建工作。</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（二）主要经验及做法、存在问题和建议</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于绩效自评是一项开展不久的工作任务，项目支出运行实践经验还欠缺，我委相关人员配齐还显不足，相关制度建设还有待进一步加强。现在的项目指标面临着物价、会务费等因素的影响，在编制预算与执行中，我委将尽可能地用有限的经费平衡每年工作任务，尽量做到科学、合理的分配。</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（三）其他</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无</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六、项目评价工作情况</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该项目从可持续发展角度而言，整体发挥的社会效益明显，极大的促进了机构改革工作的正常开展，经评价小组综合分析，项目平均分为93分，评价结果为优。</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《巴州直属机关工委财政项目支出绩效自评表》</w:t>
      </w:r>
    </w:p>
    <w:tbl>
      <w:tblPr>
        <w:tblStyle w:val="16"/>
        <w:tblpPr w:leftFromText="180" w:rightFromText="180" w:vertAnchor="text" w:horzAnchor="page" w:tblpX="1762" w:tblpY="51"/>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1053"/>
        <w:gridCol w:w="1887"/>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仿宋" w:hAnsi="仿宋" w:eastAsia="仿宋" w:cs="宋体"/>
                <w:bCs/>
                <w:kern w:val="0"/>
                <w:sz w:val="32"/>
                <w:szCs w:val="32"/>
              </w:rPr>
            </w:pPr>
            <w:r>
              <w:rPr>
                <w:rStyle w:val="18"/>
                <w:rFonts w:hint="eastAsia" w:ascii="仿宋" w:hAnsi="仿宋" w:eastAsia="仿宋"/>
                <w:spacing w:val="-4"/>
                <w:sz w:val="32"/>
                <w:szCs w:val="32"/>
              </w:rPr>
              <w:t>巴州直属机关工委财政项目支出绩效自评表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仿宋" w:hAnsi="仿宋" w:eastAsia="仿宋" w:cs="宋体"/>
                <w:kern w:val="0"/>
                <w:sz w:val="24"/>
              </w:rPr>
            </w:pPr>
            <w:r>
              <w:rPr>
                <w:rFonts w:hint="eastAsia" w:ascii="仿宋" w:hAnsi="仿宋" w:eastAsia="仿宋"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114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136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1080" w:type="dxa"/>
            <w:tcBorders>
              <w:top w:val="nil"/>
              <w:left w:val="nil"/>
              <w:bottom w:val="nil"/>
              <w:right w:val="nil"/>
            </w:tcBorders>
            <w:shd w:val="clear" w:color="auto" w:fill="auto"/>
            <w:vAlign w:val="center"/>
          </w:tcPr>
          <w:p>
            <w:pPr>
              <w:widowControl/>
              <w:rPr>
                <w:rFonts w:ascii="仿宋" w:hAnsi="仿宋" w:eastAsia="仿宋" w:cs="宋体"/>
                <w:kern w:val="0"/>
                <w:sz w:val="24"/>
              </w:rPr>
            </w:pPr>
          </w:p>
        </w:tc>
        <w:tc>
          <w:tcPr>
            <w:tcW w:w="1053"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1887"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c>
          <w:tcPr>
            <w:tcW w:w="1780" w:type="dxa"/>
            <w:tcBorders>
              <w:top w:val="nil"/>
              <w:left w:val="nil"/>
              <w:bottom w:val="nil"/>
              <w:right w:val="nil"/>
            </w:tcBorders>
            <w:shd w:val="clear" w:color="auto" w:fill="auto"/>
            <w:vAlign w:val="center"/>
          </w:tcPr>
          <w:p>
            <w:pPr>
              <w:widowControl/>
              <w:jc w:val="center"/>
              <w:rPr>
                <w:rFonts w:ascii="仿宋" w:hAnsi="仿宋" w:eastAsia="仿宋"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lang w:eastAsia="zh-CN"/>
              </w:rPr>
              <w:t>贯彻落实党的十九大精神</w:t>
            </w:r>
            <w:bookmarkStart w:id="0" w:name="_GoBack"/>
            <w:bookmarkEnd w:id="0"/>
            <w:r>
              <w:rPr>
                <w:rFonts w:hint="eastAsia" w:ascii="仿宋" w:hAnsi="仿宋" w:eastAsia="仿宋" w:cs="宋体"/>
                <w:kern w:val="0"/>
                <w:sz w:val="20"/>
                <w:szCs w:val="20"/>
              </w:rPr>
              <w:t>考察调研</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巴州直属机关工委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预算</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执行</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情况</w:t>
            </w:r>
            <w:r>
              <w:rPr>
                <w:rFonts w:hint="eastAsia" w:ascii="仿宋" w:hAnsi="仿宋" w:eastAsia="仿宋" w:cs="宋体"/>
                <w:kern w:val="0"/>
                <w:sz w:val="20"/>
                <w:szCs w:val="20"/>
              </w:rPr>
              <w:br w:type="textWrapping"/>
            </w:r>
            <w:r>
              <w:rPr>
                <w:rFonts w:hint="eastAsia" w:ascii="仿宋" w:hAnsi="仿宋" w:eastAsia="仿宋"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 xml:space="preserve"> 预算数：</w:t>
            </w:r>
          </w:p>
        </w:tc>
        <w:tc>
          <w:tcPr>
            <w:tcW w:w="2133" w:type="dxa"/>
            <w:gridSpan w:val="2"/>
            <w:tcBorders>
              <w:top w:val="single" w:color="auto" w:sz="4" w:space="0"/>
              <w:left w:val="nil"/>
              <w:bottom w:val="single" w:color="auto" w:sz="4" w:space="0"/>
              <w:right w:val="single" w:color="000000" w:sz="4" w:space="0"/>
            </w:tcBorders>
            <w:shd w:val="clear" w:color="auto" w:fill="auto"/>
            <w:vAlign w:val="center"/>
          </w:tcPr>
          <w:p>
            <w:pPr>
              <w:widowControl/>
              <w:rPr>
                <w:rFonts w:ascii="仿宋" w:hAnsi="仿宋" w:eastAsia="仿宋" w:cs="宋体"/>
                <w:kern w:val="0"/>
                <w:sz w:val="20"/>
                <w:szCs w:val="20"/>
              </w:rPr>
            </w:pPr>
            <w:r>
              <w:rPr>
                <w:rFonts w:hint="eastAsia" w:ascii="仿宋" w:hAnsi="仿宋" w:eastAsia="仿宋" w:cs="宋体"/>
                <w:kern w:val="0"/>
                <w:sz w:val="20"/>
                <w:szCs w:val="20"/>
              </w:rPr>
              <w:t>22.15万元</w:t>
            </w:r>
          </w:p>
        </w:tc>
        <w:tc>
          <w:tcPr>
            <w:tcW w:w="188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r>
              <w:rPr>
                <w:rFonts w:hint="eastAsia" w:ascii="仿宋" w:hAnsi="仿宋" w:eastAsia="仿宋"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 w:val="20"/>
                <w:szCs w:val="20"/>
              </w:rPr>
            </w:pPr>
            <w:r>
              <w:rPr>
                <w:rFonts w:hint="eastAsia" w:ascii="仿宋" w:hAnsi="仿宋" w:eastAsia="仿宋" w:cs="宋体"/>
                <w:kern w:val="0"/>
                <w:sz w:val="20"/>
                <w:szCs w:val="20"/>
              </w:rPr>
              <w:t>22.15万元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其中：财政拨款</w:t>
            </w:r>
          </w:p>
        </w:tc>
        <w:tc>
          <w:tcPr>
            <w:tcW w:w="2133" w:type="dxa"/>
            <w:gridSpan w:val="2"/>
            <w:tcBorders>
              <w:top w:val="single" w:color="auto" w:sz="4" w:space="0"/>
              <w:left w:val="nil"/>
              <w:bottom w:val="single" w:color="auto" w:sz="4" w:space="0"/>
              <w:right w:val="single" w:color="000000" w:sz="4" w:space="0"/>
            </w:tcBorders>
            <w:shd w:val="clear" w:color="auto" w:fill="auto"/>
            <w:vAlign w:val="center"/>
          </w:tcPr>
          <w:p>
            <w:pPr>
              <w:widowControl/>
              <w:rPr>
                <w:rFonts w:ascii="仿宋" w:hAnsi="仿宋" w:eastAsia="仿宋" w:cs="宋体"/>
                <w:kern w:val="0"/>
                <w:sz w:val="20"/>
                <w:szCs w:val="20"/>
              </w:rPr>
            </w:pPr>
            <w:r>
              <w:rPr>
                <w:rFonts w:hint="eastAsia" w:ascii="仿宋" w:hAnsi="仿宋" w:eastAsia="仿宋" w:cs="宋体"/>
                <w:kern w:val="0"/>
                <w:sz w:val="20"/>
                <w:szCs w:val="20"/>
              </w:rPr>
              <w:t>22.15万元</w:t>
            </w:r>
          </w:p>
        </w:tc>
        <w:tc>
          <w:tcPr>
            <w:tcW w:w="1887" w:type="dxa"/>
            <w:tcBorders>
              <w:top w:val="nil"/>
              <w:left w:val="nil"/>
              <w:bottom w:val="nil"/>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 w:val="20"/>
                <w:szCs w:val="20"/>
              </w:rPr>
            </w:pPr>
            <w:r>
              <w:rPr>
                <w:rFonts w:hint="eastAsia" w:ascii="仿宋" w:hAnsi="仿宋" w:eastAsia="仿宋" w:cs="宋体"/>
                <w:kern w:val="0"/>
                <w:sz w:val="20"/>
                <w:szCs w:val="20"/>
              </w:rPr>
              <w:t>22.15万元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其他资金</w:t>
            </w:r>
          </w:p>
        </w:tc>
        <w:tc>
          <w:tcPr>
            <w:tcW w:w="213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　</w:t>
            </w:r>
          </w:p>
        </w:tc>
        <w:tc>
          <w:tcPr>
            <w:tcW w:w="1887" w:type="dxa"/>
            <w:tcBorders>
              <w:top w:val="single" w:color="auto" w:sz="4" w:space="0"/>
              <w:left w:val="nil"/>
              <w:bottom w:val="nil"/>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仿宋" w:hAnsi="仿宋" w:eastAsia="仿宋" w:cs="宋体"/>
                <w:kern w:val="0"/>
                <w:sz w:val="20"/>
                <w:szCs w:val="20"/>
              </w:rPr>
            </w:pPr>
            <w:r>
              <w:rPr>
                <w:rFonts w:hint="eastAsia" w:ascii="仿宋" w:hAnsi="仿宋" w:eastAsia="仿宋"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年度</w:t>
            </w:r>
            <w:r>
              <w:rPr>
                <w:rFonts w:hint="eastAsia" w:ascii="仿宋" w:hAnsi="仿宋" w:eastAsia="仿宋" w:cs="宋体"/>
                <w:kern w:val="0"/>
                <w:sz w:val="20"/>
                <w:szCs w:val="20"/>
              </w:rPr>
              <w:br w:type="textWrapping"/>
            </w:r>
            <w:r>
              <w:rPr>
                <w:rFonts w:hint="eastAsia" w:ascii="仿宋" w:hAnsi="仿宋" w:eastAsia="仿宋" w:cs="宋体"/>
                <w:kern w:val="0"/>
                <w:sz w:val="20"/>
                <w:szCs w:val="20"/>
              </w:rPr>
              <w:t>目标</w:t>
            </w:r>
            <w:r>
              <w:rPr>
                <w:rFonts w:hint="eastAsia" w:ascii="仿宋" w:hAnsi="仿宋" w:eastAsia="仿宋" w:cs="宋体"/>
                <w:kern w:val="0"/>
                <w:sz w:val="20"/>
                <w:szCs w:val="20"/>
              </w:rPr>
              <w:br w:type="textWrapping"/>
            </w:r>
            <w:r>
              <w:rPr>
                <w:rFonts w:hint="eastAsia" w:ascii="仿宋" w:hAnsi="仿宋" w:eastAsia="仿宋" w:cs="宋体"/>
                <w:kern w:val="0"/>
                <w:sz w:val="20"/>
                <w:szCs w:val="20"/>
              </w:rPr>
              <w:t>完成</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情况</w:t>
            </w:r>
          </w:p>
        </w:tc>
        <w:tc>
          <w:tcPr>
            <w:tcW w:w="463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预期目标</w:t>
            </w:r>
          </w:p>
        </w:tc>
        <w:tc>
          <w:tcPr>
            <w:tcW w:w="366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4633"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仿宋" w:hAnsi="仿宋" w:eastAsia="仿宋" w:cs="宋体"/>
                <w:kern w:val="0"/>
                <w:sz w:val="20"/>
                <w:szCs w:val="20"/>
              </w:rPr>
            </w:pPr>
            <w:r>
              <w:rPr>
                <w:rFonts w:hint="eastAsia" w:ascii="仿宋" w:hAnsi="仿宋" w:eastAsia="仿宋" w:cs="宋体"/>
                <w:kern w:val="0"/>
                <w:sz w:val="20"/>
                <w:szCs w:val="20"/>
              </w:rPr>
              <w:t>　贯彻落实中央</w:t>
            </w:r>
            <w:r>
              <w:rPr>
                <w:rFonts w:hint="eastAsia" w:ascii="仿宋" w:hAnsi="仿宋" w:eastAsia="仿宋" w:cs="宋体"/>
                <w:kern w:val="0"/>
                <w:sz w:val="20"/>
                <w:szCs w:val="20"/>
                <w:lang w:eastAsia="zh-CN"/>
              </w:rPr>
              <w:t>《中国共产党党和国家机关基层组织工作条例》</w:t>
            </w:r>
            <w:r>
              <w:rPr>
                <w:rFonts w:hint="eastAsia" w:ascii="仿宋" w:hAnsi="仿宋" w:eastAsia="仿宋" w:cs="宋体"/>
                <w:kern w:val="0"/>
                <w:sz w:val="20"/>
                <w:szCs w:val="20"/>
              </w:rPr>
              <w:t>和自治区《实施〈</w:t>
            </w:r>
            <w:r>
              <w:rPr>
                <w:rFonts w:hint="eastAsia" w:ascii="仿宋" w:hAnsi="仿宋" w:eastAsia="仿宋" w:cs="宋体"/>
                <w:kern w:val="0"/>
                <w:sz w:val="20"/>
                <w:szCs w:val="20"/>
                <w:lang w:eastAsia="zh-CN"/>
              </w:rPr>
              <w:t>中国共产党党和国家机关基层组织工作条例</w:t>
            </w:r>
            <w:r>
              <w:rPr>
                <w:rFonts w:hint="eastAsia" w:ascii="仿宋" w:hAnsi="仿宋" w:eastAsia="仿宋" w:cs="宋体"/>
                <w:kern w:val="0"/>
                <w:sz w:val="20"/>
                <w:szCs w:val="20"/>
              </w:rPr>
              <w:t>〉办法》、自治区《关于进一步加强和改进机关党建设的意见》、自治州《关于进一步加强和改进机关党的建设的实施意见》有关要求，进一步推动机关党务干部培训工作的科学化、制度化、规范化，将机关党务干部纳入自治州干部教育培训主体班次，依托州党校培训基地，不断丰富培训内容、改进培训方式、拓宽培训渠道，培养造就高素质党务干部队伍。</w:t>
            </w:r>
          </w:p>
        </w:tc>
        <w:tc>
          <w:tcPr>
            <w:tcW w:w="3667"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仿宋" w:hAnsi="仿宋" w:eastAsia="仿宋" w:cs="宋体"/>
                <w:kern w:val="0"/>
                <w:sz w:val="20"/>
                <w:szCs w:val="20"/>
              </w:rPr>
            </w:pPr>
            <w:r>
              <w:rPr>
                <w:rFonts w:hint="eastAsia" w:ascii="仿宋" w:hAnsi="仿宋" w:eastAsia="仿宋" w:cs="宋体"/>
                <w:kern w:val="0"/>
                <w:sz w:val="20"/>
                <w:szCs w:val="20"/>
              </w:rPr>
              <w:t>推动机关党务干部培训工作的科学化、制度化、规范化，将机关党务干部纳入自治州干部教育培训主体班次，依托州党校培训基地，不断丰富培训内容、改进培训方式、拓宽培训渠道，培养造就高素质党务干部队伍。</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年度</w:t>
            </w:r>
            <w:r>
              <w:rPr>
                <w:rFonts w:hint="eastAsia" w:ascii="仿宋" w:hAnsi="仿宋" w:eastAsia="仿宋" w:cs="宋体"/>
                <w:kern w:val="0"/>
                <w:sz w:val="20"/>
                <w:szCs w:val="20"/>
              </w:rPr>
              <w:br w:type="textWrapping"/>
            </w:r>
            <w:r>
              <w:rPr>
                <w:rFonts w:hint="eastAsia" w:ascii="仿宋" w:hAnsi="仿宋" w:eastAsia="仿宋" w:cs="宋体"/>
                <w:kern w:val="0"/>
                <w:sz w:val="20"/>
                <w:szCs w:val="20"/>
              </w:rPr>
              <w:t>绩效</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指标</w:t>
            </w:r>
            <w:r>
              <w:rPr>
                <w:rFonts w:hint="eastAsia" w:ascii="仿宋" w:hAnsi="仿宋" w:eastAsia="仿宋" w:cs="宋体"/>
                <w:kern w:val="0"/>
                <w:sz w:val="20"/>
                <w:szCs w:val="20"/>
              </w:rPr>
              <w:br w:type="textWrapping"/>
            </w:r>
            <w:r>
              <w:rPr>
                <w:rFonts w:hint="eastAsia" w:ascii="仿宋" w:hAnsi="仿宋" w:eastAsia="仿宋" w:cs="宋体"/>
                <w:kern w:val="0"/>
                <w:sz w:val="20"/>
                <w:szCs w:val="20"/>
              </w:rPr>
              <w:t>完成</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情况</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二级指标</w:t>
            </w: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三级指标</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项目完成指标</w:t>
            </w: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数量指标</w:t>
            </w: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指标1：党务干部培训人数</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=80人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80人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指标2：发展对象培训人数</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=200人</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200人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指标3：印刷支部手册、党费缴款单</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≥3批次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3批次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指标4：赴河北和自治区党校培训</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指标5：办公设备购置</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≥2批次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2批次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质量指标</w:t>
            </w: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指标1：计划班次学员到训率，</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指标2：班次教学培训合格率</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时效指标</w:t>
            </w: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指标1：培训完成时间</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2018年12月31日前</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2018年12月31日前</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成本指标</w:t>
            </w: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指标1：聘请教师、书本等费用</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≤13.10万元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13.10万元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p>
        </w:tc>
        <w:tc>
          <w:tcPr>
            <w:tcW w:w="1360" w:type="dxa"/>
            <w:vMerge w:val="continue"/>
            <w:tcBorders>
              <w:top w:val="single" w:color="auto" w:sz="4" w:space="0"/>
              <w:left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指标2：宣传资料制作费</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≤3.16万元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3.16万元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指标3：考察调研经费</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≤3.2万元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3.2万元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p>
        </w:tc>
        <w:tc>
          <w:tcPr>
            <w:tcW w:w="136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指标4：购置办公设备经费</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≤2.69万元</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2.69万元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restart"/>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项目效果指标</w:t>
            </w: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社会效益</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指标</w:t>
            </w: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指标1：党和政府形象</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得到提升</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得到提升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0"/>
                <w:szCs w:val="20"/>
              </w:rPr>
            </w:pPr>
          </w:p>
        </w:tc>
        <w:tc>
          <w:tcPr>
            <w:tcW w:w="1360"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满意度</w:t>
            </w:r>
            <w:r>
              <w:rPr>
                <w:rFonts w:hint="eastAsia" w:ascii="仿宋" w:hAnsi="仿宋" w:eastAsia="仿宋" w:cs="宋体"/>
                <w:kern w:val="0"/>
                <w:sz w:val="20"/>
                <w:szCs w:val="20"/>
              </w:rPr>
              <w:br w:type="textWrapping"/>
            </w:r>
            <w:r>
              <w:rPr>
                <w:rFonts w:hint="eastAsia" w:ascii="仿宋" w:hAnsi="仿宋" w:eastAsia="仿宋"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满意度指标</w:t>
            </w:r>
          </w:p>
        </w:tc>
        <w:tc>
          <w:tcPr>
            <w:tcW w:w="213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基层党组织和党务干部满意度</w:t>
            </w:r>
          </w:p>
        </w:tc>
        <w:tc>
          <w:tcPr>
            <w:tcW w:w="188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≥95%</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0"/>
                <w:szCs w:val="20"/>
              </w:rPr>
            </w:pPr>
            <w:r>
              <w:rPr>
                <w:rFonts w:hint="eastAsia" w:ascii="仿宋" w:hAnsi="仿宋" w:eastAsia="仿宋" w:cs="宋体"/>
                <w:kern w:val="0"/>
                <w:sz w:val="20"/>
                <w:szCs w:val="20"/>
              </w:rPr>
              <w:t>95%</w:t>
            </w:r>
          </w:p>
        </w:tc>
      </w:tr>
    </w:tbl>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1" w:fontKey="{78FB1039-91C2-4318-AF9E-FF8173A7C5E8}"/>
  </w:font>
  <w:font w:name="仿宋_GB2312">
    <w:altName w:val="仿宋"/>
    <w:panose1 w:val="00000000000000000000"/>
    <w:charset w:val="86"/>
    <w:family w:val="modern"/>
    <w:pitch w:val="default"/>
    <w:sig w:usb0="00000000" w:usb1="00000000" w:usb2="00000000" w:usb3="00000000" w:csb0="00040000" w:csb1="00000000"/>
  </w:font>
  <w:font w:name="方正仿宋_GBK">
    <w:panose1 w:val="02000000000000000000"/>
    <w:charset w:val="86"/>
    <w:family w:val="script"/>
    <w:pitch w:val="default"/>
    <w:sig w:usb0="A00002BF" w:usb1="38CF7CFA" w:usb2="00082016" w:usb3="00000000" w:csb0="00040001" w:csb1="00000000"/>
    <w:embedRegular r:id="rId2" w:fontKey="{8208CED8-93C0-4BC0-AE3F-B09C2FC2E3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2D1D40"/>
    <w:multiLevelType w:val="singleLevel"/>
    <w:tmpl w:val="6D2D1D4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6465"/>
    <w:rsid w:val="000D4DFE"/>
    <w:rsid w:val="00121AE4"/>
    <w:rsid w:val="00146AAD"/>
    <w:rsid w:val="001B3A40"/>
    <w:rsid w:val="002574E5"/>
    <w:rsid w:val="0034254D"/>
    <w:rsid w:val="003908B7"/>
    <w:rsid w:val="004366A8"/>
    <w:rsid w:val="00496FD6"/>
    <w:rsid w:val="004A512A"/>
    <w:rsid w:val="004F2738"/>
    <w:rsid w:val="00502BA7"/>
    <w:rsid w:val="005162F1"/>
    <w:rsid w:val="00535153"/>
    <w:rsid w:val="00554F82"/>
    <w:rsid w:val="00561400"/>
    <w:rsid w:val="0056390D"/>
    <w:rsid w:val="00564696"/>
    <w:rsid w:val="005719B0"/>
    <w:rsid w:val="005B48BA"/>
    <w:rsid w:val="005D10D6"/>
    <w:rsid w:val="00613B88"/>
    <w:rsid w:val="0062206C"/>
    <w:rsid w:val="00672071"/>
    <w:rsid w:val="006E405E"/>
    <w:rsid w:val="006E6BB4"/>
    <w:rsid w:val="00714ECE"/>
    <w:rsid w:val="00744A84"/>
    <w:rsid w:val="00855E3A"/>
    <w:rsid w:val="00922CB9"/>
    <w:rsid w:val="009E5CD9"/>
    <w:rsid w:val="00A13D9D"/>
    <w:rsid w:val="00A26421"/>
    <w:rsid w:val="00A4293B"/>
    <w:rsid w:val="00A67D50"/>
    <w:rsid w:val="00A8691A"/>
    <w:rsid w:val="00AC1946"/>
    <w:rsid w:val="00B11CFC"/>
    <w:rsid w:val="00B40063"/>
    <w:rsid w:val="00B41F61"/>
    <w:rsid w:val="00BA21C9"/>
    <w:rsid w:val="00BA46E6"/>
    <w:rsid w:val="00BD25DB"/>
    <w:rsid w:val="00BF69C4"/>
    <w:rsid w:val="00C003A2"/>
    <w:rsid w:val="00C03928"/>
    <w:rsid w:val="00C56C72"/>
    <w:rsid w:val="00CA6457"/>
    <w:rsid w:val="00D17F2E"/>
    <w:rsid w:val="00D30354"/>
    <w:rsid w:val="00DA4D3A"/>
    <w:rsid w:val="00DF42A0"/>
    <w:rsid w:val="00E769FE"/>
    <w:rsid w:val="00EA2CBE"/>
    <w:rsid w:val="00EB6A87"/>
    <w:rsid w:val="00F040B6"/>
    <w:rsid w:val="00F317B3"/>
    <w:rsid w:val="00F32FEE"/>
    <w:rsid w:val="00FB10BB"/>
    <w:rsid w:val="0807503C"/>
    <w:rsid w:val="10AF6DD4"/>
    <w:rsid w:val="1DFA450F"/>
    <w:rsid w:val="25067178"/>
    <w:rsid w:val="2C9654DB"/>
    <w:rsid w:val="2F850252"/>
    <w:rsid w:val="36FA11EF"/>
    <w:rsid w:val="3D6F5C5F"/>
    <w:rsid w:val="3EBE5415"/>
    <w:rsid w:val="411853C6"/>
    <w:rsid w:val="44BD222E"/>
    <w:rsid w:val="4769434A"/>
    <w:rsid w:val="563F7F8F"/>
    <w:rsid w:val="57877B6B"/>
    <w:rsid w:val="58EB014C"/>
    <w:rsid w:val="5B8B43A4"/>
    <w:rsid w:val="6BBA1185"/>
    <w:rsid w:val="769854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Company</Company>
  <Pages>1</Pages>
  <Words>519</Words>
  <Characters>2962</Characters>
  <Lines>24</Lines>
  <Paragraphs>6</Paragraphs>
  <TotalTime>75</TotalTime>
  <ScaleCrop>false</ScaleCrop>
  <LinksUpToDate>false</LinksUpToDate>
  <CharactersWithSpaces>3475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2023-12-18T10:10:32Z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A49D3A70AFC94FEA821D9027107EBC97_12</vt:lpwstr>
  </property>
</Properties>
</file>