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eastAsia="仿宋"/>
          <w:kern w:val="0"/>
          <w:sz w:val="32"/>
          <w:szCs w:val="32"/>
        </w:rPr>
      </w:pPr>
      <w:r>
        <w:rPr>
          <w:rFonts w:eastAsia="仿宋"/>
          <w:kern w:val="0"/>
          <w:sz w:val="32"/>
          <w:szCs w:val="32"/>
        </w:rPr>
        <w:t>附件2：</w:t>
      </w: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b/>
          <w:kern w:val="0"/>
          <w:sz w:val="48"/>
          <w:szCs w:val="48"/>
        </w:rPr>
      </w:pPr>
      <w:r>
        <w:rPr>
          <w:rFonts w:eastAsia="方正小标宋_GBK"/>
          <w:b/>
          <w:kern w:val="0"/>
          <w:sz w:val="48"/>
          <w:szCs w:val="48"/>
        </w:rPr>
        <w:t>巴音郭楞职业技术学院</w:t>
      </w:r>
    </w:p>
    <w:p>
      <w:pPr>
        <w:spacing w:line="540" w:lineRule="exact"/>
        <w:jc w:val="center"/>
        <w:rPr>
          <w:rFonts w:eastAsia="方正小标宋_GBK"/>
          <w:b/>
          <w:kern w:val="0"/>
          <w:sz w:val="48"/>
          <w:szCs w:val="48"/>
        </w:rPr>
      </w:pPr>
      <w:r>
        <w:rPr>
          <w:rFonts w:eastAsia="方正小标宋_GBK"/>
          <w:b/>
          <w:kern w:val="0"/>
          <w:sz w:val="48"/>
          <w:szCs w:val="48"/>
        </w:rPr>
        <w:t>财政项目支出绩效自评报告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（2018年度）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jc w:val="left"/>
        <w:rPr>
          <w:rFonts w:eastAsia="仿宋_GB2312"/>
          <w:kern w:val="0"/>
          <w:sz w:val="36"/>
          <w:szCs w:val="36"/>
        </w:rPr>
      </w:pPr>
      <w:r>
        <w:rPr>
          <w:rFonts w:eastAsia="仿宋_GB2312"/>
          <w:kern w:val="0"/>
          <w:sz w:val="36"/>
          <w:szCs w:val="36"/>
        </w:rPr>
        <w:t>项目名称：技能大赛</w:t>
      </w:r>
    </w:p>
    <w:p>
      <w:pPr>
        <w:spacing w:line="700" w:lineRule="exact"/>
        <w:jc w:val="left"/>
        <w:rPr>
          <w:rFonts w:eastAsia="仿宋_GB2312"/>
          <w:kern w:val="0"/>
          <w:sz w:val="36"/>
          <w:szCs w:val="36"/>
        </w:rPr>
      </w:pPr>
      <w:r>
        <w:rPr>
          <w:rFonts w:eastAsia="仿宋_GB2312"/>
          <w:kern w:val="0"/>
          <w:sz w:val="36"/>
          <w:szCs w:val="36"/>
        </w:rPr>
        <w:t>实施单位（公章）：巴音郭楞职业技术学院</w:t>
      </w:r>
    </w:p>
    <w:p>
      <w:pPr>
        <w:spacing w:line="700" w:lineRule="exact"/>
        <w:ind w:firstLine="849" w:firstLineChars="236"/>
        <w:jc w:val="left"/>
        <w:rPr>
          <w:rFonts w:eastAsia="仿宋_GB2312"/>
          <w:kern w:val="0"/>
          <w:sz w:val="36"/>
          <w:szCs w:val="36"/>
        </w:rPr>
      </w:pPr>
      <w:r>
        <w:rPr>
          <w:rFonts w:eastAsia="仿宋_GB2312"/>
          <w:kern w:val="0"/>
          <w:sz w:val="36"/>
          <w:szCs w:val="36"/>
        </w:rPr>
        <w:t>主管部门（公章）：巴州教育局</w:t>
      </w:r>
    </w:p>
    <w:p>
      <w:pPr>
        <w:spacing w:line="700" w:lineRule="exact"/>
        <w:ind w:firstLine="849" w:firstLineChars="236"/>
        <w:jc w:val="left"/>
        <w:rPr>
          <w:rFonts w:eastAsia="仿宋_GB2312"/>
          <w:kern w:val="0"/>
          <w:sz w:val="36"/>
          <w:szCs w:val="36"/>
        </w:rPr>
      </w:pPr>
      <w:r>
        <w:rPr>
          <w:rFonts w:eastAsia="仿宋_GB2312"/>
          <w:kern w:val="0"/>
          <w:sz w:val="36"/>
          <w:szCs w:val="36"/>
        </w:rPr>
        <w:t>项目负责人（签章）：孙启安</w:t>
      </w:r>
    </w:p>
    <w:p>
      <w:pPr>
        <w:spacing w:line="700" w:lineRule="exact"/>
        <w:ind w:firstLine="849" w:firstLineChars="236"/>
        <w:jc w:val="left"/>
        <w:rPr>
          <w:rFonts w:eastAsia="仿宋_GB2312"/>
          <w:kern w:val="0"/>
          <w:sz w:val="36"/>
          <w:szCs w:val="36"/>
        </w:rPr>
      </w:pPr>
      <w:r>
        <w:rPr>
          <w:rFonts w:eastAsia="仿宋_GB2312"/>
          <w:kern w:val="0"/>
          <w:sz w:val="36"/>
          <w:szCs w:val="36"/>
        </w:rPr>
        <w:t>填报时间：2019年1月24日</w:t>
      </w:r>
    </w:p>
    <w:p>
      <w:pPr>
        <w:spacing w:line="540" w:lineRule="exact"/>
        <w:jc w:val="center"/>
        <w:rPr>
          <w:rFonts w:eastAsia="仿宋_GB2312"/>
          <w:kern w:val="0"/>
          <w:sz w:val="30"/>
          <w:szCs w:val="30"/>
        </w:rPr>
      </w:pPr>
    </w:p>
    <w:p>
      <w:pPr>
        <w:spacing w:line="540" w:lineRule="exact"/>
        <w:rPr>
          <w:rStyle w:val="19"/>
          <w:rFonts w:eastAsia="黑体"/>
          <w:b w:val="0"/>
          <w:spacing w:val="-4"/>
          <w:sz w:val="32"/>
          <w:szCs w:val="32"/>
        </w:rPr>
      </w:pPr>
    </w:p>
    <w:p>
      <w:pPr>
        <w:spacing w:line="540" w:lineRule="exact"/>
        <w:ind w:firstLine="640"/>
        <w:rPr>
          <w:rStyle w:val="19"/>
          <w:rFonts w:eastAsia="黑体"/>
          <w:b w:val="0"/>
          <w:spacing w:val="-4"/>
          <w:sz w:val="32"/>
          <w:szCs w:val="32"/>
        </w:rPr>
      </w:pPr>
      <w:r>
        <w:rPr>
          <w:rStyle w:val="19"/>
          <w:rFonts w:eastAsia="黑体"/>
          <w:b w:val="0"/>
          <w:spacing w:val="-4"/>
          <w:sz w:val="32"/>
          <w:szCs w:val="32"/>
        </w:rPr>
        <w:t>一、项目概况</w:t>
      </w:r>
    </w:p>
    <w:p>
      <w:pPr>
        <w:spacing w:line="540" w:lineRule="exact"/>
        <w:ind w:firstLine="567"/>
        <w:rPr>
          <w:rStyle w:val="19"/>
          <w:rFonts w:eastAsia="楷体"/>
          <w:spacing w:val="-4"/>
          <w:sz w:val="32"/>
          <w:szCs w:val="32"/>
        </w:rPr>
      </w:pPr>
      <w:r>
        <w:rPr>
          <w:rStyle w:val="19"/>
          <w:rFonts w:eastAsia="楷体"/>
          <w:spacing w:val="-4"/>
          <w:sz w:val="32"/>
          <w:szCs w:val="32"/>
        </w:rPr>
        <w:t>（一）项目单位基本情况</w:t>
      </w:r>
    </w:p>
    <w:p>
      <w:pPr>
        <w:spacing w:line="540" w:lineRule="exact"/>
        <w:ind w:firstLine="640"/>
        <w:rPr>
          <w:rStyle w:val="19"/>
          <w:rFonts w:eastAsia="仿宋"/>
          <w:b w:val="0"/>
          <w:spacing w:val="-4"/>
          <w:sz w:val="32"/>
          <w:szCs w:val="32"/>
        </w:rPr>
      </w:pPr>
      <w:r>
        <w:rPr>
          <w:rStyle w:val="19"/>
          <w:rFonts w:eastAsia="仿宋"/>
          <w:b w:val="0"/>
          <w:spacing w:val="-4"/>
          <w:sz w:val="32"/>
          <w:szCs w:val="32"/>
        </w:rPr>
        <w:t>巴音郭楞职业技术学院成立于2002年2月。2007年又挂牌成立了“巴音郭楞技师培训学院”，与职业技术学院实行“两块牌子，一套班子”的管理运行机制。2010年，“巴音郭楞技工学校”恢复挂牌。2016年9月，学院与河北师范大学联合举办的“本科专业试点班”正式开班。学院初步形成了高职教育为主体，本科教育、中职（技工）教育、职业培训、成人继续教育并存的终身教育体系。目前学院设置了石油化工、冶金与资源、机械电气工程、生物工程、交通工程、电子信息工程、传媒、纺织服装、商务经济管理、公共教育等12个二级学院，开设中职专业55个、高职专业53个、本科试点专业4个。</w:t>
      </w:r>
    </w:p>
    <w:p>
      <w:pPr>
        <w:spacing w:line="540" w:lineRule="exact"/>
        <w:ind w:firstLine="567" w:firstLineChars="181"/>
        <w:rPr>
          <w:rStyle w:val="19"/>
          <w:rFonts w:eastAsia="楷体"/>
          <w:spacing w:val="-4"/>
          <w:sz w:val="32"/>
          <w:szCs w:val="32"/>
        </w:rPr>
      </w:pPr>
      <w:r>
        <w:rPr>
          <w:rStyle w:val="19"/>
          <w:rFonts w:eastAsia="楷体"/>
          <w:spacing w:val="-4"/>
          <w:sz w:val="32"/>
          <w:szCs w:val="32"/>
        </w:rPr>
        <w:t>（二）项目预算绩效目标设定情况</w:t>
      </w:r>
    </w:p>
    <w:p>
      <w:pPr>
        <w:spacing w:line="540" w:lineRule="exact"/>
        <w:ind w:firstLine="640"/>
        <w:rPr>
          <w:rStyle w:val="19"/>
          <w:rFonts w:eastAsia="仿宋"/>
          <w:b w:val="0"/>
          <w:spacing w:val="-4"/>
          <w:sz w:val="32"/>
          <w:szCs w:val="32"/>
        </w:rPr>
      </w:pPr>
      <w:r>
        <w:rPr>
          <w:rStyle w:val="19"/>
          <w:rFonts w:eastAsia="仿宋"/>
          <w:b w:val="0"/>
          <w:spacing w:val="-4"/>
          <w:sz w:val="32"/>
          <w:szCs w:val="32"/>
        </w:rPr>
        <w:t>该项目是为了深入贯彻落实</w:t>
      </w:r>
      <w:r>
        <w:rPr>
          <w:rStyle w:val="19"/>
          <w:rFonts w:hint="eastAsia" w:eastAsia="仿宋"/>
          <w:b w:val="0"/>
          <w:spacing w:val="-4"/>
          <w:sz w:val="32"/>
          <w:szCs w:val="32"/>
          <w:lang w:val="en-US" w:eastAsia="zh-CN"/>
        </w:rPr>
        <w:t>党的</w:t>
      </w:r>
      <w:r>
        <w:rPr>
          <w:rStyle w:val="19"/>
          <w:rFonts w:eastAsia="仿宋"/>
          <w:b w:val="0"/>
          <w:spacing w:val="-4"/>
          <w:sz w:val="32"/>
          <w:szCs w:val="32"/>
        </w:rPr>
        <w:t>十九大</w:t>
      </w:r>
      <w:bookmarkStart w:id="0" w:name="_GoBack"/>
      <w:bookmarkEnd w:id="0"/>
      <w:r>
        <w:rPr>
          <w:rStyle w:val="19"/>
          <w:rFonts w:eastAsia="仿宋"/>
          <w:b w:val="0"/>
          <w:spacing w:val="-4"/>
          <w:sz w:val="32"/>
          <w:szCs w:val="32"/>
        </w:rPr>
        <w:t>精神，完善职业教育和培训体系，深化产教融合、校企合作。贯彻落实第六次全国对口支援新疆工作会议和自治区第九次党代会精神，加快发展新疆现代职业教育</w:t>
      </w:r>
      <w:r>
        <w:rPr>
          <w:rStyle w:val="19"/>
          <w:rFonts w:hint="eastAsia" w:eastAsia="仿宋"/>
          <w:b w:val="0"/>
          <w:spacing w:val="-4"/>
          <w:sz w:val="32"/>
          <w:szCs w:val="32"/>
        </w:rPr>
        <w:t>，学院紧扣产教融合教育内容，积极参加自治区及国家举报的职业学院技能竞赛，本次</w:t>
      </w:r>
      <w:r>
        <w:rPr>
          <w:rStyle w:val="19"/>
          <w:rFonts w:eastAsia="仿宋"/>
          <w:b w:val="0"/>
          <w:spacing w:val="-4"/>
          <w:sz w:val="32"/>
          <w:szCs w:val="32"/>
        </w:rPr>
        <w:t>职业技能大赛经费预算4</w:t>
      </w:r>
      <w:r>
        <w:rPr>
          <w:rStyle w:val="19"/>
          <w:rFonts w:hint="eastAsia" w:eastAsia="仿宋"/>
          <w:b w:val="0"/>
          <w:spacing w:val="-4"/>
          <w:sz w:val="32"/>
          <w:szCs w:val="32"/>
        </w:rPr>
        <w:t>4.66</w:t>
      </w:r>
      <w:r>
        <w:rPr>
          <w:rStyle w:val="19"/>
          <w:rFonts w:eastAsia="仿宋"/>
          <w:b w:val="0"/>
          <w:spacing w:val="-4"/>
          <w:sz w:val="32"/>
          <w:szCs w:val="32"/>
        </w:rPr>
        <w:t>万元为本级财政专项资金，实际支付44.66万元，不足资金主要靠本级预算差旅费补足，技能大赛经费的支出范围主要用于赛项筹备、组织竞赛所发生的比赛事务、培训、购买专用材料、租赁、差旅、会议、赛事用餐（校内成本）等直接开支。</w:t>
      </w:r>
    </w:p>
    <w:p>
      <w:pPr>
        <w:spacing w:line="540" w:lineRule="exact"/>
        <w:ind w:firstLine="640"/>
        <w:rPr>
          <w:rStyle w:val="19"/>
          <w:rFonts w:eastAsia="黑体"/>
          <w:b w:val="0"/>
          <w:spacing w:val="-4"/>
          <w:sz w:val="32"/>
          <w:szCs w:val="32"/>
        </w:rPr>
      </w:pPr>
      <w:r>
        <w:rPr>
          <w:rStyle w:val="19"/>
          <w:rFonts w:eastAsia="黑体"/>
          <w:b w:val="0"/>
          <w:spacing w:val="-4"/>
          <w:sz w:val="32"/>
          <w:szCs w:val="32"/>
        </w:rPr>
        <w:t>二、项目资金使用及管理情况</w:t>
      </w:r>
    </w:p>
    <w:p>
      <w:pPr>
        <w:spacing w:line="540" w:lineRule="exact"/>
        <w:ind w:firstLine="567" w:firstLineChars="181"/>
        <w:rPr>
          <w:rStyle w:val="19"/>
          <w:rFonts w:eastAsia="楷体"/>
          <w:spacing w:val="-4"/>
          <w:sz w:val="32"/>
          <w:szCs w:val="32"/>
        </w:rPr>
      </w:pPr>
      <w:r>
        <w:rPr>
          <w:rStyle w:val="19"/>
          <w:rFonts w:eastAsia="楷体"/>
          <w:spacing w:val="-4"/>
          <w:sz w:val="32"/>
          <w:szCs w:val="32"/>
        </w:rPr>
        <w:t>（一）项目资金安排落实、总投入等情况分析</w:t>
      </w:r>
    </w:p>
    <w:p>
      <w:pPr>
        <w:spacing w:line="540" w:lineRule="exact"/>
        <w:ind w:firstLine="640"/>
        <w:rPr>
          <w:rStyle w:val="19"/>
          <w:rFonts w:eastAsia="仿宋"/>
          <w:b w:val="0"/>
          <w:spacing w:val="-4"/>
          <w:sz w:val="32"/>
          <w:szCs w:val="32"/>
        </w:rPr>
      </w:pPr>
      <w:r>
        <w:rPr>
          <w:rStyle w:val="19"/>
          <w:rFonts w:eastAsia="仿宋"/>
          <w:b w:val="0"/>
          <w:spacing w:val="-4"/>
          <w:sz w:val="32"/>
          <w:szCs w:val="32"/>
        </w:rPr>
        <w:t>职业技能大赛经费预算4</w:t>
      </w:r>
      <w:r>
        <w:rPr>
          <w:rStyle w:val="19"/>
          <w:rFonts w:hint="eastAsia" w:eastAsia="仿宋"/>
          <w:b w:val="0"/>
          <w:spacing w:val="-4"/>
          <w:sz w:val="32"/>
          <w:szCs w:val="32"/>
        </w:rPr>
        <w:t>4.66</w:t>
      </w:r>
      <w:r>
        <w:rPr>
          <w:rStyle w:val="19"/>
          <w:rFonts w:eastAsia="仿宋"/>
          <w:b w:val="0"/>
          <w:spacing w:val="-4"/>
          <w:sz w:val="32"/>
          <w:szCs w:val="32"/>
        </w:rPr>
        <w:t>万元，实际支付44.66万元，技能大赛经费的支出范围主要用于赛项筹备、组织竞赛所发生的比赛事务、培训、购买专用材料、租赁、差旅、会议、赛事用餐（校内成本）等直接开支。支出中最大部分为差旅费。</w:t>
      </w:r>
    </w:p>
    <w:p>
      <w:pPr>
        <w:spacing w:line="540" w:lineRule="exact"/>
        <w:ind w:firstLine="567" w:firstLineChars="181"/>
        <w:rPr>
          <w:rStyle w:val="19"/>
          <w:rFonts w:eastAsia="楷体"/>
          <w:spacing w:val="-4"/>
          <w:sz w:val="32"/>
          <w:szCs w:val="32"/>
        </w:rPr>
      </w:pPr>
      <w:r>
        <w:rPr>
          <w:rStyle w:val="19"/>
          <w:rFonts w:eastAsia="楷体"/>
          <w:spacing w:val="-4"/>
          <w:sz w:val="32"/>
          <w:szCs w:val="32"/>
        </w:rPr>
        <w:t>（二）项目资金实际使用情况分析</w:t>
      </w:r>
    </w:p>
    <w:p>
      <w:pPr>
        <w:spacing w:line="540" w:lineRule="exact"/>
        <w:ind w:firstLine="640"/>
        <w:rPr>
          <w:rStyle w:val="19"/>
          <w:rFonts w:eastAsia="仿宋"/>
          <w:b w:val="0"/>
          <w:spacing w:val="-4"/>
          <w:sz w:val="32"/>
          <w:szCs w:val="32"/>
        </w:rPr>
      </w:pPr>
      <w:r>
        <w:rPr>
          <w:rStyle w:val="19"/>
          <w:rFonts w:eastAsia="仿宋"/>
          <w:b w:val="0"/>
          <w:spacing w:val="-4"/>
          <w:sz w:val="32"/>
          <w:szCs w:val="32"/>
        </w:rPr>
        <w:t>2018年实际支付44.66万元，参加全国、疆内、院内组织的技能大赛30余场次，累计350余人次，取得了较好的成绩。</w:t>
      </w:r>
    </w:p>
    <w:p>
      <w:pPr>
        <w:spacing w:line="540" w:lineRule="exact"/>
        <w:ind w:firstLine="567" w:firstLineChars="181"/>
        <w:rPr>
          <w:rStyle w:val="19"/>
          <w:rFonts w:eastAsia="楷体"/>
          <w:spacing w:val="-4"/>
          <w:sz w:val="32"/>
          <w:szCs w:val="32"/>
        </w:rPr>
      </w:pPr>
      <w:r>
        <w:rPr>
          <w:rStyle w:val="19"/>
          <w:rFonts w:eastAsia="楷体"/>
          <w:spacing w:val="-4"/>
          <w:sz w:val="32"/>
          <w:szCs w:val="32"/>
        </w:rPr>
        <w:t>（三）项目资金管理情况分析</w:t>
      </w:r>
    </w:p>
    <w:p>
      <w:pPr>
        <w:spacing w:line="540" w:lineRule="exact"/>
        <w:ind w:firstLine="624" w:firstLineChars="200"/>
        <w:rPr>
          <w:rStyle w:val="19"/>
          <w:rFonts w:eastAsia="仿宋"/>
          <w:b w:val="0"/>
          <w:spacing w:val="-4"/>
          <w:sz w:val="32"/>
          <w:szCs w:val="32"/>
        </w:rPr>
      </w:pPr>
      <w:r>
        <w:rPr>
          <w:rStyle w:val="19"/>
          <w:rFonts w:eastAsia="仿宋"/>
          <w:b w:val="0"/>
          <w:spacing w:val="-4"/>
          <w:sz w:val="32"/>
          <w:szCs w:val="32"/>
        </w:rPr>
        <w:t>专项资金专项使用，资金的拨付本着专款专用的原则，严格执行项目资金批准的使用计划，不准擅自调项、扩项、缩项，更不准挪用、挤占和随意扣压；资金拨付动向，按不同专项资金的要求执行，不准任意改变。严格专项资金初审核制度。专项资金报账拨付要附真实、有效、合法的凭证。加强审计监督，对专项资金要定期或不定期进行督查，确保项目资金专款专用。</w:t>
      </w:r>
    </w:p>
    <w:p>
      <w:pPr>
        <w:spacing w:line="540" w:lineRule="exact"/>
        <w:ind w:firstLine="780" w:firstLineChars="250"/>
        <w:rPr>
          <w:rStyle w:val="19"/>
          <w:rFonts w:eastAsia="黑体"/>
          <w:b w:val="0"/>
          <w:spacing w:val="-4"/>
          <w:sz w:val="32"/>
          <w:szCs w:val="32"/>
        </w:rPr>
      </w:pPr>
      <w:r>
        <w:rPr>
          <w:rStyle w:val="19"/>
          <w:rFonts w:eastAsia="黑体"/>
          <w:b w:val="0"/>
          <w:spacing w:val="-4"/>
          <w:sz w:val="32"/>
          <w:szCs w:val="32"/>
        </w:rPr>
        <w:t>三、项目组织实施情况</w:t>
      </w:r>
    </w:p>
    <w:p>
      <w:pPr>
        <w:spacing w:line="540" w:lineRule="exact"/>
        <w:ind w:firstLine="627" w:firstLineChars="200"/>
        <w:rPr>
          <w:rStyle w:val="19"/>
          <w:rFonts w:eastAsia="楷体"/>
          <w:spacing w:val="-4"/>
          <w:sz w:val="32"/>
          <w:szCs w:val="32"/>
        </w:rPr>
      </w:pPr>
      <w:r>
        <w:rPr>
          <w:rStyle w:val="19"/>
          <w:rFonts w:eastAsia="楷体"/>
          <w:spacing w:val="-4"/>
          <w:sz w:val="32"/>
          <w:szCs w:val="32"/>
        </w:rPr>
        <w:t>（一）项目组织情况分析</w:t>
      </w:r>
    </w:p>
    <w:p>
      <w:pPr>
        <w:spacing w:line="540" w:lineRule="exact"/>
        <w:ind w:firstLine="640"/>
        <w:rPr>
          <w:rStyle w:val="19"/>
          <w:rFonts w:eastAsia="仿宋"/>
          <w:b w:val="0"/>
          <w:spacing w:val="-4"/>
          <w:sz w:val="32"/>
          <w:szCs w:val="32"/>
        </w:rPr>
      </w:pPr>
      <w:r>
        <w:rPr>
          <w:rStyle w:val="19"/>
          <w:rFonts w:eastAsia="仿宋"/>
          <w:b w:val="0"/>
          <w:spacing w:val="-4"/>
          <w:sz w:val="32"/>
          <w:szCs w:val="32"/>
        </w:rPr>
        <w:t>2018年实际支付44.66万元，参加全国、疆内、院内组织的技能大赛30余场次，累计350余人次，取得了较好的成绩。</w:t>
      </w:r>
    </w:p>
    <w:p>
      <w:pPr>
        <w:spacing w:line="540" w:lineRule="exact"/>
        <w:ind w:firstLine="567" w:firstLineChars="181"/>
        <w:rPr>
          <w:rStyle w:val="19"/>
          <w:rFonts w:eastAsia="楷体"/>
          <w:spacing w:val="-4"/>
          <w:sz w:val="32"/>
          <w:szCs w:val="32"/>
        </w:rPr>
      </w:pPr>
      <w:r>
        <w:rPr>
          <w:rStyle w:val="19"/>
          <w:rFonts w:eastAsia="楷体"/>
          <w:spacing w:val="-4"/>
          <w:sz w:val="32"/>
          <w:szCs w:val="32"/>
        </w:rPr>
        <w:t>（二）项目管理情况分析</w:t>
      </w:r>
    </w:p>
    <w:p>
      <w:pPr>
        <w:spacing w:line="540" w:lineRule="exact"/>
        <w:ind w:firstLine="564" w:firstLineChars="181"/>
        <w:rPr>
          <w:rStyle w:val="19"/>
          <w:rFonts w:eastAsia="仿宋"/>
          <w:b w:val="0"/>
          <w:spacing w:val="-4"/>
          <w:sz w:val="32"/>
          <w:szCs w:val="32"/>
        </w:rPr>
      </w:pPr>
      <w:r>
        <w:rPr>
          <w:bCs/>
          <w:spacing w:val="-4"/>
          <w:sz w:val="32"/>
          <w:szCs w:val="32"/>
        </w:rPr>
        <w:t> </w:t>
      </w:r>
      <w:r>
        <w:rPr>
          <w:rFonts w:eastAsia="仿宋"/>
          <w:bCs/>
          <w:spacing w:val="-4"/>
          <w:sz w:val="32"/>
          <w:szCs w:val="32"/>
        </w:rPr>
        <w:t>综合考虑项目建设周期内各个阶段的工作特点，这个工程项目将从提高管理专业化水平的角度出发，充分发挥建设管理资源优势，以专业化项目管理模式实现建设期的项目管理工作目标。这样既满足了建设期间项目管理繁重的工作要求，同时也提高了项目管理的专业化水平，有效达到降低成本的目的。执行层人员在不同岗位上实现合理调配，使各专业人员能够参与到项目不同阶段的工作中，发挥各具特长的作用，也使这些人员能够更全面的理解项目的工作目标和意图，理解其它部门的工作要求，更全面的掌握项目情况，使他们的工作能力随着项目的建设而不断提高，也能为项目的建设贡献更大的力量，最终顺利完成项目目标，同时为国家培养了全面发展的人才。 项目管理部是项目建设管理核心。</w:t>
      </w:r>
    </w:p>
    <w:p>
      <w:pPr>
        <w:spacing w:line="540" w:lineRule="exact"/>
        <w:ind w:firstLine="624" w:firstLineChars="200"/>
        <w:rPr>
          <w:rStyle w:val="19"/>
          <w:rFonts w:eastAsia="黑体"/>
        </w:rPr>
      </w:pPr>
      <w:r>
        <w:rPr>
          <w:rStyle w:val="19"/>
          <w:rFonts w:eastAsia="黑体"/>
          <w:b w:val="0"/>
          <w:spacing w:val="-4"/>
          <w:sz w:val="32"/>
          <w:szCs w:val="32"/>
        </w:rPr>
        <w:t>四、项目绩效情况</w:t>
      </w:r>
    </w:p>
    <w:p>
      <w:pPr>
        <w:spacing w:line="540" w:lineRule="exact"/>
        <w:ind w:firstLine="567" w:firstLineChars="181"/>
        <w:rPr>
          <w:rFonts w:eastAsia="楷体"/>
          <w:b/>
          <w:spacing w:val="-4"/>
          <w:sz w:val="32"/>
          <w:szCs w:val="32"/>
        </w:rPr>
      </w:pPr>
      <w:r>
        <w:rPr>
          <w:rFonts w:eastAsia="楷体"/>
          <w:b/>
          <w:spacing w:val="-4"/>
          <w:sz w:val="32"/>
          <w:szCs w:val="32"/>
        </w:rPr>
        <w:t>（一）项目绩效目标完成情况分析</w:t>
      </w:r>
    </w:p>
    <w:p>
      <w:pPr>
        <w:spacing w:line="560" w:lineRule="exact"/>
        <w:ind w:firstLine="624" w:firstLineChars="200"/>
        <w:rPr>
          <w:rFonts w:hint="eastAsia" w:eastAsia="仿宋"/>
          <w:sz w:val="32"/>
        </w:rPr>
      </w:pPr>
      <w:r>
        <w:rPr>
          <w:rStyle w:val="19"/>
          <w:rFonts w:eastAsia="楷体"/>
          <w:b w:val="0"/>
          <w:spacing w:val="-4"/>
          <w:sz w:val="32"/>
          <w:szCs w:val="32"/>
        </w:rPr>
        <w:t>数量指标：</w:t>
      </w:r>
      <w:r>
        <w:rPr>
          <w:rFonts w:hint="eastAsia" w:eastAsia="仿宋"/>
          <w:sz w:val="32"/>
        </w:rPr>
        <w:t>按照自治区和国家级职业院校技能大赛要求</w:t>
      </w:r>
      <w:r>
        <w:rPr>
          <w:rFonts w:eastAsia="仿宋"/>
          <w:sz w:val="32"/>
        </w:rPr>
        <w:t>，</w:t>
      </w:r>
      <w:r>
        <w:rPr>
          <w:rFonts w:hint="eastAsia" w:eastAsia="仿宋"/>
          <w:sz w:val="32"/>
        </w:rPr>
        <w:t>购置了学院亟需的技能大赛</w:t>
      </w:r>
      <w:r>
        <w:rPr>
          <w:rFonts w:eastAsia="仿宋"/>
          <w:sz w:val="32"/>
        </w:rPr>
        <w:t>设备仪器，</w:t>
      </w:r>
      <w:r>
        <w:rPr>
          <w:rFonts w:hint="eastAsia" w:eastAsia="仿宋"/>
          <w:sz w:val="32"/>
        </w:rPr>
        <w:t>满足了各二级学院参加技能比赛对竞赛设备的要求。数量指标完成率为100%。</w:t>
      </w:r>
    </w:p>
    <w:p>
      <w:pPr>
        <w:spacing w:line="600" w:lineRule="exact"/>
        <w:ind w:firstLine="567"/>
        <w:rPr>
          <w:rFonts w:eastAsia="仿宋"/>
          <w:sz w:val="32"/>
        </w:rPr>
      </w:pPr>
      <w:r>
        <w:rPr>
          <w:rFonts w:eastAsia="仿宋"/>
          <w:sz w:val="32"/>
        </w:rPr>
        <w:t>质量指标：所有工程项目建设内容均已验收，验收合格率为100%；</w:t>
      </w:r>
      <w:r>
        <w:rPr>
          <w:rFonts w:hint="eastAsia" w:eastAsia="仿宋"/>
          <w:sz w:val="32"/>
        </w:rPr>
        <w:t>绩效</w:t>
      </w:r>
      <w:r>
        <w:rPr>
          <w:rFonts w:eastAsia="仿宋"/>
          <w:sz w:val="32"/>
        </w:rPr>
        <w:t>资金累计完成支付</w:t>
      </w:r>
      <w:r>
        <w:rPr>
          <w:rFonts w:hint="eastAsia" w:eastAsia="仿宋"/>
          <w:sz w:val="32"/>
        </w:rPr>
        <w:t>44.66</w:t>
      </w:r>
      <w:r>
        <w:rPr>
          <w:rFonts w:eastAsia="仿宋"/>
          <w:sz w:val="32"/>
        </w:rPr>
        <w:t>万元，资金支付比率为100%。</w:t>
      </w:r>
      <w:r>
        <w:rPr>
          <w:rFonts w:hint="eastAsia" w:eastAsia="仿宋"/>
          <w:sz w:val="32"/>
        </w:rPr>
        <w:t>质量指标覆盖率为100%。</w:t>
      </w:r>
    </w:p>
    <w:p>
      <w:pPr>
        <w:spacing w:line="600" w:lineRule="exact"/>
        <w:ind w:firstLine="567"/>
        <w:rPr>
          <w:rFonts w:eastAsia="仿宋"/>
          <w:sz w:val="32"/>
        </w:rPr>
      </w:pPr>
      <w:r>
        <w:rPr>
          <w:rFonts w:hint="eastAsia" w:eastAsia="仿宋"/>
          <w:sz w:val="32"/>
        </w:rPr>
        <w:t>时效指标：严格按照工作要求，项目实施情况进行支付，完成年度支付任务。</w:t>
      </w:r>
    </w:p>
    <w:p>
      <w:pPr>
        <w:numPr>
          <w:ilvl w:val="0"/>
          <w:numId w:val="1"/>
        </w:numPr>
        <w:spacing w:line="540" w:lineRule="exact"/>
        <w:ind w:firstLine="567" w:firstLineChars="181"/>
        <w:rPr>
          <w:rFonts w:eastAsia="楷体"/>
          <w:b/>
          <w:spacing w:val="-4"/>
          <w:sz w:val="32"/>
          <w:szCs w:val="32"/>
        </w:rPr>
      </w:pPr>
      <w:r>
        <w:rPr>
          <w:rFonts w:eastAsia="楷体"/>
          <w:b/>
          <w:spacing w:val="-4"/>
          <w:sz w:val="32"/>
          <w:szCs w:val="32"/>
        </w:rPr>
        <w:t>项目绩效目标未完成原因分析</w:t>
      </w:r>
    </w:p>
    <w:p>
      <w:pPr>
        <w:spacing w:line="540" w:lineRule="exact"/>
        <w:rPr>
          <w:rFonts w:eastAsia="楷体"/>
          <w:b/>
          <w:spacing w:val="-4"/>
          <w:sz w:val="32"/>
          <w:szCs w:val="32"/>
        </w:rPr>
      </w:pPr>
      <w:r>
        <w:rPr>
          <w:rFonts w:eastAsia="仿宋"/>
          <w:bCs/>
          <w:spacing w:val="-4"/>
          <w:sz w:val="32"/>
          <w:szCs w:val="32"/>
        </w:rPr>
        <w:t>项目顺利实施。</w:t>
      </w:r>
    </w:p>
    <w:p>
      <w:pPr>
        <w:spacing w:line="540" w:lineRule="exact"/>
        <w:ind w:firstLine="640"/>
        <w:rPr>
          <w:rStyle w:val="19"/>
          <w:rFonts w:eastAsia="黑体"/>
          <w:b w:val="0"/>
          <w:spacing w:val="-4"/>
          <w:sz w:val="32"/>
          <w:szCs w:val="32"/>
        </w:rPr>
      </w:pPr>
      <w:r>
        <w:rPr>
          <w:rStyle w:val="19"/>
          <w:rFonts w:eastAsia="黑体"/>
          <w:b w:val="0"/>
          <w:spacing w:val="-4"/>
          <w:sz w:val="32"/>
          <w:szCs w:val="32"/>
        </w:rPr>
        <w:t>五、其他需要说明的问题</w:t>
      </w:r>
    </w:p>
    <w:p>
      <w:pPr>
        <w:spacing w:line="540" w:lineRule="exact"/>
        <w:ind w:firstLine="567" w:firstLineChars="181"/>
        <w:rPr>
          <w:rFonts w:eastAsia="楷体"/>
          <w:b/>
          <w:spacing w:val="-4"/>
          <w:sz w:val="32"/>
          <w:szCs w:val="32"/>
        </w:rPr>
      </w:pPr>
      <w:r>
        <w:rPr>
          <w:rFonts w:eastAsia="楷体"/>
          <w:b/>
          <w:spacing w:val="-4"/>
          <w:sz w:val="32"/>
          <w:szCs w:val="32"/>
        </w:rPr>
        <w:t>（一）后续工作计划</w:t>
      </w:r>
    </w:p>
    <w:p>
      <w:pPr>
        <w:spacing w:line="600" w:lineRule="exact"/>
        <w:ind w:firstLine="567"/>
        <w:rPr>
          <w:rFonts w:eastAsia="仿宋"/>
          <w:sz w:val="32"/>
        </w:rPr>
      </w:pPr>
      <w:r>
        <w:rPr>
          <w:rFonts w:hint="eastAsia" w:eastAsia="仿宋"/>
          <w:sz w:val="32"/>
        </w:rPr>
        <w:t>持续跟进在建项目工程进度，抓紧时间安装已到位设备，尽早调试，组织专业人员对相关专业教师进行培训，确保所有新增设备投入使用，切实发挥新建项目功效，进一步加强对绩效目标的监控，发现工程项目在运行中存在的问题，补短板，总结经验，为今后的绩效资金项目申请和使用提供重要参考。</w:t>
      </w:r>
    </w:p>
    <w:p>
      <w:pPr>
        <w:spacing w:line="540" w:lineRule="exact"/>
        <w:ind w:firstLine="567" w:firstLineChars="181"/>
        <w:rPr>
          <w:rFonts w:eastAsia="楷体"/>
          <w:b/>
          <w:spacing w:val="-4"/>
          <w:sz w:val="32"/>
          <w:szCs w:val="32"/>
        </w:rPr>
      </w:pPr>
      <w:r>
        <w:rPr>
          <w:rFonts w:eastAsia="楷体"/>
          <w:b/>
          <w:spacing w:val="-4"/>
          <w:sz w:val="32"/>
          <w:szCs w:val="32"/>
        </w:rPr>
        <w:t>（二）主要经验及做法、存在问题和建议</w:t>
      </w:r>
    </w:p>
    <w:p>
      <w:pPr>
        <w:spacing w:line="600" w:lineRule="exact"/>
        <w:ind w:firstLine="567"/>
        <w:rPr>
          <w:rFonts w:eastAsia="仿宋"/>
          <w:sz w:val="32"/>
        </w:rPr>
      </w:pPr>
      <w:r>
        <w:rPr>
          <w:rFonts w:eastAsia="仿宋"/>
          <w:sz w:val="32"/>
        </w:rPr>
        <w:t>一是在活动之前，实验设备维护创新协会就对所有参来队员进行了培训，并且详细的写了活动策划书及各个比赛项目的评分准则。二是学校领导的重视，老师的配合，使得活动得以顺利地完满结束。例如系领导为培训提供了投影仪，同时专业老师在技术方面给予了指导，使得参赛人员的技能水平有了极大的提高。</w:t>
      </w:r>
    </w:p>
    <w:p>
      <w:pPr>
        <w:spacing w:line="540" w:lineRule="exact"/>
        <w:ind w:firstLine="640"/>
        <w:rPr>
          <w:rStyle w:val="19"/>
          <w:rFonts w:eastAsia="黑体"/>
          <w:b w:val="0"/>
          <w:spacing w:val="-4"/>
          <w:sz w:val="32"/>
          <w:szCs w:val="32"/>
        </w:rPr>
      </w:pPr>
      <w:r>
        <w:rPr>
          <w:rStyle w:val="19"/>
          <w:rFonts w:eastAsia="黑体"/>
          <w:b w:val="0"/>
          <w:spacing w:val="-4"/>
          <w:sz w:val="32"/>
          <w:szCs w:val="32"/>
        </w:rPr>
        <w:t>六、项目评价工作情况</w:t>
      </w:r>
    </w:p>
    <w:p>
      <w:pPr>
        <w:spacing w:line="600" w:lineRule="exact"/>
        <w:ind w:firstLine="567"/>
        <w:rPr>
          <w:rFonts w:eastAsia="仿宋"/>
          <w:sz w:val="32"/>
        </w:rPr>
      </w:pPr>
      <w:r>
        <w:rPr>
          <w:rFonts w:hint="eastAsia" w:eastAsia="仿宋"/>
          <w:sz w:val="32"/>
        </w:rPr>
        <w:t>按照财政项目支出绩效自评工作的要求，结合我单位实际，组织相关人员根据项目绩效报表指标内容，对所有项目建设内容进行核实和考评。项目评价内容主要围绕数量指标、质量指标、时效指标、社会效益指标等开展，评价方式主要采用分析法和比较法。</w:t>
      </w:r>
    </w:p>
    <w:p>
      <w:pPr>
        <w:spacing w:line="600" w:lineRule="exact"/>
        <w:ind w:firstLine="567"/>
        <w:rPr>
          <w:rFonts w:eastAsia="仿宋"/>
          <w:sz w:val="32"/>
        </w:rPr>
      </w:pPr>
      <w:r>
        <w:rPr>
          <w:rFonts w:hint="eastAsia" w:eastAsia="仿宋"/>
          <w:sz w:val="32"/>
        </w:rPr>
        <w:t>比较法主要是对三级指标内容从数量上、质量上、时效上与完成情况进行时对比，比如：资金支付进度是否及时，设备购置台（套）数是否准确，实际受益学生数量是否达标，项目竣工验收是否合格等。</w:t>
      </w:r>
    </w:p>
    <w:p>
      <w:pPr>
        <w:spacing w:line="600" w:lineRule="exact"/>
        <w:ind w:firstLine="567"/>
        <w:rPr>
          <w:rFonts w:eastAsia="仿宋"/>
          <w:sz w:val="32"/>
        </w:rPr>
      </w:pPr>
      <w:r>
        <w:rPr>
          <w:rFonts w:hint="eastAsia" w:eastAsia="仿宋"/>
          <w:sz w:val="32"/>
        </w:rPr>
        <w:t>分析法主要是根据三级指标完成的情况，分析查找所有项目建设内容在数量上、质量上、时效上存在的问题，找出原因，制定解决方案，及时整改，确保项目顺利实施。比如：责成项目主管部门及时报送项目绩效进展情况，工程形象进度，确保绩效信息内容时效性、准确性；要求责任部门及时留存所有项目招标、项目验收等纸质材料。</w:t>
      </w:r>
    </w:p>
    <w:p>
      <w:pPr>
        <w:spacing w:line="640" w:lineRule="exact"/>
        <w:ind w:firstLine="640"/>
        <w:rPr>
          <w:rStyle w:val="19"/>
          <w:rFonts w:eastAsia="黑体"/>
          <w:b w:val="0"/>
          <w:bCs w:val="0"/>
          <w:spacing w:val="-4"/>
          <w:sz w:val="32"/>
          <w:szCs w:val="32"/>
        </w:rPr>
      </w:pPr>
      <w:r>
        <w:rPr>
          <w:rStyle w:val="19"/>
          <w:rFonts w:eastAsia="黑体"/>
          <w:b w:val="0"/>
          <w:bCs w:val="0"/>
          <w:spacing w:val="-4"/>
          <w:sz w:val="32"/>
          <w:szCs w:val="32"/>
        </w:rPr>
        <w:t>七、附表</w:t>
      </w:r>
    </w:p>
    <w:p>
      <w:pPr>
        <w:spacing w:line="540" w:lineRule="exact"/>
        <w:ind w:firstLine="567"/>
        <w:jc w:val="center"/>
        <w:rPr>
          <w:rFonts w:eastAsia="仿宋"/>
          <w:spacing w:val="-4"/>
          <w:sz w:val="32"/>
          <w:szCs w:val="32"/>
        </w:rPr>
      </w:pPr>
      <w:r>
        <w:rPr>
          <w:rStyle w:val="19"/>
          <w:rFonts w:eastAsia="仿宋"/>
          <w:b w:val="0"/>
          <w:bCs w:val="0"/>
          <w:spacing w:val="-4"/>
          <w:sz w:val="32"/>
          <w:szCs w:val="32"/>
        </w:rPr>
        <w:t>《财政项目支出绩效自评表》</w:t>
      </w:r>
    </w:p>
    <w:tbl>
      <w:tblPr>
        <w:tblStyle w:val="17"/>
        <w:tblpPr w:leftFromText="180" w:rightFromText="180" w:vertAnchor="text" w:horzAnchor="page" w:tblpX="1690" w:tblpY="519"/>
        <w:tblOverlap w:val="never"/>
        <w:tblW w:w="9288" w:type="dxa"/>
        <w:tblInd w:w="0" w:type="dxa"/>
        <w:tblLayout w:type="fixed"/>
        <w:tblCellMar>
          <w:top w:w="0" w:type="dxa"/>
          <w:left w:w="108" w:type="dxa"/>
          <w:bottom w:w="0" w:type="dxa"/>
          <w:right w:w="108" w:type="dxa"/>
        </w:tblCellMar>
      </w:tblPr>
      <w:tblGrid>
        <w:gridCol w:w="720"/>
        <w:gridCol w:w="1140"/>
        <w:gridCol w:w="1360"/>
        <w:gridCol w:w="1080"/>
        <w:gridCol w:w="880"/>
        <w:gridCol w:w="2060"/>
        <w:gridCol w:w="32"/>
        <w:gridCol w:w="216"/>
        <w:gridCol w:w="1800"/>
      </w:tblGrid>
      <w:tr>
        <w:tblPrEx>
          <w:tblCellMar>
            <w:top w:w="0" w:type="dxa"/>
            <w:left w:w="108" w:type="dxa"/>
            <w:bottom w:w="0" w:type="dxa"/>
            <w:right w:w="108" w:type="dxa"/>
          </w:tblCellMar>
        </w:tblPrEx>
        <w:trPr>
          <w:trHeight w:val="405" w:hRule="atLeast"/>
        </w:trPr>
        <w:tc>
          <w:tcPr>
            <w:tcW w:w="9288" w:type="dxa"/>
            <w:gridSpan w:val="9"/>
            <w:tcBorders>
              <w:top w:val="nil"/>
              <w:left w:val="nil"/>
              <w:bottom w:val="nil"/>
              <w:right w:val="nil"/>
            </w:tcBorders>
            <w:vAlign w:val="center"/>
          </w:tcPr>
          <w:p>
            <w:pPr>
              <w:widowControl/>
              <w:jc w:val="center"/>
              <w:rPr>
                <w:b/>
                <w:bCs/>
                <w:kern w:val="0"/>
                <w:sz w:val="32"/>
                <w:szCs w:val="32"/>
              </w:rPr>
            </w:pPr>
            <w:r>
              <w:rPr>
                <w:b/>
                <w:bCs/>
                <w:kern w:val="0"/>
                <w:sz w:val="32"/>
                <w:szCs w:val="32"/>
              </w:rPr>
              <w:t>财政项目支出绩效自评表</w:t>
            </w:r>
          </w:p>
        </w:tc>
      </w:tr>
      <w:tr>
        <w:tblPrEx>
          <w:tblCellMar>
            <w:top w:w="0" w:type="dxa"/>
            <w:left w:w="108" w:type="dxa"/>
            <w:bottom w:w="0" w:type="dxa"/>
            <w:right w:w="108" w:type="dxa"/>
          </w:tblCellMar>
        </w:tblPrEx>
        <w:trPr>
          <w:trHeight w:val="285" w:hRule="atLeast"/>
        </w:trPr>
        <w:tc>
          <w:tcPr>
            <w:tcW w:w="9288" w:type="dxa"/>
            <w:gridSpan w:val="9"/>
            <w:tcBorders>
              <w:top w:val="nil"/>
              <w:left w:val="nil"/>
              <w:bottom w:val="nil"/>
              <w:right w:val="nil"/>
            </w:tcBorders>
            <w:vAlign w:val="center"/>
          </w:tcPr>
          <w:p>
            <w:pPr>
              <w:widowControl/>
              <w:jc w:val="center"/>
              <w:rPr>
                <w:kern w:val="0"/>
                <w:sz w:val="24"/>
              </w:rPr>
            </w:pPr>
            <w:r>
              <w:rPr>
                <w:kern w:val="0"/>
                <w:sz w:val="24"/>
              </w:rPr>
              <w:t>（2018年度）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kern w:val="0"/>
                <w:sz w:val="24"/>
              </w:rPr>
            </w:pPr>
          </w:p>
        </w:tc>
        <w:tc>
          <w:tcPr>
            <w:tcW w:w="1140" w:type="dxa"/>
            <w:tcBorders>
              <w:top w:val="nil"/>
              <w:left w:val="nil"/>
              <w:bottom w:val="nil"/>
              <w:right w:val="nil"/>
            </w:tcBorders>
            <w:vAlign w:val="center"/>
          </w:tcPr>
          <w:p>
            <w:pPr>
              <w:widowControl/>
              <w:jc w:val="center"/>
              <w:rPr>
                <w:kern w:val="0"/>
                <w:sz w:val="24"/>
              </w:rPr>
            </w:pPr>
          </w:p>
        </w:tc>
        <w:tc>
          <w:tcPr>
            <w:tcW w:w="1360" w:type="dxa"/>
            <w:tcBorders>
              <w:top w:val="nil"/>
              <w:left w:val="nil"/>
              <w:bottom w:val="nil"/>
              <w:right w:val="nil"/>
            </w:tcBorders>
            <w:vAlign w:val="center"/>
          </w:tcPr>
          <w:p>
            <w:pPr>
              <w:widowControl/>
              <w:jc w:val="center"/>
              <w:rPr>
                <w:kern w:val="0"/>
                <w:sz w:val="24"/>
              </w:rPr>
            </w:pPr>
          </w:p>
        </w:tc>
        <w:tc>
          <w:tcPr>
            <w:tcW w:w="1080" w:type="dxa"/>
            <w:tcBorders>
              <w:top w:val="nil"/>
              <w:left w:val="nil"/>
              <w:bottom w:val="nil"/>
              <w:right w:val="nil"/>
            </w:tcBorders>
            <w:vAlign w:val="center"/>
          </w:tcPr>
          <w:p>
            <w:pPr>
              <w:widowControl/>
              <w:jc w:val="center"/>
              <w:rPr>
                <w:kern w:val="0"/>
                <w:sz w:val="24"/>
              </w:rPr>
            </w:pPr>
          </w:p>
        </w:tc>
        <w:tc>
          <w:tcPr>
            <w:tcW w:w="880" w:type="dxa"/>
            <w:tcBorders>
              <w:top w:val="nil"/>
              <w:left w:val="nil"/>
              <w:bottom w:val="nil"/>
              <w:right w:val="nil"/>
            </w:tcBorders>
            <w:vAlign w:val="center"/>
          </w:tcPr>
          <w:p>
            <w:pPr>
              <w:widowControl/>
              <w:jc w:val="center"/>
              <w:rPr>
                <w:kern w:val="0"/>
                <w:sz w:val="24"/>
              </w:rPr>
            </w:pPr>
          </w:p>
        </w:tc>
        <w:tc>
          <w:tcPr>
            <w:tcW w:w="2060" w:type="dxa"/>
            <w:tcBorders>
              <w:top w:val="nil"/>
              <w:left w:val="nil"/>
              <w:bottom w:val="nil"/>
              <w:right w:val="nil"/>
            </w:tcBorders>
            <w:vAlign w:val="center"/>
          </w:tcPr>
          <w:p>
            <w:pPr>
              <w:widowControl/>
              <w:jc w:val="center"/>
              <w:rPr>
                <w:kern w:val="0"/>
                <w:sz w:val="24"/>
              </w:rPr>
            </w:pPr>
          </w:p>
        </w:tc>
        <w:tc>
          <w:tcPr>
            <w:tcW w:w="2048" w:type="dxa"/>
            <w:gridSpan w:val="3"/>
            <w:tcBorders>
              <w:top w:val="nil"/>
              <w:left w:val="nil"/>
              <w:bottom w:val="nil"/>
              <w:right w:val="nil"/>
            </w:tcBorders>
            <w:vAlign w:val="center"/>
          </w:tcPr>
          <w:p>
            <w:pPr>
              <w:widowControl/>
              <w:jc w:val="center"/>
              <w:rPr>
                <w:kern w:val="0"/>
                <w:sz w:val="24"/>
              </w:rPr>
            </w:pPr>
          </w:p>
        </w:tc>
      </w:tr>
      <w:tr>
        <w:tblPrEx>
          <w:tblCellMar>
            <w:top w:w="0" w:type="dxa"/>
            <w:left w:w="108" w:type="dxa"/>
            <w:bottom w:w="0" w:type="dxa"/>
            <w:right w:w="108" w:type="dxa"/>
          </w:tblCellMar>
        </w:tblPrEx>
        <w:trPr>
          <w:trHeight w:val="491"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r>
              <w:rPr>
                <w:kern w:val="0"/>
                <w:sz w:val="20"/>
                <w:szCs w:val="20"/>
              </w:rPr>
              <w:t>项目名称</w:t>
            </w:r>
          </w:p>
        </w:tc>
        <w:tc>
          <w:tcPr>
            <w:tcW w:w="6068" w:type="dxa"/>
            <w:gridSpan w:val="6"/>
            <w:tcBorders>
              <w:top w:val="single" w:color="auto" w:sz="4" w:space="0"/>
              <w:left w:val="nil"/>
              <w:bottom w:val="single" w:color="auto" w:sz="4" w:space="0"/>
              <w:right w:val="single" w:color="auto" w:sz="4" w:space="0"/>
            </w:tcBorders>
            <w:vAlign w:val="center"/>
          </w:tcPr>
          <w:p>
            <w:pPr>
              <w:widowControl/>
              <w:jc w:val="center"/>
              <w:rPr>
                <w:rFonts w:eastAsia="仿宋_GB2312"/>
                <w:kern w:val="0"/>
                <w:sz w:val="20"/>
                <w:szCs w:val="20"/>
              </w:rPr>
            </w:pPr>
            <w:r>
              <w:rPr>
                <w:kern w:val="0"/>
                <w:sz w:val="20"/>
                <w:szCs w:val="20"/>
              </w:rPr>
              <w:t>办公设备购置</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r>
              <w:rPr>
                <w:kern w:val="0"/>
                <w:sz w:val="20"/>
                <w:szCs w:val="20"/>
              </w:rPr>
              <w:t>预算单位</w:t>
            </w:r>
          </w:p>
        </w:tc>
        <w:tc>
          <w:tcPr>
            <w:tcW w:w="6068" w:type="dxa"/>
            <w:gridSpan w:val="6"/>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kern w:val="0"/>
                <w:sz w:val="20"/>
                <w:szCs w:val="20"/>
              </w:rPr>
              <w:t>巴音郭楞职业技术学院</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kern w:val="0"/>
                <w:sz w:val="20"/>
                <w:szCs w:val="20"/>
              </w:rPr>
            </w:pPr>
            <w:r>
              <w:rPr>
                <w:kern w:val="0"/>
                <w:sz w:val="20"/>
                <w:szCs w:val="20"/>
              </w:rPr>
              <w:t>预算</w:t>
            </w:r>
            <w:r>
              <w:rPr>
                <w:kern w:val="0"/>
                <w:sz w:val="20"/>
                <w:szCs w:val="20"/>
              </w:rPr>
              <w:br w:type="textWrapping"/>
            </w:r>
            <w:r>
              <w:rPr>
                <w:kern w:val="0"/>
                <w:sz w:val="20"/>
                <w:szCs w:val="20"/>
              </w:rPr>
              <w:t>执行</w:t>
            </w:r>
            <w:r>
              <w:rPr>
                <w:kern w:val="0"/>
                <w:sz w:val="20"/>
                <w:szCs w:val="20"/>
              </w:rPr>
              <w:br w:type="textWrapping"/>
            </w:r>
            <w:r>
              <w:rPr>
                <w:kern w:val="0"/>
                <w:sz w:val="20"/>
                <w:szCs w:val="20"/>
              </w:rPr>
              <w:t>情况</w:t>
            </w:r>
            <w:r>
              <w:rPr>
                <w:kern w:val="0"/>
                <w:sz w:val="20"/>
                <w:szCs w:val="20"/>
              </w:rPr>
              <w:br w:type="textWrapping"/>
            </w:r>
            <w:r>
              <w:rPr>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r>
              <w:rPr>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kern w:val="0"/>
                <w:sz w:val="20"/>
                <w:szCs w:val="20"/>
              </w:rPr>
              <w:t>4</w:t>
            </w:r>
            <w:r>
              <w:rPr>
                <w:rFonts w:hint="eastAsia"/>
                <w:kern w:val="0"/>
                <w:sz w:val="20"/>
                <w:szCs w:val="20"/>
              </w:rPr>
              <w:t>4.66</w:t>
            </w:r>
            <w:r>
              <w:rPr>
                <w:kern w:val="0"/>
                <w:sz w:val="20"/>
                <w:szCs w:val="20"/>
              </w:rPr>
              <w:t>万元</w:t>
            </w:r>
          </w:p>
        </w:tc>
        <w:tc>
          <w:tcPr>
            <w:tcW w:w="2308" w:type="dxa"/>
            <w:gridSpan w:val="3"/>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执行数：</w:t>
            </w:r>
          </w:p>
        </w:tc>
        <w:tc>
          <w:tcPr>
            <w:tcW w:w="1800" w:type="dxa"/>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44.66万元</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kern w:val="0"/>
                <w:sz w:val="20"/>
                <w:szCs w:val="20"/>
              </w:rPr>
            </w:pPr>
            <w:r>
              <w:rPr>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kern w:val="0"/>
                <w:sz w:val="20"/>
                <w:szCs w:val="20"/>
              </w:rPr>
              <w:t>44.66万元</w:t>
            </w:r>
          </w:p>
        </w:tc>
        <w:tc>
          <w:tcPr>
            <w:tcW w:w="2308" w:type="dxa"/>
            <w:gridSpan w:val="3"/>
            <w:tcBorders>
              <w:top w:val="nil"/>
              <w:left w:val="nil"/>
              <w:bottom w:val="nil"/>
              <w:right w:val="single" w:color="auto" w:sz="4" w:space="0"/>
            </w:tcBorders>
            <w:vAlign w:val="center"/>
          </w:tcPr>
          <w:p>
            <w:pPr>
              <w:widowControl/>
              <w:jc w:val="center"/>
              <w:rPr>
                <w:kern w:val="0"/>
                <w:sz w:val="20"/>
                <w:szCs w:val="20"/>
              </w:rPr>
            </w:pPr>
            <w:r>
              <w:rPr>
                <w:kern w:val="0"/>
                <w:sz w:val="20"/>
                <w:szCs w:val="20"/>
              </w:rPr>
              <w:t>其中：财政拨款</w:t>
            </w:r>
          </w:p>
        </w:tc>
        <w:tc>
          <w:tcPr>
            <w:tcW w:w="1800" w:type="dxa"/>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44.66万元</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kern w:val="0"/>
                <w:sz w:val="20"/>
                <w:szCs w:val="20"/>
              </w:rPr>
            </w:pPr>
            <w:r>
              <w:rPr>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kern w:val="0"/>
                <w:sz w:val="20"/>
                <w:szCs w:val="20"/>
              </w:rPr>
              <w:t>0　</w:t>
            </w:r>
          </w:p>
        </w:tc>
        <w:tc>
          <w:tcPr>
            <w:tcW w:w="2308" w:type="dxa"/>
            <w:gridSpan w:val="3"/>
            <w:tcBorders>
              <w:top w:val="single" w:color="auto" w:sz="4" w:space="0"/>
              <w:left w:val="nil"/>
              <w:bottom w:val="nil"/>
              <w:right w:val="single" w:color="auto" w:sz="4" w:space="0"/>
            </w:tcBorders>
            <w:vAlign w:val="center"/>
          </w:tcPr>
          <w:p>
            <w:pPr>
              <w:widowControl/>
              <w:jc w:val="right"/>
              <w:rPr>
                <w:kern w:val="0"/>
                <w:sz w:val="20"/>
                <w:szCs w:val="20"/>
              </w:rPr>
            </w:pPr>
            <w:r>
              <w:rPr>
                <w:kern w:val="0"/>
                <w:sz w:val="20"/>
                <w:szCs w:val="20"/>
              </w:rPr>
              <w:t>其他资金</w:t>
            </w:r>
          </w:p>
        </w:tc>
        <w:tc>
          <w:tcPr>
            <w:tcW w:w="1800" w:type="dxa"/>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0</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kern w:val="0"/>
                <w:sz w:val="20"/>
                <w:szCs w:val="20"/>
              </w:rPr>
            </w:pPr>
            <w:r>
              <w:rPr>
                <w:kern w:val="0"/>
                <w:sz w:val="20"/>
                <w:szCs w:val="20"/>
              </w:rPr>
              <w:t>年度</w:t>
            </w:r>
            <w:r>
              <w:rPr>
                <w:kern w:val="0"/>
                <w:sz w:val="20"/>
                <w:szCs w:val="20"/>
              </w:rPr>
              <w:br w:type="textWrapping"/>
            </w:r>
            <w:r>
              <w:rPr>
                <w:kern w:val="0"/>
                <w:sz w:val="20"/>
                <w:szCs w:val="20"/>
              </w:rPr>
              <w:t>目标</w:t>
            </w:r>
            <w:r>
              <w:rPr>
                <w:kern w:val="0"/>
                <w:sz w:val="20"/>
                <w:szCs w:val="20"/>
              </w:rPr>
              <w:br w:type="textWrapping"/>
            </w:r>
            <w:r>
              <w:rPr>
                <w:kern w:val="0"/>
                <w:sz w:val="20"/>
                <w:szCs w:val="20"/>
              </w:rPr>
              <w:t>完成</w:t>
            </w:r>
            <w:r>
              <w:rPr>
                <w:kern w:val="0"/>
                <w:sz w:val="20"/>
                <w:szCs w:val="20"/>
              </w:rPr>
              <w:br w:type="textWrapping"/>
            </w:r>
            <w:r>
              <w:rPr>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预期目标</w:t>
            </w:r>
          </w:p>
        </w:tc>
        <w:tc>
          <w:tcPr>
            <w:tcW w:w="4108" w:type="dxa"/>
            <w:gridSpan w:val="4"/>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实际完成目标</w:t>
            </w:r>
          </w:p>
        </w:tc>
      </w:tr>
      <w:tr>
        <w:tblPrEx>
          <w:tblCellMar>
            <w:top w:w="0" w:type="dxa"/>
            <w:left w:w="108" w:type="dxa"/>
            <w:bottom w:w="0" w:type="dxa"/>
            <w:right w:w="108" w:type="dxa"/>
          </w:tblCellMar>
        </w:tblPrEx>
        <w:trPr>
          <w:trHeight w:val="120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ind w:left="300"/>
              <w:jc w:val="left"/>
              <w:rPr>
                <w:kern w:val="0"/>
                <w:sz w:val="20"/>
                <w:szCs w:val="20"/>
              </w:rPr>
            </w:pPr>
            <w:r>
              <w:rPr>
                <w:kern w:val="0"/>
                <w:sz w:val="20"/>
                <w:szCs w:val="20"/>
              </w:rPr>
              <w:t>一、提升学院办学水平和办学实力；</w:t>
            </w:r>
          </w:p>
          <w:p>
            <w:pPr>
              <w:widowControl/>
              <w:ind w:left="300"/>
              <w:jc w:val="left"/>
              <w:rPr>
                <w:kern w:val="0"/>
                <w:sz w:val="20"/>
                <w:szCs w:val="20"/>
              </w:rPr>
            </w:pPr>
            <w:r>
              <w:rPr>
                <w:kern w:val="0"/>
                <w:sz w:val="20"/>
                <w:szCs w:val="20"/>
              </w:rPr>
              <w:t>二、积极参加自治区级和国家级职业竞赛。</w:t>
            </w:r>
          </w:p>
          <w:p>
            <w:pPr>
              <w:widowControl/>
              <w:ind w:left="300"/>
              <w:jc w:val="left"/>
              <w:rPr>
                <w:kern w:val="0"/>
                <w:sz w:val="20"/>
                <w:szCs w:val="20"/>
              </w:rPr>
            </w:pPr>
          </w:p>
          <w:p>
            <w:pPr>
              <w:widowControl/>
              <w:ind w:left="300"/>
              <w:jc w:val="left"/>
              <w:rPr>
                <w:kern w:val="0"/>
                <w:sz w:val="20"/>
                <w:szCs w:val="20"/>
              </w:rPr>
            </w:pPr>
          </w:p>
        </w:tc>
        <w:tc>
          <w:tcPr>
            <w:tcW w:w="4108" w:type="dxa"/>
            <w:gridSpan w:val="4"/>
            <w:tcBorders>
              <w:top w:val="single" w:color="auto" w:sz="4" w:space="0"/>
              <w:left w:val="nil"/>
              <w:bottom w:val="single" w:color="auto" w:sz="4" w:space="0"/>
              <w:right w:val="single" w:color="000000" w:sz="4" w:space="0"/>
            </w:tcBorders>
          </w:tcPr>
          <w:p>
            <w:pPr>
              <w:widowControl/>
              <w:ind w:left="300"/>
              <w:jc w:val="left"/>
              <w:rPr>
                <w:kern w:val="0"/>
                <w:sz w:val="20"/>
                <w:szCs w:val="20"/>
              </w:rPr>
            </w:pPr>
            <w:r>
              <w:rPr>
                <w:kern w:val="0"/>
                <w:sz w:val="20"/>
                <w:szCs w:val="20"/>
              </w:rPr>
              <w:t>参加全国、疆内、院内组织的技能大赛30余场次，累计350余人次，取得了较好的成绩。</w:t>
            </w:r>
          </w:p>
          <w:p>
            <w:pPr>
              <w:widowControl/>
              <w:ind w:left="300"/>
              <w:jc w:val="left"/>
              <w:rPr>
                <w:kern w:val="0"/>
                <w:sz w:val="20"/>
                <w:szCs w:val="20"/>
              </w:rPr>
            </w:pP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年度</w:t>
            </w:r>
            <w:r>
              <w:rPr>
                <w:kern w:val="0"/>
                <w:sz w:val="20"/>
                <w:szCs w:val="20"/>
              </w:rPr>
              <w:br w:type="textWrapping"/>
            </w:r>
            <w:r>
              <w:rPr>
                <w:kern w:val="0"/>
                <w:sz w:val="20"/>
                <w:szCs w:val="20"/>
              </w:rPr>
              <w:t>绩效</w:t>
            </w:r>
            <w:r>
              <w:rPr>
                <w:kern w:val="0"/>
                <w:sz w:val="20"/>
                <w:szCs w:val="20"/>
              </w:rPr>
              <w:br w:type="textWrapping"/>
            </w:r>
            <w:r>
              <w:rPr>
                <w:kern w:val="0"/>
                <w:sz w:val="20"/>
                <w:szCs w:val="20"/>
              </w:rPr>
              <w:t>指标</w:t>
            </w:r>
            <w:r>
              <w:rPr>
                <w:kern w:val="0"/>
                <w:sz w:val="20"/>
                <w:szCs w:val="20"/>
              </w:rPr>
              <w:br w:type="textWrapping"/>
            </w:r>
            <w:r>
              <w:rPr>
                <w:kern w:val="0"/>
                <w:sz w:val="20"/>
                <w:szCs w:val="20"/>
              </w:rPr>
              <w:t>完成</w:t>
            </w:r>
            <w:r>
              <w:rPr>
                <w:kern w:val="0"/>
                <w:sz w:val="20"/>
                <w:szCs w:val="20"/>
              </w:rPr>
              <w:br w:type="textWrapping"/>
            </w:r>
            <w:r>
              <w:rPr>
                <w:kern w:val="0"/>
                <w:sz w:val="20"/>
                <w:szCs w:val="20"/>
              </w:rPr>
              <w:t>情况</w:t>
            </w:r>
          </w:p>
        </w:tc>
        <w:tc>
          <w:tcPr>
            <w:tcW w:w="1140" w:type="dxa"/>
            <w:tcBorders>
              <w:top w:val="nil"/>
              <w:left w:val="nil"/>
              <w:bottom w:val="nil"/>
              <w:right w:val="single" w:color="auto" w:sz="4" w:space="0"/>
            </w:tcBorders>
            <w:vAlign w:val="center"/>
          </w:tcPr>
          <w:p>
            <w:pPr>
              <w:widowControl/>
              <w:jc w:val="center"/>
              <w:rPr>
                <w:kern w:val="0"/>
                <w:sz w:val="20"/>
                <w:szCs w:val="20"/>
              </w:rPr>
            </w:pPr>
            <w:r>
              <w:rPr>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三级指标</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预期指标值（包含数字及文字描述）</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kern w:val="0"/>
                <w:sz w:val="20"/>
                <w:szCs w:val="20"/>
              </w:rPr>
            </w:pPr>
            <w:r>
              <w:rPr>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参加竞赛场次</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预计竞赛场次30余次</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参加全国、疆内、院内组织的技能大赛30余场次</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比赛成绩</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取得自治区级和国家级竞赛成绩</w:t>
            </w:r>
          </w:p>
        </w:tc>
        <w:tc>
          <w:tcPr>
            <w:tcW w:w="2016" w:type="dxa"/>
            <w:gridSpan w:val="2"/>
            <w:tcBorders>
              <w:top w:val="nil"/>
              <w:left w:val="nil"/>
              <w:bottom w:val="single" w:color="auto" w:sz="4" w:space="0"/>
              <w:right w:val="single" w:color="auto" w:sz="4" w:space="0"/>
            </w:tcBorders>
            <w:vAlign w:val="center"/>
          </w:tcPr>
          <w:p>
            <w:pPr>
              <w:widowControl/>
              <w:jc w:val="left"/>
              <w:rPr>
                <w:kern w:val="0"/>
                <w:sz w:val="20"/>
                <w:szCs w:val="20"/>
              </w:rPr>
            </w:pPr>
            <w:r>
              <w:rPr>
                <w:kern w:val="0"/>
                <w:sz w:val="20"/>
                <w:szCs w:val="20"/>
              </w:rPr>
              <w:t>取得了较好的成绩</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r>
              <w:rPr>
                <w:kern w:val="0"/>
                <w:sz w:val="20"/>
                <w:szCs w:val="20"/>
              </w:rPr>
              <w:t>年度预算执行进度</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执行进度达到100%</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预算支付率为100%</w:t>
            </w:r>
          </w:p>
        </w:tc>
      </w:tr>
      <w:tr>
        <w:tblPrEx>
          <w:tblCellMar>
            <w:top w:w="0" w:type="dxa"/>
            <w:left w:w="108" w:type="dxa"/>
            <w:bottom w:w="0" w:type="dxa"/>
            <w:right w:w="108" w:type="dxa"/>
          </w:tblCellMar>
        </w:tblPrEx>
        <w:trPr>
          <w:trHeight w:val="508"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完成时间</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积极备赛，按时参加比赛</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参加全国、疆内、院内组织的技能大赛30余场次</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经费预算40万元</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按实际产生经费报销</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职业技能大赛经费预算40万元，实际支付44.66万元，不足资金主要靠本级预算差旅费补足</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kern w:val="0"/>
                <w:sz w:val="20"/>
                <w:szCs w:val="20"/>
              </w:rPr>
            </w:pPr>
            <w:r>
              <w:rPr>
                <w:kern w:val="0"/>
                <w:sz w:val="20"/>
                <w:szCs w:val="20"/>
              </w:rPr>
              <w:t>项目效果指标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经济效益</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restart"/>
            <w:tcBorders>
              <w:top w:val="nil"/>
              <w:left w:val="single" w:color="auto" w:sz="4" w:space="0"/>
              <w:right w:val="single" w:color="auto" w:sz="4" w:space="0"/>
            </w:tcBorders>
            <w:vAlign w:val="center"/>
          </w:tcPr>
          <w:p>
            <w:pPr>
              <w:widowControl/>
              <w:jc w:val="center"/>
              <w:rPr>
                <w:kern w:val="0"/>
                <w:sz w:val="20"/>
                <w:szCs w:val="20"/>
              </w:rPr>
            </w:pPr>
            <w:r>
              <w:rPr>
                <w:kern w:val="0"/>
                <w:sz w:val="20"/>
                <w:szCs w:val="20"/>
              </w:rPr>
              <w:t>社会效益</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提升学院办学口碑和办学实力</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提升</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显著提升</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continue"/>
            <w:tcBorders>
              <w:left w:val="single" w:color="auto" w:sz="4" w:space="0"/>
              <w:bottom w:val="single" w:color="000000" w:sz="4" w:space="0"/>
              <w:right w:val="single" w:color="auto" w:sz="4" w:space="0"/>
            </w:tcBorders>
            <w:vAlign w:val="center"/>
          </w:tcPr>
          <w:p>
            <w:pPr>
              <w:widowControl/>
              <w:jc w:val="center"/>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39"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生态效益</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可持续影响</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满意度</w:t>
            </w:r>
            <w:r>
              <w:rPr>
                <w:kern w:val="0"/>
                <w:sz w:val="20"/>
                <w:szCs w:val="20"/>
              </w:rPr>
              <w:br w:type="textWrapping"/>
            </w:r>
            <w:r>
              <w:rPr>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r>
              <w:rPr>
                <w:kern w:val="0"/>
                <w:sz w:val="20"/>
                <w:szCs w:val="20"/>
              </w:rPr>
              <w:t>学生、教师抽样调查满意度</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满意度要≥90%</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满意度≥90%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bl>
    <w:p>
      <w:pPr>
        <w:spacing w:line="540" w:lineRule="exact"/>
        <w:ind w:firstLine="567"/>
        <w:rPr>
          <w:rStyle w:val="19"/>
          <w:rFonts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D79F73B-AFB7-4EB7-86D1-A905326B4EF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modern"/>
    <w:pitch w:val="default"/>
    <w:sig w:usb0="800002BF" w:usb1="38CF7CFA" w:usb2="00000016" w:usb3="00000000" w:csb0="00040001" w:csb1="00000000"/>
    <w:embedRegular r:id="rId2" w:fontKey="{75FE0535-3E05-4535-850D-FB7ECA1ED17A}"/>
  </w:font>
  <w:font w:name="华文中宋">
    <w:panose1 w:val="02010600040101010101"/>
    <w:charset w:val="86"/>
    <w:family w:val="auto"/>
    <w:pitch w:val="default"/>
    <w:sig w:usb0="00000287" w:usb1="080F0000" w:usb2="00000000" w:usb3="00000000" w:csb0="0004009F" w:csb1="DFD70000"/>
    <w:embedRegular r:id="rId3" w:fontKey="{0F97F673-E71B-4335-A448-6B49B0EADF56}"/>
  </w:font>
  <w:font w:name="方正小标宋_GBK">
    <w:panose1 w:val="02000000000000000000"/>
    <w:charset w:val="86"/>
    <w:family w:val="script"/>
    <w:pitch w:val="default"/>
    <w:sig w:usb0="A00002BF" w:usb1="38CF7CFA" w:usb2="00082016" w:usb3="00000000" w:csb0="00040001" w:csb1="00000000"/>
    <w:embedRegular r:id="rId4" w:fontKey="{9F6075BB-3EED-43D1-97EB-0D6B1346A538}"/>
  </w:font>
  <w:font w:name="仿宋_GB2312">
    <w:altName w:val="仿宋"/>
    <w:panose1 w:val="02010609030101010101"/>
    <w:charset w:val="86"/>
    <w:family w:val="modern"/>
    <w:pitch w:val="default"/>
    <w:sig w:usb0="00000000" w:usb1="00000000" w:usb2="00000010" w:usb3="00000000" w:csb0="00040000" w:csb1="00000000"/>
    <w:embedRegular r:id="rId5" w:fontKey="{F6C63D68-9852-4391-87CD-3394C2FEDA6A}"/>
  </w:font>
  <w:font w:name="楷体">
    <w:panose1 w:val="02010609060101010101"/>
    <w:charset w:val="86"/>
    <w:family w:val="modern"/>
    <w:pitch w:val="default"/>
    <w:sig w:usb0="800002BF" w:usb1="38CF7CFA" w:usb2="00000016" w:usb3="00000000" w:csb0="00040001" w:csb1="00000000"/>
    <w:embedRegular r:id="rId6" w:fontKey="{A296A7A2-2A64-4C98-9305-AEBFD58830E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6</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D4F2B4"/>
    <w:multiLevelType w:val="singleLevel"/>
    <w:tmpl w:val="53D4F2B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hiMzgzMWJiNDVmMjc4YmZhYzYxZmZlMGEwZTI0MDIifQ=="/>
  </w:docVars>
  <w:rsids>
    <w:rsidRoot w:val="00CA6457"/>
    <w:rsid w:val="00054E4A"/>
    <w:rsid w:val="00056465"/>
    <w:rsid w:val="00121AE4"/>
    <w:rsid w:val="001248A0"/>
    <w:rsid w:val="00146AAD"/>
    <w:rsid w:val="001B3A40"/>
    <w:rsid w:val="001C7D6A"/>
    <w:rsid w:val="001E0F84"/>
    <w:rsid w:val="001F50AA"/>
    <w:rsid w:val="002574E5"/>
    <w:rsid w:val="00261B25"/>
    <w:rsid w:val="003573F6"/>
    <w:rsid w:val="003908B7"/>
    <w:rsid w:val="00396616"/>
    <w:rsid w:val="00396863"/>
    <w:rsid w:val="004160BA"/>
    <w:rsid w:val="00435EBA"/>
    <w:rsid w:val="004366A8"/>
    <w:rsid w:val="00466CD9"/>
    <w:rsid w:val="004D5891"/>
    <w:rsid w:val="00502BA7"/>
    <w:rsid w:val="005162F1"/>
    <w:rsid w:val="00535153"/>
    <w:rsid w:val="00554F82"/>
    <w:rsid w:val="0056390D"/>
    <w:rsid w:val="005719B0"/>
    <w:rsid w:val="005B7F5A"/>
    <w:rsid w:val="005D10D6"/>
    <w:rsid w:val="00604841"/>
    <w:rsid w:val="006B1D50"/>
    <w:rsid w:val="006C51F3"/>
    <w:rsid w:val="006D7892"/>
    <w:rsid w:val="006E6BB4"/>
    <w:rsid w:val="007019D6"/>
    <w:rsid w:val="00746D8D"/>
    <w:rsid w:val="00853F74"/>
    <w:rsid w:val="00855E3A"/>
    <w:rsid w:val="0087325C"/>
    <w:rsid w:val="008850BA"/>
    <w:rsid w:val="008A6350"/>
    <w:rsid w:val="00922CB9"/>
    <w:rsid w:val="0093524D"/>
    <w:rsid w:val="009E3472"/>
    <w:rsid w:val="009E5CD9"/>
    <w:rsid w:val="00A26421"/>
    <w:rsid w:val="00A2686B"/>
    <w:rsid w:val="00A4293B"/>
    <w:rsid w:val="00A64DD3"/>
    <w:rsid w:val="00A67D50"/>
    <w:rsid w:val="00A8691A"/>
    <w:rsid w:val="00AB0B99"/>
    <w:rsid w:val="00AC1946"/>
    <w:rsid w:val="00B40063"/>
    <w:rsid w:val="00B41F61"/>
    <w:rsid w:val="00B75634"/>
    <w:rsid w:val="00B85761"/>
    <w:rsid w:val="00BA46E6"/>
    <w:rsid w:val="00BE0551"/>
    <w:rsid w:val="00C37114"/>
    <w:rsid w:val="00C56C72"/>
    <w:rsid w:val="00CA53AE"/>
    <w:rsid w:val="00CA6457"/>
    <w:rsid w:val="00D01457"/>
    <w:rsid w:val="00D17F2E"/>
    <w:rsid w:val="00D30354"/>
    <w:rsid w:val="00D3057F"/>
    <w:rsid w:val="00DB0B27"/>
    <w:rsid w:val="00DF42A0"/>
    <w:rsid w:val="00DF787F"/>
    <w:rsid w:val="00E13D93"/>
    <w:rsid w:val="00E769FE"/>
    <w:rsid w:val="00EA2CBE"/>
    <w:rsid w:val="00EB4B09"/>
    <w:rsid w:val="00F00E2F"/>
    <w:rsid w:val="00F3102C"/>
    <w:rsid w:val="00F32FEE"/>
    <w:rsid w:val="00F628C3"/>
    <w:rsid w:val="00F670FC"/>
    <w:rsid w:val="00F7704F"/>
    <w:rsid w:val="00FB10BB"/>
    <w:rsid w:val="015F0166"/>
    <w:rsid w:val="03487C3D"/>
    <w:rsid w:val="03CD4A10"/>
    <w:rsid w:val="070D6A3D"/>
    <w:rsid w:val="07313D66"/>
    <w:rsid w:val="078805D7"/>
    <w:rsid w:val="092624A6"/>
    <w:rsid w:val="0B030BD4"/>
    <w:rsid w:val="0B36073E"/>
    <w:rsid w:val="0BF81407"/>
    <w:rsid w:val="0DBC5BEE"/>
    <w:rsid w:val="0EAC28B2"/>
    <w:rsid w:val="0EBE5184"/>
    <w:rsid w:val="0EF73635"/>
    <w:rsid w:val="0F324401"/>
    <w:rsid w:val="0F5106FC"/>
    <w:rsid w:val="0F66427E"/>
    <w:rsid w:val="10D67CEA"/>
    <w:rsid w:val="114856A8"/>
    <w:rsid w:val="123C26C9"/>
    <w:rsid w:val="137C03FB"/>
    <w:rsid w:val="15BB65E5"/>
    <w:rsid w:val="15E76583"/>
    <w:rsid w:val="1AAC2E53"/>
    <w:rsid w:val="1AD371F6"/>
    <w:rsid w:val="1AD671C7"/>
    <w:rsid w:val="1B652756"/>
    <w:rsid w:val="1B7A1D77"/>
    <w:rsid w:val="1D25770B"/>
    <w:rsid w:val="1E444AB2"/>
    <w:rsid w:val="1FE6577E"/>
    <w:rsid w:val="20282278"/>
    <w:rsid w:val="22152236"/>
    <w:rsid w:val="221B11F4"/>
    <w:rsid w:val="232926EC"/>
    <w:rsid w:val="23B61A6F"/>
    <w:rsid w:val="24746D49"/>
    <w:rsid w:val="24DC012D"/>
    <w:rsid w:val="24EA0825"/>
    <w:rsid w:val="266D019A"/>
    <w:rsid w:val="27A86F28"/>
    <w:rsid w:val="29685B0D"/>
    <w:rsid w:val="2ACE39F4"/>
    <w:rsid w:val="2D9A573A"/>
    <w:rsid w:val="30A761EC"/>
    <w:rsid w:val="32893F2D"/>
    <w:rsid w:val="335128C6"/>
    <w:rsid w:val="337A3C27"/>
    <w:rsid w:val="34342BC5"/>
    <w:rsid w:val="35DE5220"/>
    <w:rsid w:val="37BC09C4"/>
    <w:rsid w:val="38052E7F"/>
    <w:rsid w:val="39532122"/>
    <w:rsid w:val="395E34F4"/>
    <w:rsid w:val="39977020"/>
    <w:rsid w:val="39B835CE"/>
    <w:rsid w:val="3BC9502F"/>
    <w:rsid w:val="3C764C29"/>
    <w:rsid w:val="3F1B25E4"/>
    <w:rsid w:val="3F41260F"/>
    <w:rsid w:val="3F99481B"/>
    <w:rsid w:val="41076FDA"/>
    <w:rsid w:val="410A62CE"/>
    <w:rsid w:val="42707197"/>
    <w:rsid w:val="435C16C9"/>
    <w:rsid w:val="439E281B"/>
    <w:rsid w:val="43B772A2"/>
    <w:rsid w:val="44664DA7"/>
    <w:rsid w:val="45933DB9"/>
    <w:rsid w:val="4655419E"/>
    <w:rsid w:val="47CF64B3"/>
    <w:rsid w:val="480E2A5E"/>
    <w:rsid w:val="484D2F4E"/>
    <w:rsid w:val="48560176"/>
    <w:rsid w:val="491E568D"/>
    <w:rsid w:val="498A3444"/>
    <w:rsid w:val="4C054D2F"/>
    <w:rsid w:val="4EA77B4F"/>
    <w:rsid w:val="50503D44"/>
    <w:rsid w:val="50565A5B"/>
    <w:rsid w:val="51C96B78"/>
    <w:rsid w:val="546F5BE6"/>
    <w:rsid w:val="56883DB7"/>
    <w:rsid w:val="58B74AC8"/>
    <w:rsid w:val="591D2DA9"/>
    <w:rsid w:val="5AB316C2"/>
    <w:rsid w:val="5B0819C3"/>
    <w:rsid w:val="5D4C245C"/>
    <w:rsid w:val="5DC2080A"/>
    <w:rsid w:val="5E3D6569"/>
    <w:rsid w:val="5F863A0C"/>
    <w:rsid w:val="5FB54B92"/>
    <w:rsid w:val="5FFD3037"/>
    <w:rsid w:val="604872FE"/>
    <w:rsid w:val="618968A0"/>
    <w:rsid w:val="618A2F1E"/>
    <w:rsid w:val="62270DCD"/>
    <w:rsid w:val="62602D3A"/>
    <w:rsid w:val="64E66C78"/>
    <w:rsid w:val="66A93F85"/>
    <w:rsid w:val="67F80CD2"/>
    <w:rsid w:val="6840469E"/>
    <w:rsid w:val="68FB491E"/>
    <w:rsid w:val="699802C3"/>
    <w:rsid w:val="6A256A5C"/>
    <w:rsid w:val="6A562C91"/>
    <w:rsid w:val="6BB16661"/>
    <w:rsid w:val="6BDA399F"/>
    <w:rsid w:val="6D752CDD"/>
    <w:rsid w:val="6F151F5A"/>
    <w:rsid w:val="6FAE04C1"/>
    <w:rsid w:val="6FF36C0B"/>
    <w:rsid w:val="71077582"/>
    <w:rsid w:val="72FC4FD1"/>
    <w:rsid w:val="733477D3"/>
    <w:rsid w:val="767D252B"/>
    <w:rsid w:val="76F21F21"/>
    <w:rsid w:val="794A7BF0"/>
    <w:rsid w:val="7AEF4092"/>
    <w:rsid w:val="7BF33D14"/>
    <w:rsid w:val="7C796795"/>
    <w:rsid w:val="7CC006F4"/>
    <w:rsid w:val="7DF941FE"/>
    <w:rsid w:val="7E0A7F06"/>
    <w:rsid w:val="7E647E94"/>
    <w:rsid w:val="7EC70D0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paragraph" w:customStyle="1" w:styleId="47">
    <w:name w:val="Char Char Char1 Char"/>
    <w:basedOn w:val="1"/>
    <w:semiHidden/>
    <w:qFormat/>
    <w:uiPriority w:val="0"/>
    <w:pPr>
      <w:widowControl/>
      <w:spacing w:after="160" w:line="240" w:lineRule="exact"/>
      <w:jc w:val="left"/>
    </w:pPr>
    <w:rPr>
      <w:rFonts w:ascii="Verdana" w:hAnsi="Verdana"/>
      <w:kern w:val="0"/>
      <w:sz w:val="20"/>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7</Pages>
  <Words>2814</Words>
  <Characters>2931</Characters>
  <Lines>22</Lines>
  <Paragraphs>6</Paragraphs>
  <TotalTime>3</TotalTime>
  <ScaleCrop>false</ScaleCrop>
  <LinksUpToDate>false</LinksUpToDate>
  <CharactersWithSpaces>2935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Qxb</cp:lastModifiedBy>
  <cp:lastPrinted>2018-12-31T10:56:00Z</cp:lastPrinted>
  <dcterms:modified xsi:type="dcterms:W3CDTF">2024-07-01T03:40:52Z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DA51EA0277024127A192421F8001609C_12</vt:lpwstr>
  </property>
</Properties>
</file>