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F03D6F">
      <w:pPr>
        <w:spacing w:line="540" w:lineRule="exact"/>
        <w:jc w:val="left"/>
        <w:rPr>
          <w:rFonts w:eastAsia="仿宋"/>
          <w:kern w:val="0"/>
          <w:sz w:val="32"/>
          <w:szCs w:val="32"/>
        </w:rPr>
      </w:pPr>
      <w:r>
        <w:rPr>
          <w:rFonts w:eastAsia="仿宋"/>
          <w:kern w:val="0"/>
          <w:sz w:val="32"/>
          <w:szCs w:val="32"/>
        </w:rPr>
        <w:t>附件2：</w:t>
      </w:r>
    </w:p>
    <w:p w14:paraId="152B4137">
      <w:pPr>
        <w:spacing w:line="540" w:lineRule="exact"/>
        <w:jc w:val="center"/>
        <w:rPr>
          <w:rFonts w:eastAsia="华文中宋"/>
          <w:b/>
          <w:kern w:val="0"/>
          <w:sz w:val="52"/>
          <w:szCs w:val="52"/>
        </w:rPr>
      </w:pPr>
    </w:p>
    <w:p w14:paraId="6C964600">
      <w:pPr>
        <w:spacing w:line="540" w:lineRule="exact"/>
        <w:jc w:val="center"/>
        <w:rPr>
          <w:rFonts w:eastAsia="华文中宋"/>
          <w:b/>
          <w:kern w:val="0"/>
          <w:sz w:val="52"/>
          <w:szCs w:val="52"/>
        </w:rPr>
      </w:pPr>
    </w:p>
    <w:p w14:paraId="55A03404">
      <w:pPr>
        <w:spacing w:line="540" w:lineRule="exact"/>
        <w:jc w:val="center"/>
        <w:rPr>
          <w:rFonts w:eastAsia="华文中宋"/>
          <w:b/>
          <w:kern w:val="0"/>
          <w:sz w:val="52"/>
          <w:szCs w:val="52"/>
        </w:rPr>
      </w:pPr>
    </w:p>
    <w:p w14:paraId="1AD1AB7B">
      <w:pPr>
        <w:spacing w:line="540" w:lineRule="exact"/>
        <w:jc w:val="center"/>
        <w:rPr>
          <w:rFonts w:eastAsia="华文中宋"/>
          <w:b/>
          <w:kern w:val="0"/>
          <w:sz w:val="52"/>
          <w:szCs w:val="52"/>
        </w:rPr>
      </w:pPr>
    </w:p>
    <w:p w14:paraId="45E0F1DE">
      <w:pPr>
        <w:spacing w:line="540" w:lineRule="exact"/>
        <w:jc w:val="center"/>
        <w:rPr>
          <w:rFonts w:eastAsia="华文中宋"/>
          <w:b/>
          <w:kern w:val="0"/>
          <w:sz w:val="52"/>
          <w:szCs w:val="52"/>
        </w:rPr>
      </w:pPr>
    </w:p>
    <w:p w14:paraId="6FD0C884">
      <w:pPr>
        <w:spacing w:line="540" w:lineRule="exact"/>
        <w:jc w:val="center"/>
        <w:rPr>
          <w:rFonts w:eastAsia="华文中宋"/>
          <w:b/>
          <w:kern w:val="0"/>
          <w:sz w:val="52"/>
          <w:szCs w:val="52"/>
        </w:rPr>
      </w:pPr>
    </w:p>
    <w:p w14:paraId="78070EE0">
      <w:pPr>
        <w:spacing w:line="540" w:lineRule="exact"/>
        <w:jc w:val="center"/>
        <w:rPr>
          <w:rFonts w:eastAsia="方正小标宋_GBK"/>
          <w:b/>
          <w:kern w:val="0"/>
          <w:sz w:val="48"/>
          <w:szCs w:val="48"/>
        </w:rPr>
      </w:pPr>
      <w:r>
        <w:rPr>
          <w:rFonts w:eastAsia="方正小标宋_GBK"/>
          <w:b/>
          <w:kern w:val="0"/>
          <w:sz w:val="48"/>
          <w:szCs w:val="48"/>
        </w:rPr>
        <w:t>巴音郭楞职业技术学院</w:t>
      </w:r>
    </w:p>
    <w:p w14:paraId="2EBA0E92">
      <w:pPr>
        <w:spacing w:line="540" w:lineRule="exact"/>
        <w:jc w:val="center"/>
        <w:rPr>
          <w:rFonts w:eastAsia="方正小标宋_GBK"/>
          <w:b/>
          <w:kern w:val="0"/>
          <w:sz w:val="48"/>
          <w:szCs w:val="48"/>
        </w:rPr>
      </w:pPr>
      <w:r>
        <w:rPr>
          <w:rFonts w:eastAsia="方正小标宋_GBK"/>
          <w:b/>
          <w:kern w:val="0"/>
          <w:sz w:val="48"/>
          <w:szCs w:val="48"/>
        </w:rPr>
        <w:t>财政项目支出绩效自评报告</w:t>
      </w:r>
    </w:p>
    <w:p w14:paraId="3D3E7F0A">
      <w:pPr>
        <w:spacing w:line="540" w:lineRule="exact"/>
        <w:jc w:val="center"/>
        <w:rPr>
          <w:rFonts w:eastAsia="华文中宋"/>
          <w:b/>
          <w:kern w:val="0"/>
          <w:sz w:val="52"/>
          <w:szCs w:val="52"/>
        </w:rPr>
      </w:pPr>
    </w:p>
    <w:p w14:paraId="5DA6E7B4">
      <w:pPr>
        <w:spacing w:line="540" w:lineRule="exact"/>
        <w:jc w:val="center"/>
        <w:rPr>
          <w:rFonts w:eastAsia="仿宋_GB2312"/>
          <w:kern w:val="0"/>
          <w:sz w:val="36"/>
          <w:szCs w:val="36"/>
        </w:rPr>
      </w:pPr>
      <w:r>
        <w:rPr>
          <w:rFonts w:eastAsia="仿宋_GB2312"/>
          <w:kern w:val="0"/>
          <w:sz w:val="36"/>
          <w:szCs w:val="36"/>
        </w:rPr>
        <w:t>（2018年度）</w:t>
      </w:r>
    </w:p>
    <w:p w14:paraId="3FD9FE81">
      <w:pPr>
        <w:spacing w:line="540" w:lineRule="exact"/>
        <w:jc w:val="center"/>
        <w:rPr>
          <w:rFonts w:eastAsia="仿宋_GB2312"/>
          <w:kern w:val="0"/>
          <w:sz w:val="30"/>
          <w:szCs w:val="30"/>
        </w:rPr>
      </w:pPr>
    </w:p>
    <w:p w14:paraId="1AAF0B85">
      <w:pPr>
        <w:spacing w:line="540" w:lineRule="exact"/>
        <w:jc w:val="center"/>
        <w:rPr>
          <w:rFonts w:eastAsia="仿宋_GB2312"/>
          <w:kern w:val="0"/>
          <w:sz w:val="30"/>
          <w:szCs w:val="30"/>
        </w:rPr>
      </w:pPr>
    </w:p>
    <w:p w14:paraId="3E7B816C">
      <w:pPr>
        <w:spacing w:line="540" w:lineRule="exact"/>
        <w:jc w:val="center"/>
        <w:rPr>
          <w:rFonts w:eastAsia="仿宋_GB2312"/>
          <w:kern w:val="0"/>
          <w:sz w:val="30"/>
          <w:szCs w:val="30"/>
        </w:rPr>
      </w:pPr>
    </w:p>
    <w:p w14:paraId="5FFB8BAE">
      <w:pPr>
        <w:spacing w:line="540" w:lineRule="exact"/>
        <w:jc w:val="center"/>
        <w:rPr>
          <w:rFonts w:eastAsia="仿宋_GB2312"/>
          <w:kern w:val="0"/>
          <w:sz w:val="30"/>
          <w:szCs w:val="30"/>
        </w:rPr>
      </w:pPr>
    </w:p>
    <w:p w14:paraId="5E905577">
      <w:pPr>
        <w:spacing w:line="540" w:lineRule="exact"/>
        <w:jc w:val="center"/>
        <w:rPr>
          <w:rFonts w:eastAsia="仿宋_GB2312"/>
          <w:kern w:val="0"/>
          <w:sz w:val="30"/>
          <w:szCs w:val="30"/>
        </w:rPr>
      </w:pPr>
    </w:p>
    <w:p w14:paraId="47B42962">
      <w:pPr>
        <w:spacing w:line="540" w:lineRule="exact"/>
        <w:rPr>
          <w:rFonts w:eastAsia="仿宋_GB2312"/>
          <w:kern w:val="0"/>
          <w:sz w:val="30"/>
          <w:szCs w:val="30"/>
        </w:rPr>
      </w:pPr>
    </w:p>
    <w:p w14:paraId="0F9DE999">
      <w:pPr>
        <w:spacing w:line="700" w:lineRule="exact"/>
        <w:jc w:val="left"/>
        <w:rPr>
          <w:rFonts w:eastAsia="仿宋_GB2312"/>
          <w:kern w:val="0"/>
          <w:sz w:val="36"/>
          <w:szCs w:val="36"/>
        </w:rPr>
      </w:pPr>
      <w:r>
        <w:rPr>
          <w:rFonts w:eastAsia="仿宋_GB2312"/>
          <w:kern w:val="0"/>
          <w:sz w:val="36"/>
          <w:szCs w:val="36"/>
        </w:rPr>
        <w:t>项目名称：图书馆维修改造工程</w:t>
      </w:r>
    </w:p>
    <w:p w14:paraId="3A09F574">
      <w:pPr>
        <w:spacing w:line="700" w:lineRule="exact"/>
        <w:jc w:val="left"/>
        <w:rPr>
          <w:rFonts w:eastAsia="仿宋_GB2312"/>
          <w:kern w:val="0"/>
          <w:sz w:val="36"/>
          <w:szCs w:val="36"/>
        </w:rPr>
      </w:pPr>
      <w:r>
        <w:rPr>
          <w:rFonts w:eastAsia="仿宋_GB2312"/>
          <w:kern w:val="0"/>
          <w:sz w:val="36"/>
          <w:szCs w:val="36"/>
        </w:rPr>
        <w:t>实施单位（公章）：巴音郭楞职业技术学院</w:t>
      </w:r>
    </w:p>
    <w:p w14:paraId="61EEBC97">
      <w:pPr>
        <w:spacing w:line="700" w:lineRule="exact"/>
        <w:ind w:firstLine="849" w:firstLineChars="236"/>
        <w:jc w:val="left"/>
        <w:rPr>
          <w:rFonts w:eastAsia="仿宋_GB2312"/>
          <w:kern w:val="0"/>
          <w:sz w:val="36"/>
          <w:szCs w:val="36"/>
        </w:rPr>
      </w:pPr>
      <w:r>
        <w:rPr>
          <w:rFonts w:eastAsia="仿宋_GB2312"/>
          <w:kern w:val="0"/>
          <w:sz w:val="36"/>
          <w:szCs w:val="36"/>
        </w:rPr>
        <w:t>主管部门（公章）：巴州教育局</w:t>
      </w:r>
    </w:p>
    <w:p w14:paraId="5C2268A2">
      <w:pPr>
        <w:spacing w:line="700" w:lineRule="exact"/>
        <w:ind w:firstLine="849" w:firstLineChars="236"/>
        <w:jc w:val="left"/>
        <w:rPr>
          <w:rFonts w:eastAsia="仿宋_GB2312"/>
          <w:kern w:val="0"/>
          <w:sz w:val="36"/>
          <w:szCs w:val="36"/>
        </w:rPr>
      </w:pPr>
      <w:r>
        <w:rPr>
          <w:rFonts w:eastAsia="仿宋_GB2312"/>
          <w:kern w:val="0"/>
          <w:sz w:val="36"/>
          <w:szCs w:val="36"/>
        </w:rPr>
        <w:t>项目负责人（签章）：叶艳丽</w:t>
      </w:r>
    </w:p>
    <w:p w14:paraId="1B5AA67E">
      <w:pPr>
        <w:spacing w:line="700" w:lineRule="exact"/>
        <w:ind w:firstLine="849" w:firstLineChars="236"/>
        <w:jc w:val="left"/>
        <w:rPr>
          <w:rFonts w:eastAsia="仿宋_GB2312"/>
          <w:kern w:val="0"/>
          <w:sz w:val="36"/>
          <w:szCs w:val="36"/>
        </w:rPr>
      </w:pPr>
      <w:r>
        <w:rPr>
          <w:rFonts w:eastAsia="仿宋_GB2312"/>
          <w:kern w:val="0"/>
          <w:sz w:val="36"/>
          <w:szCs w:val="36"/>
        </w:rPr>
        <w:t>填报时间：2019年1月24日</w:t>
      </w:r>
    </w:p>
    <w:p w14:paraId="7FE86BF4">
      <w:pPr>
        <w:spacing w:line="540" w:lineRule="exact"/>
        <w:jc w:val="center"/>
        <w:rPr>
          <w:rFonts w:eastAsia="仿宋_GB2312"/>
          <w:kern w:val="0"/>
          <w:sz w:val="30"/>
          <w:szCs w:val="30"/>
        </w:rPr>
      </w:pPr>
    </w:p>
    <w:p w14:paraId="56FFEEA1">
      <w:pPr>
        <w:spacing w:line="540" w:lineRule="exact"/>
        <w:rPr>
          <w:rStyle w:val="19"/>
          <w:rFonts w:eastAsia="黑体"/>
          <w:b w:val="0"/>
          <w:spacing w:val="-4"/>
          <w:sz w:val="32"/>
          <w:szCs w:val="32"/>
        </w:rPr>
      </w:pPr>
    </w:p>
    <w:p w14:paraId="773EE112">
      <w:pPr>
        <w:spacing w:line="540" w:lineRule="exact"/>
        <w:ind w:firstLine="640"/>
        <w:rPr>
          <w:rStyle w:val="19"/>
          <w:rFonts w:eastAsia="黑体"/>
          <w:b w:val="0"/>
          <w:spacing w:val="-4"/>
          <w:sz w:val="32"/>
          <w:szCs w:val="32"/>
        </w:rPr>
      </w:pPr>
      <w:r>
        <w:rPr>
          <w:rStyle w:val="19"/>
          <w:rFonts w:eastAsia="黑体"/>
          <w:b w:val="0"/>
          <w:spacing w:val="-4"/>
          <w:sz w:val="32"/>
          <w:szCs w:val="32"/>
        </w:rPr>
        <w:t>一、项目概况</w:t>
      </w:r>
    </w:p>
    <w:p w14:paraId="437858C4">
      <w:pPr>
        <w:spacing w:line="540" w:lineRule="exact"/>
        <w:ind w:firstLine="567"/>
        <w:rPr>
          <w:rStyle w:val="19"/>
          <w:rFonts w:eastAsia="仿宋"/>
          <w:spacing w:val="-4"/>
          <w:sz w:val="32"/>
          <w:szCs w:val="32"/>
        </w:rPr>
      </w:pPr>
      <w:r>
        <w:rPr>
          <w:rStyle w:val="19"/>
          <w:rFonts w:eastAsia="仿宋"/>
          <w:spacing w:val="-4"/>
          <w:sz w:val="32"/>
          <w:szCs w:val="32"/>
        </w:rPr>
        <w:t>（一）项目单位基本情况</w:t>
      </w:r>
    </w:p>
    <w:p w14:paraId="2F023D92">
      <w:pPr>
        <w:spacing w:line="540" w:lineRule="exact"/>
        <w:ind w:firstLine="640"/>
        <w:rPr>
          <w:rFonts w:eastAsia="仿宋"/>
          <w:sz w:val="32"/>
          <w:szCs w:val="32"/>
        </w:rPr>
      </w:pPr>
      <w:r>
        <w:rPr>
          <w:rFonts w:eastAsia="仿宋"/>
          <w:sz w:val="32"/>
          <w:szCs w:val="32"/>
        </w:rPr>
        <w:t>巴音郭楞职业技术学院成立于2002年2月。2007年又挂牌成立了“巴音郭楞技师培训学院”，与职业技术学院实行“两块牌子，一套班子”的管理运行机制。2010年，“巴音郭楞技工学校”恢复挂牌。2016年9月，学院与河北师范大学联合举办的“本科专业试点班”正式开班。学院初步形成了高职教育为主体，本科教育、中职（技工）教育、职业培训、成人继续教育并存的终身教育体系。目前学院设置了石油化工、冶金与资源、机械电气工程、生物工程、交通工程、电子信息工程、传媒、纺织服装、商务经济管理、公共教育等12个二级学院，开设中职专业55个、高职专业53个、本科试点专业4个。</w:t>
      </w:r>
    </w:p>
    <w:p w14:paraId="0F12D1B8">
      <w:pPr>
        <w:spacing w:line="540" w:lineRule="exact"/>
        <w:ind w:firstLine="567" w:firstLineChars="181"/>
        <w:rPr>
          <w:rStyle w:val="19"/>
          <w:rFonts w:eastAsia="仿宋"/>
          <w:spacing w:val="-4"/>
          <w:sz w:val="32"/>
          <w:szCs w:val="32"/>
        </w:rPr>
      </w:pPr>
      <w:r>
        <w:rPr>
          <w:rStyle w:val="19"/>
          <w:rFonts w:eastAsia="仿宋"/>
          <w:spacing w:val="-4"/>
          <w:sz w:val="32"/>
          <w:szCs w:val="32"/>
        </w:rPr>
        <w:t>（二）项目预算绩效目标设定情况</w:t>
      </w:r>
    </w:p>
    <w:p w14:paraId="44FC2FEE">
      <w:pPr>
        <w:spacing w:line="540" w:lineRule="exact"/>
        <w:ind w:firstLine="640"/>
        <w:rPr>
          <w:rFonts w:eastAsia="仿宋"/>
          <w:bCs/>
          <w:spacing w:val="-4"/>
          <w:sz w:val="32"/>
          <w:szCs w:val="32"/>
        </w:rPr>
      </w:pPr>
      <w:r>
        <w:rPr>
          <w:rFonts w:eastAsia="仿宋"/>
          <w:sz w:val="32"/>
          <w:szCs w:val="32"/>
        </w:rPr>
        <w:t>深入贯彻落实</w:t>
      </w:r>
      <w:r>
        <w:rPr>
          <w:rFonts w:hint="eastAsia" w:eastAsia="仿宋"/>
          <w:sz w:val="32"/>
          <w:szCs w:val="32"/>
          <w:lang w:val="en-US" w:eastAsia="zh-CN"/>
        </w:rPr>
        <w:t>党的</w:t>
      </w:r>
      <w:r>
        <w:rPr>
          <w:rFonts w:eastAsia="仿宋"/>
          <w:sz w:val="32"/>
          <w:szCs w:val="32"/>
        </w:rPr>
        <w:t>十九大精神，完善职业教育和培训体系，深化产教融合、校企合作。贯彻落实第六次全国对口支援新疆工作会议和自治区第九次党代会精神，加快发展新疆现代职业教育。</w:t>
      </w:r>
      <w:r>
        <w:rPr>
          <w:rFonts w:hint="eastAsia" w:eastAsia="仿宋"/>
          <w:sz w:val="32"/>
          <w:szCs w:val="32"/>
        </w:rPr>
        <w:t>进一步改善图书馆功能布局作用，完善图书馆内部建设，对图书馆进行改造和维修，</w:t>
      </w:r>
      <w:r>
        <w:rPr>
          <w:rFonts w:eastAsia="仿宋"/>
          <w:bCs/>
          <w:spacing w:val="-4"/>
          <w:sz w:val="32"/>
          <w:szCs w:val="32"/>
        </w:rPr>
        <w:t>学院图书室馆维修改造资金，资金来源为由库尔勒市农商行</w:t>
      </w:r>
      <w:r>
        <w:rPr>
          <w:rFonts w:hint="eastAsia" w:eastAsia="仿宋"/>
          <w:bCs/>
          <w:spacing w:val="-4"/>
          <w:sz w:val="32"/>
          <w:szCs w:val="32"/>
        </w:rPr>
        <w:t>提供</w:t>
      </w:r>
      <w:r>
        <w:rPr>
          <w:rFonts w:eastAsia="仿宋"/>
          <w:bCs/>
          <w:spacing w:val="-4"/>
          <w:sz w:val="32"/>
          <w:szCs w:val="32"/>
        </w:rPr>
        <w:t>。</w:t>
      </w:r>
    </w:p>
    <w:p w14:paraId="1ECB9C51">
      <w:pPr>
        <w:spacing w:line="540" w:lineRule="exact"/>
        <w:ind w:firstLine="640"/>
        <w:rPr>
          <w:rStyle w:val="19"/>
          <w:rFonts w:eastAsia="黑体"/>
          <w:b w:val="0"/>
          <w:spacing w:val="-4"/>
          <w:sz w:val="32"/>
          <w:szCs w:val="32"/>
        </w:rPr>
      </w:pPr>
      <w:r>
        <w:rPr>
          <w:rStyle w:val="19"/>
          <w:rFonts w:eastAsia="黑体"/>
          <w:b w:val="0"/>
          <w:spacing w:val="-4"/>
          <w:sz w:val="32"/>
          <w:szCs w:val="32"/>
        </w:rPr>
        <w:t>二、项目资金使用及管理情况</w:t>
      </w:r>
    </w:p>
    <w:p w14:paraId="6D761247">
      <w:pPr>
        <w:spacing w:line="540" w:lineRule="exact"/>
        <w:ind w:firstLine="567" w:firstLineChars="181"/>
        <w:rPr>
          <w:rStyle w:val="19"/>
          <w:rFonts w:eastAsia="仿宋"/>
          <w:spacing w:val="-4"/>
          <w:sz w:val="32"/>
          <w:szCs w:val="32"/>
        </w:rPr>
      </w:pPr>
      <w:r>
        <w:rPr>
          <w:rStyle w:val="19"/>
          <w:rFonts w:eastAsia="仿宋"/>
          <w:spacing w:val="-4"/>
          <w:sz w:val="32"/>
          <w:szCs w:val="32"/>
        </w:rPr>
        <w:t>（一）项目资金安排落实、总投入等情况分析</w:t>
      </w:r>
    </w:p>
    <w:p w14:paraId="1DD80669">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预期总投入</w:t>
      </w:r>
      <w:r>
        <w:rPr>
          <w:rFonts w:eastAsia="仿宋"/>
          <w:sz w:val="32"/>
          <w:szCs w:val="32"/>
        </w:rPr>
        <w:t>资金400万元。</w:t>
      </w:r>
    </w:p>
    <w:p w14:paraId="18A3BD4C">
      <w:pPr>
        <w:spacing w:line="540" w:lineRule="exact"/>
        <w:ind w:firstLine="567" w:firstLineChars="181"/>
        <w:rPr>
          <w:rStyle w:val="19"/>
          <w:rFonts w:eastAsia="仿宋"/>
          <w:spacing w:val="-4"/>
          <w:sz w:val="32"/>
          <w:szCs w:val="32"/>
        </w:rPr>
      </w:pPr>
      <w:r>
        <w:rPr>
          <w:rStyle w:val="19"/>
          <w:rFonts w:eastAsia="仿宋"/>
          <w:spacing w:val="-4"/>
          <w:sz w:val="32"/>
          <w:szCs w:val="32"/>
        </w:rPr>
        <w:t>（二）项目资金实际使用情况分析</w:t>
      </w:r>
    </w:p>
    <w:p w14:paraId="7A0868DA">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总投入</w:t>
      </w:r>
      <w:r>
        <w:rPr>
          <w:rFonts w:eastAsia="仿宋"/>
          <w:sz w:val="32"/>
          <w:szCs w:val="32"/>
        </w:rPr>
        <w:t>资金400万元</w:t>
      </w:r>
      <w:r>
        <w:rPr>
          <w:rStyle w:val="19"/>
          <w:rFonts w:hint="eastAsia" w:eastAsia="仿宋"/>
          <w:b w:val="0"/>
          <w:spacing w:val="-4"/>
          <w:sz w:val="32"/>
          <w:szCs w:val="32"/>
        </w:rPr>
        <w:t>，</w:t>
      </w:r>
      <w:r>
        <w:rPr>
          <w:rStyle w:val="19"/>
          <w:rFonts w:eastAsia="仿宋"/>
          <w:b w:val="0"/>
          <w:spacing w:val="-4"/>
          <w:sz w:val="32"/>
          <w:szCs w:val="32"/>
        </w:rPr>
        <w:t>本次支付99.91万元。</w:t>
      </w:r>
    </w:p>
    <w:p w14:paraId="3D630A8F">
      <w:pPr>
        <w:spacing w:line="540" w:lineRule="exact"/>
        <w:ind w:firstLine="567" w:firstLineChars="181"/>
        <w:rPr>
          <w:rStyle w:val="19"/>
          <w:rFonts w:eastAsia="仿宋"/>
          <w:spacing w:val="-4"/>
          <w:sz w:val="32"/>
          <w:szCs w:val="32"/>
        </w:rPr>
      </w:pPr>
      <w:r>
        <w:rPr>
          <w:rStyle w:val="19"/>
          <w:rFonts w:eastAsia="仿宋"/>
          <w:spacing w:val="-4"/>
          <w:sz w:val="32"/>
          <w:szCs w:val="32"/>
        </w:rPr>
        <w:t>（三）项目资金管理情况分析</w:t>
      </w:r>
    </w:p>
    <w:p w14:paraId="62E7F668">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专项资金专项使用，资金的拨付本着专款专用的原则，严格执行项目资金批准的使用计划，不准擅自调项、扩项、缩项，更不准挪用、挤占和随意扣压；资金拨付动向，按不同专项资金的要求执行，不准任意改变。严格专项资金初审核制度。专项资金报账拨付要附真实、有效、合法的凭证。加强审计监督，对专项资金要定期或不定期进行督查，确保项目资金专款专用。</w:t>
      </w:r>
    </w:p>
    <w:p w14:paraId="6BAA669F">
      <w:pPr>
        <w:spacing w:line="540" w:lineRule="exact"/>
        <w:ind w:firstLine="624" w:firstLineChars="200"/>
        <w:rPr>
          <w:rStyle w:val="19"/>
          <w:rFonts w:eastAsia="黑体"/>
          <w:b w:val="0"/>
          <w:spacing w:val="-4"/>
          <w:sz w:val="32"/>
          <w:szCs w:val="32"/>
        </w:rPr>
      </w:pPr>
      <w:r>
        <w:rPr>
          <w:rStyle w:val="19"/>
          <w:rFonts w:eastAsia="黑体"/>
          <w:b w:val="0"/>
          <w:spacing w:val="-4"/>
          <w:sz w:val="32"/>
          <w:szCs w:val="32"/>
        </w:rPr>
        <w:t>三、项目组织实施情况</w:t>
      </w:r>
    </w:p>
    <w:p w14:paraId="0E6DDD22">
      <w:pPr>
        <w:spacing w:line="540" w:lineRule="exact"/>
        <w:ind w:firstLine="567" w:firstLineChars="181"/>
        <w:rPr>
          <w:rStyle w:val="19"/>
          <w:rFonts w:eastAsia="仿宋"/>
          <w:spacing w:val="-4"/>
          <w:sz w:val="32"/>
          <w:szCs w:val="32"/>
        </w:rPr>
      </w:pPr>
      <w:r>
        <w:rPr>
          <w:rStyle w:val="19"/>
          <w:rFonts w:eastAsia="仿宋"/>
          <w:spacing w:val="-4"/>
          <w:sz w:val="32"/>
          <w:szCs w:val="32"/>
        </w:rPr>
        <w:t>（一）项目组织情况分析</w:t>
      </w:r>
    </w:p>
    <w:p w14:paraId="37079C1F">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严格按照工程项目招标法相关规定，于2018年9月完开始开工建设。</w:t>
      </w:r>
    </w:p>
    <w:p w14:paraId="7D7CE900">
      <w:pPr>
        <w:spacing w:line="540" w:lineRule="exact"/>
        <w:ind w:firstLine="567" w:firstLineChars="181"/>
        <w:rPr>
          <w:rStyle w:val="19"/>
          <w:rFonts w:eastAsia="仿宋"/>
          <w:spacing w:val="-4"/>
          <w:sz w:val="32"/>
          <w:szCs w:val="32"/>
        </w:rPr>
      </w:pPr>
      <w:r>
        <w:rPr>
          <w:rStyle w:val="19"/>
          <w:rFonts w:eastAsia="仿宋"/>
          <w:spacing w:val="-4"/>
          <w:sz w:val="32"/>
          <w:szCs w:val="32"/>
        </w:rPr>
        <w:t>（二）项目管理情况分析</w:t>
      </w:r>
    </w:p>
    <w:p w14:paraId="3E66BEC0">
      <w:pPr>
        <w:spacing w:line="540" w:lineRule="exact"/>
        <w:ind w:firstLine="564" w:firstLineChars="181"/>
        <w:rPr>
          <w:rStyle w:val="19"/>
          <w:rFonts w:eastAsia="仿宋"/>
          <w:b w:val="0"/>
          <w:spacing w:val="-4"/>
          <w:sz w:val="32"/>
          <w:szCs w:val="32"/>
        </w:rPr>
      </w:pPr>
      <w:r>
        <w:rPr>
          <w:rFonts w:hint="eastAsia" w:ascii="仿宋" w:hAnsi="仿宋" w:eastAsia="仿宋"/>
          <w:bCs/>
          <w:spacing w:val="-4"/>
          <w:sz w:val="32"/>
          <w:szCs w:val="32"/>
        </w:rPr>
        <w:t>贯彻实施项目建设任务是</w:t>
      </w:r>
      <w:bookmarkStart w:id="0" w:name="_GoBack"/>
      <w:bookmarkEnd w:id="0"/>
      <w:r>
        <w:rPr>
          <w:rFonts w:hint="eastAsia" w:ascii="仿宋" w:hAnsi="仿宋" w:eastAsia="仿宋"/>
          <w:bCs/>
          <w:spacing w:val="-4"/>
          <w:sz w:val="32"/>
          <w:szCs w:val="32"/>
        </w:rPr>
        <w:t>学院党委和职能部门的重要职责。学院负责项目建设的主管领导统筹规划，主要责任部门具体负责，对项目建设目标任务进行调查研究，明确责任，实施好项目建设内容</w:t>
      </w:r>
      <w:r>
        <w:rPr>
          <w:rFonts w:ascii="仿宋" w:hAnsi="仿宋" w:eastAsia="仿宋"/>
          <w:bCs/>
          <w:spacing w:val="-4"/>
          <w:sz w:val="32"/>
          <w:szCs w:val="32"/>
        </w:rPr>
        <w:t>。</w:t>
      </w:r>
      <w:r>
        <w:rPr>
          <w:rFonts w:hint="eastAsia" w:ascii="仿宋" w:hAnsi="仿宋" w:eastAsia="仿宋"/>
          <w:bCs/>
          <w:spacing w:val="-4"/>
          <w:sz w:val="32"/>
          <w:szCs w:val="32"/>
        </w:rPr>
        <w:t>一是</w:t>
      </w:r>
      <w:r>
        <w:rPr>
          <w:rFonts w:ascii="仿宋" w:hAnsi="仿宋" w:eastAsia="仿宋"/>
          <w:bCs/>
          <w:spacing w:val="-4"/>
          <w:sz w:val="32"/>
          <w:szCs w:val="32"/>
        </w:rPr>
        <w:t>坚决执行《巴音郭楞职业技术学院学院专项资金管理办法》，严禁将债券资金截留、挤占或挪作他用，项目建设所需其他资金通过学院自筹的方式解决，并确保足额及时到位。</w:t>
      </w:r>
      <w:r>
        <w:rPr>
          <w:rFonts w:hint="eastAsia" w:ascii="仿宋" w:hAnsi="仿宋" w:eastAsia="仿宋"/>
          <w:bCs/>
          <w:spacing w:val="-4"/>
          <w:sz w:val="32"/>
          <w:szCs w:val="32"/>
        </w:rPr>
        <w:t>二是根据项目建设需求，在积极争取教育专项建设资金的基础之上，通过学院自筹和争取地方配套资金的多渠道资金筹措方式，确保项目建设项目的顺利实施。三是健全完善评估机制和跟踪问责制度。学院以项目实施内容为依据，由学院纪检监察室牵头，相关职能部门配合，对计划实施进展、建设质量和成效定期开展检查和评估，定期向上级主管部门报送项目进展情况，确保项目建设依法、依规顺利实施。</w:t>
      </w:r>
    </w:p>
    <w:p w14:paraId="302265E3">
      <w:pPr>
        <w:spacing w:line="540" w:lineRule="exact"/>
        <w:ind w:firstLine="624" w:firstLineChars="200"/>
        <w:rPr>
          <w:rStyle w:val="19"/>
          <w:rFonts w:ascii="黑体" w:hAnsi="黑体" w:eastAsia="黑体" w:cs="黑体"/>
          <w:sz w:val="32"/>
          <w:szCs w:val="32"/>
        </w:rPr>
      </w:pPr>
      <w:r>
        <w:rPr>
          <w:rStyle w:val="19"/>
          <w:rFonts w:hint="eastAsia" w:ascii="黑体" w:hAnsi="黑体" w:eastAsia="黑体" w:cs="黑体"/>
          <w:b w:val="0"/>
          <w:spacing w:val="-4"/>
          <w:sz w:val="32"/>
          <w:szCs w:val="32"/>
        </w:rPr>
        <w:t>四、项目绩效情况</w:t>
      </w:r>
    </w:p>
    <w:p w14:paraId="1C63B684">
      <w:pPr>
        <w:spacing w:line="540" w:lineRule="exact"/>
        <w:ind w:firstLine="567" w:firstLineChars="181"/>
        <w:rPr>
          <w:rFonts w:eastAsia="仿宋"/>
          <w:b/>
          <w:spacing w:val="-4"/>
          <w:sz w:val="32"/>
          <w:szCs w:val="32"/>
        </w:rPr>
      </w:pPr>
      <w:r>
        <w:rPr>
          <w:rFonts w:eastAsia="仿宋"/>
          <w:b/>
          <w:spacing w:val="-4"/>
          <w:sz w:val="32"/>
          <w:szCs w:val="32"/>
        </w:rPr>
        <w:t>（一）项目绩效目标完成情况分析</w:t>
      </w:r>
    </w:p>
    <w:p w14:paraId="1B3FDC03">
      <w:pPr>
        <w:spacing w:line="540" w:lineRule="exact"/>
        <w:ind w:firstLine="564" w:firstLineChars="181"/>
        <w:rPr>
          <w:rFonts w:eastAsia="仿宋"/>
          <w:bCs/>
          <w:spacing w:val="-4"/>
          <w:sz w:val="32"/>
          <w:szCs w:val="32"/>
        </w:rPr>
      </w:pPr>
      <w:r>
        <w:rPr>
          <w:rStyle w:val="19"/>
          <w:rFonts w:eastAsia="仿宋"/>
          <w:b w:val="0"/>
          <w:spacing w:val="-4"/>
          <w:sz w:val="32"/>
          <w:szCs w:val="32"/>
        </w:rPr>
        <w:t>该项目2018年10月开始</w:t>
      </w:r>
      <w:r>
        <w:rPr>
          <w:rFonts w:eastAsia="仿宋"/>
          <w:bCs/>
          <w:spacing w:val="-4"/>
          <w:sz w:val="32"/>
          <w:szCs w:val="32"/>
        </w:rPr>
        <w:t>实施，对于改善学院环境和培养行业专业人才具有十分重要的意义。随着优势资源转换战略和大企业大集团战略的不断推进，高技术工人十分紧缺。项目的建设对于提高学校办学规模和条件，加快各类专业技术人才的培养，对新疆资源优势及经济增长都具有重要的推动作用。</w:t>
      </w:r>
    </w:p>
    <w:p w14:paraId="6EEA76C4">
      <w:pPr>
        <w:spacing w:line="540" w:lineRule="exact"/>
        <w:ind w:firstLine="564" w:firstLineChars="181"/>
        <w:rPr>
          <w:rFonts w:eastAsia="仿宋"/>
          <w:bCs/>
          <w:spacing w:val="-4"/>
          <w:sz w:val="32"/>
          <w:szCs w:val="32"/>
        </w:rPr>
      </w:pPr>
      <w:r>
        <w:rPr>
          <w:rFonts w:eastAsia="仿宋"/>
          <w:bCs/>
          <w:spacing w:val="-4"/>
          <w:sz w:val="32"/>
          <w:szCs w:val="32"/>
        </w:rPr>
        <w:t>一是巴音郭勒职业技术学院办学环境、办学规模能够得到较大改善，并协调政府强化专业技术人才培养，推动自治区和巴州石油石化、矿产资源开发、交通汽车、畜牧兽医等产业的不断发展。</w:t>
      </w:r>
    </w:p>
    <w:p w14:paraId="12DC664A">
      <w:pPr>
        <w:spacing w:line="540" w:lineRule="exact"/>
        <w:ind w:firstLine="564" w:firstLineChars="181"/>
        <w:rPr>
          <w:rStyle w:val="19"/>
          <w:rFonts w:eastAsia="仿宋"/>
          <w:b w:val="0"/>
          <w:spacing w:val="-4"/>
          <w:sz w:val="32"/>
          <w:szCs w:val="32"/>
        </w:rPr>
      </w:pPr>
      <w:r>
        <w:rPr>
          <w:rFonts w:eastAsia="仿宋"/>
          <w:bCs/>
          <w:spacing w:val="-4"/>
          <w:sz w:val="32"/>
          <w:szCs w:val="32"/>
        </w:rPr>
        <w:t>二是巴音郭勒职业技术学院的教学设施短缺问题得到明显改善，可逐步满足自治区专业人才招生和培养的需求。教学等教学用房和生活服务设施得到进一步健全，学校办学条件将得到改善，为学生接受教育奠定良好的基础，其社会效益十分显著。</w:t>
      </w:r>
    </w:p>
    <w:p w14:paraId="293C5051">
      <w:pPr>
        <w:numPr>
          <w:ilvl w:val="0"/>
          <w:numId w:val="1"/>
        </w:numPr>
        <w:spacing w:line="540" w:lineRule="exact"/>
        <w:ind w:firstLine="567" w:firstLineChars="181"/>
        <w:rPr>
          <w:rFonts w:eastAsia="仿宋"/>
          <w:b/>
          <w:spacing w:val="-4"/>
          <w:sz w:val="32"/>
          <w:szCs w:val="32"/>
        </w:rPr>
      </w:pPr>
      <w:r>
        <w:rPr>
          <w:rFonts w:eastAsia="仿宋"/>
          <w:b/>
          <w:spacing w:val="-4"/>
          <w:sz w:val="32"/>
          <w:szCs w:val="32"/>
        </w:rPr>
        <w:t>项目绩效目标未完成原因分析</w:t>
      </w:r>
    </w:p>
    <w:p w14:paraId="5971225E">
      <w:pPr>
        <w:spacing w:line="540" w:lineRule="exact"/>
        <w:rPr>
          <w:rFonts w:eastAsia="仿宋"/>
          <w:b/>
          <w:spacing w:val="-4"/>
          <w:sz w:val="32"/>
          <w:szCs w:val="32"/>
        </w:rPr>
      </w:pPr>
      <w:r>
        <w:rPr>
          <w:rFonts w:hint="eastAsia" w:eastAsia="仿宋"/>
          <w:bCs/>
          <w:spacing w:val="-4"/>
          <w:sz w:val="32"/>
          <w:szCs w:val="32"/>
        </w:rPr>
        <w:t>完成本年度项目绩效内容。</w:t>
      </w:r>
    </w:p>
    <w:p w14:paraId="09FE494D">
      <w:pPr>
        <w:spacing w:line="54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14:paraId="69DD5D58">
      <w:pPr>
        <w:spacing w:line="540" w:lineRule="exact"/>
        <w:ind w:firstLine="567" w:firstLineChars="181"/>
        <w:rPr>
          <w:rFonts w:eastAsia="仿宋"/>
          <w:b/>
          <w:spacing w:val="-4"/>
          <w:sz w:val="32"/>
          <w:szCs w:val="32"/>
        </w:rPr>
      </w:pPr>
      <w:r>
        <w:rPr>
          <w:rFonts w:eastAsia="仿宋"/>
          <w:b/>
          <w:spacing w:val="-4"/>
          <w:sz w:val="32"/>
          <w:szCs w:val="32"/>
        </w:rPr>
        <w:t>（一）后续工作计划</w:t>
      </w:r>
    </w:p>
    <w:p w14:paraId="52F0ED8C">
      <w:pPr>
        <w:spacing w:line="560" w:lineRule="exact"/>
        <w:ind w:firstLine="624" w:firstLineChars="200"/>
        <w:rPr>
          <w:sz w:val="32"/>
          <w:szCs w:val="32"/>
        </w:rPr>
      </w:pPr>
      <w:r>
        <w:rPr>
          <w:rFonts w:hint="eastAsia" w:eastAsia="仿宋"/>
          <w:spacing w:val="-4"/>
          <w:sz w:val="32"/>
          <w:szCs w:val="32"/>
        </w:rPr>
        <w:t>一是继续完善项目建设内容，解决学院发展过程中和学生权益切实相关的问题。二是基础完善资金使用内容，资金使用要完全依据项目报批建设内容，合理分配资金使用比例，确保已到位建设资金完全覆盖规划建设内容，绝不浪费一分钱，充分发挥项目建设推动学院大发展的积极作用。</w:t>
      </w:r>
    </w:p>
    <w:p w14:paraId="0F80CCF1">
      <w:pPr>
        <w:spacing w:line="540" w:lineRule="exact"/>
        <w:ind w:firstLine="567" w:firstLineChars="181"/>
        <w:rPr>
          <w:rFonts w:eastAsia="仿宋"/>
          <w:b/>
          <w:spacing w:val="-4"/>
          <w:sz w:val="32"/>
          <w:szCs w:val="32"/>
        </w:rPr>
      </w:pPr>
      <w:r>
        <w:rPr>
          <w:rFonts w:eastAsia="仿宋"/>
          <w:b/>
          <w:spacing w:val="-4"/>
          <w:sz w:val="32"/>
          <w:szCs w:val="32"/>
        </w:rPr>
        <w:t>（二）主要经验及做法、存在问题和建议</w:t>
      </w:r>
    </w:p>
    <w:p w14:paraId="0D97E556">
      <w:pPr>
        <w:spacing w:line="540" w:lineRule="exact"/>
        <w:ind w:firstLine="564" w:firstLineChars="181"/>
        <w:rPr>
          <w:rFonts w:eastAsia="仿宋"/>
          <w:spacing w:val="-4"/>
          <w:sz w:val="32"/>
          <w:szCs w:val="32"/>
        </w:rPr>
      </w:pPr>
      <w:r>
        <w:rPr>
          <w:rFonts w:eastAsia="仿宋"/>
          <w:spacing w:val="-4"/>
          <w:sz w:val="32"/>
          <w:szCs w:val="32"/>
        </w:rPr>
        <w:t>1、加强领导，落实责任。</w:t>
      </w:r>
    </w:p>
    <w:p w14:paraId="7DB24FB7">
      <w:pPr>
        <w:spacing w:line="540" w:lineRule="exact"/>
        <w:ind w:firstLine="564" w:firstLineChars="181"/>
        <w:rPr>
          <w:rFonts w:eastAsia="仿宋"/>
          <w:spacing w:val="-4"/>
          <w:sz w:val="32"/>
          <w:szCs w:val="32"/>
        </w:rPr>
      </w:pPr>
      <w:r>
        <w:rPr>
          <w:rFonts w:eastAsia="仿宋"/>
          <w:spacing w:val="-4"/>
          <w:sz w:val="32"/>
          <w:szCs w:val="32"/>
        </w:rPr>
        <w:t>我院高度重视本科教学楼工程建设工作，成立了以院长为组长，后勤、规划、财务、保卫等处室负责人为成员的领导小组，负责该项建设项目的领导、指挥、协调，并明确各部门的工作职责。</w:t>
      </w:r>
    </w:p>
    <w:p w14:paraId="4BE82BB0">
      <w:pPr>
        <w:spacing w:line="540" w:lineRule="exact"/>
        <w:ind w:firstLine="564" w:firstLineChars="181"/>
        <w:rPr>
          <w:rFonts w:eastAsia="仿宋"/>
          <w:spacing w:val="-4"/>
          <w:sz w:val="32"/>
          <w:szCs w:val="32"/>
        </w:rPr>
      </w:pPr>
      <w:r>
        <w:rPr>
          <w:rFonts w:eastAsia="仿宋"/>
          <w:spacing w:val="-4"/>
          <w:sz w:val="32"/>
          <w:szCs w:val="32"/>
        </w:rPr>
        <w:t>2、部门协调，齐抓共管。</w:t>
      </w:r>
    </w:p>
    <w:p w14:paraId="1F277265">
      <w:pPr>
        <w:spacing w:line="540" w:lineRule="exact"/>
        <w:ind w:firstLine="564" w:firstLineChars="181"/>
        <w:rPr>
          <w:rFonts w:eastAsia="仿宋"/>
          <w:spacing w:val="-4"/>
          <w:sz w:val="32"/>
          <w:szCs w:val="32"/>
        </w:rPr>
      </w:pPr>
      <w:r>
        <w:rPr>
          <w:rFonts w:eastAsia="仿宋"/>
          <w:spacing w:val="-4"/>
          <w:sz w:val="32"/>
          <w:szCs w:val="32"/>
        </w:rPr>
        <w:t>各部门充分发挥职能作用，在项目申报、招标、图纸设计、质量监管、资金使用等方面，认真履职，监督到位。</w:t>
      </w:r>
    </w:p>
    <w:p w14:paraId="778EA526">
      <w:pPr>
        <w:spacing w:line="540" w:lineRule="exact"/>
        <w:ind w:firstLine="564" w:firstLineChars="181"/>
        <w:rPr>
          <w:rFonts w:eastAsia="仿宋"/>
          <w:spacing w:val="-4"/>
          <w:sz w:val="32"/>
          <w:szCs w:val="32"/>
        </w:rPr>
      </w:pPr>
      <w:r>
        <w:rPr>
          <w:rFonts w:eastAsia="仿宋"/>
          <w:spacing w:val="-4"/>
          <w:sz w:val="32"/>
          <w:szCs w:val="32"/>
        </w:rPr>
        <w:t>3、强化监管，确保责任。</w:t>
      </w:r>
    </w:p>
    <w:p w14:paraId="2D8D7437">
      <w:pPr>
        <w:spacing w:line="540" w:lineRule="exact"/>
        <w:ind w:firstLine="564" w:firstLineChars="181"/>
        <w:rPr>
          <w:rFonts w:eastAsia="仿宋"/>
          <w:spacing w:val="-4"/>
          <w:sz w:val="32"/>
          <w:szCs w:val="32"/>
        </w:rPr>
      </w:pPr>
      <w:r>
        <w:rPr>
          <w:rFonts w:eastAsia="仿宋"/>
          <w:spacing w:val="-4"/>
          <w:sz w:val="32"/>
          <w:szCs w:val="32"/>
        </w:rPr>
        <w:t>为确保工程质量监管到位，聘请  公司对整个工程监督管理，领导小组建立了全过程、经常化的监管机制，单位选派工作责任心强、熟悉工程业务员为驻工地监管负责人，做好隐蔽工程监管，混凝土取样，钢筋试拉等工作。</w:t>
      </w:r>
    </w:p>
    <w:p w14:paraId="77025F00">
      <w:pPr>
        <w:spacing w:line="540" w:lineRule="exact"/>
        <w:ind w:firstLine="564" w:firstLineChars="181"/>
        <w:rPr>
          <w:rFonts w:eastAsia="仿宋"/>
          <w:b/>
          <w:spacing w:val="-4"/>
          <w:sz w:val="32"/>
          <w:szCs w:val="32"/>
        </w:rPr>
      </w:pPr>
      <w:r>
        <w:rPr>
          <w:rFonts w:eastAsia="仿宋"/>
          <w:spacing w:val="-4"/>
          <w:sz w:val="32"/>
          <w:szCs w:val="32"/>
        </w:rPr>
        <w:t>4、项目建设坚持层层审批制度，做到操作程序规范，严格按照上级审批建设规模，工程项目管理办法，工程进度款拨付管理等相关要求开展工作，并严格按照资金使用的相关管理办法执行，保证项目资金专款专用。</w:t>
      </w:r>
    </w:p>
    <w:p w14:paraId="755CB499">
      <w:pPr>
        <w:spacing w:line="54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14:paraId="4B85B45F">
      <w:pPr>
        <w:spacing w:line="540" w:lineRule="exact"/>
        <w:ind w:firstLine="564" w:firstLineChars="181"/>
        <w:rPr>
          <w:rFonts w:eastAsia="仿宋"/>
          <w:spacing w:val="-4"/>
          <w:sz w:val="32"/>
          <w:szCs w:val="32"/>
        </w:rPr>
      </w:pPr>
      <w:r>
        <w:rPr>
          <w:rFonts w:hint="eastAsia" w:eastAsia="仿宋"/>
          <w:spacing w:val="-4"/>
          <w:sz w:val="32"/>
          <w:szCs w:val="32"/>
        </w:rPr>
        <w:t>按照财政项目支出绩效自评工作的要求，结合我单位实际，组织相关人员根据项目绩效报表指标内容，对所有项目建设内容进行核实和考评。项目评价内容主要围绕数量指标、质量指标、时效指标、社会效益指标等开展，评价方式主要采用分析法和比较法。</w:t>
      </w:r>
    </w:p>
    <w:p w14:paraId="38840E38">
      <w:pPr>
        <w:spacing w:line="540" w:lineRule="exact"/>
        <w:ind w:firstLine="564" w:firstLineChars="181"/>
        <w:rPr>
          <w:rFonts w:eastAsia="仿宋"/>
          <w:spacing w:val="-4"/>
          <w:sz w:val="32"/>
          <w:szCs w:val="32"/>
        </w:rPr>
      </w:pPr>
      <w:r>
        <w:rPr>
          <w:rFonts w:hint="eastAsia" w:eastAsia="仿宋"/>
          <w:spacing w:val="-4"/>
          <w:sz w:val="32"/>
          <w:szCs w:val="32"/>
        </w:rPr>
        <w:t>比较法主要是对三级指标内容从数量上、质量上、时效上与完成情况进行时对比，比如：资金支付进度是否及时，工程质量和进度的严格监督，项目竣工验收是否合格等。</w:t>
      </w:r>
    </w:p>
    <w:p w14:paraId="45069ADA">
      <w:pPr>
        <w:spacing w:line="540" w:lineRule="exact"/>
        <w:ind w:firstLine="564" w:firstLineChars="181"/>
        <w:rPr>
          <w:rStyle w:val="19"/>
          <w:rFonts w:eastAsia="黑体"/>
          <w:b w:val="0"/>
          <w:bCs w:val="0"/>
          <w:spacing w:val="-4"/>
          <w:sz w:val="32"/>
          <w:szCs w:val="32"/>
        </w:rPr>
      </w:pPr>
      <w:r>
        <w:rPr>
          <w:rFonts w:hint="eastAsia" w:eastAsia="仿宋"/>
          <w:spacing w:val="-4"/>
          <w:sz w:val="32"/>
          <w:szCs w:val="32"/>
        </w:rPr>
        <w:t>分析法主要是根据三级指标完成的情况，分析查找所有项目建设内容在数量上、质量上、时效上存在的问题，找出原因，制定解决方案，及时整改，确保项目顺利实施。比如：责成项目主管部门后勤处及时报送项目绩效进展情况，工程形象进度，确保绩效信息内容时效性、准确性；要求责任部门及时留存所有项目招标、项目验收等纸质材料；要求责任部门配合学院相关项目实施主体成员做好项目前期调研和后期勘查验收工作，</w:t>
      </w:r>
      <w:r>
        <w:rPr>
          <w:rFonts w:eastAsia="仿宋"/>
          <w:sz w:val="32"/>
        </w:rPr>
        <w:t>做到“三到现场”，即开工到现场、建设到现场、竣工到现场</w:t>
      </w:r>
      <w:r>
        <w:rPr>
          <w:rFonts w:hint="eastAsia" w:eastAsia="仿宋"/>
          <w:sz w:val="32"/>
        </w:rPr>
        <w:t>。</w:t>
      </w:r>
    </w:p>
    <w:p w14:paraId="49893AB0">
      <w:pPr>
        <w:numPr>
          <w:ilvl w:val="0"/>
          <w:numId w:val="2"/>
        </w:numPr>
        <w:spacing w:line="640" w:lineRule="exact"/>
        <w:ind w:firstLine="640"/>
        <w:rPr>
          <w:rStyle w:val="19"/>
          <w:rFonts w:eastAsia="黑体"/>
          <w:b w:val="0"/>
          <w:bCs w:val="0"/>
          <w:spacing w:val="-4"/>
          <w:sz w:val="32"/>
          <w:szCs w:val="32"/>
        </w:rPr>
      </w:pPr>
      <w:r>
        <w:rPr>
          <w:rStyle w:val="19"/>
          <w:rFonts w:eastAsia="黑体"/>
          <w:b w:val="0"/>
          <w:bCs w:val="0"/>
          <w:spacing w:val="-4"/>
          <w:sz w:val="32"/>
          <w:szCs w:val="32"/>
        </w:rPr>
        <w:t>附表</w:t>
      </w:r>
    </w:p>
    <w:p w14:paraId="7FB21BBD">
      <w:pPr>
        <w:spacing w:line="540" w:lineRule="exact"/>
        <w:ind w:firstLine="567"/>
        <w:jc w:val="center"/>
        <w:rPr>
          <w:rStyle w:val="19"/>
          <w:rFonts w:eastAsia="黑体"/>
          <w:b w:val="0"/>
          <w:bCs w:val="0"/>
          <w:spacing w:val="-4"/>
          <w:sz w:val="32"/>
          <w:szCs w:val="32"/>
        </w:rPr>
      </w:pPr>
      <w:r>
        <w:rPr>
          <w:rStyle w:val="19"/>
          <w:rFonts w:eastAsia="仿宋"/>
          <w:b w:val="0"/>
          <w:bCs w:val="0"/>
          <w:spacing w:val="-4"/>
          <w:sz w:val="32"/>
          <w:szCs w:val="32"/>
        </w:rPr>
        <w:t>《财政项目支出绩效自评表》</w:t>
      </w:r>
    </w:p>
    <w:tbl>
      <w:tblPr>
        <w:tblStyle w:val="17"/>
        <w:tblpPr w:leftFromText="180" w:rightFromText="180" w:vertAnchor="text" w:horzAnchor="page" w:tblpX="1690" w:tblpY="1025"/>
        <w:tblOverlap w:val="never"/>
        <w:tblW w:w="9288"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32"/>
        <w:gridCol w:w="216"/>
        <w:gridCol w:w="1800"/>
      </w:tblGrid>
      <w:tr w14:paraId="0D8BF98B">
        <w:tblPrEx>
          <w:tblCellMar>
            <w:top w:w="0" w:type="dxa"/>
            <w:left w:w="108" w:type="dxa"/>
            <w:bottom w:w="0" w:type="dxa"/>
            <w:right w:w="108" w:type="dxa"/>
          </w:tblCellMar>
        </w:tblPrEx>
        <w:trPr>
          <w:trHeight w:val="405" w:hRule="atLeast"/>
        </w:trPr>
        <w:tc>
          <w:tcPr>
            <w:tcW w:w="9288" w:type="dxa"/>
            <w:gridSpan w:val="9"/>
            <w:tcBorders>
              <w:top w:val="nil"/>
              <w:left w:val="nil"/>
              <w:bottom w:val="nil"/>
              <w:right w:val="nil"/>
            </w:tcBorders>
            <w:vAlign w:val="center"/>
          </w:tcPr>
          <w:p w14:paraId="3F33CC7D">
            <w:pPr>
              <w:widowControl/>
              <w:jc w:val="center"/>
              <w:rPr>
                <w:b/>
                <w:bCs/>
                <w:kern w:val="0"/>
                <w:sz w:val="32"/>
                <w:szCs w:val="32"/>
              </w:rPr>
            </w:pPr>
            <w:r>
              <w:rPr>
                <w:b/>
                <w:bCs/>
                <w:kern w:val="0"/>
                <w:sz w:val="32"/>
                <w:szCs w:val="32"/>
              </w:rPr>
              <w:t>财政项目支出绩效自评表</w:t>
            </w:r>
          </w:p>
        </w:tc>
      </w:tr>
      <w:tr w14:paraId="0FE27FD0">
        <w:tblPrEx>
          <w:tblCellMar>
            <w:top w:w="0" w:type="dxa"/>
            <w:left w:w="108" w:type="dxa"/>
            <w:bottom w:w="0" w:type="dxa"/>
            <w:right w:w="108" w:type="dxa"/>
          </w:tblCellMar>
        </w:tblPrEx>
        <w:trPr>
          <w:trHeight w:val="285" w:hRule="atLeast"/>
        </w:trPr>
        <w:tc>
          <w:tcPr>
            <w:tcW w:w="9288" w:type="dxa"/>
            <w:gridSpan w:val="9"/>
            <w:tcBorders>
              <w:top w:val="nil"/>
              <w:left w:val="nil"/>
              <w:bottom w:val="nil"/>
              <w:right w:val="nil"/>
            </w:tcBorders>
            <w:vAlign w:val="center"/>
          </w:tcPr>
          <w:p w14:paraId="25B624FE">
            <w:pPr>
              <w:widowControl/>
              <w:jc w:val="center"/>
              <w:rPr>
                <w:kern w:val="0"/>
                <w:sz w:val="24"/>
              </w:rPr>
            </w:pPr>
            <w:r>
              <w:rPr>
                <w:kern w:val="0"/>
                <w:sz w:val="24"/>
              </w:rPr>
              <w:t>（2018年度）</w:t>
            </w:r>
          </w:p>
        </w:tc>
      </w:tr>
      <w:tr w14:paraId="7D848017">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14:paraId="78960ACE">
            <w:pPr>
              <w:widowControl/>
              <w:jc w:val="center"/>
              <w:rPr>
                <w:kern w:val="0"/>
                <w:sz w:val="24"/>
              </w:rPr>
            </w:pPr>
          </w:p>
        </w:tc>
        <w:tc>
          <w:tcPr>
            <w:tcW w:w="1140" w:type="dxa"/>
            <w:tcBorders>
              <w:top w:val="nil"/>
              <w:left w:val="nil"/>
              <w:bottom w:val="nil"/>
              <w:right w:val="nil"/>
            </w:tcBorders>
            <w:vAlign w:val="center"/>
          </w:tcPr>
          <w:p w14:paraId="21CC823E">
            <w:pPr>
              <w:widowControl/>
              <w:jc w:val="center"/>
              <w:rPr>
                <w:kern w:val="0"/>
                <w:sz w:val="24"/>
              </w:rPr>
            </w:pPr>
          </w:p>
        </w:tc>
        <w:tc>
          <w:tcPr>
            <w:tcW w:w="1360" w:type="dxa"/>
            <w:tcBorders>
              <w:top w:val="nil"/>
              <w:left w:val="nil"/>
              <w:bottom w:val="nil"/>
              <w:right w:val="nil"/>
            </w:tcBorders>
            <w:vAlign w:val="center"/>
          </w:tcPr>
          <w:p w14:paraId="646A16D2">
            <w:pPr>
              <w:widowControl/>
              <w:jc w:val="center"/>
              <w:rPr>
                <w:kern w:val="0"/>
                <w:sz w:val="24"/>
              </w:rPr>
            </w:pPr>
          </w:p>
        </w:tc>
        <w:tc>
          <w:tcPr>
            <w:tcW w:w="1080" w:type="dxa"/>
            <w:tcBorders>
              <w:top w:val="nil"/>
              <w:left w:val="nil"/>
              <w:bottom w:val="nil"/>
              <w:right w:val="nil"/>
            </w:tcBorders>
            <w:vAlign w:val="center"/>
          </w:tcPr>
          <w:p w14:paraId="6C77140C">
            <w:pPr>
              <w:widowControl/>
              <w:jc w:val="center"/>
              <w:rPr>
                <w:kern w:val="0"/>
                <w:sz w:val="24"/>
              </w:rPr>
            </w:pPr>
          </w:p>
        </w:tc>
        <w:tc>
          <w:tcPr>
            <w:tcW w:w="880" w:type="dxa"/>
            <w:tcBorders>
              <w:top w:val="nil"/>
              <w:left w:val="nil"/>
              <w:bottom w:val="nil"/>
              <w:right w:val="nil"/>
            </w:tcBorders>
            <w:vAlign w:val="center"/>
          </w:tcPr>
          <w:p w14:paraId="1F5C60CC">
            <w:pPr>
              <w:widowControl/>
              <w:jc w:val="center"/>
              <w:rPr>
                <w:kern w:val="0"/>
                <w:sz w:val="24"/>
              </w:rPr>
            </w:pPr>
          </w:p>
        </w:tc>
        <w:tc>
          <w:tcPr>
            <w:tcW w:w="2060" w:type="dxa"/>
            <w:tcBorders>
              <w:top w:val="nil"/>
              <w:left w:val="nil"/>
              <w:bottom w:val="nil"/>
              <w:right w:val="nil"/>
            </w:tcBorders>
            <w:vAlign w:val="center"/>
          </w:tcPr>
          <w:p w14:paraId="3C93DD53">
            <w:pPr>
              <w:widowControl/>
              <w:jc w:val="center"/>
              <w:rPr>
                <w:kern w:val="0"/>
                <w:sz w:val="24"/>
              </w:rPr>
            </w:pPr>
          </w:p>
        </w:tc>
        <w:tc>
          <w:tcPr>
            <w:tcW w:w="2048" w:type="dxa"/>
            <w:gridSpan w:val="3"/>
            <w:tcBorders>
              <w:top w:val="nil"/>
              <w:left w:val="nil"/>
              <w:bottom w:val="nil"/>
              <w:right w:val="nil"/>
            </w:tcBorders>
            <w:vAlign w:val="center"/>
          </w:tcPr>
          <w:p w14:paraId="37B36B78">
            <w:pPr>
              <w:widowControl/>
              <w:jc w:val="center"/>
              <w:rPr>
                <w:kern w:val="0"/>
                <w:sz w:val="24"/>
              </w:rPr>
            </w:pPr>
          </w:p>
        </w:tc>
      </w:tr>
      <w:tr w14:paraId="21ECCA15">
        <w:tblPrEx>
          <w:tblCellMar>
            <w:top w:w="0" w:type="dxa"/>
            <w:left w:w="108" w:type="dxa"/>
            <w:bottom w:w="0" w:type="dxa"/>
            <w:right w:w="108" w:type="dxa"/>
          </w:tblCellMar>
        </w:tblPrEx>
        <w:trPr>
          <w:trHeight w:val="491"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14:paraId="05C69BC7">
            <w:pPr>
              <w:widowControl/>
              <w:jc w:val="left"/>
              <w:rPr>
                <w:kern w:val="0"/>
                <w:sz w:val="20"/>
                <w:szCs w:val="20"/>
              </w:rPr>
            </w:pPr>
            <w:r>
              <w:rPr>
                <w:kern w:val="0"/>
                <w:sz w:val="20"/>
                <w:szCs w:val="20"/>
              </w:rPr>
              <w:t>项目名称</w:t>
            </w:r>
          </w:p>
        </w:tc>
        <w:tc>
          <w:tcPr>
            <w:tcW w:w="6068" w:type="dxa"/>
            <w:gridSpan w:val="6"/>
            <w:tcBorders>
              <w:top w:val="single" w:color="auto" w:sz="4" w:space="0"/>
              <w:left w:val="nil"/>
              <w:bottom w:val="single" w:color="auto" w:sz="4" w:space="0"/>
              <w:right w:val="single" w:color="auto" w:sz="4" w:space="0"/>
            </w:tcBorders>
            <w:vAlign w:val="center"/>
          </w:tcPr>
          <w:p w14:paraId="3ABA37D3">
            <w:pPr>
              <w:widowControl/>
              <w:jc w:val="center"/>
              <w:rPr>
                <w:rFonts w:eastAsia="仿宋_GB2312"/>
                <w:kern w:val="0"/>
                <w:sz w:val="20"/>
                <w:szCs w:val="20"/>
              </w:rPr>
            </w:pPr>
            <w:r>
              <w:rPr>
                <w:rFonts w:hint="eastAsia"/>
                <w:kern w:val="0"/>
                <w:sz w:val="20"/>
                <w:szCs w:val="20"/>
              </w:rPr>
              <w:t>图书馆维修改造工程</w:t>
            </w:r>
          </w:p>
        </w:tc>
      </w:tr>
      <w:tr w14:paraId="3678345B">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14:paraId="2E0B8FC6">
            <w:pPr>
              <w:widowControl/>
              <w:jc w:val="left"/>
              <w:rPr>
                <w:kern w:val="0"/>
                <w:sz w:val="20"/>
                <w:szCs w:val="20"/>
              </w:rPr>
            </w:pPr>
            <w:r>
              <w:rPr>
                <w:kern w:val="0"/>
                <w:sz w:val="20"/>
                <w:szCs w:val="20"/>
              </w:rPr>
              <w:t>预算单位</w:t>
            </w:r>
          </w:p>
        </w:tc>
        <w:tc>
          <w:tcPr>
            <w:tcW w:w="6068" w:type="dxa"/>
            <w:gridSpan w:val="6"/>
            <w:tcBorders>
              <w:top w:val="single" w:color="auto" w:sz="4" w:space="0"/>
              <w:left w:val="nil"/>
              <w:bottom w:val="single" w:color="auto" w:sz="4" w:space="0"/>
              <w:right w:val="single" w:color="000000" w:sz="4" w:space="0"/>
            </w:tcBorders>
            <w:vAlign w:val="center"/>
          </w:tcPr>
          <w:p w14:paraId="77F210DA">
            <w:pPr>
              <w:widowControl/>
              <w:jc w:val="center"/>
              <w:rPr>
                <w:kern w:val="0"/>
                <w:sz w:val="20"/>
                <w:szCs w:val="20"/>
              </w:rPr>
            </w:pPr>
            <w:r>
              <w:rPr>
                <w:kern w:val="0"/>
                <w:sz w:val="20"/>
                <w:szCs w:val="20"/>
              </w:rPr>
              <w:t>巴音郭楞职业技术学院</w:t>
            </w:r>
          </w:p>
        </w:tc>
      </w:tr>
      <w:tr w14:paraId="44C86557">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14:paraId="411BD806">
            <w:pPr>
              <w:widowControl/>
              <w:jc w:val="center"/>
              <w:rPr>
                <w:kern w:val="0"/>
                <w:sz w:val="20"/>
                <w:szCs w:val="20"/>
              </w:rPr>
            </w:pPr>
            <w:r>
              <w:rPr>
                <w:kern w:val="0"/>
                <w:sz w:val="20"/>
                <w:szCs w:val="20"/>
              </w:rPr>
              <w:t>预算</w:t>
            </w:r>
            <w:r>
              <w:rPr>
                <w:kern w:val="0"/>
                <w:sz w:val="20"/>
                <w:szCs w:val="20"/>
              </w:rPr>
              <w:br w:type="textWrapping"/>
            </w:r>
            <w:r>
              <w:rPr>
                <w:kern w:val="0"/>
                <w:sz w:val="20"/>
                <w:szCs w:val="20"/>
              </w:rPr>
              <w:t>执行</w:t>
            </w:r>
            <w:r>
              <w:rPr>
                <w:kern w:val="0"/>
                <w:sz w:val="20"/>
                <w:szCs w:val="20"/>
              </w:rPr>
              <w:br w:type="textWrapping"/>
            </w:r>
            <w:r>
              <w:rPr>
                <w:kern w:val="0"/>
                <w:sz w:val="20"/>
                <w:szCs w:val="20"/>
              </w:rPr>
              <w:t>情况</w:t>
            </w:r>
            <w:r>
              <w:rPr>
                <w:kern w:val="0"/>
                <w:sz w:val="20"/>
                <w:szCs w:val="20"/>
              </w:rPr>
              <w:br w:type="textWrapping"/>
            </w:r>
            <w:r>
              <w:rPr>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14:paraId="64ECED34">
            <w:pPr>
              <w:widowControl/>
              <w:jc w:val="left"/>
              <w:rPr>
                <w:kern w:val="0"/>
                <w:sz w:val="20"/>
                <w:szCs w:val="20"/>
              </w:rPr>
            </w:pPr>
            <w:r>
              <w:rPr>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14:paraId="5817B195">
            <w:pPr>
              <w:widowControl/>
              <w:jc w:val="center"/>
              <w:rPr>
                <w:kern w:val="0"/>
                <w:sz w:val="20"/>
                <w:szCs w:val="20"/>
              </w:rPr>
            </w:pPr>
            <w:r>
              <w:rPr>
                <w:rFonts w:hint="eastAsia"/>
                <w:kern w:val="0"/>
                <w:sz w:val="20"/>
                <w:szCs w:val="20"/>
              </w:rPr>
              <w:t>400</w:t>
            </w:r>
            <w:r>
              <w:rPr>
                <w:kern w:val="0"/>
                <w:sz w:val="20"/>
                <w:szCs w:val="20"/>
              </w:rPr>
              <w:t>万元</w:t>
            </w:r>
          </w:p>
        </w:tc>
        <w:tc>
          <w:tcPr>
            <w:tcW w:w="2308" w:type="dxa"/>
            <w:gridSpan w:val="3"/>
            <w:tcBorders>
              <w:top w:val="nil"/>
              <w:left w:val="nil"/>
              <w:bottom w:val="single" w:color="auto" w:sz="4" w:space="0"/>
              <w:right w:val="single" w:color="auto" w:sz="4" w:space="0"/>
            </w:tcBorders>
            <w:vAlign w:val="center"/>
          </w:tcPr>
          <w:p w14:paraId="2F7D65FE">
            <w:pPr>
              <w:widowControl/>
              <w:jc w:val="center"/>
              <w:rPr>
                <w:kern w:val="0"/>
                <w:sz w:val="20"/>
                <w:szCs w:val="20"/>
              </w:rPr>
            </w:pPr>
            <w:r>
              <w:rPr>
                <w:kern w:val="0"/>
                <w:sz w:val="20"/>
                <w:szCs w:val="20"/>
              </w:rPr>
              <w:t>执行数：</w:t>
            </w:r>
          </w:p>
        </w:tc>
        <w:tc>
          <w:tcPr>
            <w:tcW w:w="1800" w:type="dxa"/>
            <w:tcBorders>
              <w:top w:val="nil"/>
              <w:left w:val="nil"/>
              <w:bottom w:val="single" w:color="auto" w:sz="4" w:space="0"/>
              <w:right w:val="single" w:color="auto" w:sz="4" w:space="0"/>
            </w:tcBorders>
            <w:vAlign w:val="center"/>
          </w:tcPr>
          <w:p w14:paraId="2A7D9210">
            <w:pPr>
              <w:widowControl/>
              <w:jc w:val="center"/>
              <w:rPr>
                <w:kern w:val="0"/>
                <w:sz w:val="20"/>
                <w:szCs w:val="20"/>
              </w:rPr>
            </w:pPr>
            <w:r>
              <w:rPr>
                <w:rFonts w:hint="eastAsia"/>
                <w:kern w:val="0"/>
                <w:sz w:val="20"/>
                <w:szCs w:val="20"/>
              </w:rPr>
              <w:t>99.91万</w:t>
            </w:r>
            <w:r>
              <w:rPr>
                <w:kern w:val="0"/>
                <w:sz w:val="20"/>
                <w:szCs w:val="20"/>
              </w:rPr>
              <w:t>元</w:t>
            </w:r>
          </w:p>
        </w:tc>
      </w:tr>
      <w:tr w14:paraId="10868895">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2F27EFFC">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14:paraId="6DF0F69F">
            <w:pPr>
              <w:widowControl/>
              <w:jc w:val="right"/>
              <w:rPr>
                <w:kern w:val="0"/>
                <w:sz w:val="20"/>
                <w:szCs w:val="20"/>
              </w:rPr>
            </w:pPr>
            <w:r>
              <w:rPr>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14:paraId="7067C4D3">
            <w:pPr>
              <w:widowControl/>
              <w:jc w:val="center"/>
              <w:rPr>
                <w:kern w:val="0"/>
                <w:sz w:val="20"/>
                <w:szCs w:val="20"/>
              </w:rPr>
            </w:pPr>
            <w:r>
              <w:rPr>
                <w:rFonts w:hint="eastAsia"/>
                <w:kern w:val="0"/>
                <w:sz w:val="20"/>
                <w:szCs w:val="20"/>
              </w:rPr>
              <w:t>400万</w:t>
            </w:r>
            <w:r>
              <w:rPr>
                <w:kern w:val="0"/>
                <w:sz w:val="20"/>
                <w:szCs w:val="20"/>
              </w:rPr>
              <w:t>元</w:t>
            </w:r>
          </w:p>
        </w:tc>
        <w:tc>
          <w:tcPr>
            <w:tcW w:w="2308" w:type="dxa"/>
            <w:gridSpan w:val="3"/>
            <w:tcBorders>
              <w:top w:val="nil"/>
              <w:left w:val="nil"/>
              <w:bottom w:val="nil"/>
              <w:right w:val="single" w:color="auto" w:sz="4" w:space="0"/>
            </w:tcBorders>
            <w:vAlign w:val="center"/>
          </w:tcPr>
          <w:p w14:paraId="68FED236">
            <w:pPr>
              <w:widowControl/>
              <w:jc w:val="center"/>
              <w:rPr>
                <w:kern w:val="0"/>
                <w:sz w:val="20"/>
                <w:szCs w:val="20"/>
              </w:rPr>
            </w:pPr>
            <w:r>
              <w:rPr>
                <w:kern w:val="0"/>
                <w:sz w:val="20"/>
                <w:szCs w:val="20"/>
              </w:rPr>
              <w:t>其中：财政拨款</w:t>
            </w:r>
          </w:p>
        </w:tc>
        <w:tc>
          <w:tcPr>
            <w:tcW w:w="1800" w:type="dxa"/>
            <w:tcBorders>
              <w:top w:val="nil"/>
              <w:left w:val="nil"/>
              <w:bottom w:val="single" w:color="auto" w:sz="4" w:space="0"/>
              <w:right w:val="single" w:color="auto" w:sz="4" w:space="0"/>
            </w:tcBorders>
            <w:vAlign w:val="center"/>
          </w:tcPr>
          <w:p w14:paraId="5784BA76">
            <w:pPr>
              <w:widowControl/>
              <w:jc w:val="center"/>
              <w:rPr>
                <w:kern w:val="0"/>
                <w:sz w:val="20"/>
                <w:szCs w:val="20"/>
              </w:rPr>
            </w:pPr>
            <w:r>
              <w:rPr>
                <w:rFonts w:hint="eastAsia"/>
                <w:kern w:val="0"/>
                <w:sz w:val="20"/>
                <w:szCs w:val="20"/>
              </w:rPr>
              <w:t>99.91万</w:t>
            </w:r>
            <w:r>
              <w:rPr>
                <w:kern w:val="0"/>
                <w:sz w:val="20"/>
                <w:szCs w:val="20"/>
              </w:rPr>
              <w:t>元</w:t>
            </w:r>
          </w:p>
        </w:tc>
      </w:tr>
      <w:tr w14:paraId="56824953">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373EE458">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14:paraId="6F9BE83C">
            <w:pPr>
              <w:widowControl/>
              <w:jc w:val="right"/>
              <w:rPr>
                <w:kern w:val="0"/>
                <w:sz w:val="20"/>
                <w:szCs w:val="20"/>
              </w:rPr>
            </w:pPr>
            <w:r>
              <w:rPr>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14:paraId="05CA26ED">
            <w:pPr>
              <w:widowControl/>
              <w:jc w:val="center"/>
              <w:rPr>
                <w:kern w:val="0"/>
                <w:sz w:val="20"/>
                <w:szCs w:val="20"/>
              </w:rPr>
            </w:pPr>
            <w:r>
              <w:rPr>
                <w:kern w:val="0"/>
                <w:sz w:val="20"/>
                <w:szCs w:val="20"/>
              </w:rPr>
              <w:t>0　</w:t>
            </w:r>
          </w:p>
        </w:tc>
        <w:tc>
          <w:tcPr>
            <w:tcW w:w="2308" w:type="dxa"/>
            <w:gridSpan w:val="3"/>
            <w:tcBorders>
              <w:top w:val="single" w:color="auto" w:sz="4" w:space="0"/>
              <w:left w:val="nil"/>
              <w:bottom w:val="nil"/>
              <w:right w:val="single" w:color="auto" w:sz="4" w:space="0"/>
            </w:tcBorders>
            <w:vAlign w:val="center"/>
          </w:tcPr>
          <w:p w14:paraId="14847131">
            <w:pPr>
              <w:widowControl/>
              <w:jc w:val="right"/>
              <w:rPr>
                <w:kern w:val="0"/>
                <w:sz w:val="20"/>
                <w:szCs w:val="20"/>
              </w:rPr>
            </w:pPr>
            <w:r>
              <w:rPr>
                <w:kern w:val="0"/>
                <w:sz w:val="20"/>
                <w:szCs w:val="20"/>
              </w:rPr>
              <w:t>其他资金</w:t>
            </w:r>
          </w:p>
        </w:tc>
        <w:tc>
          <w:tcPr>
            <w:tcW w:w="1800" w:type="dxa"/>
            <w:tcBorders>
              <w:top w:val="nil"/>
              <w:left w:val="nil"/>
              <w:bottom w:val="single" w:color="auto" w:sz="4" w:space="0"/>
              <w:right w:val="single" w:color="auto" w:sz="4" w:space="0"/>
            </w:tcBorders>
            <w:vAlign w:val="center"/>
          </w:tcPr>
          <w:p w14:paraId="525B69AA">
            <w:pPr>
              <w:widowControl/>
              <w:jc w:val="center"/>
              <w:rPr>
                <w:kern w:val="0"/>
                <w:sz w:val="20"/>
                <w:szCs w:val="20"/>
              </w:rPr>
            </w:pPr>
            <w:r>
              <w:rPr>
                <w:kern w:val="0"/>
                <w:sz w:val="20"/>
                <w:szCs w:val="20"/>
              </w:rPr>
              <w:t>0</w:t>
            </w:r>
          </w:p>
        </w:tc>
      </w:tr>
      <w:tr w14:paraId="5406E6F6">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14:paraId="0B2FCDB9">
            <w:pPr>
              <w:widowControl/>
              <w:jc w:val="center"/>
              <w:rPr>
                <w:kern w:val="0"/>
                <w:sz w:val="20"/>
                <w:szCs w:val="20"/>
              </w:rPr>
            </w:pPr>
            <w:r>
              <w:rPr>
                <w:kern w:val="0"/>
                <w:sz w:val="20"/>
                <w:szCs w:val="20"/>
              </w:rPr>
              <w:t>年度</w:t>
            </w:r>
            <w:r>
              <w:rPr>
                <w:kern w:val="0"/>
                <w:sz w:val="20"/>
                <w:szCs w:val="20"/>
              </w:rPr>
              <w:br w:type="textWrapping"/>
            </w:r>
            <w:r>
              <w:rPr>
                <w:kern w:val="0"/>
                <w:sz w:val="20"/>
                <w:szCs w:val="20"/>
              </w:rPr>
              <w:t>目标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14:paraId="6439EAA6">
            <w:pPr>
              <w:widowControl/>
              <w:jc w:val="center"/>
              <w:rPr>
                <w:kern w:val="0"/>
                <w:sz w:val="20"/>
                <w:szCs w:val="20"/>
              </w:rPr>
            </w:pPr>
            <w:r>
              <w:rPr>
                <w:kern w:val="0"/>
                <w:sz w:val="20"/>
                <w:szCs w:val="20"/>
              </w:rPr>
              <w:t>预期目标</w:t>
            </w:r>
          </w:p>
        </w:tc>
        <w:tc>
          <w:tcPr>
            <w:tcW w:w="4108" w:type="dxa"/>
            <w:gridSpan w:val="4"/>
            <w:tcBorders>
              <w:top w:val="single" w:color="auto" w:sz="4" w:space="0"/>
              <w:left w:val="nil"/>
              <w:bottom w:val="single" w:color="auto" w:sz="4" w:space="0"/>
              <w:right w:val="single" w:color="auto" w:sz="4" w:space="0"/>
            </w:tcBorders>
            <w:vAlign w:val="center"/>
          </w:tcPr>
          <w:p w14:paraId="11DD5C18">
            <w:pPr>
              <w:widowControl/>
              <w:jc w:val="center"/>
              <w:rPr>
                <w:kern w:val="0"/>
                <w:sz w:val="20"/>
                <w:szCs w:val="20"/>
              </w:rPr>
            </w:pPr>
            <w:r>
              <w:rPr>
                <w:kern w:val="0"/>
                <w:sz w:val="20"/>
                <w:szCs w:val="20"/>
              </w:rPr>
              <w:t>实际完成目标</w:t>
            </w:r>
          </w:p>
        </w:tc>
      </w:tr>
      <w:tr w14:paraId="0200ABE6">
        <w:tblPrEx>
          <w:tblCellMar>
            <w:top w:w="0" w:type="dxa"/>
            <w:left w:w="108" w:type="dxa"/>
            <w:bottom w:w="0" w:type="dxa"/>
            <w:right w:w="108" w:type="dxa"/>
          </w:tblCellMar>
        </w:tblPrEx>
        <w:trPr>
          <w:trHeight w:val="1200" w:hRule="atLeast"/>
        </w:trPr>
        <w:tc>
          <w:tcPr>
            <w:tcW w:w="720" w:type="dxa"/>
            <w:vMerge w:val="continue"/>
            <w:tcBorders>
              <w:top w:val="nil"/>
              <w:left w:val="single" w:color="auto" w:sz="4" w:space="0"/>
              <w:bottom w:val="single" w:color="auto" w:sz="4" w:space="0"/>
              <w:right w:val="single" w:color="auto" w:sz="4" w:space="0"/>
            </w:tcBorders>
            <w:vAlign w:val="center"/>
          </w:tcPr>
          <w:p w14:paraId="4158C24D">
            <w:pPr>
              <w:widowControl/>
              <w:jc w:val="left"/>
              <w:rPr>
                <w:kern w:val="0"/>
                <w:sz w:val="20"/>
                <w:szCs w:val="20"/>
              </w:rPr>
            </w:pPr>
          </w:p>
        </w:tc>
        <w:tc>
          <w:tcPr>
            <w:tcW w:w="4460" w:type="dxa"/>
            <w:gridSpan w:val="4"/>
            <w:tcBorders>
              <w:top w:val="single" w:color="auto" w:sz="4" w:space="0"/>
              <w:left w:val="nil"/>
              <w:bottom w:val="single" w:color="auto" w:sz="4" w:space="0"/>
              <w:right w:val="single" w:color="000000" w:sz="4" w:space="0"/>
            </w:tcBorders>
          </w:tcPr>
          <w:p w14:paraId="74BA4BB9">
            <w:pPr>
              <w:widowControl/>
              <w:ind w:left="300"/>
              <w:jc w:val="left"/>
              <w:rPr>
                <w:kern w:val="0"/>
                <w:sz w:val="20"/>
                <w:szCs w:val="20"/>
              </w:rPr>
            </w:pPr>
            <w:r>
              <w:rPr>
                <w:rFonts w:hint="eastAsia"/>
                <w:kern w:val="0"/>
                <w:sz w:val="20"/>
                <w:szCs w:val="20"/>
              </w:rPr>
              <w:t>一、提升学院办学水平和办学实力；</w:t>
            </w:r>
          </w:p>
          <w:p w14:paraId="1D3DBD52">
            <w:pPr>
              <w:widowControl/>
              <w:ind w:left="300"/>
              <w:jc w:val="left"/>
              <w:rPr>
                <w:kern w:val="0"/>
                <w:sz w:val="20"/>
                <w:szCs w:val="20"/>
              </w:rPr>
            </w:pPr>
            <w:r>
              <w:rPr>
                <w:rFonts w:hint="eastAsia"/>
                <w:kern w:val="0"/>
                <w:sz w:val="20"/>
                <w:szCs w:val="20"/>
              </w:rPr>
              <w:t>二、改善学院图书馆基础设施。</w:t>
            </w:r>
          </w:p>
          <w:p w14:paraId="263E7036">
            <w:pPr>
              <w:widowControl/>
              <w:ind w:left="300"/>
              <w:jc w:val="left"/>
              <w:rPr>
                <w:kern w:val="0"/>
                <w:sz w:val="20"/>
                <w:szCs w:val="20"/>
              </w:rPr>
            </w:pPr>
          </w:p>
          <w:p w14:paraId="035D32C4">
            <w:pPr>
              <w:widowControl/>
              <w:ind w:left="300"/>
              <w:jc w:val="left"/>
              <w:rPr>
                <w:kern w:val="0"/>
                <w:sz w:val="20"/>
                <w:szCs w:val="20"/>
              </w:rPr>
            </w:pPr>
          </w:p>
        </w:tc>
        <w:tc>
          <w:tcPr>
            <w:tcW w:w="4108" w:type="dxa"/>
            <w:gridSpan w:val="4"/>
            <w:tcBorders>
              <w:top w:val="single" w:color="auto" w:sz="4" w:space="0"/>
              <w:left w:val="nil"/>
              <w:bottom w:val="single" w:color="auto" w:sz="4" w:space="0"/>
              <w:right w:val="single" w:color="000000" w:sz="4" w:space="0"/>
            </w:tcBorders>
          </w:tcPr>
          <w:p w14:paraId="32583CC1">
            <w:pPr>
              <w:widowControl/>
              <w:ind w:left="300"/>
              <w:jc w:val="left"/>
              <w:rPr>
                <w:kern w:val="0"/>
                <w:sz w:val="20"/>
                <w:szCs w:val="20"/>
              </w:rPr>
            </w:pPr>
            <w:r>
              <w:rPr>
                <w:rFonts w:hint="eastAsia"/>
                <w:kern w:val="0"/>
                <w:sz w:val="20"/>
                <w:szCs w:val="20"/>
              </w:rPr>
              <w:t>本年度完成项目支付99余万元，预计2019年12月份完成全部改造工程。</w:t>
            </w:r>
          </w:p>
        </w:tc>
      </w:tr>
      <w:tr w14:paraId="16BB9779">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14:paraId="5E4F4043">
            <w:pPr>
              <w:widowControl/>
              <w:jc w:val="center"/>
              <w:rPr>
                <w:kern w:val="0"/>
                <w:sz w:val="20"/>
                <w:szCs w:val="20"/>
              </w:rPr>
            </w:pPr>
            <w:r>
              <w:rPr>
                <w:kern w:val="0"/>
                <w:sz w:val="20"/>
                <w:szCs w:val="20"/>
              </w:rPr>
              <w:t>年度</w:t>
            </w:r>
            <w:r>
              <w:rPr>
                <w:kern w:val="0"/>
                <w:sz w:val="20"/>
                <w:szCs w:val="20"/>
              </w:rPr>
              <w:br w:type="textWrapping"/>
            </w:r>
            <w:r>
              <w:rPr>
                <w:kern w:val="0"/>
                <w:sz w:val="20"/>
                <w:szCs w:val="20"/>
              </w:rPr>
              <w:t>绩效</w:t>
            </w:r>
            <w:r>
              <w:rPr>
                <w:kern w:val="0"/>
                <w:sz w:val="20"/>
                <w:szCs w:val="20"/>
              </w:rPr>
              <w:br w:type="textWrapping"/>
            </w:r>
            <w:r>
              <w:rPr>
                <w:kern w:val="0"/>
                <w:sz w:val="20"/>
                <w:szCs w:val="20"/>
              </w:rPr>
              <w:t>指标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1140" w:type="dxa"/>
            <w:tcBorders>
              <w:top w:val="nil"/>
              <w:left w:val="nil"/>
              <w:bottom w:val="nil"/>
              <w:right w:val="single" w:color="auto" w:sz="4" w:space="0"/>
            </w:tcBorders>
            <w:vAlign w:val="center"/>
          </w:tcPr>
          <w:p w14:paraId="049D25E8">
            <w:pPr>
              <w:widowControl/>
              <w:jc w:val="center"/>
              <w:rPr>
                <w:kern w:val="0"/>
                <w:sz w:val="20"/>
                <w:szCs w:val="20"/>
              </w:rPr>
            </w:pPr>
            <w:r>
              <w:rPr>
                <w:kern w:val="0"/>
                <w:sz w:val="20"/>
                <w:szCs w:val="20"/>
              </w:rPr>
              <w:t>一级指标</w:t>
            </w:r>
          </w:p>
        </w:tc>
        <w:tc>
          <w:tcPr>
            <w:tcW w:w="1360" w:type="dxa"/>
            <w:tcBorders>
              <w:top w:val="nil"/>
              <w:left w:val="nil"/>
              <w:bottom w:val="single" w:color="auto" w:sz="4" w:space="0"/>
              <w:right w:val="single" w:color="auto" w:sz="4" w:space="0"/>
            </w:tcBorders>
            <w:vAlign w:val="center"/>
          </w:tcPr>
          <w:p w14:paraId="4CFBF374">
            <w:pPr>
              <w:widowControl/>
              <w:jc w:val="center"/>
              <w:rPr>
                <w:kern w:val="0"/>
                <w:sz w:val="20"/>
                <w:szCs w:val="20"/>
              </w:rPr>
            </w:pPr>
            <w:r>
              <w:rPr>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14:paraId="485780B7">
            <w:pPr>
              <w:widowControl/>
              <w:jc w:val="center"/>
              <w:rPr>
                <w:kern w:val="0"/>
                <w:sz w:val="20"/>
                <w:szCs w:val="20"/>
              </w:rPr>
            </w:pPr>
            <w:r>
              <w:rPr>
                <w:kern w:val="0"/>
                <w:sz w:val="20"/>
                <w:szCs w:val="20"/>
              </w:rPr>
              <w:t>三级指标</w:t>
            </w:r>
          </w:p>
        </w:tc>
        <w:tc>
          <w:tcPr>
            <w:tcW w:w="2092" w:type="dxa"/>
            <w:gridSpan w:val="2"/>
            <w:tcBorders>
              <w:top w:val="nil"/>
              <w:left w:val="nil"/>
              <w:bottom w:val="single" w:color="auto" w:sz="4" w:space="0"/>
              <w:right w:val="single" w:color="auto" w:sz="4" w:space="0"/>
            </w:tcBorders>
            <w:vAlign w:val="center"/>
          </w:tcPr>
          <w:p w14:paraId="5D73D4A4">
            <w:pPr>
              <w:widowControl/>
              <w:jc w:val="center"/>
              <w:rPr>
                <w:kern w:val="0"/>
                <w:sz w:val="20"/>
                <w:szCs w:val="20"/>
              </w:rPr>
            </w:pPr>
            <w:r>
              <w:rPr>
                <w:kern w:val="0"/>
                <w:sz w:val="20"/>
                <w:szCs w:val="20"/>
              </w:rPr>
              <w:t>预期指标值（包含数字及文字描述）</w:t>
            </w:r>
          </w:p>
        </w:tc>
        <w:tc>
          <w:tcPr>
            <w:tcW w:w="2016" w:type="dxa"/>
            <w:gridSpan w:val="2"/>
            <w:tcBorders>
              <w:top w:val="nil"/>
              <w:left w:val="nil"/>
              <w:bottom w:val="single" w:color="auto" w:sz="4" w:space="0"/>
              <w:right w:val="single" w:color="auto" w:sz="4" w:space="0"/>
            </w:tcBorders>
            <w:vAlign w:val="center"/>
          </w:tcPr>
          <w:p w14:paraId="3E99512C">
            <w:pPr>
              <w:widowControl/>
              <w:jc w:val="center"/>
              <w:rPr>
                <w:kern w:val="0"/>
                <w:sz w:val="20"/>
                <w:szCs w:val="20"/>
              </w:rPr>
            </w:pPr>
            <w:r>
              <w:rPr>
                <w:kern w:val="0"/>
                <w:sz w:val="20"/>
                <w:szCs w:val="20"/>
              </w:rPr>
              <w:t>实际完成指标值（包含数字及文字描述）</w:t>
            </w:r>
          </w:p>
        </w:tc>
      </w:tr>
      <w:tr w14:paraId="2E83830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7D7929E">
            <w:pPr>
              <w:widowControl/>
              <w:jc w:val="left"/>
              <w:rPr>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14:paraId="337798F8">
            <w:pPr>
              <w:widowControl/>
              <w:jc w:val="center"/>
              <w:rPr>
                <w:kern w:val="0"/>
                <w:sz w:val="20"/>
                <w:szCs w:val="20"/>
              </w:rPr>
            </w:pPr>
            <w:r>
              <w:rPr>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14:paraId="4E6C6110">
            <w:pPr>
              <w:widowControl/>
              <w:jc w:val="center"/>
              <w:rPr>
                <w:kern w:val="0"/>
                <w:sz w:val="20"/>
                <w:szCs w:val="20"/>
              </w:rPr>
            </w:pPr>
            <w:r>
              <w:rPr>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14:paraId="5C2ABD45">
            <w:pPr>
              <w:widowControl/>
              <w:jc w:val="center"/>
              <w:rPr>
                <w:kern w:val="0"/>
                <w:sz w:val="20"/>
                <w:szCs w:val="20"/>
              </w:rPr>
            </w:pPr>
            <w:r>
              <w:rPr>
                <w:rFonts w:hint="eastAsia"/>
                <w:kern w:val="0"/>
                <w:sz w:val="20"/>
                <w:szCs w:val="20"/>
              </w:rPr>
              <w:t>改造14间教室和一楼大厅</w:t>
            </w:r>
          </w:p>
        </w:tc>
        <w:tc>
          <w:tcPr>
            <w:tcW w:w="2092" w:type="dxa"/>
            <w:gridSpan w:val="2"/>
            <w:tcBorders>
              <w:top w:val="nil"/>
              <w:left w:val="nil"/>
              <w:bottom w:val="single" w:color="auto" w:sz="4" w:space="0"/>
              <w:right w:val="single" w:color="auto" w:sz="4" w:space="0"/>
            </w:tcBorders>
            <w:vAlign w:val="center"/>
          </w:tcPr>
          <w:p w14:paraId="40ADBA22">
            <w:pPr>
              <w:widowControl/>
              <w:jc w:val="center"/>
              <w:rPr>
                <w:kern w:val="0"/>
                <w:sz w:val="20"/>
                <w:szCs w:val="20"/>
              </w:rPr>
            </w:pPr>
            <w:r>
              <w:rPr>
                <w:rFonts w:hint="eastAsia"/>
                <w:kern w:val="0"/>
                <w:sz w:val="20"/>
                <w:szCs w:val="20"/>
              </w:rPr>
              <w:t>完成14间教室和一楼大厅改造工程</w:t>
            </w:r>
          </w:p>
        </w:tc>
        <w:tc>
          <w:tcPr>
            <w:tcW w:w="2016" w:type="dxa"/>
            <w:gridSpan w:val="2"/>
            <w:tcBorders>
              <w:top w:val="nil"/>
              <w:left w:val="nil"/>
              <w:bottom w:val="single" w:color="auto" w:sz="4" w:space="0"/>
              <w:right w:val="single" w:color="auto" w:sz="4" w:space="0"/>
            </w:tcBorders>
            <w:vAlign w:val="center"/>
          </w:tcPr>
          <w:p w14:paraId="677895F1">
            <w:pPr>
              <w:widowControl/>
              <w:jc w:val="center"/>
              <w:rPr>
                <w:kern w:val="0"/>
                <w:sz w:val="20"/>
                <w:szCs w:val="20"/>
              </w:rPr>
            </w:pPr>
            <w:r>
              <w:rPr>
                <w:rFonts w:hint="eastAsia"/>
                <w:kern w:val="0"/>
                <w:sz w:val="20"/>
                <w:szCs w:val="20"/>
              </w:rPr>
              <w:t>已完成一楼大厅改造项目</w:t>
            </w:r>
          </w:p>
        </w:tc>
      </w:tr>
      <w:tr w14:paraId="1EE7AB5B">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ABE87A6">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65953A7">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14:paraId="3E408CEE">
            <w:pPr>
              <w:widowControl/>
              <w:jc w:val="center"/>
              <w:rPr>
                <w:kern w:val="0"/>
                <w:sz w:val="20"/>
                <w:szCs w:val="20"/>
              </w:rPr>
            </w:pPr>
            <w:r>
              <w:rPr>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14:paraId="235D537F">
            <w:pPr>
              <w:widowControl/>
              <w:jc w:val="center"/>
              <w:rPr>
                <w:kern w:val="0"/>
                <w:sz w:val="20"/>
                <w:szCs w:val="20"/>
              </w:rPr>
            </w:pPr>
            <w:r>
              <w:rPr>
                <w:rFonts w:hint="eastAsia"/>
                <w:kern w:val="0"/>
                <w:sz w:val="20"/>
                <w:szCs w:val="20"/>
              </w:rPr>
              <w:t>工程项目验收合格率</w:t>
            </w:r>
          </w:p>
        </w:tc>
        <w:tc>
          <w:tcPr>
            <w:tcW w:w="2092" w:type="dxa"/>
            <w:gridSpan w:val="2"/>
            <w:tcBorders>
              <w:top w:val="nil"/>
              <w:left w:val="nil"/>
              <w:bottom w:val="single" w:color="auto" w:sz="4" w:space="0"/>
              <w:right w:val="single" w:color="auto" w:sz="4" w:space="0"/>
            </w:tcBorders>
            <w:vAlign w:val="center"/>
          </w:tcPr>
          <w:p w14:paraId="5067DE9C">
            <w:pPr>
              <w:widowControl/>
              <w:jc w:val="center"/>
              <w:rPr>
                <w:kern w:val="0"/>
                <w:sz w:val="20"/>
                <w:szCs w:val="20"/>
              </w:rPr>
            </w:pPr>
            <w:r>
              <w:rPr>
                <w:rFonts w:hint="eastAsia"/>
                <w:kern w:val="0"/>
                <w:sz w:val="20"/>
                <w:szCs w:val="20"/>
              </w:rPr>
              <w:t>合格率要达到100%</w:t>
            </w:r>
          </w:p>
        </w:tc>
        <w:tc>
          <w:tcPr>
            <w:tcW w:w="2016" w:type="dxa"/>
            <w:gridSpan w:val="2"/>
            <w:tcBorders>
              <w:top w:val="nil"/>
              <w:left w:val="nil"/>
              <w:bottom w:val="single" w:color="auto" w:sz="4" w:space="0"/>
              <w:right w:val="single" w:color="auto" w:sz="4" w:space="0"/>
            </w:tcBorders>
            <w:vAlign w:val="center"/>
          </w:tcPr>
          <w:p w14:paraId="5AEF44A7">
            <w:pPr>
              <w:widowControl/>
              <w:jc w:val="center"/>
              <w:rPr>
                <w:kern w:val="0"/>
                <w:sz w:val="20"/>
                <w:szCs w:val="20"/>
              </w:rPr>
            </w:pPr>
            <w:r>
              <w:rPr>
                <w:rFonts w:hint="eastAsia"/>
                <w:kern w:val="0"/>
                <w:sz w:val="20"/>
                <w:szCs w:val="20"/>
              </w:rPr>
              <w:t>实际工程质量合格率达到100%</w:t>
            </w:r>
          </w:p>
        </w:tc>
      </w:tr>
      <w:tr w14:paraId="5913DEAD">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6F9B25E">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A59EB3D">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6A104A32">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65BC3154">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14:paraId="43CA83A0">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14:paraId="46FEF5E4">
            <w:pPr>
              <w:widowControl/>
              <w:jc w:val="center"/>
              <w:rPr>
                <w:kern w:val="0"/>
                <w:sz w:val="20"/>
                <w:szCs w:val="20"/>
              </w:rPr>
            </w:pPr>
          </w:p>
        </w:tc>
      </w:tr>
      <w:tr w14:paraId="31C6025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0ACB0D9">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068BEF3">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14:paraId="7FDC4C26">
            <w:pPr>
              <w:widowControl/>
              <w:jc w:val="center"/>
              <w:rPr>
                <w:kern w:val="0"/>
                <w:sz w:val="20"/>
                <w:szCs w:val="20"/>
              </w:rPr>
            </w:pPr>
            <w:r>
              <w:rPr>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14:paraId="4B2E2A07">
            <w:pPr>
              <w:widowControl/>
              <w:jc w:val="left"/>
              <w:rPr>
                <w:kern w:val="0"/>
                <w:sz w:val="20"/>
                <w:szCs w:val="20"/>
              </w:rPr>
            </w:pPr>
            <w:r>
              <w:rPr>
                <w:rFonts w:hint="eastAsia"/>
                <w:kern w:val="0"/>
                <w:sz w:val="20"/>
                <w:szCs w:val="20"/>
              </w:rPr>
              <w:t>年度预算执行进度</w:t>
            </w:r>
          </w:p>
        </w:tc>
        <w:tc>
          <w:tcPr>
            <w:tcW w:w="2092" w:type="dxa"/>
            <w:gridSpan w:val="2"/>
            <w:tcBorders>
              <w:top w:val="nil"/>
              <w:left w:val="nil"/>
              <w:bottom w:val="single" w:color="auto" w:sz="4" w:space="0"/>
              <w:right w:val="single" w:color="auto" w:sz="4" w:space="0"/>
            </w:tcBorders>
            <w:vAlign w:val="center"/>
          </w:tcPr>
          <w:p w14:paraId="270EF251">
            <w:pPr>
              <w:widowControl/>
              <w:jc w:val="center"/>
              <w:rPr>
                <w:kern w:val="0"/>
                <w:sz w:val="20"/>
                <w:szCs w:val="20"/>
              </w:rPr>
            </w:pPr>
            <w:r>
              <w:rPr>
                <w:rFonts w:hint="eastAsia"/>
                <w:kern w:val="0"/>
                <w:sz w:val="20"/>
                <w:szCs w:val="20"/>
              </w:rPr>
              <w:t>年度预算按进度执行</w:t>
            </w:r>
          </w:p>
        </w:tc>
        <w:tc>
          <w:tcPr>
            <w:tcW w:w="2016" w:type="dxa"/>
            <w:gridSpan w:val="2"/>
            <w:tcBorders>
              <w:top w:val="nil"/>
              <w:left w:val="nil"/>
              <w:bottom w:val="single" w:color="auto" w:sz="4" w:space="0"/>
              <w:right w:val="single" w:color="auto" w:sz="4" w:space="0"/>
            </w:tcBorders>
            <w:vAlign w:val="center"/>
          </w:tcPr>
          <w:p w14:paraId="1906028A">
            <w:pPr>
              <w:widowControl/>
              <w:jc w:val="center"/>
              <w:rPr>
                <w:kern w:val="0"/>
                <w:sz w:val="20"/>
                <w:szCs w:val="20"/>
              </w:rPr>
            </w:pPr>
            <w:r>
              <w:rPr>
                <w:rFonts w:hint="eastAsia"/>
                <w:kern w:val="0"/>
                <w:sz w:val="20"/>
                <w:szCs w:val="20"/>
              </w:rPr>
              <w:t>预算进度为25%</w:t>
            </w:r>
          </w:p>
        </w:tc>
      </w:tr>
      <w:tr w14:paraId="28583957">
        <w:tblPrEx>
          <w:tblCellMar>
            <w:top w:w="0" w:type="dxa"/>
            <w:left w:w="108" w:type="dxa"/>
            <w:bottom w:w="0" w:type="dxa"/>
            <w:right w:w="108" w:type="dxa"/>
          </w:tblCellMar>
        </w:tblPrEx>
        <w:trPr>
          <w:trHeight w:val="508" w:hRule="atLeast"/>
        </w:trPr>
        <w:tc>
          <w:tcPr>
            <w:tcW w:w="720" w:type="dxa"/>
            <w:vMerge w:val="continue"/>
            <w:tcBorders>
              <w:top w:val="nil"/>
              <w:left w:val="single" w:color="auto" w:sz="4" w:space="0"/>
              <w:bottom w:val="single" w:color="000000" w:sz="4" w:space="0"/>
              <w:right w:val="single" w:color="auto" w:sz="4" w:space="0"/>
            </w:tcBorders>
            <w:vAlign w:val="center"/>
          </w:tcPr>
          <w:p w14:paraId="7BD685D3">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18C4C8C">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426D5F24">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792BDE34">
            <w:pPr>
              <w:widowControl/>
              <w:jc w:val="center"/>
              <w:rPr>
                <w:kern w:val="0"/>
                <w:sz w:val="20"/>
                <w:szCs w:val="20"/>
              </w:rPr>
            </w:pPr>
            <w:r>
              <w:rPr>
                <w:rFonts w:hint="eastAsia"/>
                <w:kern w:val="0"/>
                <w:sz w:val="20"/>
                <w:szCs w:val="20"/>
              </w:rPr>
              <w:t>完成时间</w:t>
            </w:r>
          </w:p>
        </w:tc>
        <w:tc>
          <w:tcPr>
            <w:tcW w:w="2092" w:type="dxa"/>
            <w:gridSpan w:val="2"/>
            <w:tcBorders>
              <w:top w:val="nil"/>
              <w:left w:val="nil"/>
              <w:bottom w:val="single" w:color="auto" w:sz="4" w:space="0"/>
              <w:right w:val="single" w:color="auto" w:sz="4" w:space="0"/>
            </w:tcBorders>
            <w:vAlign w:val="center"/>
          </w:tcPr>
          <w:p w14:paraId="3B54427A">
            <w:pPr>
              <w:widowControl/>
              <w:jc w:val="center"/>
              <w:rPr>
                <w:kern w:val="0"/>
                <w:sz w:val="20"/>
                <w:szCs w:val="20"/>
              </w:rPr>
            </w:pPr>
            <w:r>
              <w:rPr>
                <w:rFonts w:hint="eastAsia"/>
                <w:kern w:val="0"/>
                <w:sz w:val="20"/>
                <w:szCs w:val="20"/>
              </w:rPr>
              <w:t>2018年10月至2019年12月</w:t>
            </w:r>
          </w:p>
        </w:tc>
        <w:tc>
          <w:tcPr>
            <w:tcW w:w="2016" w:type="dxa"/>
            <w:gridSpan w:val="2"/>
            <w:tcBorders>
              <w:top w:val="nil"/>
              <w:left w:val="nil"/>
              <w:bottom w:val="single" w:color="auto" w:sz="4" w:space="0"/>
              <w:right w:val="single" w:color="auto" w:sz="4" w:space="0"/>
            </w:tcBorders>
            <w:vAlign w:val="center"/>
          </w:tcPr>
          <w:p w14:paraId="181C8871">
            <w:pPr>
              <w:widowControl/>
              <w:jc w:val="center"/>
              <w:rPr>
                <w:kern w:val="0"/>
                <w:sz w:val="20"/>
                <w:szCs w:val="20"/>
              </w:rPr>
            </w:pPr>
            <w:r>
              <w:rPr>
                <w:rFonts w:hint="eastAsia"/>
                <w:kern w:val="0"/>
                <w:sz w:val="20"/>
                <w:szCs w:val="20"/>
              </w:rPr>
              <w:t>项目正在实施中</w:t>
            </w:r>
          </w:p>
        </w:tc>
      </w:tr>
      <w:tr w14:paraId="02481647">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5948D5D">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34F3376C">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14:paraId="4401379C">
            <w:pPr>
              <w:widowControl/>
              <w:jc w:val="center"/>
              <w:rPr>
                <w:kern w:val="0"/>
                <w:sz w:val="20"/>
                <w:szCs w:val="20"/>
              </w:rPr>
            </w:pPr>
            <w:r>
              <w:rPr>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14:paraId="2970D743">
            <w:pPr>
              <w:widowControl/>
              <w:jc w:val="center"/>
              <w:rPr>
                <w:kern w:val="0"/>
                <w:sz w:val="20"/>
                <w:szCs w:val="20"/>
              </w:rPr>
            </w:pPr>
            <w:r>
              <w:rPr>
                <w:rFonts w:hint="eastAsia"/>
                <w:kern w:val="0"/>
                <w:sz w:val="20"/>
                <w:szCs w:val="20"/>
              </w:rPr>
              <w:t>经费预算400万元</w:t>
            </w:r>
          </w:p>
        </w:tc>
        <w:tc>
          <w:tcPr>
            <w:tcW w:w="2092" w:type="dxa"/>
            <w:gridSpan w:val="2"/>
            <w:tcBorders>
              <w:top w:val="nil"/>
              <w:left w:val="nil"/>
              <w:bottom w:val="single" w:color="auto" w:sz="4" w:space="0"/>
              <w:right w:val="single" w:color="auto" w:sz="4" w:space="0"/>
            </w:tcBorders>
            <w:vAlign w:val="center"/>
          </w:tcPr>
          <w:p w14:paraId="175FD13C">
            <w:pPr>
              <w:widowControl/>
              <w:jc w:val="center"/>
              <w:rPr>
                <w:kern w:val="0"/>
                <w:sz w:val="20"/>
                <w:szCs w:val="20"/>
              </w:rPr>
            </w:pPr>
            <w:r>
              <w:rPr>
                <w:rFonts w:hint="eastAsia"/>
                <w:kern w:val="0"/>
                <w:sz w:val="20"/>
                <w:szCs w:val="20"/>
              </w:rPr>
              <w:t>实际合同价为400万元</w:t>
            </w:r>
          </w:p>
        </w:tc>
        <w:tc>
          <w:tcPr>
            <w:tcW w:w="2016" w:type="dxa"/>
            <w:gridSpan w:val="2"/>
            <w:tcBorders>
              <w:top w:val="nil"/>
              <w:left w:val="nil"/>
              <w:bottom w:val="single" w:color="auto" w:sz="4" w:space="0"/>
              <w:right w:val="single" w:color="auto" w:sz="4" w:space="0"/>
            </w:tcBorders>
            <w:vAlign w:val="center"/>
          </w:tcPr>
          <w:p w14:paraId="02A327B7">
            <w:pPr>
              <w:widowControl/>
              <w:jc w:val="center"/>
              <w:rPr>
                <w:kern w:val="0"/>
                <w:sz w:val="20"/>
                <w:szCs w:val="20"/>
              </w:rPr>
            </w:pPr>
            <w:r>
              <w:rPr>
                <w:rFonts w:hint="eastAsia"/>
                <w:kern w:val="0"/>
                <w:sz w:val="20"/>
                <w:szCs w:val="20"/>
              </w:rPr>
              <w:t>现已支付99万元</w:t>
            </w:r>
          </w:p>
        </w:tc>
      </w:tr>
      <w:tr w14:paraId="09E3C6AC">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7B1C766">
            <w:pPr>
              <w:widowControl/>
              <w:jc w:val="left"/>
              <w:rPr>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14:paraId="4DFCB94E">
            <w:pPr>
              <w:widowControl/>
              <w:jc w:val="center"/>
              <w:rPr>
                <w:kern w:val="0"/>
                <w:sz w:val="20"/>
                <w:szCs w:val="20"/>
              </w:rPr>
            </w:pPr>
            <w:r>
              <w:rPr>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14:paraId="327E7100">
            <w:pPr>
              <w:widowControl/>
              <w:jc w:val="center"/>
              <w:rPr>
                <w:kern w:val="0"/>
                <w:sz w:val="20"/>
                <w:szCs w:val="20"/>
              </w:rPr>
            </w:pPr>
            <w:r>
              <w:rPr>
                <w:kern w:val="0"/>
                <w:sz w:val="20"/>
                <w:szCs w:val="20"/>
              </w:rPr>
              <w:t>经济效益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14:paraId="7E579B2C">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14:paraId="3CE84DCF">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14:paraId="6C3170B4">
            <w:pPr>
              <w:widowControl/>
              <w:jc w:val="center"/>
              <w:rPr>
                <w:kern w:val="0"/>
                <w:sz w:val="20"/>
                <w:szCs w:val="20"/>
              </w:rPr>
            </w:pPr>
          </w:p>
        </w:tc>
      </w:tr>
      <w:tr w14:paraId="4534D7A4">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A45C825">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5B320D7D">
            <w:pPr>
              <w:widowControl/>
              <w:jc w:val="left"/>
              <w:rPr>
                <w:kern w:val="0"/>
                <w:sz w:val="20"/>
                <w:szCs w:val="20"/>
              </w:rPr>
            </w:pPr>
          </w:p>
        </w:tc>
        <w:tc>
          <w:tcPr>
            <w:tcW w:w="1360" w:type="dxa"/>
            <w:vMerge w:val="restart"/>
            <w:tcBorders>
              <w:top w:val="nil"/>
              <w:left w:val="single" w:color="auto" w:sz="4" w:space="0"/>
              <w:right w:val="single" w:color="auto" w:sz="4" w:space="0"/>
            </w:tcBorders>
            <w:vAlign w:val="center"/>
          </w:tcPr>
          <w:p w14:paraId="45F04932">
            <w:pPr>
              <w:widowControl/>
              <w:jc w:val="center"/>
              <w:rPr>
                <w:kern w:val="0"/>
                <w:sz w:val="20"/>
                <w:szCs w:val="20"/>
              </w:rPr>
            </w:pPr>
            <w:r>
              <w:rPr>
                <w:kern w:val="0"/>
                <w:sz w:val="20"/>
                <w:szCs w:val="20"/>
              </w:rPr>
              <w:t>社会效益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14:paraId="1749DECB">
            <w:pPr>
              <w:widowControl/>
              <w:jc w:val="center"/>
              <w:rPr>
                <w:kern w:val="0"/>
                <w:sz w:val="20"/>
                <w:szCs w:val="20"/>
              </w:rPr>
            </w:pPr>
            <w:r>
              <w:rPr>
                <w:rFonts w:hint="eastAsia"/>
                <w:kern w:val="0"/>
                <w:sz w:val="20"/>
                <w:szCs w:val="20"/>
              </w:rPr>
              <w:t>提升学院硬件建设水平</w:t>
            </w:r>
          </w:p>
        </w:tc>
        <w:tc>
          <w:tcPr>
            <w:tcW w:w="2092" w:type="dxa"/>
            <w:gridSpan w:val="2"/>
            <w:tcBorders>
              <w:top w:val="nil"/>
              <w:left w:val="nil"/>
              <w:bottom w:val="single" w:color="auto" w:sz="4" w:space="0"/>
              <w:right w:val="single" w:color="auto" w:sz="4" w:space="0"/>
            </w:tcBorders>
            <w:vAlign w:val="center"/>
          </w:tcPr>
          <w:p w14:paraId="4DF7F617">
            <w:pPr>
              <w:widowControl/>
              <w:jc w:val="center"/>
              <w:rPr>
                <w:kern w:val="0"/>
                <w:sz w:val="20"/>
                <w:szCs w:val="20"/>
              </w:rPr>
            </w:pPr>
            <w:r>
              <w:rPr>
                <w:rFonts w:hint="eastAsia"/>
                <w:kern w:val="0"/>
                <w:sz w:val="20"/>
                <w:szCs w:val="20"/>
              </w:rPr>
              <w:t>提升</w:t>
            </w:r>
          </w:p>
        </w:tc>
        <w:tc>
          <w:tcPr>
            <w:tcW w:w="2016" w:type="dxa"/>
            <w:gridSpan w:val="2"/>
            <w:tcBorders>
              <w:top w:val="nil"/>
              <w:left w:val="nil"/>
              <w:bottom w:val="single" w:color="auto" w:sz="4" w:space="0"/>
              <w:right w:val="single" w:color="auto" w:sz="4" w:space="0"/>
            </w:tcBorders>
            <w:vAlign w:val="center"/>
          </w:tcPr>
          <w:p w14:paraId="432860FB">
            <w:pPr>
              <w:widowControl/>
              <w:jc w:val="center"/>
              <w:rPr>
                <w:kern w:val="0"/>
                <w:sz w:val="20"/>
                <w:szCs w:val="20"/>
              </w:rPr>
            </w:pPr>
            <w:r>
              <w:rPr>
                <w:rFonts w:hint="eastAsia"/>
                <w:kern w:val="0"/>
                <w:sz w:val="20"/>
                <w:szCs w:val="20"/>
              </w:rPr>
              <w:t>显著提升</w:t>
            </w:r>
          </w:p>
        </w:tc>
      </w:tr>
      <w:tr w14:paraId="5680F748">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D2529CE">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7B395B73">
            <w:pPr>
              <w:widowControl/>
              <w:jc w:val="left"/>
              <w:rPr>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14:paraId="46EA280D">
            <w:pPr>
              <w:widowControl/>
              <w:jc w:val="center"/>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24BD6341">
            <w:pPr>
              <w:widowControl/>
              <w:jc w:val="center"/>
              <w:rPr>
                <w:kern w:val="0"/>
                <w:sz w:val="20"/>
                <w:szCs w:val="20"/>
              </w:rPr>
            </w:pPr>
            <w:r>
              <w:rPr>
                <w:rFonts w:hint="eastAsia"/>
                <w:kern w:val="0"/>
                <w:sz w:val="20"/>
                <w:szCs w:val="20"/>
              </w:rPr>
              <w:t>沉淀社会劳动力就业培训的能力</w:t>
            </w:r>
          </w:p>
        </w:tc>
        <w:tc>
          <w:tcPr>
            <w:tcW w:w="2092" w:type="dxa"/>
            <w:gridSpan w:val="2"/>
            <w:tcBorders>
              <w:top w:val="nil"/>
              <w:left w:val="nil"/>
              <w:bottom w:val="single" w:color="auto" w:sz="4" w:space="0"/>
              <w:right w:val="single" w:color="auto" w:sz="4" w:space="0"/>
            </w:tcBorders>
            <w:vAlign w:val="center"/>
          </w:tcPr>
          <w:p w14:paraId="2C1DC29B">
            <w:pPr>
              <w:widowControl/>
              <w:jc w:val="center"/>
              <w:rPr>
                <w:kern w:val="0"/>
                <w:sz w:val="20"/>
                <w:szCs w:val="20"/>
              </w:rPr>
            </w:pPr>
            <w:r>
              <w:rPr>
                <w:rFonts w:hint="eastAsia"/>
                <w:kern w:val="0"/>
                <w:sz w:val="20"/>
                <w:szCs w:val="20"/>
              </w:rPr>
              <w:t>稳步扩大8%以上</w:t>
            </w:r>
          </w:p>
        </w:tc>
        <w:tc>
          <w:tcPr>
            <w:tcW w:w="2016" w:type="dxa"/>
            <w:gridSpan w:val="2"/>
            <w:tcBorders>
              <w:top w:val="nil"/>
              <w:left w:val="nil"/>
              <w:bottom w:val="single" w:color="auto" w:sz="4" w:space="0"/>
              <w:right w:val="single" w:color="auto" w:sz="4" w:space="0"/>
            </w:tcBorders>
            <w:vAlign w:val="center"/>
          </w:tcPr>
          <w:p w14:paraId="15520A6E">
            <w:pPr>
              <w:widowControl/>
              <w:jc w:val="center"/>
              <w:rPr>
                <w:kern w:val="0"/>
                <w:sz w:val="20"/>
                <w:szCs w:val="20"/>
              </w:rPr>
            </w:pPr>
            <w:r>
              <w:rPr>
                <w:rFonts w:hint="eastAsia"/>
                <w:kern w:val="0"/>
                <w:sz w:val="20"/>
                <w:szCs w:val="20"/>
              </w:rPr>
              <w:t>未到监测节点</w:t>
            </w:r>
          </w:p>
        </w:tc>
      </w:tr>
      <w:tr w14:paraId="1865593C">
        <w:tblPrEx>
          <w:tblCellMar>
            <w:top w:w="0" w:type="dxa"/>
            <w:left w:w="108" w:type="dxa"/>
            <w:bottom w:w="0" w:type="dxa"/>
            <w:right w:w="108" w:type="dxa"/>
          </w:tblCellMar>
        </w:tblPrEx>
        <w:trPr>
          <w:trHeight w:val="439" w:hRule="atLeast"/>
        </w:trPr>
        <w:tc>
          <w:tcPr>
            <w:tcW w:w="720" w:type="dxa"/>
            <w:vMerge w:val="continue"/>
            <w:tcBorders>
              <w:top w:val="nil"/>
              <w:left w:val="single" w:color="auto" w:sz="4" w:space="0"/>
              <w:bottom w:val="single" w:color="000000" w:sz="4" w:space="0"/>
              <w:right w:val="single" w:color="auto" w:sz="4" w:space="0"/>
            </w:tcBorders>
            <w:vAlign w:val="center"/>
          </w:tcPr>
          <w:p w14:paraId="43066BCC">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21BAE55A">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14:paraId="6F8F59BB">
            <w:pPr>
              <w:widowControl/>
              <w:jc w:val="center"/>
              <w:rPr>
                <w:kern w:val="0"/>
                <w:sz w:val="20"/>
                <w:szCs w:val="20"/>
              </w:rPr>
            </w:pPr>
            <w:r>
              <w:rPr>
                <w:kern w:val="0"/>
                <w:sz w:val="20"/>
                <w:szCs w:val="20"/>
              </w:rPr>
              <w:t>生态效益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14:paraId="62B4F743">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14:paraId="0186F5FF">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14:paraId="5AA80A35">
            <w:pPr>
              <w:widowControl/>
              <w:jc w:val="center"/>
              <w:rPr>
                <w:kern w:val="0"/>
                <w:sz w:val="20"/>
                <w:szCs w:val="20"/>
              </w:rPr>
            </w:pPr>
          </w:p>
        </w:tc>
      </w:tr>
      <w:tr w14:paraId="487C3CB7">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2661CF6">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13ECD54A">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14:paraId="2ACE0EB0">
            <w:pPr>
              <w:widowControl/>
              <w:jc w:val="center"/>
              <w:rPr>
                <w:kern w:val="0"/>
                <w:sz w:val="20"/>
                <w:szCs w:val="20"/>
              </w:rPr>
            </w:pPr>
            <w:r>
              <w:rPr>
                <w:kern w:val="0"/>
                <w:sz w:val="20"/>
                <w:szCs w:val="20"/>
              </w:rPr>
              <w:t>可持续影响</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14:paraId="2D8C3715">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14:paraId="5D56C2FF">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14:paraId="5B681AB4">
            <w:pPr>
              <w:widowControl/>
              <w:jc w:val="center"/>
              <w:rPr>
                <w:kern w:val="0"/>
                <w:sz w:val="20"/>
                <w:szCs w:val="20"/>
              </w:rPr>
            </w:pPr>
          </w:p>
        </w:tc>
      </w:tr>
      <w:tr w14:paraId="2EB23784">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C42AC29">
            <w:pPr>
              <w:widowControl/>
              <w:jc w:val="left"/>
              <w:rPr>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14:paraId="3DA3CA83">
            <w:pPr>
              <w:widowControl/>
              <w:jc w:val="center"/>
              <w:rPr>
                <w:kern w:val="0"/>
                <w:sz w:val="20"/>
                <w:szCs w:val="20"/>
              </w:rPr>
            </w:pPr>
            <w:r>
              <w:rPr>
                <w:kern w:val="0"/>
                <w:sz w:val="20"/>
                <w:szCs w:val="20"/>
              </w:rPr>
              <w:t>满意度</w:t>
            </w:r>
            <w:r>
              <w:rPr>
                <w:kern w:val="0"/>
                <w:sz w:val="20"/>
                <w:szCs w:val="20"/>
              </w:rPr>
              <w:br w:type="textWrapping"/>
            </w:r>
            <w:r>
              <w:rPr>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14:paraId="1CB5C46F">
            <w:pPr>
              <w:widowControl/>
              <w:jc w:val="center"/>
              <w:rPr>
                <w:kern w:val="0"/>
                <w:sz w:val="20"/>
                <w:szCs w:val="20"/>
              </w:rPr>
            </w:pPr>
            <w:r>
              <w:rPr>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14:paraId="6F9006A4">
            <w:pPr>
              <w:widowControl/>
              <w:jc w:val="left"/>
              <w:rPr>
                <w:kern w:val="0"/>
                <w:sz w:val="20"/>
                <w:szCs w:val="20"/>
              </w:rPr>
            </w:pPr>
            <w:r>
              <w:rPr>
                <w:rFonts w:hint="eastAsia"/>
                <w:kern w:val="0"/>
                <w:sz w:val="20"/>
                <w:szCs w:val="20"/>
              </w:rPr>
              <w:t>学生、教师抽样调查满意度</w:t>
            </w:r>
          </w:p>
        </w:tc>
        <w:tc>
          <w:tcPr>
            <w:tcW w:w="2092" w:type="dxa"/>
            <w:gridSpan w:val="2"/>
            <w:tcBorders>
              <w:top w:val="nil"/>
              <w:left w:val="nil"/>
              <w:bottom w:val="single" w:color="auto" w:sz="4" w:space="0"/>
              <w:right w:val="single" w:color="auto" w:sz="4" w:space="0"/>
            </w:tcBorders>
            <w:vAlign w:val="center"/>
          </w:tcPr>
          <w:p w14:paraId="3DE0E37A">
            <w:pPr>
              <w:widowControl/>
              <w:jc w:val="center"/>
              <w:rPr>
                <w:kern w:val="0"/>
                <w:sz w:val="20"/>
                <w:szCs w:val="20"/>
              </w:rPr>
            </w:pPr>
            <w:r>
              <w:rPr>
                <w:rFonts w:hint="eastAsia"/>
                <w:kern w:val="0"/>
                <w:sz w:val="20"/>
                <w:szCs w:val="20"/>
              </w:rPr>
              <w:t>满意度要≥90%</w:t>
            </w:r>
          </w:p>
        </w:tc>
        <w:tc>
          <w:tcPr>
            <w:tcW w:w="2016" w:type="dxa"/>
            <w:gridSpan w:val="2"/>
            <w:tcBorders>
              <w:top w:val="nil"/>
              <w:left w:val="nil"/>
              <w:bottom w:val="single" w:color="auto" w:sz="4" w:space="0"/>
              <w:right w:val="single" w:color="auto" w:sz="4" w:space="0"/>
            </w:tcBorders>
            <w:vAlign w:val="center"/>
          </w:tcPr>
          <w:p w14:paraId="77FA5389">
            <w:pPr>
              <w:widowControl/>
              <w:jc w:val="center"/>
              <w:rPr>
                <w:kern w:val="0"/>
                <w:sz w:val="20"/>
                <w:szCs w:val="20"/>
              </w:rPr>
            </w:pPr>
            <w:r>
              <w:rPr>
                <w:rFonts w:hint="eastAsia"/>
                <w:kern w:val="0"/>
                <w:sz w:val="20"/>
                <w:szCs w:val="20"/>
              </w:rPr>
              <w:t>满意度≥90%</w:t>
            </w:r>
          </w:p>
        </w:tc>
      </w:tr>
      <w:tr w14:paraId="344B273C">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81EE3EA">
            <w:pPr>
              <w:widowControl/>
              <w:jc w:val="left"/>
              <w:rPr>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14:paraId="424B5012">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5A29874B">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4492EECC">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14:paraId="46E60CC3">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14:paraId="7476C212">
            <w:pPr>
              <w:widowControl/>
              <w:jc w:val="center"/>
              <w:rPr>
                <w:kern w:val="0"/>
                <w:sz w:val="20"/>
                <w:szCs w:val="20"/>
              </w:rPr>
            </w:pPr>
          </w:p>
        </w:tc>
      </w:tr>
    </w:tbl>
    <w:p w14:paraId="6C264267">
      <w:pPr>
        <w:spacing w:line="540" w:lineRule="exact"/>
        <w:ind w:firstLine="567"/>
        <w:rPr>
          <w:rStyle w:val="19"/>
          <w:rFonts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1C82CBA-93D2-475F-9504-AE5AC42570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embedRegular r:id="rId2" w:fontKey="{E5CA135B-2D06-43FD-AD55-58B1F5BDF116}"/>
  </w:font>
  <w:font w:name="华文中宋">
    <w:panose1 w:val="02010600040101010101"/>
    <w:charset w:val="86"/>
    <w:family w:val="auto"/>
    <w:pitch w:val="default"/>
    <w:sig w:usb0="00000287" w:usb1="080F0000" w:usb2="00000000" w:usb3="00000000" w:csb0="0004009F" w:csb1="DFD70000"/>
    <w:embedRegular r:id="rId3" w:fontKey="{83B194ED-A5BD-4E57-94B0-BA57820BA179}"/>
  </w:font>
  <w:font w:name="方正小标宋_GBK">
    <w:panose1 w:val="02000000000000000000"/>
    <w:charset w:val="86"/>
    <w:family w:val="script"/>
    <w:pitch w:val="default"/>
    <w:sig w:usb0="A00002BF" w:usb1="38CF7CFA" w:usb2="00082016" w:usb3="00000000" w:csb0="00040001" w:csb1="00000000"/>
    <w:embedRegular r:id="rId4" w:fontKey="{8F211B8A-4A20-4EF8-AD86-627F024328BD}"/>
  </w:font>
  <w:font w:name="仿宋_GB2312">
    <w:altName w:val="仿宋"/>
    <w:panose1 w:val="02010609030101010101"/>
    <w:charset w:val="86"/>
    <w:family w:val="modern"/>
    <w:pitch w:val="default"/>
    <w:sig w:usb0="00000000" w:usb1="00000000" w:usb2="00000010" w:usb3="00000000" w:csb0="00040000" w:csb1="00000000"/>
    <w:embedRegular r:id="rId5" w:fontKey="{A1B05BF9-EBA5-488F-9E32-9AB562C2DD9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2516824">
        <w:pPr>
          <w:pStyle w:val="12"/>
          <w:jc w:val="center"/>
        </w:pPr>
        <w:r>
          <w:fldChar w:fldCharType="begin"/>
        </w:r>
        <w:r>
          <w:instrText xml:space="preserve">PAGE   \* MERGEFORMAT</w:instrText>
        </w:r>
        <w:r>
          <w:fldChar w:fldCharType="separate"/>
        </w:r>
        <w:r>
          <w:rPr>
            <w:lang w:val="zh-CN"/>
          </w:rPr>
          <w:t>7</w:t>
        </w:r>
        <w:r>
          <w:fldChar w:fldCharType="end"/>
        </w:r>
      </w:p>
    </w:sdtContent>
  </w:sdt>
  <w:p w14:paraId="003DB85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53DD88"/>
    <w:multiLevelType w:val="singleLevel"/>
    <w:tmpl w:val="4153DD88"/>
    <w:lvl w:ilvl="0" w:tentative="0">
      <w:start w:val="2"/>
      <w:numFmt w:val="chineseCounting"/>
      <w:suff w:val="nothing"/>
      <w:lvlText w:val="（%1）"/>
      <w:lvlJc w:val="left"/>
      <w:rPr>
        <w:rFonts w:hint="eastAsia"/>
      </w:rPr>
    </w:lvl>
  </w:abstractNum>
  <w:abstractNum w:abstractNumId="1">
    <w:nsid w:val="7554DC47"/>
    <w:multiLevelType w:val="singleLevel"/>
    <w:tmpl w:val="7554DC47"/>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56465"/>
    <w:rsid w:val="00121AE4"/>
    <w:rsid w:val="001248A0"/>
    <w:rsid w:val="00146AAD"/>
    <w:rsid w:val="001B3A40"/>
    <w:rsid w:val="001C58D2"/>
    <w:rsid w:val="001E0F84"/>
    <w:rsid w:val="002574E5"/>
    <w:rsid w:val="003863D0"/>
    <w:rsid w:val="003908B7"/>
    <w:rsid w:val="00396863"/>
    <w:rsid w:val="004366A8"/>
    <w:rsid w:val="004D5891"/>
    <w:rsid w:val="00502BA7"/>
    <w:rsid w:val="005162F1"/>
    <w:rsid w:val="00535153"/>
    <w:rsid w:val="00554F82"/>
    <w:rsid w:val="0056390D"/>
    <w:rsid w:val="005719B0"/>
    <w:rsid w:val="005D10D6"/>
    <w:rsid w:val="006E6BB4"/>
    <w:rsid w:val="00853F74"/>
    <w:rsid w:val="00855E3A"/>
    <w:rsid w:val="0087325C"/>
    <w:rsid w:val="0089567A"/>
    <w:rsid w:val="00922CB9"/>
    <w:rsid w:val="00954C41"/>
    <w:rsid w:val="009A36FF"/>
    <w:rsid w:val="009E3472"/>
    <w:rsid w:val="009E5CD9"/>
    <w:rsid w:val="00A26421"/>
    <w:rsid w:val="00A2686B"/>
    <w:rsid w:val="00A4293B"/>
    <w:rsid w:val="00A67D50"/>
    <w:rsid w:val="00A8691A"/>
    <w:rsid w:val="00AB0B99"/>
    <w:rsid w:val="00AC1946"/>
    <w:rsid w:val="00AF6207"/>
    <w:rsid w:val="00B40063"/>
    <w:rsid w:val="00B41F61"/>
    <w:rsid w:val="00B85761"/>
    <w:rsid w:val="00BA46E6"/>
    <w:rsid w:val="00BE0551"/>
    <w:rsid w:val="00C56C72"/>
    <w:rsid w:val="00C9648B"/>
    <w:rsid w:val="00CA6457"/>
    <w:rsid w:val="00D17F2E"/>
    <w:rsid w:val="00D30354"/>
    <w:rsid w:val="00DB0B27"/>
    <w:rsid w:val="00DF42A0"/>
    <w:rsid w:val="00E769FE"/>
    <w:rsid w:val="00EA2CBE"/>
    <w:rsid w:val="00F00E2F"/>
    <w:rsid w:val="00F32FEE"/>
    <w:rsid w:val="00F628C3"/>
    <w:rsid w:val="00F670FC"/>
    <w:rsid w:val="00FB10BB"/>
    <w:rsid w:val="01F344AA"/>
    <w:rsid w:val="04064703"/>
    <w:rsid w:val="048D5B95"/>
    <w:rsid w:val="04C00D85"/>
    <w:rsid w:val="05DD22AE"/>
    <w:rsid w:val="067857F6"/>
    <w:rsid w:val="06A3250F"/>
    <w:rsid w:val="06C134F2"/>
    <w:rsid w:val="07C27F99"/>
    <w:rsid w:val="08C87F79"/>
    <w:rsid w:val="0A3810DB"/>
    <w:rsid w:val="0B803FF8"/>
    <w:rsid w:val="0C337F42"/>
    <w:rsid w:val="0C796440"/>
    <w:rsid w:val="0E5A20DD"/>
    <w:rsid w:val="0EE959A1"/>
    <w:rsid w:val="0FE070B2"/>
    <w:rsid w:val="108B32F7"/>
    <w:rsid w:val="14061C68"/>
    <w:rsid w:val="17050B2F"/>
    <w:rsid w:val="1782105C"/>
    <w:rsid w:val="17C443FA"/>
    <w:rsid w:val="1A255CE7"/>
    <w:rsid w:val="1CD21259"/>
    <w:rsid w:val="1CD24DF7"/>
    <w:rsid w:val="1D856D4E"/>
    <w:rsid w:val="1DA405C8"/>
    <w:rsid w:val="1FCA6F76"/>
    <w:rsid w:val="2038763F"/>
    <w:rsid w:val="2040638E"/>
    <w:rsid w:val="20C20666"/>
    <w:rsid w:val="222E36FA"/>
    <w:rsid w:val="230D0A92"/>
    <w:rsid w:val="239608A1"/>
    <w:rsid w:val="24C710CA"/>
    <w:rsid w:val="24DE2580"/>
    <w:rsid w:val="257F210E"/>
    <w:rsid w:val="27150B9A"/>
    <w:rsid w:val="27C264F3"/>
    <w:rsid w:val="2CD95F9D"/>
    <w:rsid w:val="2D425888"/>
    <w:rsid w:val="2E2036C8"/>
    <w:rsid w:val="2EA53013"/>
    <w:rsid w:val="322A2072"/>
    <w:rsid w:val="327A718A"/>
    <w:rsid w:val="32D753D4"/>
    <w:rsid w:val="32DD248D"/>
    <w:rsid w:val="332442D1"/>
    <w:rsid w:val="33FB0F74"/>
    <w:rsid w:val="372649EE"/>
    <w:rsid w:val="3B6D15A5"/>
    <w:rsid w:val="3C3456BE"/>
    <w:rsid w:val="3E0B66DD"/>
    <w:rsid w:val="3E165078"/>
    <w:rsid w:val="3EC07061"/>
    <w:rsid w:val="3F41260F"/>
    <w:rsid w:val="3F417FA4"/>
    <w:rsid w:val="3F500781"/>
    <w:rsid w:val="3FDA3DAC"/>
    <w:rsid w:val="3FED5556"/>
    <w:rsid w:val="44664DA7"/>
    <w:rsid w:val="460A1924"/>
    <w:rsid w:val="46847FC4"/>
    <w:rsid w:val="4698505D"/>
    <w:rsid w:val="47A05DAD"/>
    <w:rsid w:val="47C96943"/>
    <w:rsid w:val="492947F7"/>
    <w:rsid w:val="49F377C2"/>
    <w:rsid w:val="4AE95282"/>
    <w:rsid w:val="4CF725D2"/>
    <w:rsid w:val="4DD71E82"/>
    <w:rsid w:val="4E3E5EC2"/>
    <w:rsid w:val="4E646B6C"/>
    <w:rsid w:val="4E832DA0"/>
    <w:rsid w:val="4F100A7D"/>
    <w:rsid w:val="4F326C3C"/>
    <w:rsid w:val="4FFD4DCE"/>
    <w:rsid w:val="500377B3"/>
    <w:rsid w:val="500377F8"/>
    <w:rsid w:val="51553650"/>
    <w:rsid w:val="52F00F2E"/>
    <w:rsid w:val="53C1034D"/>
    <w:rsid w:val="53C45791"/>
    <w:rsid w:val="56CC0A1D"/>
    <w:rsid w:val="579345BF"/>
    <w:rsid w:val="58A85877"/>
    <w:rsid w:val="59044CA4"/>
    <w:rsid w:val="59B465EF"/>
    <w:rsid w:val="59CE40B1"/>
    <w:rsid w:val="5C492B7D"/>
    <w:rsid w:val="5D1F5C86"/>
    <w:rsid w:val="5EFB729E"/>
    <w:rsid w:val="5FF806FC"/>
    <w:rsid w:val="60653A37"/>
    <w:rsid w:val="606E12E0"/>
    <w:rsid w:val="616B5E16"/>
    <w:rsid w:val="619D3F7C"/>
    <w:rsid w:val="61FA51DE"/>
    <w:rsid w:val="62BD65DA"/>
    <w:rsid w:val="62EB2353"/>
    <w:rsid w:val="63931C5A"/>
    <w:rsid w:val="63965E24"/>
    <w:rsid w:val="64C33324"/>
    <w:rsid w:val="652B644D"/>
    <w:rsid w:val="65D01AFD"/>
    <w:rsid w:val="666768D7"/>
    <w:rsid w:val="66B37BE0"/>
    <w:rsid w:val="67E10464"/>
    <w:rsid w:val="687239F5"/>
    <w:rsid w:val="690E2F2D"/>
    <w:rsid w:val="69DC5AF1"/>
    <w:rsid w:val="6AA106C7"/>
    <w:rsid w:val="6B1668E4"/>
    <w:rsid w:val="6D497BDE"/>
    <w:rsid w:val="6E982911"/>
    <w:rsid w:val="6EE80B4C"/>
    <w:rsid w:val="70674A9C"/>
    <w:rsid w:val="70D42DA1"/>
    <w:rsid w:val="71400A82"/>
    <w:rsid w:val="72744AB9"/>
    <w:rsid w:val="74841AD8"/>
    <w:rsid w:val="763B0C71"/>
    <w:rsid w:val="77183ADF"/>
    <w:rsid w:val="790E4DDE"/>
    <w:rsid w:val="79C85C76"/>
    <w:rsid w:val="7C5F094C"/>
    <w:rsid w:val="7CAD1D2A"/>
    <w:rsid w:val="7D907657"/>
    <w:rsid w:val="7DBC16B7"/>
    <w:rsid w:val="7DF5307A"/>
    <w:rsid w:val="7E9268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Char Char Char1 Char"/>
    <w:basedOn w:val="1"/>
    <w:semiHidden/>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3020</Words>
  <Characters>3105</Characters>
  <Lines>23</Lines>
  <Paragraphs>6</Paragraphs>
  <TotalTime>0</TotalTime>
  <ScaleCrop>false</ScaleCrop>
  <LinksUpToDate>false</LinksUpToDate>
  <CharactersWithSpaces>3109</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2024-09-18T11:37:54Z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B50DD7CB4E6E46F9A253B277B4709555_12</vt:lpwstr>
  </property>
</Properties>
</file>