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eastAsia="仿宋"/>
          <w:kern w:val="0"/>
          <w:sz w:val="32"/>
          <w:szCs w:val="32"/>
        </w:rPr>
      </w:pPr>
      <w:r>
        <w:rPr>
          <w:rFonts w:eastAsia="仿宋"/>
          <w:kern w:val="0"/>
          <w:sz w:val="32"/>
          <w:szCs w:val="32"/>
        </w:rPr>
        <w:t>附件2：</w:t>
      </w: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b/>
          <w:kern w:val="0"/>
          <w:sz w:val="48"/>
          <w:szCs w:val="48"/>
        </w:rPr>
      </w:pPr>
      <w:r>
        <w:rPr>
          <w:rFonts w:eastAsia="方正小标宋_GBK"/>
          <w:b/>
          <w:kern w:val="0"/>
          <w:sz w:val="48"/>
          <w:szCs w:val="48"/>
        </w:rPr>
        <w:t>巴音郭楞职业技术学院</w:t>
      </w:r>
    </w:p>
    <w:p>
      <w:pPr>
        <w:spacing w:line="540" w:lineRule="exact"/>
        <w:jc w:val="center"/>
        <w:rPr>
          <w:rFonts w:eastAsia="方正小标宋_GBK"/>
          <w:b/>
          <w:kern w:val="0"/>
          <w:sz w:val="48"/>
          <w:szCs w:val="48"/>
        </w:rPr>
      </w:pPr>
      <w:r>
        <w:rPr>
          <w:rFonts w:eastAsia="方正小标宋_GBK"/>
          <w:b/>
          <w:kern w:val="0"/>
          <w:sz w:val="48"/>
          <w:szCs w:val="48"/>
        </w:rPr>
        <w:t>财政项目支出绩效自评报告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（2018年度）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招生经费</w:t>
      </w:r>
    </w:p>
    <w:p>
      <w:pPr>
        <w:spacing w:line="700" w:lineRule="exact"/>
        <w:jc w:val="left"/>
        <w:rPr>
          <w:rFonts w:eastAsia="仿宋_GB2312"/>
          <w:kern w:val="0"/>
          <w:sz w:val="36"/>
          <w:szCs w:val="36"/>
        </w:rPr>
      </w:pPr>
      <w:r>
        <w:rPr>
          <w:rFonts w:eastAsia="仿宋_GB2312"/>
          <w:kern w:val="0"/>
          <w:sz w:val="36"/>
          <w:szCs w:val="36"/>
        </w:rPr>
        <w:t>实施单位（公章）：巴音郭楞职业技术学院</w:t>
      </w:r>
    </w:p>
    <w:p>
      <w:pPr>
        <w:spacing w:line="700" w:lineRule="exact"/>
        <w:ind w:firstLine="849" w:firstLineChars="236"/>
        <w:jc w:val="left"/>
        <w:rPr>
          <w:rFonts w:eastAsia="仿宋_GB2312"/>
          <w:kern w:val="0"/>
          <w:sz w:val="36"/>
          <w:szCs w:val="36"/>
        </w:rPr>
      </w:pPr>
      <w:r>
        <w:rPr>
          <w:rFonts w:eastAsia="仿宋_GB2312"/>
          <w:kern w:val="0"/>
          <w:sz w:val="36"/>
          <w:szCs w:val="36"/>
        </w:rPr>
        <w:t>主管部门（公章）：巴州教育局</w:t>
      </w:r>
    </w:p>
    <w:p>
      <w:pPr>
        <w:spacing w:line="700" w:lineRule="exact"/>
        <w:ind w:firstLine="849" w:firstLineChars="236"/>
        <w:jc w:val="left"/>
        <w:rPr>
          <w:rFonts w:eastAsia="仿宋_GB2312"/>
          <w:kern w:val="0"/>
          <w:sz w:val="36"/>
          <w:szCs w:val="36"/>
        </w:rPr>
      </w:pPr>
      <w:r>
        <w:rPr>
          <w:rFonts w:eastAsia="仿宋_GB2312"/>
          <w:kern w:val="0"/>
          <w:sz w:val="36"/>
          <w:szCs w:val="36"/>
        </w:rPr>
        <w:t>项目负责人（签章）：金海</w:t>
      </w:r>
    </w:p>
    <w:p>
      <w:pPr>
        <w:spacing w:line="700" w:lineRule="exact"/>
        <w:ind w:firstLine="849" w:firstLineChars="236"/>
        <w:jc w:val="left"/>
        <w:rPr>
          <w:rFonts w:eastAsia="仿宋_GB2312"/>
          <w:kern w:val="0"/>
          <w:sz w:val="36"/>
          <w:szCs w:val="36"/>
        </w:rPr>
      </w:pPr>
      <w:r>
        <w:rPr>
          <w:rFonts w:eastAsia="仿宋_GB2312"/>
          <w:kern w:val="0"/>
          <w:sz w:val="36"/>
          <w:szCs w:val="36"/>
        </w:rPr>
        <w:t>填报时间：2019年1月24日</w:t>
      </w:r>
    </w:p>
    <w:p>
      <w:pPr>
        <w:spacing w:line="540" w:lineRule="exact"/>
        <w:jc w:val="center"/>
        <w:rPr>
          <w:rFonts w:eastAsia="仿宋_GB2312"/>
          <w:kern w:val="0"/>
          <w:sz w:val="30"/>
          <w:szCs w:val="30"/>
        </w:rPr>
      </w:pPr>
    </w:p>
    <w:p>
      <w:pPr>
        <w:spacing w:line="540" w:lineRule="exact"/>
        <w:rPr>
          <w:rStyle w:val="19"/>
          <w:rFonts w:eastAsia="黑体"/>
          <w:b w:val="0"/>
          <w:spacing w:val="-4"/>
          <w:sz w:val="32"/>
          <w:szCs w:val="32"/>
        </w:rPr>
      </w:pPr>
    </w:p>
    <w:p>
      <w:pPr>
        <w:spacing w:line="540" w:lineRule="exact"/>
        <w:ind w:firstLine="640"/>
        <w:rPr>
          <w:rStyle w:val="19"/>
          <w:rFonts w:eastAsia="黑体"/>
          <w:b w:val="0"/>
          <w:spacing w:val="-4"/>
          <w:sz w:val="32"/>
          <w:szCs w:val="32"/>
        </w:rPr>
      </w:pPr>
      <w:r>
        <w:rPr>
          <w:rStyle w:val="19"/>
          <w:rFonts w:eastAsia="黑体"/>
          <w:b w:val="0"/>
          <w:spacing w:val="-4"/>
          <w:sz w:val="32"/>
          <w:szCs w:val="32"/>
        </w:rPr>
        <w:t>一、项目概况</w:t>
      </w:r>
    </w:p>
    <w:p>
      <w:pPr>
        <w:spacing w:line="540" w:lineRule="exact"/>
        <w:ind w:firstLine="567"/>
        <w:rPr>
          <w:rStyle w:val="19"/>
          <w:rFonts w:eastAsia="仿宋"/>
          <w:spacing w:val="-4"/>
          <w:sz w:val="32"/>
          <w:szCs w:val="32"/>
        </w:rPr>
      </w:pPr>
      <w:r>
        <w:rPr>
          <w:rStyle w:val="19"/>
          <w:rFonts w:eastAsia="仿宋"/>
          <w:spacing w:val="-4"/>
          <w:sz w:val="32"/>
          <w:szCs w:val="32"/>
        </w:rPr>
        <w:t>（一）项目单位基本情况</w:t>
      </w:r>
    </w:p>
    <w:p>
      <w:pPr>
        <w:spacing w:line="540" w:lineRule="exact"/>
        <w:ind w:firstLine="640"/>
        <w:rPr>
          <w:rFonts w:eastAsia="仿宋"/>
          <w:sz w:val="32"/>
          <w:szCs w:val="32"/>
        </w:rPr>
      </w:pPr>
      <w:r>
        <w:rPr>
          <w:rFonts w:eastAsia="仿宋"/>
          <w:sz w:val="32"/>
          <w:szCs w:val="32"/>
        </w:rPr>
        <w:t>巴音郭楞职业技术学院成立于2002年2月。2007年又挂牌成立了“巴音郭楞技师培训学院”，与职业技术学院实行“两块牌子，一套班子”的管理运行机制。2010年，“巴音郭楞技工学校”恢复挂牌。2016年9月，学院与河北师范大学联合举办的“本科专业试点班”正式开班。学院初步形成了高职教育为主体，本科教育、中职（技工）教育、职业培训、成人继续教育并存的终身教育体系。目前学院设置了石油化工、冶金与资源、机械电气工程、生物工程、交通工程、电子信息工程、传媒、纺织服装、商务经济管理、公共教育等12个二级学院，开设中职专业55个、高职专业53个、本科试点专业4个。</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（二）项目预算绩效目标设定情况</w:t>
      </w:r>
    </w:p>
    <w:p>
      <w:pPr>
        <w:spacing w:line="540" w:lineRule="exact"/>
        <w:ind w:firstLine="640"/>
        <w:rPr>
          <w:rStyle w:val="19"/>
          <w:rFonts w:eastAsia="仿宋"/>
          <w:b w:val="0"/>
          <w:spacing w:val="-4"/>
          <w:sz w:val="32"/>
          <w:szCs w:val="32"/>
        </w:rPr>
      </w:pPr>
      <w:r>
        <w:rPr>
          <w:rFonts w:eastAsia="仿宋"/>
          <w:sz w:val="32"/>
          <w:szCs w:val="32"/>
        </w:rPr>
        <w:t>该项目是为了深入贯彻落实</w:t>
      </w:r>
      <w:r>
        <w:rPr>
          <w:rFonts w:hint="eastAsia" w:eastAsia="仿宋"/>
          <w:sz w:val="32"/>
          <w:szCs w:val="32"/>
          <w:lang w:val="en-US" w:eastAsia="zh-CN"/>
        </w:rPr>
        <w:t>党的</w:t>
      </w:r>
      <w:r>
        <w:rPr>
          <w:rFonts w:eastAsia="仿宋"/>
          <w:sz w:val="32"/>
          <w:szCs w:val="32"/>
        </w:rPr>
        <w:t>十九大</w:t>
      </w:r>
      <w:bookmarkStart w:id="0" w:name="_GoBack"/>
      <w:bookmarkEnd w:id="0"/>
      <w:r>
        <w:rPr>
          <w:rFonts w:eastAsia="仿宋"/>
          <w:sz w:val="32"/>
          <w:szCs w:val="32"/>
        </w:rPr>
        <w:t>精神，完善职业教育和培训体系，深化产教融合、校企合作。贯彻落实第六次全国对口支援新疆工作会议和自治区第九次党代会精神，加快发展新疆现代职业教育。</w:t>
      </w:r>
      <w:r>
        <w:rPr>
          <w:rFonts w:hint="eastAsia" w:eastAsia="仿宋"/>
          <w:sz w:val="32"/>
          <w:szCs w:val="32"/>
        </w:rPr>
        <w:t>尤其加大招生宣传，提升职业教育在社会上的认可度和影响力。本年度</w:t>
      </w:r>
      <w:r>
        <w:rPr>
          <w:rFonts w:eastAsia="仿宋"/>
          <w:kern w:val="0"/>
          <w:sz w:val="32"/>
          <w:szCs w:val="32"/>
        </w:rPr>
        <w:t>招生宣传经费97.9万元，为本级财政专项资金，用于宣传我院办学特色和综合实力，让社会各界和广大考生了解我院，以提高我院的报考率和报到率。</w:t>
      </w:r>
    </w:p>
    <w:p>
      <w:pPr>
        <w:spacing w:line="540" w:lineRule="exact"/>
        <w:ind w:firstLine="640"/>
        <w:rPr>
          <w:rStyle w:val="19"/>
          <w:rFonts w:eastAsia="黑体"/>
          <w:b w:val="0"/>
          <w:spacing w:val="-4"/>
          <w:sz w:val="32"/>
          <w:szCs w:val="32"/>
        </w:rPr>
      </w:pPr>
      <w:r>
        <w:rPr>
          <w:rStyle w:val="19"/>
          <w:rFonts w:eastAsia="黑体"/>
          <w:b w:val="0"/>
          <w:spacing w:val="-4"/>
          <w:sz w:val="32"/>
          <w:szCs w:val="32"/>
        </w:rPr>
        <w:t>二、项目资金使用及管理情况</w:t>
      </w:r>
    </w:p>
    <w:p>
      <w:pPr>
        <w:spacing w:line="540" w:lineRule="exact"/>
        <w:ind w:firstLine="567" w:firstLineChars="181"/>
        <w:rPr>
          <w:rStyle w:val="19"/>
          <w:rFonts w:eastAsia="仿宋"/>
          <w:spacing w:val="-4"/>
          <w:sz w:val="32"/>
          <w:szCs w:val="32"/>
        </w:rPr>
      </w:pPr>
      <w:r>
        <w:rPr>
          <w:rStyle w:val="19"/>
          <w:rFonts w:eastAsia="仿宋"/>
          <w:spacing w:val="-4"/>
          <w:sz w:val="32"/>
          <w:szCs w:val="32"/>
        </w:rPr>
        <w:t>（一）项目资金安排落实、总投入等情况分析</w:t>
      </w:r>
    </w:p>
    <w:p>
      <w:pPr>
        <w:spacing w:line="540" w:lineRule="exact"/>
        <w:ind w:firstLine="640"/>
        <w:rPr>
          <w:rStyle w:val="19"/>
          <w:rFonts w:eastAsia="仿宋"/>
          <w:b w:val="0"/>
          <w:spacing w:val="-4"/>
          <w:sz w:val="32"/>
          <w:szCs w:val="32"/>
        </w:rPr>
      </w:pPr>
      <w:r>
        <w:rPr>
          <w:rFonts w:eastAsia="仿宋"/>
          <w:kern w:val="0"/>
          <w:sz w:val="32"/>
          <w:szCs w:val="32"/>
        </w:rPr>
        <w:t>全年预算招生经费200万元，实际发生招生宣传经费97.9万元，为本级财政专项资金。用于宣传我院办学特色和综合实力，让社会各界和广大考生了解我院，以提高我院的报考率和报到率。</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（二）项目资金实际使用情况分析</w:t>
      </w:r>
    </w:p>
    <w:p>
      <w:pPr>
        <w:spacing w:line="540" w:lineRule="exact"/>
        <w:ind w:firstLine="640"/>
        <w:rPr>
          <w:rStyle w:val="19"/>
          <w:rFonts w:eastAsia="仿宋"/>
          <w:b w:val="0"/>
          <w:spacing w:val="-4"/>
          <w:sz w:val="32"/>
          <w:szCs w:val="32"/>
        </w:rPr>
      </w:pPr>
      <w:r>
        <w:rPr>
          <w:rFonts w:eastAsia="仿宋"/>
          <w:kern w:val="0"/>
          <w:sz w:val="32"/>
          <w:szCs w:val="32"/>
        </w:rPr>
        <w:t>全年预算招生经费200万元，实际发生招生宣传经费97.9万元，为本级财政专项资金。用于宣传我院办学特色和综合实力，让社会各界和广大考生了解我院，以提高我院的报考率和报到率。2018年我院高职学生招生数2000余人，相比往年有大幅度提高，这均是招生宣传经费起到了巨大作用的结果。</w:t>
      </w:r>
    </w:p>
    <w:p>
      <w:pPr>
        <w:spacing w:line="540" w:lineRule="exact"/>
        <w:ind w:firstLine="567" w:firstLineChars="181"/>
        <w:rPr>
          <w:rStyle w:val="19"/>
          <w:rFonts w:eastAsia="仿宋"/>
          <w:spacing w:val="-4"/>
          <w:sz w:val="32"/>
          <w:szCs w:val="32"/>
        </w:rPr>
      </w:pPr>
      <w:r>
        <w:rPr>
          <w:rStyle w:val="19"/>
          <w:rFonts w:eastAsia="仿宋"/>
          <w:spacing w:val="-4"/>
          <w:sz w:val="32"/>
          <w:szCs w:val="32"/>
        </w:rPr>
        <w:t>（三）项目资金管理情况分析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专项资金专项使用，资金的拨付本着专款专用的原则，严格执行项目资金批准的使用计划，不准擅自调项、扩项、缩项，更不准挪用、挤占和随意扣压；资金拨付动向，按不同专项资金的要求执行，不准任意改变。严格专项资金初审核制度。专项资金报账拨付要附真实、有效、合法的凭证。加强审计监督，对专项资金要定期或不定期进行督查，确保项目资金专款专用。</w:t>
      </w:r>
    </w:p>
    <w:p>
      <w:pPr>
        <w:spacing w:line="540" w:lineRule="exact"/>
        <w:ind w:firstLine="780" w:firstLineChars="250"/>
        <w:rPr>
          <w:rStyle w:val="19"/>
          <w:rFonts w:eastAsia="黑体"/>
          <w:b w:val="0"/>
          <w:spacing w:val="-4"/>
          <w:sz w:val="32"/>
          <w:szCs w:val="32"/>
        </w:rPr>
      </w:pPr>
      <w:r>
        <w:rPr>
          <w:rStyle w:val="19"/>
          <w:rFonts w:eastAsia="黑体"/>
          <w:b w:val="0"/>
          <w:spacing w:val="-4"/>
          <w:sz w:val="32"/>
          <w:szCs w:val="32"/>
        </w:rPr>
        <w:t>三、项目组织实施情况</w:t>
      </w:r>
    </w:p>
    <w:p>
      <w:pPr>
        <w:spacing w:line="540" w:lineRule="exact"/>
        <w:ind w:firstLine="627" w:firstLineChars="200"/>
        <w:rPr>
          <w:rStyle w:val="19"/>
          <w:rFonts w:eastAsia="仿宋"/>
          <w:spacing w:val="-4"/>
          <w:sz w:val="32"/>
          <w:szCs w:val="32"/>
        </w:rPr>
      </w:pPr>
      <w:r>
        <w:rPr>
          <w:rStyle w:val="19"/>
          <w:rFonts w:eastAsia="仿宋"/>
          <w:spacing w:val="-4"/>
          <w:sz w:val="32"/>
          <w:szCs w:val="32"/>
        </w:rPr>
        <w:t>（一）项目组织情况分析</w:t>
      </w:r>
    </w:p>
    <w:p>
      <w:pPr>
        <w:spacing w:line="540" w:lineRule="exact"/>
        <w:ind w:firstLine="640"/>
        <w:rPr>
          <w:rStyle w:val="19"/>
          <w:rFonts w:eastAsia="仿宋"/>
          <w:b w:val="0"/>
          <w:spacing w:val="-4"/>
          <w:sz w:val="32"/>
          <w:szCs w:val="32"/>
        </w:rPr>
      </w:pPr>
      <w:r>
        <w:rPr>
          <w:rFonts w:eastAsia="仿宋"/>
          <w:kern w:val="0"/>
          <w:sz w:val="32"/>
          <w:szCs w:val="32"/>
        </w:rPr>
        <w:t>全年预算招生经费200万元，实际发生招生宣传经费97.9万元，为本级财政专项资金。用于宣传我院办学特色和综合实力，让社会各界和广大考生了解我院，以提高我院的报考率和报到率。2018年我院高职学生招生数2000余人，相比往年有大幅度提高，这均是招生宣传经费起到了巨大作用的结果，为了提高报到率，我院在以后年度将逐步加大投入招生经费的力度。</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（二）项目管理情况分析</w:t>
      </w:r>
    </w:p>
    <w:p>
      <w:pPr>
        <w:spacing w:line="560" w:lineRule="exact"/>
        <w:ind w:firstLine="640" w:firstLineChars="200"/>
        <w:rPr>
          <w:rStyle w:val="19"/>
          <w:rFonts w:eastAsia="仿宋"/>
          <w:b w:val="0"/>
          <w:spacing w:val="-4"/>
          <w:sz w:val="32"/>
          <w:szCs w:val="32"/>
        </w:rPr>
      </w:pPr>
      <w:r>
        <w:rPr>
          <w:rFonts w:eastAsia="仿宋"/>
          <w:sz w:val="32"/>
        </w:rPr>
        <w:t>严格按照</w:t>
      </w:r>
      <w:r>
        <w:rPr>
          <w:rFonts w:hint="eastAsia" w:eastAsia="仿宋"/>
          <w:sz w:val="32"/>
        </w:rPr>
        <w:t>项目</w:t>
      </w:r>
      <w:r>
        <w:rPr>
          <w:rFonts w:eastAsia="仿宋"/>
          <w:sz w:val="32"/>
        </w:rPr>
        <w:t>资金管理办法和使用要求，切实加强项目监督、管理和计划执行，</w:t>
      </w:r>
      <w:r>
        <w:rPr>
          <w:rFonts w:hint="eastAsia" w:eastAsia="仿宋"/>
          <w:sz w:val="32"/>
        </w:rPr>
        <w:t>项目</w:t>
      </w:r>
      <w:r>
        <w:rPr>
          <w:rFonts w:eastAsia="仿宋"/>
          <w:sz w:val="32"/>
        </w:rPr>
        <w:t>资金一经下达，在规定工作日内保证资金用于</w:t>
      </w:r>
      <w:r>
        <w:rPr>
          <w:rFonts w:hint="eastAsia" w:eastAsia="仿宋"/>
          <w:sz w:val="32"/>
        </w:rPr>
        <w:t>项目内容</w:t>
      </w:r>
      <w:r>
        <w:rPr>
          <w:rFonts w:eastAsia="仿宋"/>
          <w:sz w:val="32"/>
        </w:rPr>
        <w:t>建设，形成</w:t>
      </w:r>
      <w:r>
        <w:rPr>
          <w:rFonts w:hint="eastAsia" w:eastAsia="仿宋"/>
          <w:sz w:val="32"/>
        </w:rPr>
        <w:t>绩效</w:t>
      </w:r>
      <w:r>
        <w:rPr>
          <w:rFonts w:eastAsia="仿宋"/>
          <w:sz w:val="32"/>
        </w:rPr>
        <w:t>工作量。坚决执行《巴音郭楞职业技术学院学院专项资金管理办法》，严禁将资金截留、</w:t>
      </w:r>
    </w:p>
    <w:p>
      <w:pPr>
        <w:spacing w:line="540" w:lineRule="exact"/>
        <w:ind w:firstLine="624" w:firstLineChars="200"/>
        <w:rPr>
          <w:rStyle w:val="19"/>
          <w:rFonts w:ascii="黑体" w:hAnsi="黑体" w:eastAsia="黑体" w:cs="黑体"/>
        </w:rPr>
      </w:pPr>
      <w:r>
        <w:rPr>
          <w:rStyle w:val="19"/>
          <w:rFonts w:hint="eastAsia" w:ascii="黑体" w:hAnsi="黑体" w:eastAsia="黑体" w:cs="黑体"/>
          <w:b w:val="0"/>
          <w:spacing w:val="-4"/>
          <w:sz w:val="32"/>
          <w:szCs w:val="32"/>
        </w:rPr>
        <w:t>四、项目绩效情况</w:t>
      </w:r>
    </w:p>
    <w:p>
      <w:pPr>
        <w:spacing w:line="540" w:lineRule="exact"/>
        <w:ind w:firstLine="567" w:firstLineChars="181"/>
        <w:rPr>
          <w:rFonts w:eastAsia="仿宋"/>
          <w:b/>
          <w:spacing w:val="-4"/>
          <w:sz w:val="32"/>
          <w:szCs w:val="32"/>
        </w:rPr>
      </w:pPr>
      <w:r>
        <w:rPr>
          <w:rFonts w:eastAsia="仿宋"/>
          <w:b/>
          <w:spacing w:val="-4"/>
          <w:sz w:val="32"/>
          <w:szCs w:val="32"/>
        </w:rPr>
        <w:t>（一）项目绩效目标完成情况分析</w:t>
      </w:r>
    </w:p>
    <w:p>
      <w:pPr>
        <w:spacing w:line="540" w:lineRule="exact"/>
        <w:ind w:firstLine="564" w:firstLineChars="181"/>
        <w:rPr>
          <w:rStyle w:val="19"/>
          <w:rFonts w:eastAsia="仿宋"/>
          <w:b w:val="0"/>
          <w:spacing w:val="-4"/>
          <w:sz w:val="32"/>
          <w:szCs w:val="32"/>
        </w:rPr>
      </w:pPr>
      <w:r>
        <w:rPr>
          <w:rFonts w:eastAsia="仿宋"/>
          <w:bCs/>
          <w:spacing w:val="-4"/>
          <w:sz w:val="32"/>
          <w:szCs w:val="32"/>
        </w:rPr>
        <w:t>招生经费的投入，对于弥补新疆和巴音郭楞蒙古自治州实现社会和经济跨越式发展及新型工业化进程中工业人才十分紧缺的现象十分必要，对于培养行业专业人才具有十分重要的意义。随着优势资源转换战略和大企业大集团战略的不断推进，高技术工人十分紧缺。项目的建设对于提高学校办学规模和条件，加快各类专业技术人才的培养，对新疆资源优势及经济增长都具有重要的推动作用。</w:t>
      </w:r>
    </w:p>
    <w:p>
      <w:pPr>
        <w:numPr>
          <w:ilvl w:val="0"/>
          <w:numId w:val="1"/>
        </w:numPr>
        <w:spacing w:line="540" w:lineRule="exact"/>
        <w:ind w:firstLine="567" w:firstLineChars="181"/>
        <w:rPr>
          <w:rFonts w:eastAsia="仿宋"/>
          <w:b/>
          <w:spacing w:val="-4"/>
          <w:sz w:val="32"/>
          <w:szCs w:val="32"/>
        </w:rPr>
      </w:pPr>
      <w:r>
        <w:rPr>
          <w:rFonts w:eastAsia="仿宋"/>
          <w:b/>
          <w:spacing w:val="-4"/>
          <w:sz w:val="32"/>
          <w:szCs w:val="32"/>
        </w:rPr>
        <w:t>项目绩效目标未完成原因分析</w:t>
      </w:r>
    </w:p>
    <w:p>
      <w:pPr>
        <w:spacing w:line="540" w:lineRule="exact"/>
        <w:rPr>
          <w:rFonts w:eastAsia="仿宋"/>
          <w:b/>
          <w:spacing w:val="-4"/>
          <w:sz w:val="32"/>
          <w:szCs w:val="32"/>
        </w:rPr>
      </w:pPr>
      <w:r>
        <w:rPr>
          <w:rFonts w:hint="eastAsia" w:eastAsia="仿宋"/>
          <w:bCs/>
          <w:spacing w:val="-4"/>
          <w:sz w:val="32"/>
          <w:szCs w:val="32"/>
        </w:rPr>
        <w:t>项目顺利实施。</w:t>
      </w:r>
    </w:p>
    <w:p>
      <w:pPr>
        <w:spacing w:line="54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40" w:lineRule="exact"/>
        <w:ind w:firstLine="567" w:firstLineChars="181"/>
        <w:rPr>
          <w:rFonts w:eastAsia="仿宋"/>
          <w:b/>
          <w:spacing w:val="-4"/>
          <w:sz w:val="32"/>
          <w:szCs w:val="32"/>
        </w:rPr>
      </w:pPr>
      <w:r>
        <w:rPr>
          <w:rFonts w:eastAsia="仿宋"/>
          <w:b/>
          <w:spacing w:val="-4"/>
          <w:sz w:val="32"/>
          <w:szCs w:val="32"/>
        </w:rPr>
        <w:t>（一）后续工作计划</w:t>
      </w:r>
    </w:p>
    <w:p>
      <w:pPr>
        <w:spacing w:line="540" w:lineRule="exact"/>
        <w:ind w:firstLine="564" w:firstLineChars="181"/>
        <w:rPr>
          <w:rFonts w:eastAsia="仿宋"/>
          <w:b/>
          <w:spacing w:val="-4"/>
          <w:sz w:val="32"/>
          <w:szCs w:val="32"/>
        </w:rPr>
      </w:pPr>
      <w:r>
        <w:rPr>
          <w:rFonts w:eastAsia="仿宋"/>
          <w:bCs/>
          <w:spacing w:val="-4"/>
          <w:sz w:val="32"/>
          <w:szCs w:val="32"/>
        </w:rPr>
        <w:t>本项目的建设是体现党和政府以人为本、执政为民理念的重大举措，项目的实施将有力推动巴州教育发展，特别是推动高等教育，对自治区的社会进步、政治稳定和经济发展起到巨大的推动作用，我们将该项目的社会效益利用到极致。</w:t>
      </w:r>
    </w:p>
    <w:p>
      <w:pPr>
        <w:spacing w:line="540" w:lineRule="exact"/>
        <w:ind w:firstLine="567" w:firstLineChars="181"/>
        <w:rPr>
          <w:rFonts w:eastAsia="仿宋"/>
          <w:b/>
          <w:spacing w:val="-4"/>
          <w:sz w:val="32"/>
          <w:szCs w:val="32"/>
        </w:rPr>
      </w:pPr>
      <w:r>
        <w:rPr>
          <w:rFonts w:eastAsia="仿宋"/>
          <w:b/>
          <w:spacing w:val="-4"/>
          <w:sz w:val="32"/>
          <w:szCs w:val="32"/>
        </w:rPr>
        <w:t>（二）主要经验及做法、存在问题和建议</w:t>
      </w:r>
    </w:p>
    <w:p>
      <w:pPr>
        <w:spacing w:line="540" w:lineRule="exact"/>
        <w:ind w:firstLine="564" w:firstLineChars="181"/>
        <w:rPr>
          <w:rFonts w:eastAsia="仿宋"/>
          <w:spacing w:val="-4"/>
          <w:sz w:val="32"/>
          <w:szCs w:val="32"/>
        </w:rPr>
      </w:pPr>
      <w:r>
        <w:rPr>
          <w:rFonts w:eastAsia="仿宋"/>
          <w:spacing w:val="-4"/>
          <w:sz w:val="32"/>
          <w:szCs w:val="32"/>
        </w:rPr>
        <w:t>一是提高认识、加强领导。招生宣传工作是招生工作的重要组成部分，是提高学校生源质量的重要手段和基本保证。学院成立招生宣传工作领导小组，由主管院领导担任组长，分管招生工作院领导任副组长，各相关职能部门负责人担任组员，全面负责招生宣传工作。二是加强组织、积极动员。学院选拔优秀的教师和学生参加招生宣传工作，组建9支招生宣传工作小分队，赴甘肃省、南北疆各地区开展招生宣传工作。三是加强培训、明确职责。学院组织召开招生宣传工作布置会、动员会、训会，积极加强招生宣传队伍建设，明确招生宣传工作人员的责任，认真学习各项招生工作章程和规定，充分认识新形势下招宣传工作面临的新特点、新要求，全面深入了解我院2017年招生计划、专业设置、录取原则等相关内容，保障按时完成分配的招生宜传任务。</w:t>
      </w:r>
    </w:p>
    <w:p>
      <w:pPr>
        <w:spacing w:line="54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600" w:lineRule="exact"/>
        <w:ind w:firstLine="624" w:firstLineChars="200"/>
        <w:rPr>
          <w:rFonts w:eastAsia="仿宋"/>
          <w:spacing w:val="-4"/>
          <w:sz w:val="32"/>
          <w:szCs w:val="32"/>
        </w:rPr>
      </w:pPr>
      <w:r>
        <w:rPr>
          <w:rFonts w:hint="eastAsia" w:eastAsia="仿宋"/>
          <w:spacing w:val="-4"/>
          <w:sz w:val="32"/>
          <w:szCs w:val="32"/>
        </w:rPr>
        <w:t>按照财政项目支出绩效自评工作的要求，结合我单位实际，组织相关人员根据项目绩效报表指标内容，对所有项目建设内容进行核实和考评。项目评价内容主要围绕数量指标、质量指标、时效指标、社会效益指标等开展，评价方式主要采用分析法和比较法。</w:t>
      </w:r>
    </w:p>
    <w:p>
      <w:pPr>
        <w:spacing w:line="640" w:lineRule="exact"/>
        <w:ind w:firstLine="640"/>
        <w:rPr>
          <w:rStyle w:val="19"/>
          <w:rFonts w:eastAsia="黑体"/>
          <w:b w:val="0"/>
          <w:bCs w:val="0"/>
          <w:spacing w:val="-4"/>
          <w:sz w:val="32"/>
          <w:szCs w:val="32"/>
        </w:rPr>
      </w:pPr>
      <w:r>
        <w:rPr>
          <w:rStyle w:val="19"/>
          <w:rFonts w:eastAsia="黑体"/>
          <w:b w:val="0"/>
          <w:bCs w:val="0"/>
          <w:spacing w:val="-4"/>
          <w:sz w:val="32"/>
          <w:szCs w:val="32"/>
        </w:rPr>
        <w:t>七、附表</w:t>
      </w:r>
    </w:p>
    <w:p>
      <w:pPr>
        <w:ind w:firstLine="624" w:firstLineChars="200"/>
        <w:jc w:val="center"/>
        <w:rPr>
          <w:rStyle w:val="19"/>
          <w:rFonts w:eastAsia="仿宋"/>
          <w:b w:val="0"/>
          <w:bCs w:val="0"/>
          <w:spacing w:val="-4"/>
          <w:sz w:val="32"/>
          <w:szCs w:val="32"/>
        </w:rPr>
      </w:pPr>
      <w:r>
        <w:rPr>
          <w:rStyle w:val="19"/>
          <w:rFonts w:eastAsia="仿宋"/>
          <w:b w:val="0"/>
          <w:bCs w:val="0"/>
          <w:spacing w:val="-4"/>
          <w:sz w:val="32"/>
          <w:szCs w:val="32"/>
        </w:rPr>
        <w:t>《财政项目支出绩效自评表》</w:t>
      </w:r>
    </w:p>
    <w:tbl>
      <w:tblPr>
        <w:tblStyle w:val="17"/>
        <w:tblW w:w="9288" w:type="dxa"/>
        <w:tblInd w:w="-106" w:type="dxa"/>
        <w:tblLayout w:type="fixed"/>
        <w:tblCellMar>
          <w:top w:w="0" w:type="dxa"/>
          <w:left w:w="108" w:type="dxa"/>
          <w:bottom w:w="0" w:type="dxa"/>
          <w:right w:w="108" w:type="dxa"/>
        </w:tblCellMar>
      </w:tblPr>
      <w:tblGrid>
        <w:gridCol w:w="720"/>
        <w:gridCol w:w="1140"/>
        <w:gridCol w:w="1360"/>
        <w:gridCol w:w="1080"/>
        <w:gridCol w:w="880"/>
        <w:gridCol w:w="2060"/>
        <w:gridCol w:w="32"/>
        <w:gridCol w:w="216"/>
        <w:gridCol w:w="1800"/>
      </w:tblGrid>
      <w:tr>
        <w:tblPrEx>
          <w:tblCellMar>
            <w:top w:w="0" w:type="dxa"/>
            <w:left w:w="108" w:type="dxa"/>
            <w:bottom w:w="0" w:type="dxa"/>
            <w:right w:w="108" w:type="dxa"/>
          </w:tblCellMar>
        </w:tblPrEx>
        <w:trPr>
          <w:trHeight w:val="405" w:hRule="atLeast"/>
        </w:trPr>
        <w:tc>
          <w:tcPr>
            <w:tcW w:w="9288" w:type="dxa"/>
            <w:gridSpan w:val="9"/>
            <w:tcBorders>
              <w:top w:val="nil"/>
              <w:left w:val="nil"/>
              <w:bottom w:val="nil"/>
              <w:right w:val="nil"/>
            </w:tcBorders>
            <w:vAlign w:val="center"/>
          </w:tcPr>
          <w:p>
            <w:pPr>
              <w:widowControl/>
              <w:jc w:val="center"/>
              <w:rPr>
                <w:b/>
                <w:bCs/>
                <w:kern w:val="0"/>
                <w:sz w:val="32"/>
                <w:szCs w:val="32"/>
              </w:rPr>
            </w:pPr>
            <w:r>
              <w:rPr>
                <w:b/>
                <w:bCs/>
                <w:kern w:val="0"/>
                <w:sz w:val="32"/>
                <w:szCs w:val="32"/>
              </w:rPr>
              <w:t>财政项目支出绩效自评表</w:t>
            </w:r>
          </w:p>
        </w:tc>
      </w:tr>
      <w:tr>
        <w:tblPrEx>
          <w:tblCellMar>
            <w:top w:w="0" w:type="dxa"/>
            <w:left w:w="108" w:type="dxa"/>
            <w:bottom w:w="0" w:type="dxa"/>
            <w:right w:w="108" w:type="dxa"/>
          </w:tblCellMar>
        </w:tblPrEx>
        <w:trPr>
          <w:trHeight w:val="285" w:hRule="atLeast"/>
        </w:trPr>
        <w:tc>
          <w:tcPr>
            <w:tcW w:w="9288" w:type="dxa"/>
            <w:gridSpan w:val="9"/>
            <w:tcBorders>
              <w:top w:val="nil"/>
              <w:left w:val="nil"/>
              <w:bottom w:val="nil"/>
              <w:right w:val="nil"/>
            </w:tcBorders>
            <w:vAlign w:val="center"/>
          </w:tcPr>
          <w:p>
            <w:pPr>
              <w:widowControl/>
              <w:jc w:val="center"/>
              <w:rPr>
                <w:kern w:val="0"/>
                <w:sz w:val="24"/>
              </w:rPr>
            </w:pPr>
            <w:r>
              <w:rPr>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kern w:val="0"/>
                <w:sz w:val="24"/>
              </w:rPr>
            </w:pPr>
          </w:p>
        </w:tc>
        <w:tc>
          <w:tcPr>
            <w:tcW w:w="1140" w:type="dxa"/>
            <w:tcBorders>
              <w:top w:val="nil"/>
              <w:left w:val="nil"/>
              <w:bottom w:val="nil"/>
              <w:right w:val="nil"/>
            </w:tcBorders>
            <w:vAlign w:val="center"/>
          </w:tcPr>
          <w:p>
            <w:pPr>
              <w:widowControl/>
              <w:jc w:val="center"/>
              <w:rPr>
                <w:kern w:val="0"/>
                <w:sz w:val="24"/>
              </w:rPr>
            </w:pPr>
          </w:p>
        </w:tc>
        <w:tc>
          <w:tcPr>
            <w:tcW w:w="1360" w:type="dxa"/>
            <w:tcBorders>
              <w:top w:val="nil"/>
              <w:left w:val="nil"/>
              <w:bottom w:val="nil"/>
              <w:right w:val="nil"/>
            </w:tcBorders>
            <w:vAlign w:val="center"/>
          </w:tcPr>
          <w:p>
            <w:pPr>
              <w:widowControl/>
              <w:jc w:val="center"/>
              <w:rPr>
                <w:kern w:val="0"/>
                <w:sz w:val="24"/>
              </w:rPr>
            </w:pPr>
          </w:p>
        </w:tc>
        <w:tc>
          <w:tcPr>
            <w:tcW w:w="1080" w:type="dxa"/>
            <w:tcBorders>
              <w:top w:val="nil"/>
              <w:left w:val="nil"/>
              <w:bottom w:val="nil"/>
              <w:right w:val="nil"/>
            </w:tcBorders>
            <w:vAlign w:val="center"/>
          </w:tcPr>
          <w:p>
            <w:pPr>
              <w:widowControl/>
              <w:jc w:val="center"/>
              <w:rPr>
                <w:kern w:val="0"/>
                <w:sz w:val="24"/>
              </w:rPr>
            </w:pPr>
          </w:p>
        </w:tc>
        <w:tc>
          <w:tcPr>
            <w:tcW w:w="880" w:type="dxa"/>
            <w:tcBorders>
              <w:top w:val="nil"/>
              <w:left w:val="nil"/>
              <w:bottom w:val="nil"/>
              <w:right w:val="nil"/>
            </w:tcBorders>
            <w:vAlign w:val="center"/>
          </w:tcPr>
          <w:p>
            <w:pPr>
              <w:widowControl/>
              <w:jc w:val="center"/>
              <w:rPr>
                <w:kern w:val="0"/>
                <w:sz w:val="24"/>
              </w:rPr>
            </w:pPr>
          </w:p>
        </w:tc>
        <w:tc>
          <w:tcPr>
            <w:tcW w:w="2060" w:type="dxa"/>
            <w:tcBorders>
              <w:top w:val="nil"/>
              <w:left w:val="nil"/>
              <w:bottom w:val="nil"/>
              <w:right w:val="nil"/>
            </w:tcBorders>
            <w:vAlign w:val="center"/>
          </w:tcPr>
          <w:p>
            <w:pPr>
              <w:widowControl/>
              <w:jc w:val="center"/>
              <w:rPr>
                <w:kern w:val="0"/>
                <w:sz w:val="24"/>
              </w:rPr>
            </w:pPr>
          </w:p>
        </w:tc>
        <w:tc>
          <w:tcPr>
            <w:tcW w:w="2048" w:type="dxa"/>
            <w:gridSpan w:val="3"/>
            <w:tcBorders>
              <w:top w:val="nil"/>
              <w:left w:val="nil"/>
              <w:bottom w:val="nil"/>
              <w:right w:val="nil"/>
            </w:tcBorders>
            <w:vAlign w:val="center"/>
          </w:tcPr>
          <w:p>
            <w:pPr>
              <w:widowControl/>
              <w:jc w:val="center"/>
              <w:rPr>
                <w:kern w:val="0"/>
                <w:sz w:val="24"/>
              </w:rPr>
            </w:pPr>
          </w:p>
        </w:tc>
      </w:tr>
      <w:tr>
        <w:tblPrEx>
          <w:tblCellMar>
            <w:top w:w="0" w:type="dxa"/>
            <w:left w:w="108" w:type="dxa"/>
            <w:bottom w:w="0" w:type="dxa"/>
            <w:right w:w="108" w:type="dxa"/>
          </w:tblCellMar>
        </w:tblPrEx>
        <w:trPr>
          <w:trHeight w:val="491"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项目名称</w:t>
            </w:r>
          </w:p>
        </w:tc>
        <w:tc>
          <w:tcPr>
            <w:tcW w:w="6068" w:type="dxa"/>
            <w:gridSpan w:val="6"/>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招生宣传经费</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预算单位</w:t>
            </w:r>
          </w:p>
        </w:tc>
        <w:tc>
          <w:tcPr>
            <w:tcW w:w="6068" w:type="dxa"/>
            <w:gridSpan w:val="6"/>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巴音郭楞职业技术学院</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预算</w:t>
            </w:r>
            <w:r>
              <w:rPr>
                <w:kern w:val="0"/>
                <w:sz w:val="20"/>
                <w:szCs w:val="20"/>
              </w:rPr>
              <w:br w:type="textWrapping"/>
            </w:r>
            <w:r>
              <w:rPr>
                <w:kern w:val="0"/>
                <w:sz w:val="20"/>
                <w:szCs w:val="20"/>
              </w:rPr>
              <w:t>执行</w:t>
            </w:r>
            <w:r>
              <w:rPr>
                <w:kern w:val="0"/>
                <w:sz w:val="20"/>
                <w:szCs w:val="20"/>
              </w:rPr>
              <w:br w:type="textWrapping"/>
            </w:r>
            <w:r>
              <w:rPr>
                <w:kern w:val="0"/>
                <w:sz w:val="20"/>
                <w:szCs w:val="20"/>
              </w:rPr>
              <w:t>情况</w:t>
            </w:r>
            <w:r>
              <w:rPr>
                <w:kern w:val="0"/>
                <w:sz w:val="20"/>
                <w:szCs w:val="20"/>
              </w:rPr>
              <w:br w:type="textWrapping"/>
            </w:r>
            <w:r>
              <w:rPr>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rFonts w:hint="eastAsia"/>
                <w:kern w:val="0"/>
                <w:sz w:val="20"/>
                <w:szCs w:val="20"/>
              </w:rPr>
              <w:t>200</w:t>
            </w:r>
            <w:r>
              <w:rPr>
                <w:kern w:val="0"/>
                <w:sz w:val="20"/>
                <w:szCs w:val="20"/>
              </w:rPr>
              <w:t>万元</w:t>
            </w:r>
          </w:p>
        </w:tc>
        <w:tc>
          <w:tcPr>
            <w:tcW w:w="2308" w:type="dxa"/>
            <w:gridSpan w:val="3"/>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执行数：</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97.9万</w:t>
            </w:r>
            <w:r>
              <w:rPr>
                <w:kern w:val="0"/>
                <w:sz w:val="20"/>
                <w:szCs w:val="20"/>
              </w:rPr>
              <w:t>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rFonts w:hint="eastAsia"/>
                <w:kern w:val="0"/>
                <w:sz w:val="20"/>
                <w:szCs w:val="20"/>
              </w:rPr>
              <w:t>97.9万</w:t>
            </w:r>
            <w:r>
              <w:rPr>
                <w:kern w:val="0"/>
                <w:sz w:val="20"/>
                <w:szCs w:val="20"/>
              </w:rPr>
              <w:t>元</w:t>
            </w:r>
          </w:p>
        </w:tc>
        <w:tc>
          <w:tcPr>
            <w:tcW w:w="2308" w:type="dxa"/>
            <w:gridSpan w:val="3"/>
            <w:tcBorders>
              <w:top w:val="nil"/>
              <w:left w:val="nil"/>
              <w:bottom w:val="nil"/>
              <w:right w:val="single" w:color="auto" w:sz="4" w:space="0"/>
            </w:tcBorders>
            <w:vAlign w:val="center"/>
          </w:tcPr>
          <w:p>
            <w:pPr>
              <w:widowControl/>
              <w:jc w:val="center"/>
              <w:rPr>
                <w:kern w:val="0"/>
                <w:sz w:val="20"/>
                <w:szCs w:val="20"/>
              </w:rPr>
            </w:pPr>
            <w:r>
              <w:rPr>
                <w:kern w:val="0"/>
                <w:sz w:val="20"/>
                <w:szCs w:val="20"/>
              </w:rPr>
              <w:t>其中：财政拨款</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97.9万</w:t>
            </w:r>
            <w:r>
              <w:rPr>
                <w:kern w:val="0"/>
                <w:sz w:val="20"/>
                <w:szCs w:val="20"/>
              </w:rPr>
              <w:t>元</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0　</w:t>
            </w:r>
          </w:p>
        </w:tc>
        <w:tc>
          <w:tcPr>
            <w:tcW w:w="2308" w:type="dxa"/>
            <w:gridSpan w:val="3"/>
            <w:tcBorders>
              <w:top w:val="single" w:color="auto" w:sz="4" w:space="0"/>
              <w:left w:val="nil"/>
              <w:bottom w:val="nil"/>
              <w:right w:val="single" w:color="auto" w:sz="4" w:space="0"/>
            </w:tcBorders>
            <w:vAlign w:val="center"/>
          </w:tcPr>
          <w:p>
            <w:pPr>
              <w:widowControl/>
              <w:jc w:val="right"/>
              <w:rPr>
                <w:kern w:val="0"/>
                <w:sz w:val="20"/>
                <w:szCs w:val="20"/>
              </w:rPr>
            </w:pPr>
            <w:r>
              <w:rPr>
                <w:kern w:val="0"/>
                <w:sz w:val="20"/>
                <w:szCs w:val="20"/>
              </w:rPr>
              <w:t>其他资金</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0</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年度</w:t>
            </w:r>
            <w:r>
              <w:rPr>
                <w:kern w:val="0"/>
                <w:sz w:val="20"/>
                <w:szCs w:val="20"/>
              </w:rPr>
              <w:br w:type="textWrapping"/>
            </w:r>
            <w:r>
              <w:rPr>
                <w:kern w:val="0"/>
                <w:sz w:val="20"/>
                <w:szCs w:val="20"/>
              </w:rPr>
              <w:t>目标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预期目标</w:t>
            </w:r>
          </w:p>
        </w:tc>
        <w:tc>
          <w:tcPr>
            <w:tcW w:w="4108"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numPr>
                <w:ilvl w:val="0"/>
                <w:numId w:val="2"/>
              </w:numPr>
              <w:jc w:val="left"/>
              <w:rPr>
                <w:kern w:val="0"/>
                <w:sz w:val="20"/>
                <w:szCs w:val="20"/>
              </w:rPr>
            </w:pPr>
            <w:r>
              <w:rPr>
                <w:rFonts w:hint="eastAsia"/>
                <w:kern w:val="0"/>
                <w:sz w:val="20"/>
                <w:szCs w:val="20"/>
              </w:rPr>
              <w:t>提升学院办学口碑；</w:t>
            </w:r>
          </w:p>
          <w:p>
            <w:pPr>
              <w:widowControl/>
              <w:numPr>
                <w:ilvl w:val="0"/>
                <w:numId w:val="2"/>
              </w:numPr>
              <w:jc w:val="left"/>
              <w:rPr>
                <w:kern w:val="0"/>
                <w:sz w:val="20"/>
                <w:szCs w:val="20"/>
              </w:rPr>
            </w:pPr>
            <w:r>
              <w:rPr>
                <w:rFonts w:hint="eastAsia"/>
                <w:kern w:val="0"/>
                <w:sz w:val="20"/>
                <w:szCs w:val="20"/>
              </w:rPr>
              <w:t>完成学生招生任务。</w:t>
            </w:r>
          </w:p>
        </w:tc>
        <w:tc>
          <w:tcPr>
            <w:tcW w:w="4108" w:type="dxa"/>
            <w:gridSpan w:val="4"/>
            <w:tcBorders>
              <w:top w:val="single" w:color="auto" w:sz="4" w:space="0"/>
              <w:left w:val="nil"/>
              <w:bottom w:val="single" w:color="auto" w:sz="4" w:space="0"/>
              <w:right w:val="single" w:color="000000" w:sz="4" w:space="0"/>
            </w:tcBorders>
          </w:tcPr>
          <w:p>
            <w:pPr>
              <w:widowControl/>
              <w:jc w:val="left"/>
              <w:rPr>
                <w:kern w:val="0"/>
                <w:sz w:val="20"/>
                <w:szCs w:val="20"/>
              </w:rPr>
            </w:pPr>
            <w:r>
              <w:rPr>
                <w:kern w:val="0"/>
                <w:sz w:val="20"/>
                <w:szCs w:val="20"/>
              </w:rPr>
              <w:t>2018年我院高职学生招生数2000余人，相比往年有大幅度提高，这均是招生宣传经费起到了巨大作用的结果</w:t>
            </w:r>
            <w:r>
              <w:rPr>
                <w:rFonts w:hint="eastAsia"/>
                <w:kern w:val="0"/>
                <w:sz w:val="20"/>
                <w:szCs w:val="20"/>
              </w:rPr>
              <w:t>。</w:t>
            </w:r>
          </w:p>
          <w:p>
            <w:pPr>
              <w:widowControl/>
              <w:ind w:left="300"/>
              <w:jc w:val="left"/>
              <w:rPr>
                <w:kern w:val="0"/>
                <w:sz w:val="20"/>
                <w:szCs w:val="20"/>
              </w:rPr>
            </w:pPr>
          </w:p>
          <w:p>
            <w:pPr>
              <w:widowControl/>
              <w:spacing w:line="100" w:lineRule="atLeast"/>
              <w:ind w:firstLine="400" w:firstLineChars="200"/>
              <w:jc w:val="left"/>
              <w:rPr>
                <w:kern w:val="0"/>
                <w:sz w:val="20"/>
                <w:szCs w:val="20"/>
              </w:rPr>
            </w:pP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年度</w:t>
            </w:r>
            <w:r>
              <w:rPr>
                <w:kern w:val="0"/>
                <w:sz w:val="20"/>
                <w:szCs w:val="20"/>
              </w:rPr>
              <w:br w:type="textWrapping"/>
            </w:r>
            <w:r>
              <w:rPr>
                <w:kern w:val="0"/>
                <w:sz w:val="20"/>
                <w:szCs w:val="20"/>
              </w:rPr>
              <w:t>绩效</w:t>
            </w:r>
            <w:r>
              <w:rPr>
                <w:kern w:val="0"/>
                <w:sz w:val="20"/>
                <w:szCs w:val="20"/>
              </w:rPr>
              <w:br w:type="textWrapping"/>
            </w:r>
            <w:r>
              <w:rPr>
                <w:kern w:val="0"/>
                <w:sz w:val="20"/>
                <w:szCs w:val="20"/>
              </w:rPr>
              <w:t>指标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1140" w:type="dxa"/>
            <w:tcBorders>
              <w:top w:val="nil"/>
              <w:left w:val="nil"/>
              <w:bottom w:val="nil"/>
              <w:right w:val="single" w:color="auto" w:sz="4" w:space="0"/>
            </w:tcBorders>
            <w:vAlign w:val="center"/>
          </w:tcPr>
          <w:p>
            <w:pPr>
              <w:widowControl/>
              <w:jc w:val="center"/>
              <w:rPr>
                <w:kern w:val="0"/>
                <w:sz w:val="20"/>
                <w:szCs w:val="20"/>
              </w:rPr>
            </w:pPr>
            <w:r>
              <w:rPr>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三级指标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预期指标值（包含数字及文字描述）</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高职招生人数</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高职招生人数2000人以上</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实际招生人数2700余人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完成招生宣传任务</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安排专人到北疆、南疆、甘肃进行招生宣传</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完成招生宣传任务，选派专人到到北疆、南疆、甘肃进行了招生宣传</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项目完成时间</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2018年6月至8月</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已按照2018年招生计划顺利实施</w:t>
            </w:r>
          </w:p>
        </w:tc>
      </w:tr>
      <w:tr>
        <w:tblPrEx>
          <w:tblCellMar>
            <w:top w:w="0" w:type="dxa"/>
            <w:left w:w="108" w:type="dxa"/>
            <w:bottom w:w="0" w:type="dxa"/>
            <w:right w:w="108" w:type="dxa"/>
          </w:tblCellMar>
        </w:tblPrEx>
        <w:trPr>
          <w:trHeight w:val="40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rFonts w:hint="eastAsia"/>
                <w:kern w:val="0"/>
                <w:sz w:val="20"/>
                <w:szCs w:val="20"/>
              </w:rPr>
              <w:t>年度预算执行进度</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执行进度达到100%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预算支付率为100%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经济效益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kern w:val="0"/>
                <w:sz w:val="20"/>
                <w:szCs w:val="20"/>
              </w:rPr>
            </w:pPr>
            <w:r>
              <w:rPr>
                <w:kern w:val="0"/>
                <w:sz w:val="20"/>
                <w:szCs w:val="20"/>
              </w:rPr>
              <w:t>社会效益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提升学院办学实力</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提升</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显著提升</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学生就业率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学生就业率≥95%</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实际就业率100%</w:t>
            </w:r>
          </w:p>
        </w:tc>
      </w:tr>
      <w:tr>
        <w:tblPrEx>
          <w:tblCellMar>
            <w:top w:w="0" w:type="dxa"/>
            <w:left w:w="108" w:type="dxa"/>
            <w:bottom w:w="0" w:type="dxa"/>
            <w:right w:w="108" w:type="dxa"/>
          </w:tblCellMar>
        </w:tblPrEx>
        <w:trPr>
          <w:trHeight w:val="439"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生态效益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可持续影响</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满意度</w:t>
            </w:r>
            <w:r>
              <w:rPr>
                <w:kern w:val="0"/>
                <w:sz w:val="20"/>
                <w:szCs w:val="20"/>
              </w:rPr>
              <w:br w:type="textWrapping"/>
            </w:r>
            <w:r>
              <w:rPr>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rFonts w:hint="eastAsia"/>
                <w:kern w:val="0"/>
                <w:sz w:val="20"/>
                <w:szCs w:val="20"/>
              </w:rPr>
              <w:t>学生、家长抽样调查满意度</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满意度要≥90%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满意度≥90%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bl>
    <w:p>
      <w:pPr>
        <w:spacing w:line="540" w:lineRule="exact"/>
        <w:ind w:firstLine="567"/>
        <w:rPr>
          <w:rStyle w:val="19"/>
          <w:rFonts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5621766-6023-4DE1-9156-CA8CFB71B31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embedRegular r:id="rId2" w:fontKey="{559BBA3B-62A8-4054-B3DB-0D43691FC5A6}"/>
  </w:font>
  <w:font w:name="华文中宋">
    <w:panose1 w:val="02010600040101010101"/>
    <w:charset w:val="86"/>
    <w:family w:val="auto"/>
    <w:pitch w:val="default"/>
    <w:sig w:usb0="00000287" w:usb1="080F0000" w:usb2="00000000" w:usb3="00000000" w:csb0="0004009F" w:csb1="DFD70000"/>
    <w:embedRegular r:id="rId3" w:fontKey="{1608A917-57B5-4F2B-AB2F-E2448862F2C9}"/>
  </w:font>
  <w:font w:name="方正小标宋_GBK">
    <w:panose1 w:val="02000000000000000000"/>
    <w:charset w:val="86"/>
    <w:family w:val="script"/>
    <w:pitch w:val="default"/>
    <w:sig w:usb0="A00002BF" w:usb1="38CF7CFA" w:usb2="00082016" w:usb3="00000000" w:csb0="00040001" w:csb1="00000000"/>
    <w:embedRegular r:id="rId4" w:fontKey="{15155202-C645-4ECD-8C86-8EADBFA3E833}"/>
  </w:font>
  <w:font w:name="仿宋_GB2312">
    <w:altName w:val="仿宋"/>
    <w:panose1 w:val="02010609030101010101"/>
    <w:charset w:val="86"/>
    <w:family w:val="modern"/>
    <w:pitch w:val="default"/>
    <w:sig w:usb0="00000000" w:usb1="00000000" w:usb2="00000010" w:usb3="00000000" w:csb0="00040000" w:csb1="00000000"/>
    <w:embedRegular r:id="rId5" w:fontKey="{9528F233-9032-4C35-A690-7AA0B4E15A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7769D5"/>
    <w:multiLevelType w:val="singleLevel"/>
    <w:tmpl w:val="AA7769D5"/>
    <w:lvl w:ilvl="0" w:tentative="0">
      <w:start w:val="1"/>
      <w:numFmt w:val="chineseCounting"/>
      <w:suff w:val="nothing"/>
      <w:lvlText w:val="%1、"/>
      <w:lvlJc w:val="left"/>
      <w:pPr>
        <w:ind w:left="300" w:firstLine="0"/>
      </w:pPr>
      <w:rPr>
        <w:rFonts w:hint="eastAsia"/>
      </w:rPr>
    </w:lvl>
  </w:abstractNum>
  <w:abstractNum w:abstractNumId="1">
    <w:nsid w:val="C6436353"/>
    <w:multiLevelType w:val="singleLevel"/>
    <w:tmpl w:val="C643635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CA6457"/>
    <w:rsid w:val="00024C05"/>
    <w:rsid w:val="00054E4A"/>
    <w:rsid w:val="00056465"/>
    <w:rsid w:val="00061039"/>
    <w:rsid w:val="000921F1"/>
    <w:rsid w:val="00100B4E"/>
    <w:rsid w:val="00121AE4"/>
    <w:rsid w:val="001248A0"/>
    <w:rsid w:val="00146AAD"/>
    <w:rsid w:val="001A7C6D"/>
    <w:rsid w:val="001B3A40"/>
    <w:rsid w:val="001C7D6A"/>
    <w:rsid w:val="001E0F84"/>
    <w:rsid w:val="002574E5"/>
    <w:rsid w:val="00261B25"/>
    <w:rsid w:val="00321AE8"/>
    <w:rsid w:val="003573F6"/>
    <w:rsid w:val="00385974"/>
    <w:rsid w:val="003908B7"/>
    <w:rsid w:val="00396616"/>
    <w:rsid w:val="00396863"/>
    <w:rsid w:val="0041484F"/>
    <w:rsid w:val="004366A8"/>
    <w:rsid w:val="00466CD9"/>
    <w:rsid w:val="004963C3"/>
    <w:rsid w:val="004B4279"/>
    <w:rsid w:val="004D5891"/>
    <w:rsid w:val="00502BA7"/>
    <w:rsid w:val="00503DA4"/>
    <w:rsid w:val="005162F1"/>
    <w:rsid w:val="00535153"/>
    <w:rsid w:val="00554F82"/>
    <w:rsid w:val="0056390D"/>
    <w:rsid w:val="005640D7"/>
    <w:rsid w:val="005719B0"/>
    <w:rsid w:val="005A7B74"/>
    <w:rsid w:val="005D10D6"/>
    <w:rsid w:val="00604841"/>
    <w:rsid w:val="00615543"/>
    <w:rsid w:val="00690DCD"/>
    <w:rsid w:val="006B1D50"/>
    <w:rsid w:val="006E6BB4"/>
    <w:rsid w:val="007019D6"/>
    <w:rsid w:val="00746D8D"/>
    <w:rsid w:val="00853F74"/>
    <w:rsid w:val="00855E3A"/>
    <w:rsid w:val="0087325C"/>
    <w:rsid w:val="008A6350"/>
    <w:rsid w:val="00922CB9"/>
    <w:rsid w:val="009E131F"/>
    <w:rsid w:val="009E3472"/>
    <w:rsid w:val="009E5CD9"/>
    <w:rsid w:val="00A02D46"/>
    <w:rsid w:val="00A259A3"/>
    <w:rsid w:val="00A26421"/>
    <w:rsid w:val="00A2686B"/>
    <w:rsid w:val="00A4293B"/>
    <w:rsid w:val="00A67D50"/>
    <w:rsid w:val="00A8691A"/>
    <w:rsid w:val="00AB0B99"/>
    <w:rsid w:val="00AC1946"/>
    <w:rsid w:val="00AC3A1C"/>
    <w:rsid w:val="00B40063"/>
    <w:rsid w:val="00B41F61"/>
    <w:rsid w:val="00B43A76"/>
    <w:rsid w:val="00B75634"/>
    <w:rsid w:val="00B85761"/>
    <w:rsid w:val="00BA46E6"/>
    <w:rsid w:val="00BE0551"/>
    <w:rsid w:val="00BF4C9B"/>
    <w:rsid w:val="00C37114"/>
    <w:rsid w:val="00C56C72"/>
    <w:rsid w:val="00CA6457"/>
    <w:rsid w:val="00CF2761"/>
    <w:rsid w:val="00D01457"/>
    <w:rsid w:val="00D17299"/>
    <w:rsid w:val="00D17F2E"/>
    <w:rsid w:val="00D30354"/>
    <w:rsid w:val="00D3057F"/>
    <w:rsid w:val="00D40A00"/>
    <w:rsid w:val="00DB0B27"/>
    <w:rsid w:val="00DF42A0"/>
    <w:rsid w:val="00DF787F"/>
    <w:rsid w:val="00E440F3"/>
    <w:rsid w:val="00E769FE"/>
    <w:rsid w:val="00EA2CBE"/>
    <w:rsid w:val="00EB4B09"/>
    <w:rsid w:val="00EB4F4F"/>
    <w:rsid w:val="00F00E2F"/>
    <w:rsid w:val="00F32FEE"/>
    <w:rsid w:val="00F628C3"/>
    <w:rsid w:val="00F670FC"/>
    <w:rsid w:val="00F7704F"/>
    <w:rsid w:val="00FB10BB"/>
    <w:rsid w:val="01480BBF"/>
    <w:rsid w:val="023000D4"/>
    <w:rsid w:val="026261C9"/>
    <w:rsid w:val="029C3F1D"/>
    <w:rsid w:val="02DF693D"/>
    <w:rsid w:val="034E4D1F"/>
    <w:rsid w:val="03631873"/>
    <w:rsid w:val="041F75BF"/>
    <w:rsid w:val="06B16962"/>
    <w:rsid w:val="06DE3FE7"/>
    <w:rsid w:val="08380A1F"/>
    <w:rsid w:val="08684DE4"/>
    <w:rsid w:val="0A427F91"/>
    <w:rsid w:val="0AD32575"/>
    <w:rsid w:val="0C172BF5"/>
    <w:rsid w:val="0C2C3259"/>
    <w:rsid w:val="0C5D304F"/>
    <w:rsid w:val="0C8C5A0D"/>
    <w:rsid w:val="0D0C5E3F"/>
    <w:rsid w:val="0DB5477A"/>
    <w:rsid w:val="0E213616"/>
    <w:rsid w:val="0E44634D"/>
    <w:rsid w:val="112B55D5"/>
    <w:rsid w:val="116B3B6B"/>
    <w:rsid w:val="11A15EDF"/>
    <w:rsid w:val="13851B97"/>
    <w:rsid w:val="141F537A"/>
    <w:rsid w:val="14BD3A53"/>
    <w:rsid w:val="15E020EF"/>
    <w:rsid w:val="16B35854"/>
    <w:rsid w:val="182E17D6"/>
    <w:rsid w:val="18472765"/>
    <w:rsid w:val="19F475B3"/>
    <w:rsid w:val="1A6D5B6C"/>
    <w:rsid w:val="1ADF01D5"/>
    <w:rsid w:val="1BC1135A"/>
    <w:rsid w:val="1C4F3C1A"/>
    <w:rsid w:val="1E1D59CE"/>
    <w:rsid w:val="1E2E73F6"/>
    <w:rsid w:val="1F0D4AAE"/>
    <w:rsid w:val="1F202942"/>
    <w:rsid w:val="1F770878"/>
    <w:rsid w:val="1F8E6FD2"/>
    <w:rsid w:val="1F957384"/>
    <w:rsid w:val="1FDB4C4F"/>
    <w:rsid w:val="201C40D5"/>
    <w:rsid w:val="21EF7603"/>
    <w:rsid w:val="24EC307A"/>
    <w:rsid w:val="254A6754"/>
    <w:rsid w:val="27890C3B"/>
    <w:rsid w:val="27D175DC"/>
    <w:rsid w:val="28472021"/>
    <w:rsid w:val="29091E4A"/>
    <w:rsid w:val="290D4B6A"/>
    <w:rsid w:val="292E4312"/>
    <w:rsid w:val="29E2584C"/>
    <w:rsid w:val="2A236587"/>
    <w:rsid w:val="2A43396A"/>
    <w:rsid w:val="2A6916A5"/>
    <w:rsid w:val="2B1103DB"/>
    <w:rsid w:val="2B176C74"/>
    <w:rsid w:val="2B261562"/>
    <w:rsid w:val="2BA207E5"/>
    <w:rsid w:val="2C19033F"/>
    <w:rsid w:val="2C9869FF"/>
    <w:rsid w:val="2CA35520"/>
    <w:rsid w:val="2CCF76D0"/>
    <w:rsid w:val="2CEA145F"/>
    <w:rsid w:val="2D376E74"/>
    <w:rsid w:val="2E544DEC"/>
    <w:rsid w:val="2ECA0862"/>
    <w:rsid w:val="2F05357C"/>
    <w:rsid w:val="2F1652A7"/>
    <w:rsid w:val="2FCD0764"/>
    <w:rsid w:val="31C5675D"/>
    <w:rsid w:val="31F32AD6"/>
    <w:rsid w:val="32070C59"/>
    <w:rsid w:val="32A46760"/>
    <w:rsid w:val="354E2F40"/>
    <w:rsid w:val="359F0143"/>
    <w:rsid w:val="35DB55BE"/>
    <w:rsid w:val="369E2EEF"/>
    <w:rsid w:val="36B875A8"/>
    <w:rsid w:val="36C6479E"/>
    <w:rsid w:val="36D7175E"/>
    <w:rsid w:val="37D509CC"/>
    <w:rsid w:val="3A4C73D9"/>
    <w:rsid w:val="3A551CB1"/>
    <w:rsid w:val="3ABA4A57"/>
    <w:rsid w:val="3AF71246"/>
    <w:rsid w:val="3AFA0947"/>
    <w:rsid w:val="3C4453E6"/>
    <w:rsid w:val="3C8A2AB2"/>
    <w:rsid w:val="3CB31A96"/>
    <w:rsid w:val="3D0B2405"/>
    <w:rsid w:val="3D9773C0"/>
    <w:rsid w:val="3DC66C2F"/>
    <w:rsid w:val="3EA44BC9"/>
    <w:rsid w:val="3EEF583A"/>
    <w:rsid w:val="3F41260F"/>
    <w:rsid w:val="3F783042"/>
    <w:rsid w:val="3FCA5845"/>
    <w:rsid w:val="40146FB6"/>
    <w:rsid w:val="4121599E"/>
    <w:rsid w:val="4193619E"/>
    <w:rsid w:val="426038A9"/>
    <w:rsid w:val="444246CD"/>
    <w:rsid w:val="44664DA7"/>
    <w:rsid w:val="452E774A"/>
    <w:rsid w:val="463669DD"/>
    <w:rsid w:val="47203183"/>
    <w:rsid w:val="4752150F"/>
    <w:rsid w:val="475264DB"/>
    <w:rsid w:val="47757F0C"/>
    <w:rsid w:val="479A5169"/>
    <w:rsid w:val="47A7124F"/>
    <w:rsid w:val="48663AF7"/>
    <w:rsid w:val="48C44BA1"/>
    <w:rsid w:val="48D54A28"/>
    <w:rsid w:val="48FD5E5A"/>
    <w:rsid w:val="49722F41"/>
    <w:rsid w:val="4A5C3C2B"/>
    <w:rsid w:val="4B1E61EC"/>
    <w:rsid w:val="4C943388"/>
    <w:rsid w:val="4CA72407"/>
    <w:rsid w:val="4D5A7193"/>
    <w:rsid w:val="4EAB4447"/>
    <w:rsid w:val="4EBF22A2"/>
    <w:rsid w:val="4FE2475D"/>
    <w:rsid w:val="50EB4BAD"/>
    <w:rsid w:val="5143725C"/>
    <w:rsid w:val="525D2349"/>
    <w:rsid w:val="536478CF"/>
    <w:rsid w:val="565B18C3"/>
    <w:rsid w:val="5803783A"/>
    <w:rsid w:val="58597B9F"/>
    <w:rsid w:val="591361EF"/>
    <w:rsid w:val="59591036"/>
    <w:rsid w:val="5A2F2DC6"/>
    <w:rsid w:val="5A9D217B"/>
    <w:rsid w:val="5AD66F47"/>
    <w:rsid w:val="5BBD6AB2"/>
    <w:rsid w:val="5BF74531"/>
    <w:rsid w:val="5C467B4C"/>
    <w:rsid w:val="5D5C64E5"/>
    <w:rsid w:val="5E3665AC"/>
    <w:rsid w:val="5F164C93"/>
    <w:rsid w:val="5FD12DD1"/>
    <w:rsid w:val="5FDD1ABF"/>
    <w:rsid w:val="5FF24BA3"/>
    <w:rsid w:val="60275F07"/>
    <w:rsid w:val="60CE4753"/>
    <w:rsid w:val="60D226F4"/>
    <w:rsid w:val="64065EEB"/>
    <w:rsid w:val="64F03097"/>
    <w:rsid w:val="680F29D0"/>
    <w:rsid w:val="682A65FE"/>
    <w:rsid w:val="697509BA"/>
    <w:rsid w:val="6A4051D9"/>
    <w:rsid w:val="6AE53C82"/>
    <w:rsid w:val="6B2B5E58"/>
    <w:rsid w:val="6B646702"/>
    <w:rsid w:val="6BB86A0E"/>
    <w:rsid w:val="6EE10879"/>
    <w:rsid w:val="6EF101E5"/>
    <w:rsid w:val="6F8D7C0E"/>
    <w:rsid w:val="6FB92EF1"/>
    <w:rsid w:val="70016AB1"/>
    <w:rsid w:val="701365F3"/>
    <w:rsid w:val="70580E09"/>
    <w:rsid w:val="70B60CB5"/>
    <w:rsid w:val="71D05983"/>
    <w:rsid w:val="725A11A9"/>
    <w:rsid w:val="72876464"/>
    <w:rsid w:val="73313757"/>
    <w:rsid w:val="738640EB"/>
    <w:rsid w:val="73D91399"/>
    <w:rsid w:val="740A15D1"/>
    <w:rsid w:val="74313893"/>
    <w:rsid w:val="75362013"/>
    <w:rsid w:val="75522891"/>
    <w:rsid w:val="76195674"/>
    <w:rsid w:val="76A7434C"/>
    <w:rsid w:val="76BA2102"/>
    <w:rsid w:val="76D849C5"/>
    <w:rsid w:val="77617A0C"/>
    <w:rsid w:val="779E323D"/>
    <w:rsid w:val="77F67376"/>
    <w:rsid w:val="78485729"/>
    <w:rsid w:val="78690FD7"/>
    <w:rsid w:val="7A7A5E5E"/>
    <w:rsid w:val="7AF433A3"/>
    <w:rsid w:val="7B286D9D"/>
    <w:rsid w:val="7B9D6038"/>
    <w:rsid w:val="7BB44A44"/>
    <w:rsid w:val="7C733072"/>
    <w:rsid w:val="7C892824"/>
    <w:rsid w:val="7CCF5969"/>
    <w:rsid w:val="7DC9709D"/>
    <w:rsid w:val="7E384D08"/>
    <w:rsid w:val="7E426EC6"/>
    <w:rsid w:val="7F4C52D7"/>
    <w:rsid w:val="7FAC47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Char Char Char1 Char"/>
    <w:basedOn w:val="1"/>
    <w:semiHidden/>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2611</Words>
  <Characters>2713</Characters>
  <Lines>20</Lines>
  <Paragraphs>5</Paragraphs>
  <TotalTime>1</TotalTime>
  <ScaleCrop>false</ScaleCrop>
  <LinksUpToDate>false</LinksUpToDate>
  <CharactersWithSpaces>2715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2018-12-31T10:56:00Z</cp:lastPrinted>
  <dcterms:modified xsi:type="dcterms:W3CDTF">2024-07-01T03:39:17Z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067FA3E2F5B84862B38AB7AED73FA1F3_12</vt:lpwstr>
  </property>
</Properties>
</file>