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before="120" w:after="120" w:line="480" w:lineRule="auto"/>
        <w:ind w:firstLine="883" w:firstLineChars="200"/>
        <w:jc w:val="center"/>
        <w:outlineLvl w:val="0"/>
        <w:rPr>
          <w:rFonts w:ascii="方正小标宋_GBK" w:hAnsi="华文中宋" w:eastAsia="方正小标宋_GBK" w:cs="宋体"/>
          <w:b/>
          <w:kern w:val="0"/>
          <w:sz w:val="48"/>
          <w:szCs w:val="48"/>
        </w:rPr>
      </w:pPr>
      <w:r>
        <w:rPr>
          <w:rFonts w:hint="eastAsia" w:ascii="仿宋_GB2312" w:hAnsi="Arial" w:eastAsia="仿宋_GB2312" w:cs="黑体"/>
          <w:b/>
          <w:sz w:val="44"/>
          <w:szCs w:val="44"/>
        </w:rPr>
        <w:t>巴州离退休干部服务中心财政项目支出绩效自评报告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ascii="仿宋_GB2312" w:eastAsia="仿宋_GB2312"/>
          <w:kern w:val="0"/>
          <w:sz w:val="32"/>
          <w:szCs w:val="32"/>
        </w:rPr>
      </w:pPr>
    </w:p>
    <w:p>
      <w:pPr>
        <w:spacing w:line="480" w:lineRule="auto"/>
        <w:ind w:firstLine="1411" w:firstLineChars="441"/>
        <w:jc w:val="left"/>
        <w:rPr>
          <w:rFonts w:ascii="仿宋_GB2312" w:eastAsia="仿宋_GB2312"/>
          <w:kern w:val="0"/>
          <w:sz w:val="32"/>
          <w:szCs w:val="32"/>
        </w:rPr>
      </w:pPr>
      <w:r>
        <w:rPr>
          <w:rFonts w:hint="eastAsia" w:ascii="仿宋_GB2312" w:eastAsia="仿宋_GB2312"/>
          <w:kern w:val="0"/>
          <w:sz w:val="32"/>
          <w:szCs w:val="32"/>
        </w:rPr>
        <w:t>项目名称：</w:t>
      </w:r>
      <w:r>
        <w:rPr>
          <w:rFonts w:ascii="仿宋_GB2312" w:eastAsia="仿宋_GB2312"/>
          <w:kern w:val="0"/>
          <w:sz w:val="32"/>
          <w:szCs w:val="32"/>
        </w:rPr>
        <w:t>2018</w:t>
      </w:r>
      <w:r>
        <w:rPr>
          <w:rFonts w:hint="eastAsia" w:ascii="仿宋_GB2312" w:eastAsia="仿宋_GB2312"/>
          <w:kern w:val="0"/>
          <w:sz w:val="32"/>
          <w:szCs w:val="32"/>
        </w:rPr>
        <w:t>年离退休干部服务中心项目资金</w:t>
      </w:r>
    </w:p>
    <w:p>
      <w:pPr>
        <w:spacing w:line="480" w:lineRule="auto"/>
        <w:ind w:firstLine="1411" w:firstLineChars="441"/>
        <w:jc w:val="left"/>
        <w:rPr>
          <w:rFonts w:ascii="仿宋_GB2312" w:eastAsia="仿宋_GB2312"/>
          <w:kern w:val="0"/>
          <w:sz w:val="32"/>
          <w:szCs w:val="32"/>
        </w:rPr>
      </w:pPr>
      <w:r>
        <w:rPr>
          <w:rFonts w:hint="eastAsia" w:ascii="仿宋_GB2312" w:eastAsia="仿宋_GB2312"/>
          <w:kern w:val="0"/>
          <w:sz w:val="32"/>
          <w:szCs w:val="32"/>
        </w:rPr>
        <w:t>实施单位（公章）：巴州离退休干部服务中心</w:t>
      </w:r>
    </w:p>
    <w:p>
      <w:pPr>
        <w:spacing w:line="480" w:lineRule="auto"/>
        <w:ind w:firstLine="1411" w:firstLineChars="441"/>
        <w:jc w:val="left"/>
        <w:rPr>
          <w:rFonts w:hint="eastAsia" w:ascii="仿宋_GB2312" w:eastAsia="仿宋_GB2312"/>
          <w:kern w:val="0"/>
          <w:sz w:val="32"/>
          <w:szCs w:val="32"/>
          <w:lang w:eastAsia="zh-CN"/>
        </w:rPr>
      </w:pPr>
      <w:r>
        <w:rPr>
          <w:rFonts w:hint="eastAsia" w:ascii="仿宋_GB2312" w:eastAsia="仿宋_GB2312"/>
          <w:kern w:val="0"/>
          <w:sz w:val="32"/>
          <w:szCs w:val="32"/>
        </w:rPr>
        <w:t>主管部门（公章）：巴州</w:t>
      </w:r>
      <w:r>
        <w:rPr>
          <w:rFonts w:hint="eastAsia" w:ascii="仿宋_GB2312" w:eastAsia="仿宋_GB2312"/>
          <w:kern w:val="0"/>
          <w:sz w:val="32"/>
          <w:szCs w:val="32"/>
          <w:lang w:eastAsia="zh-CN"/>
        </w:rPr>
        <w:t>老干部局</w:t>
      </w:r>
    </w:p>
    <w:p>
      <w:pPr>
        <w:spacing w:line="480" w:lineRule="auto"/>
        <w:ind w:firstLine="1411" w:firstLineChars="441"/>
        <w:jc w:val="left"/>
        <w:rPr>
          <w:rFonts w:ascii="仿宋_GB2312" w:eastAsia="仿宋_GB2312"/>
          <w:kern w:val="0"/>
          <w:sz w:val="32"/>
          <w:szCs w:val="32"/>
        </w:rPr>
      </w:pPr>
      <w:r>
        <w:rPr>
          <w:rFonts w:hint="eastAsia" w:ascii="仿宋_GB2312" w:eastAsia="仿宋_GB2312"/>
          <w:kern w:val="0"/>
          <w:sz w:val="32"/>
          <w:szCs w:val="32"/>
        </w:rPr>
        <w:t>项目负责人（签章）：刘欣</w:t>
      </w:r>
    </w:p>
    <w:p>
      <w:pPr>
        <w:spacing w:line="480" w:lineRule="auto"/>
        <w:ind w:firstLine="1411" w:firstLineChars="441"/>
        <w:jc w:val="left"/>
        <w:rPr>
          <w:rFonts w:ascii="仿宋_GB2312"/>
          <w:sz w:val="32"/>
          <w:szCs w:val="32"/>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eastAsia="仿宋_GB2312"/>
          <w:kern w:val="0"/>
          <w:sz w:val="32"/>
          <w:szCs w:val="32"/>
        </w:rPr>
        <w:t>填报时间：</w:t>
      </w:r>
      <w:r>
        <w:rPr>
          <w:rFonts w:ascii="仿宋_GB2312" w:eastAsia="仿宋_GB2312"/>
          <w:kern w:val="0"/>
          <w:sz w:val="32"/>
          <w:szCs w:val="32"/>
        </w:rPr>
        <w:t>2019</w:t>
      </w:r>
      <w:r>
        <w:rPr>
          <w:rFonts w:hint="eastAsia" w:ascii="仿宋_GB2312" w:eastAsia="仿宋_GB2312"/>
          <w:kern w:val="0"/>
          <w:sz w:val="32"/>
          <w:szCs w:val="32"/>
        </w:rPr>
        <w:t>年</w:t>
      </w:r>
      <w:r>
        <w:rPr>
          <w:rFonts w:ascii="仿宋_GB2312" w:eastAsia="仿宋_GB2312"/>
          <w:kern w:val="0"/>
          <w:sz w:val="32"/>
          <w:szCs w:val="32"/>
        </w:rPr>
        <w:t>1</w:t>
      </w:r>
      <w:r>
        <w:rPr>
          <w:rFonts w:hint="eastAsia" w:ascii="仿宋_GB2312" w:eastAsia="仿宋_GB2312"/>
          <w:kern w:val="0"/>
          <w:sz w:val="32"/>
          <w:szCs w:val="32"/>
        </w:rPr>
        <w:t>月</w:t>
      </w:r>
      <w:r>
        <w:rPr>
          <w:rFonts w:ascii="仿宋_GB2312" w:eastAsia="仿宋_GB2312"/>
          <w:kern w:val="0"/>
          <w:sz w:val="32"/>
          <w:szCs w:val="32"/>
        </w:rPr>
        <w:t>18</w:t>
      </w:r>
      <w:r>
        <w:rPr>
          <w:rFonts w:hint="eastAsia" w:ascii="仿宋_GB2312" w:eastAsia="仿宋_GB2312"/>
          <w:kern w:val="0"/>
          <w:sz w:val="32"/>
          <w:szCs w:val="32"/>
        </w:rPr>
        <w:t>日</w:t>
      </w:r>
    </w:p>
    <w:p>
      <w:pPr>
        <w:spacing w:line="540" w:lineRule="exact"/>
        <w:rPr>
          <w:rStyle w:val="21"/>
          <w:rFonts w:ascii="黑体" w:hAnsi="黑体" w:eastAsia="黑体"/>
          <w:b w:val="0"/>
          <w:spacing w:val="-4"/>
          <w:sz w:val="32"/>
          <w:szCs w:val="32"/>
        </w:rPr>
      </w:pPr>
    </w:p>
    <w:p>
      <w:pPr>
        <w:pStyle w:val="55"/>
        <w:rPr>
          <w:bCs w:val="0"/>
        </w:rPr>
      </w:pPr>
      <w:r>
        <w:rPr>
          <w:rFonts w:hint="eastAsia"/>
          <w:bCs w:val="0"/>
        </w:rPr>
        <w:t>一、项目概况</w:t>
      </w:r>
    </w:p>
    <w:p>
      <w:pPr>
        <w:pStyle w:val="52"/>
        <w:ind w:left="420"/>
        <w:rPr>
          <w:rFonts w:ascii="Times New Roman" w:hAnsi="Times New Roman"/>
          <w:sz w:val="28"/>
        </w:rPr>
      </w:pPr>
      <w:r>
        <w:rPr>
          <w:rFonts w:hint="eastAsia" w:ascii="Times New Roman" w:hAnsi="Times New Roman"/>
          <w:sz w:val="28"/>
        </w:rPr>
        <w:t>（一）项目单位基本情况</w:t>
      </w:r>
    </w:p>
    <w:p>
      <w:pPr>
        <w:pStyle w:val="50"/>
        <w:ind w:firstLine="560"/>
        <w:rPr>
          <w:rFonts w:ascii="Times New Roman" w:hAnsi="Times New Roman"/>
          <w:bCs/>
          <w:szCs w:val="28"/>
        </w:rPr>
      </w:pPr>
      <w:r>
        <w:rPr>
          <w:rFonts w:hint="eastAsia" w:ascii="Times New Roman" w:hAnsi="Times New Roman"/>
          <w:bCs/>
          <w:szCs w:val="28"/>
        </w:rPr>
        <w:t>为贯彻落实党中央、自治区党委、州委有关离退休干部工作的方针政策，协调有关部门做好离退休干部各项待遇的落实，加强离退休干部思想政治建设和思想建设。为了履行本单位职责，使离退休干部工作服务于全州工作大中心，经多次会议研究，反复修改，结合实际，拟定离退休干部项目经费管理办法，设立老干部电子阅览室网络使用费、企业离休干部及遗霜取暖费、企业离休干部活动费等专项经费进行申报。</w:t>
      </w:r>
    </w:p>
    <w:p>
      <w:pPr>
        <w:pStyle w:val="50"/>
        <w:ind w:firstLine="562"/>
        <w:rPr>
          <w:rFonts w:ascii="Times New Roman" w:hAnsi="Times New Roman"/>
          <w:b/>
          <w:bCs/>
          <w:szCs w:val="28"/>
        </w:rPr>
      </w:pPr>
      <w:r>
        <w:rPr>
          <w:rFonts w:hint="eastAsia" w:ascii="Times New Roman" w:hAnsi="Times New Roman"/>
          <w:b/>
          <w:bCs/>
          <w:szCs w:val="28"/>
        </w:rPr>
        <w:t>（二）项目预算绩效目标设定情况</w:t>
      </w:r>
    </w:p>
    <w:p>
      <w:pPr>
        <w:pStyle w:val="50"/>
        <w:ind w:firstLine="560"/>
        <w:rPr>
          <w:rFonts w:ascii="Times New Roman" w:hAnsi="Times New Roman"/>
          <w:bCs/>
          <w:szCs w:val="28"/>
        </w:rPr>
      </w:pPr>
      <w:r>
        <w:rPr>
          <w:rFonts w:ascii="Times New Roman" w:hAnsi="Times New Roman"/>
          <w:bCs/>
          <w:szCs w:val="28"/>
        </w:rPr>
        <w:t>1.</w:t>
      </w:r>
      <w:r>
        <w:rPr>
          <w:rFonts w:hint="eastAsia" w:ascii="Times New Roman" w:hAnsi="Times New Roman"/>
          <w:bCs/>
          <w:szCs w:val="28"/>
        </w:rPr>
        <w:t>项目内容：为了履行本单位职责，使老干部服务中心的工作服务于全州工作中心。一是进一步提升离退休干部思想政治建设和党组织建设水平。二是推动离退休干部及其遗孀生活待遇的全面落实。三是提高离退休干部接受新知识，新科技的水平。四是丰富老干部的离退休后的生活内容。</w:t>
      </w:r>
    </w:p>
    <w:p>
      <w:pPr>
        <w:pStyle w:val="50"/>
        <w:ind w:firstLine="560"/>
        <w:rPr>
          <w:rFonts w:ascii="Times New Roman" w:hAnsi="Times New Roman"/>
          <w:bCs/>
          <w:szCs w:val="28"/>
        </w:rPr>
      </w:pPr>
      <w:r>
        <w:rPr>
          <w:rFonts w:ascii="Times New Roman" w:hAnsi="Times New Roman"/>
          <w:bCs/>
          <w:szCs w:val="28"/>
        </w:rPr>
        <w:t>2.</w:t>
      </w:r>
      <w:r>
        <w:rPr>
          <w:rFonts w:hint="eastAsia" w:ascii="Times New Roman" w:hAnsi="Times New Roman"/>
          <w:bCs/>
          <w:szCs w:val="28"/>
        </w:rPr>
        <w:t>涉及的范围：本项目涉及巴州离退休离退休干部及工作人员。截止</w:t>
      </w:r>
      <w:r>
        <w:rPr>
          <w:rFonts w:ascii="Times New Roman" w:hAnsi="Times New Roman"/>
          <w:bCs/>
          <w:szCs w:val="28"/>
        </w:rPr>
        <w:t>12</w:t>
      </w:r>
      <w:r>
        <w:rPr>
          <w:rFonts w:hint="eastAsia" w:ascii="Times New Roman" w:hAnsi="Times New Roman"/>
          <w:bCs/>
          <w:szCs w:val="28"/>
        </w:rPr>
        <w:t>月，服务中心服务管理的离休干部共有</w:t>
      </w:r>
      <w:r>
        <w:rPr>
          <w:rFonts w:ascii="Times New Roman" w:hAnsi="Times New Roman"/>
          <w:bCs/>
          <w:szCs w:val="28"/>
        </w:rPr>
        <w:t>53</w:t>
      </w:r>
      <w:r>
        <w:rPr>
          <w:rFonts w:hint="eastAsia" w:ascii="Times New Roman" w:hAnsi="Times New Roman"/>
          <w:bCs/>
          <w:szCs w:val="28"/>
        </w:rPr>
        <w:t>人，离休干部遗孀共有</w:t>
      </w:r>
      <w:r>
        <w:rPr>
          <w:rFonts w:ascii="Times New Roman" w:hAnsi="Times New Roman"/>
          <w:bCs/>
          <w:szCs w:val="28"/>
        </w:rPr>
        <w:t>37</w:t>
      </w:r>
      <w:r>
        <w:rPr>
          <w:rFonts w:hint="eastAsia" w:ascii="Times New Roman" w:hAnsi="Times New Roman"/>
          <w:bCs/>
          <w:szCs w:val="28"/>
        </w:rPr>
        <w:t>人；其中原住所离休干部</w:t>
      </w:r>
      <w:r>
        <w:rPr>
          <w:rFonts w:ascii="Times New Roman" w:hAnsi="Times New Roman"/>
          <w:bCs/>
          <w:szCs w:val="28"/>
        </w:rPr>
        <w:t>9</w:t>
      </w:r>
      <w:r>
        <w:rPr>
          <w:rFonts w:hint="eastAsia" w:ascii="Times New Roman" w:hAnsi="Times New Roman"/>
          <w:bCs/>
          <w:szCs w:val="28"/>
        </w:rPr>
        <w:t>人，遗孀</w:t>
      </w:r>
      <w:r>
        <w:rPr>
          <w:rFonts w:ascii="Times New Roman" w:hAnsi="Times New Roman"/>
          <w:bCs/>
          <w:szCs w:val="28"/>
        </w:rPr>
        <w:t>13</w:t>
      </w:r>
      <w:r>
        <w:rPr>
          <w:rFonts w:hint="eastAsia" w:ascii="Times New Roman" w:hAnsi="Times New Roman"/>
          <w:bCs/>
          <w:szCs w:val="28"/>
        </w:rPr>
        <w:t>人；收回管理的企业离休干部</w:t>
      </w:r>
      <w:r>
        <w:rPr>
          <w:rFonts w:ascii="Times New Roman" w:hAnsi="Times New Roman"/>
          <w:bCs/>
          <w:szCs w:val="28"/>
        </w:rPr>
        <w:t>44</w:t>
      </w:r>
      <w:r>
        <w:rPr>
          <w:rFonts w:hint="eastAsia" w:ascii="Times New Roman" w:hAnsi="Times New Roman"/>
          <w:bCs/>
          <w:szCs w:val="28"/>
        </w:rPr>
        <w:t>人；企业离休干部遗孀</w:t>
      </w:r>
      <w:r>
        <w:rPr>
          <w:rFonts w:ascii="Times New Roman" w:hAnsi="Times New Roman"/>
          <w:bCs/>
          <w:szCs w:val="28"/>
        </w:rPr>
        <w:t>24</w:t>
      </w:r>
      <w:r>
        <w:rPr>
          <w:rFonts w:hint="eastAsia" w:ascii="Times New Roman" w:hAnsi="Times New Roman"/>
          <w:bCs/>
          <w:szCs w:val="28"/>
        </w:rPr>
        <w:t>人；本单位退休人员</w:t>
      </w:r>
      <w:r>
        <w:rPr>
          <w:rFonts w:ascii="Times New Roman" w:hAnsi="Times New Roman"/>
          <w:bCs/>
          <w:szCs w:val="28"/>
        </w:rPr>
        <w:t>11</w:t>
      </w:r>
      <w:r>
        <w:rPr>
          <w:rFonts w:hint="eastAsia" w:ascii="Times New Roman" w:hAnsi="Times New Roman"/>
          <w:bCs/>
          <w:szCs w:val="28"/>
        </w:rPr>
        <w:t>人，遗属</w:t>
      </w:r>
      <w:r>
        <w:rPr>
          <w:rFonts w:ascii="Times New Roman" w:hAnsi="Times New Roman"/>
          <w:bCs/>
          <w:szCs w:val="28"/>
        </w:rPr>
        <w:t>1</w:t>
      </w:r>
      <w:r>
        <w:rPr>
          <w:rFonts w:hint="eastAsia" w:ascii="Times New Roman" w:hAnsi="Times New Roman"/>
          <w:bCs/>
          <w:szCs w:val="28"/>
        </w:rPr>
        <w:t>人。服务中心党支部共有党员</w:t>
      </w:r>
      <w:r>
        <w:rPr>
          <w:rFonts w:ascii="Times New Roman" w:hAnsi="Times New Roman"/>
          <w:bCs/>
          <w:szCs w:val="28"/>
        </w:rPr>
        <w:t>43</w:t>
      </w:r>
      <w:r>
        <w:rPr>
          <w:rFonts w:hint="eastAsia" w:ascii="Times New Roman" w:hAnsi="Times New Roman"/>
          <w:bCs/>
          <w:szCs w:val="28"/>
        </w:rPr>
        <w:t>名，其中离退休干部党员</w:t>
      </w:r>
      <w:r>
        <w:rPr>
          <w:rFonts w:ascii="Times New Roman" w:hAnsi="Times New Roman"/>
          <w:bCs/>
          <w:szCs w:val="28"/>
        </w:rPr>
        <w:t>35</w:t>
      </w:r>
      <w:r>
        <w:rPr>
          <w:rFonts w:hint="eastAsia" w:ascii="Times New Roman" w:hAnsi="Times New Roman"/>
          <w:bCs/>
          <w:szCs w:val="28"/>
        </w:rPr>
        <w:t>名，在职干部党员</w:t>
      </w:r>
      <w:r>
        <w:rPr>
          <w:rFonts w:ascii="Times New Roman" w:hAnsi="Times New Roman"/>
          <w:bCs/>
          <w:szCs w:val="28"/>
        </w:rPr>
        <w:t>7</w:t>
      </w:r>
      <w:r>
        <w:rPr>
          <w:rFonts w:hint="eastAsia" w:ascii="Times New Roman" w:hAnsi="Times New Roman"/>
          <w:bCs/>
          <w:szCs w:val="28"/>
        </w:rPr>
        <w:t>名。</w:t>
      </w:r>
    </w:p>
    <w:p>
      <w:pPr>
        <w:pStyle w:val="50"/>
        <w:ind w:firstLine="560"/>
        <w:rPr>
          <w:rFonts w:ascii="Times New Roman" w:hAnsi="Times New Roman"/>
          <w:bCs/>
          <w:szCs w:val="28"/>
        </w:rPr>
      </w:pPr>
      <w:r>
        <w:rPr>
          <w:rFonts w:ascii="Times New Roman" w:hAnsi="Times New Roman"/>
          <w:bCs/>
          <w:szCs w:val="28"/>
        </w:rPr>
        <w:t>3.</w:t>
      </w:r>
      <w:r>
        <w:rPr>
          <w:rFonts w:hint="eastAsia" w:ascii="Times New Roman" w:hAnsi="Times New Roman"/>
          <w:bCs/>
          <w:szCs w:val="28"/>
        </w:rPr>
        <w:t>组织构架：中心在职干部</w:t>
      </w:r>
      <w:r>
        <w:rPr>
          <w:rFonts w:ascii="Times New Roman" w:hAnsi="Times New Roman"/>
          <w:bCs/>
          <w:szCs w:val="28"/>
        </w:rPr>
        <w:t>12</w:t>
      </w:r>
      <w:r>
        <w:rPr>
          <w:rFonts w:hint="eastAsia" w:ascii="Times New Roman" w:hAnsi="Times New Roman"/>
          <w:bCs/>
          <w:szCs w:val="28"/>
        </w:rPr>
        <w:t>人，本单位实际在岗工作人员</w:t>
      </w:r>
      <w:r>
        <w:rPr>
          <w:rFonts w:ascii="Times New Roman" w:hAnsi="Times New Roman"/>
          <w:bCs/>
          <w:szCs w:val="28"/>
        </w:rPr>
        <w:t>8</w:t>
      </w:r>
      <w:r>
        <w:rPr>
          <w:rFonts w:hint="eastAsia" w:ascii="Times New Roman" w:hAnsi="Times New Roman"/>
          <w:bCs/>
          <w:szCs w:val="28"/>
        </w:rPr>
        <w:t>人。本项目由老干中心组织实施，严格审核项目申报工作。</w:t>
      </w:r>
    </w:p>
    <w:p>
      <w:pPr>
        <w:pStyle w:val="50"/>
        <w:ind w:firstLine="560"/>
        <w:rPr>
          <w:rFonts w:ascii="Times New Roman" w:hAnsi="Times New Roman"/>
          <w:bCs/>
          <w:szCs w:val="28"/>
        </w:rPr>
      </w:pPr>
    </w:p>
    <w:p>
      <w:pPr>
        <w:pStyle w:val="55"/>
        <w:rPr>
          <w:bCs w:val="0"/>
        </w:rPr>
      </w:pPr>
      <w:r>
        <w:rPr>
          <w:rFonts w:hint="eastAsia"/>
          <w:bCs w:val="0"/>
        </w:rPr>
        <w:t>二、项目资金使用及管理情况</w:t>
      </w:r>
    </w:p>
    <w:p>
      <w:pPr>
        <w:pStyle w:val="52"/>
        <w:ind w:left="420"/>
        <w:rPr>
          <w:rFonts w:ascii="Times New Roman" w:hAnsi="Times New Roman"/>
          <w:bCs/>
          <w:sz w:val="28"/>
        </w:rPr>
      </w:pPr>
      <w:r>
        <w:rPr>
          <w:rFonts w:hint="eastAsia" w:ascii="Times New Roman" w:hAnsi="Times New Roman"/>
          <w:bCs/>
          <w:sz w:val="28"/>
        </w:rPr>
        <w:t>（一）项目资金安排情况</w:t>
      </w:r>
    </w:p>
    <w:tbl>
      <w:tblPr>
        <w:tblStyle w:val="19"/>
        <w:tblW w:w="13892" w:type="dxa"/>
        <w:tblInd w:w="172" w:type="dxa"/>
        <w:tblLayout w:type="fixed"/>
        <w:tblCellMar>
          <w:top w:w="0" w:type="dxa"/>
          <w:left w:w="30" w:type="dxa"/>
          <w:bottom w:w="0" w:type="dxa"/>
          <w:right w:w="30" w:type="dxa"/>
        </w:tblCellMar>
      </w:tblPr>
      <w:tblGrid>
        <w:gridCol w:w="1701"/>
        <w:gridCol w:w="1134"/>
        <w:gridCol w:w="1134"/>
        <w:gridCol w:w="992"/>
        <w:gridCol w:w="993"/>
        <w:gridCol w:w="992"/>
        <w:gridCol w:w="850"/>
        <w:gridCol w:w="1134"/>
        <w:gridCol w:w="993"/>
        <w:gridCol w:w="1417"/>
        <w:gridCol w:w="1276"/>
        <w:gridCol w:w="1276"/>
      </w:tblGrid>
      <w:tr>
        <w:tblPrEx>
          <w:tblCellMar>
            <w:top w:w="0" w:type="dxa"/>
            <w:left w:w="30" w:type="dxa"/>
            <w:bottom w:w="0" w:type="dxa"/>
            <w:right w:w="30" w:type="dxa"/>
          </w:tblCellMar>
        </w:tblPrEx>
        <w:trPr>
          <w:trHeight w:val="359" w:hRule="atLeast"/>
        </w:trPr>
        <w:tc>
          <w:tcPr>
            <w:tcW w:w="1701" w:type="dxa"/>
            <w:vMerge w:val="restart"/>
            <w:tcBorders>
              <w:top w:val="single" w:color="auto" w:sz="4" w:space="0"/>
              <w:left w:val="single" w:color="auto" w:sz="4" w:space="0"/>
              <w:bottom w:val="single" w:color="auto" w:sz="4" w:space="0"/>
              <w:right w:val="single" w:color="auto" w:sz="4" w:space="0"/>
            </w:tcBorders>
            <w:shd w:val="clear" w:color="auto" w:fill="95B3D7"/>
          </w:tcPr>
          <w:p>
            <w:pPr>
              <w:widowControl/>
              <w:jc w:val="center"/>
              <w:rPr>
                <w:rFonts w:ascii="仿宋_GB2312"/>
                <w:b/>
                <w:bCs/>
                <w:kern w:val="0"/>
                <w:sz w:val="24"/>
              </w:rPr>
            </w:pPr>
            <w:r>
              <w:rPr>
                <w:rFonts w:hint="eastAsia" w:ascii="仿宋_GB2312"/>
                <w:b/>
                <w:bCs/>
                <w:kern w:val="0"/>
                <w:sz w:val="24"/>
              </w:rPr>
              <w:t>项目</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95B3D7"/>
          </w:tcPr>
          <w:p>
            <w:pPr>
              <w:widowControl/>
              <w:jc w:val="center"/>
              <w:rPr>
                <w:rFonts w:ascii="仿宋_GB2312"/>
                <w:b/>
                <w:bCs/>
                <w:kern w:val="0"/>
                <w:sz w:val="24"/>
              </w:rPr>
            </w:pPr>
            <w:r>
              <w:rPr>
                <w:rFonts w:hint="eastAsia"/>
                <w:b/>
                <w:bCs/>
                <w:kern w:val="0"/>
                <w:szCs w:val="21"/>
              </w:rPr>
              <w:t>行次</w:t>
            </w:r>
          </w:p>
        </w:tc>
        <w:tc>
          <w:tcPr>
            <w:tcW w:w="1134" w:type="dxa"/>
            <w:vMerge w:val="restart"/>
            <w:tcBorders>
              <w:top w:val="single" w:color="000000" w:sz="6" w:space="0"/>
              <w:left w:val="single" w:color="auto" w:sz="4" w:space="0"/>
              <w:right w:val="single" w:color="auto" w:sz="4" w:space="0"/>
            </w:tcBorders>
            <w:shd w:val="clear" w:color="auto" w:fill="95B3D7"/>
          </w:tcPr>
          <w:p>
            <w:pPr>
              <w:ind w:firstLine="432" w:firstLineChars="180"/>
              <w:rPr>
                <w:rFonts w:ascii="仿宋_GB2312"/>
                <w:b/>
                <w:bCs/>
                <w:kern w:val="0"/>
                <w:sz w:val="24"/>
              </w:rPr>
            </w:pPr>
            <w:r>
              <w:rPr>
                <w:rFonts w:hint="eastAsia" w:ascii="仿宋_GB2312"/>
                <w:b/>
                <w:bCs/>
                <w:kern w:val="0"/>
                <w:sz w:val="24"/>
              </w:rPr>
              <w:t>合计</w:t>
            </w:r>
          </w:p>
        </w:tc>
        <w:tc>
          <w:tcPr>
            <w:tcW w:w="4961" w:type="dxa"/>
            <w:gridSpan w:val="5"/>
            <w:tcBorders>
              <w:top w:val="single" w:color="000000" w:sz="6" w:space="0"/>
              <w:left w:val="single" w:color="auto" w:sz="4" w:space="0"/>
              <w:bottom w:val="single" w:color="000000" w:sz="6" w:space="0"/>
              <w:right w:val="single" w:color="auto" w:sz="4" w:space="0"/>
            </w:tcBorders>
            <w:shd w:val="clear" w:color="auto" w:fill="95B3D7"/>
          </w:tcPr>
          <w:p>
            <w:pPr>
              <w:widowControl/>
              <w:jc w:val="center"/>
              <w:rPr>
                <w:rFonts w:ascii="仿宋_GB2312"/>
                <w:b/>
                <w:bCs/>
                <w:kern w:val="0"/>
                <w:sz w:val="24"/>
              </w:rPr>
            </w:pPr>
            <w:r>
              <w:rPr>
                <w:rFonts w:hint="eastAsia"/>
                <w:b/>
                <w:bCs/>
                <w:kern w:val="0"/>
                <w:szCs w:val="21"/>
              </w:rPr>
              <w:t>财政资金</w:t>
            </w:r>
          </w:p>
        </w:tc>
        <w:tc>
          <w:tcPr>
            <w:tcW w:w="4962" w:type="dxa"/>
            <w:gridSpan w:val="4"/>
            <w:tcBorders>
              <w:top w:val="single" w:color="000000" w:sz="6" w:space="0"/>
              <w:left w:val="single" w:color="auto" w:sz="4" w:space="0"/>
              <w:bottom w:val="single" w:color="000000" w:sz="6" w:space="0"/>
              <w:right w:val="single" w:color="auto" w:sz="4" w:space="0"/>
            </w:tcBorders>
            <w:shd w:val="clear" w:color="auto" w:fill="95B3D7"/>
          </w:tcPr>
          <w:p>
            <w:pPr>
              <w:widowControl/>
              <w:jc w:val="center"/>
              <w:rPr>
                <w:rFonts w:ascii="仿宋_GB2312"/>
                <w:b/>
                <w:bCs/>
                <w:kern w:val="0"/>
                <w:sz w:val="24"/>
              </w:rPr>
            </w:pPr>
            <w:r>
              <w:rPr>
                <w:rFonts w:hint="eastAsia"/>
                <w:b/>
                <w:bCs/>
                <w:kern w:val="0"/>
                <w:szCs w:val="21"/>
              </w:rPr>
              <w:t>其他资金</w:t>
            </w:r>
          </w:p>
        </w:tc>
      </w:tr>
      <w:tr>
        <w:tblPrEx>
          <w:tblCellMar>
            <w:top w:w="0" w:type="dxa"/>
            <w:left w:w="30" w:type="dxa"/>
            <w:bottom w:w="0" w:type="dxa"/>
            <w:right w:w="30" w:type="dxa"/>
          </w:tblCellMar>
        </w:tblPrEx>
        <w:trPr>
          <w:trHeight w:val="267" w:hRule="atLeast"/>
        </w:trPr>
        <w:tc>
          <w:tcPr>
            <w:tcW w:w="1701" w:type="dxa"/>
            <w:vMerge w:val="continue"/>
            <w:tcBorders>
              <w:top w:val="single" w:color="auto" w:sz="4" w:space="0"/>
              <w:left w:val="single" w:color="auto" w:sz="4" w:space="0"/>
              <w:bottom w:val="single" w:color="auto" w:sz="4" w:space="0"/>
              <w:right w:val="single" w:color="auto" w:sz="4" w:space="0"/>
            </w:tcBorders>
            <w:shd w:val="solid" w:color="FFFFFF" w:fill="auto"/>
          </w:tcPr>
          <w:p>
            <w:pPr>
              <w:widowControl/>
              <w:jc w:val="center"/>
              <w:rPr>
                <w:rFonts w:ascii="仿宋_GB2312"/>
                <w:b/>
                <w:bCs/>
                <w:kern w:val="0"/>
                <w:sz w:val="24"/>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95B3D7"/>
          </w:tcPr>
          <w:p>
            <w:pPr>
              <w:widowControl/>
              <w:jc w:val="center"/>
              <w:rPr>
                <w:rFonts w:ascii="仿宋_GB2312"/>
                <w:b/>
                <w:bCs/>
                <w:kern w:val="0"/>
                <w:sz w:val="24"/>
              </w:rPr>
            </w:pPr>
          </w:p>
        </w:tc>
        <w:tc>
          <w:tcPr>
            <w:tcW w:w="1134" w:type="dxa"/>
            <w:vMerge w:val="continue"/>
            <w:tcBorders>
              <w:left w:val="single" w:color="auto" w:sz="4" w:space="0"/>
              <w:bottom w:val="single" w:color="000000" w:sz="6" w:space="0"/>
              <w:right w:val="single" w:color="auto" w:sz="4" w:space="0"/>
            </w:tcBorders>
            <w:shd w:val="clear" w:color="auto" w:fill="95B3D7"/>
          </w:tcPr>
          <w:p>
            <w:pPr>
              <w:widowControl/>
              <w:jc w:val="center"/>
              <w:rPr>
                <w:rFonts w:ascii="仿宋_GB2312"/>
                <w:b/>
                <w:bCs/>
                <w:kern w:val="0"/>
                <w:sz w:val="24"/>
              </w:rPr>
            </w:pPr>
          </w:p>
        </w:tc>
        <w:tc>
          <w:tcPr>
            <w:tcW w:w="992" w:type="dxa"/>
            <w:tcBorders>
              <w:top w:val="single" w:color="000000" w:sz="6" w:space="0"/>
              <w:left w:val="single" w:color="auto" w:sz="4"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kern w:val="0"/>
                <w:szCs w:val="21"/>
              </w:rPr>
              <w:t>小计</w:t>
            </w:r>
          </w:p>
        </w:tc>
        <w:tc>
          <w:tcPr>
            <w:tcW w:w="993"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kern w:val="0"/>
                <w:szCs w:val="21"/>
              </w:rPr>
              <w:t>中央级</w:t>
            </w:r>
          </w:p>
        </w:tc>
        <w:tc>
          <w:tcPr>
            <w:tcW w:w="992"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kern w:val="0"/>
                <w:szCs w:val="21"/>
              </w:rPr>
              <w:t>州级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kern w:val="0"/>
                <w:szCs w:val="21"/>
              </w:rPr>
              <w:t>区县级</w:t>
            </w:r>
          </w:p>
        </w:tc>
        <w:tc>
          <w:tcPr>
            <w:tcW w:w="1134"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kern w:val="0"/>
                <w:szCs w:val="21"/>
              </w:rPr>
              <w:t>乡镇级</w:t>
            </w:r>
          </w:p>
        </w:tc>
        <w:tc>
          <w:tcPr>
            <w:tcW w:w="993"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color w:val="000000"/>
                <w:kern w:val="0"/>
                <w:szCs w:val="21"/>
              </w:rPr>
              <w:t>小计</w:t>
            </w:r>
          </w:p>
        </w:tc>
        <w:tc>
          <w:tcPr>
            <w:tcW w:w="1417"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kern w:val="0"/>
                <w:szCs w:val="21"/>
              </w:rPr>
              <w:t>单位自筹</w:t>
            </w:r>
          </w:p>
        </w:tc>
        <w:tc>
          <w:tcPr>
            <w:tcW w:w="1276"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kern w:val="0"/>
                <w:szCs w:val="21"/>
              </w:rPr>
              <w:t>银行贷款等</w:t>
            </w:r>
          </w:p>
        </w:tc>
        <w:tc>
          <w:tcPr>
            <w:tcW w:w="1276"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kern w:val="0"/>
                <w:szCs w:val="21"/>
              </w:rPr>
              <w:t>社会资本</w:t>
            </w:r>
          </w:p>
        </w:tc>
      </w:tr>
      <w:tr>
        <w:tblPrEx>
          <w:tblCellMar>
            <w:top w:w="0" w:type="dxa"/>
            <w:left w:w="30" w:type="dxa"/>
            <w:bottom w:w="0" w:type="dxa"/>
            <w:right w:w="30" w:type="dxa"/>
          </w:tblCellMar>
        </w:tblPrEx>
        <w:trPr>
          <w:trHeight w:val="466" w:hRule="atLeast"/>
        </w:trPr>
        <w:tc>
          <w:tcPr>
            <w:tcW w:w="1701"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预算安排</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w:t>
            </w:r>
          </w:p>
        </w:tc>
        <w:tc>
          <w:tcPr>
            <w:tcW w:w="1134" w:type="dxa"/>
            <w:tcBorders>
              <w:top w:val="single" w:color="000000" w:sz="6" w:space="0"/>
              <w:left w:val="single" w:color="auto" w:sz="4"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180000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180000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180000</w:t>
            </w:r>
          </w:p>
        </w:tc>
        <w:tc>
          <w:tcPr>
            <w:tcW w:w="850"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tblPrEx>
          <w:tblCellMar>
            <w:top w:w="0" w:type="dxa"/>
            <w:left w:w="30" w:type="dxa"/>
            <w:bottom w:w="0" w:type="dxa"/>
            <w:right w:w="30" w:type="dxa"/>
          </w:tblCellMar>
        </w:tblPrEx>
        <w:trPr>
          <w:trHeight w:val="466" w:hRule="atLeast"/>
        </w:trPr>
        <w:tc>
          <w:tcPr>
            <w:tcW w:w="1701"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项目实际投入</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(2)</w:t>
            </w:r>
          </w:p>
        </w:tc>
        <w:tc>
          <w:tcPr>
            <w:tcW w:w="1134" w:type="dxa"/>
            <w:tcBorders>
              <w:top w:val="single" w:color="000000" w:sz="6" w:space="0"/>
              <w:left w:val="single" w:color="auto" w:sz="4"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850"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tblPrEx>
          <w:tblCellMar>
            <w:top w:w="0" w:type="dxa"/>
            <w:left w:w="30" w:type="dxa"/>
            <w:bottom w:w="0" w:type="dxa"/>
            <w:right w:w="30" w:type="dxa"/>
          </w:tblCellMar>
        </w:tblPrEx>
        <w:trPr>
          <w:trHeight w:val="466" w:hRule="atLeast"/>
        </w:trPr>
        <w:tc>
          <w:tcPr>
            <w:tcW w:w="1701"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资金到位</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(3)</w:t>
            </w:r>
          </w:p>
        </w:tc>
        <w:tc>
          <w:tcPr>
            <w:tcW w:w="1134" w:type="dxa"/>
            <w:tcBorders>
              <w:top w:val="single" w:color="000000" w:sz="6" w:space="0"/>
              <w:left w:val="single" w:color="auto" w:sz="4"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850"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tblPrEx>
          <w:tblCellMar>
            <w:top w:w="0" w:type="dxa"/>
            <w:left w:w="30" w:type="dxa"/>
            <w:bottom w:w="0" w:type="dxa"/>
            <w:right w:w="30" w:type="dxa"/>
          </w:tblCellMar>
        </w:tblPrEx>
        <w:trPr>
          <w:trHeight w:val="466" w:hRule="atLeast"/>
        </w:trPr>
        <w:tc>
          <w:tcPr>
            <w:tcW w:w="1701"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实际支出</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(4)</w:t>
            </w:r>
          </w:p>
        </w:tc>
        <w:tc>
          <w:tcPr>
            <w:tcW w:w="1134" w:type="dxa"/>
            <w:tcBorders>
              <w:top w:val="single" w:color="000000" w:sz="6" w:space="0"/>
              <w:left w:val="single" w:color="auto" w:sz="4"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180410</w:t>
            </w:r>
          </w:p>
        </w:tc>
        <w:tc>
          <w:tcPr>
            <w:tcW w:w="850"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tblPrEx>
          <w:tblCellMar>
            <w:top w:w="0" w:type="dxa"/>
            <w:left w:w="30" w:type="dxa"/>
            <w:bottom w:w="0" w:type="dxa"/>
            <w:right w:w="30" w:type="dxa"/>
          </w:tblCellMar>
        </w:tblPrEx>
        <w:trPr>
          <w:trHeight w:val="466" w:hRule="atLeast"/>
        </w:trPr>
        <w:tc>
          <w:tcPr>
            <w:tcW w:w="1701"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资金结余</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(5)=(3)-(4)</w:t>
            </w:r>
          </w:p>
        </w:tc>
        <w:tc>
          <w:tcPr>
            <w:tcW w:w="1134" w:type="dxa"/>
            <w:tcBorders>
              <w:top w:val="single" w:color="000000" w:sz="6" w:space="0"/>
              <w:left w:val="single" w:color="auto" w:sz="4"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850"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tblPrEx>
          <w:tblCellMar>
            <w:top w:w="0" w:type="dxa"/>
            <w:left w:w="30" w:type="dxa"/>
            <w:bottom w:w="0" w:type="dxa"/>
            <w:right w:w="30" w:type="dxa"/>
          </w:tblCellMar>
        </w:tblPrEx>
        <w:trPr>
          <w:trHeight w:val="466" w:hRule="atLeast"/>
        </w:trPr>
        <w:tc>
          <w:tcPr>
            <w:tcW w:w="1701"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预算执行率</w:t>
            </w:r>
            <w:r>
              <w:rPr>
                <w:rFonts w:ascii="宋体" w:hAnsi="Arial" w:cs="宋体"/>
                <w:color w:val="000000"/>
                <w:kern w:val="0"/>
                <w:sz w:val="20"/>
                <w:szCs w:val="20"/>
              </w:rPr>
              <w:t>(%)</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(6)=(4)/(1)</w:t>
            </w:r>
          </w:p>
        </w:tc>
        <w:tc>
          <w:tcPr>
            <w:tcW w:w="1134" w:type="dxa"/>
            <w:tcBorders>
              <w:top w:val="single" w:color="000000" w:sz="6" w:space="0"/>
              <w:left w:val="single" w:color="auto" w:sz="4"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850"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tblPrEx>
          <w:tblCellMar>
            <w:top w:w="0" w:type="dxa"/>
            <w:left w:w="30" w:type="dxa"/>
            <w:bottom w:w="0" w:type="dxa"/>
            <w:right w:w="30" w:type="dxa"/>
          </w:tblCellMar>
        </w:tblPrEx>
        <w:trPr>
          <w:trHeight w:val="466" w:hRule="atLeast"/>
        </w:trPr>
        <w:tc>
          <w:tcPr>
            <w:tcW w:w="1701"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资金到位率</w:t>
            </w:r>
            <w:r>
              <w:rPr>
                <w:rFonts w:ascii="宋体" w:hAnsi="Arial" w:cs="宋体"/>
                <w:color w:val="000000"/>
                <w:kern w:val="0"/>
                <w:sz w:val="20"/>
                <w:szCs w:val="20"/>
              </w:rPr>
              <w:t>(%)</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(7)=(3)/(1)</w:t>
            </w:r>
          </w:p>
        </w:tc>
        <w:tc>
          <w:tcPr>
            <w:tcW w:w="1134" w:type="dxa"/>
            <w:tcBorders>
              <w:top w:val="single" w:color="000000" w:sz="6" w:space="0"/>
              <w:left w:val="single" w:color="auto" w:sz="4"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850"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tblPrEx>
          <w:tblCellMar>
            <w:top w:w="0" w:type="dxa"/>
            <w:left w:w="30" w:type="dxa"/>
            <w:bottom w:w="0" w:type="dxa"/>
            <w:right w:w="30" w:type="dxa"/>
          </w:tblCellMar>
        </w:tblPrEx>
        <w:trPr>
          <w:trHeight w:val="466" w:hRule="atLeast"/>
        </w:trPr>
        <w:tc>
          <w:tcPr>
            <w:tcW w:w="1701"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资金实际支出率</w:t>
            </w:r>
            <w:r>
              <w:rPr>
                <w:rFonts w:ascii="宋体" w:hAnsi="Arial" w:cs="宋体"/>
                <w:color w:val="000000"/>
                <w:kern w:val="0"/>
                <w:sz w:val="20"/>
                <w:szCs w:val="20"/>
              </w:rPr>
              <w:t>(%)</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(8)=(4)/(3)</w:t>
            </w:r>
          </w:p>
        </w:tc>
        <w:tc>
          <w:tcPr>
            <w:tcW w:w="1134" w:type="dxa"/>
            <w:tcBorders>
              <w:top w:val="single" w:color="000000" w:sz="6" w:space="0"/>
              <w:left w:val="single" w:color="auto" w:sz="4"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850"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bl>
    <w:p>
      <w:pPr>
        <w:spacing w:line="540" w:lineRule="exact"/>
        <w:ind w:firstLine="564" w:firstLineChars="181"/>
        <w:rPr>
          <w:rStyle w:val="21"/>
          <w:rFonts w:ascii="楷体" w:hAnsi="楷体" w:eastAsia="楷体"/>
          <w:spacing w:val="-4"/>
          <w:sz w:val="32"/>
          <w:szCs w:val="32"/>
        </w:rPr>
      </w:pPr>
    </w:p>
    <w:p>
      <w:pPr>
        <w:spacing w:line="540" w:lineRule="exact"/>
        <w:ind w:firstLine="564" w:firstLineChars="181"/>
        <w:rPr>
          <w:rStyle w:val="21"/>
          <w:rFonts w:ascii="楷体" w:hAnsi="楷体" w:eastAsia="楷体"/>
          <w:spacing w:val="-4"/>
          <w:sz w:val="32"/>
          <w:szCs w:val="32"/>
        </w:rPr>
      </w:pPr>
    </w:p>
    <w:p>
      <w:pPr>
        <w:pStyle w:val="52"/>
        <w:ind w:left="420"/>
        <w:rPr>
          <w:rFonts w:ascii="Times New Roman" w:hAnsi="Times New Roman"/>
          <w:sz w:val="28"/>
        </w:rPr>
      </w:pPr>
      <w:r>
        <w:rPr>
          <w:rFonts w:hint="eastAsia" w:ascii="Times New Roman" w:hAnsi="Times New Roman"/>
          <w:sz w:val="28"/>
        </w:rPr>
        <w:t>（二）项目资金实际使用情况</w:t>
      </w:r>
    </w:p>
    <w:p/>
    <w:tbl>
      <w:tblPr>
        <w:tblStyle w:val="19"/>
        <w:tblW w:w="0" w:type="auto"/>
        <w:tblInd w:w="1306" w:type="dxa"/>
        <w:tblLayout w:type="fixed"/>
        <w:tblCellMar>
          <w:top w:w="0" w:type="dxa"/>
          <w:left w:w="30" w:type="dxa"/>
          <w:bottom w:w="0" w:type="dxa"/>
          <w:right w:w="30" w:type="dxa"/>
        </w:tblCellMar>
      </w:tblPr>
      <w:tblGrid>
        <w:gridCol w:w="2835"/>
        <w:gridCol w:w="1418"/>
        <w:gridCol w:w="2409"/>
        <w:gridCol w:w="1843"/>
        <w:gridCol w:w="2410"/>
      </w:tblGrid>
      <w:tr>
        <w:tblPrEx>
          <w:tblCellMar>
            <w:top w:w="0" w:type="dxa"/>
            <w:left w:w="30" w:type="dxa"/>
            <w:bottom w:w="0" w:type="dxa"/>
            <w:right w:w="30" w:type="dxa"/>
          </w:tblCellMar>
        </w:tblPrEx>
        <w:trPr>
          <w:trHeight w:val="247" w:hRule="atLeast"/>
        </w:trPr>
        <w:tc>
          <w:tcPr>
            <w:tcW w:w="2835" w:type="dxa"/>
            <w:vMerge w:val="restart"/>
            <w:tcBorders>
              <w:top w:val="single" w:color="auto" w:sz="4" w:space="0"/>
              <w:left w:val="single" w:color="auto" w:sz="4" w:space="0"/>
              <w:bottom w:val="single" w:color="auto" w:sz="4" w:space="0"/>
              <w:right w:val="single" w:color="auto" w:sz="4" w:space="0"/>
            </w:tcBorders>
            <w:shd w:val="clear" w:color="auto" w:fill="95B3D7"/>
          </w:tcPr>
          <w:p>
            <w:pPr>
              <w:widowControl/>
              <w:jc w:val="center"/>
              <w:rPr>
                <w:rFonts w:ascii="仿宋_GB2312"/>
                <w:b/>
                <w:bCs/>
                <w:kern w:val="0"/>
                <w:sz w:val="24"/>
              </w:rPr>
            </w:pPr>
            <w:r>
              <w:rPr>
                <w:rFonts w:hint="eastAsia"/>
                <w:b/>
                <w:bCs/>
                <w:color w:val="000000"/>
                <w:kern w:val="0"/>
                <w:szCs w:val="21"/>
              </w:rPr>
              <w:t>项目支出内容</w:t>
            </w:r>
          </w:p>
        </w:tc>
        <w:tc>
          <w:tcPr>
            <w:tcW w:w="5670" w:type="dxa"/>
            <w:gridSpan w:val="3"/>
            <w:tcBorders>
              <w:top w:val="single" w:color="000000" w:sz="6" w:space="0"/>
              <w:left w:val="single" w:color="auto" w:sz="4" w:space="0"/>
              <w:bottom w:val="single" w:color="000000" w:sz="6" w:space="0"/>
              <w:right w:val="single" w:color="auto" w:sz="4" w:space="0"/>
            </w:tcBorders>
            <w:shd w:val="clear" w:color="auto" w:fill="95B3D7"/>
          </w:tcPr>
          <w:p>
            <w:pPr>
              <w:widowControl/>
              <w:jc w:val="center"/>
              <w:rPr>
                <w:rFonts w:ascii="仿宋_GB2312"/>
                <w:b/>
                <w:bCs/>
                <w:kern w:val="0"/>
                <w:sz w:val="24"/>
              </w:rPr>
            </w:pPr>
            <w:r>
              <w:rPr>
                <w:rFonts w:hint="eastAsia" w:ascii="仿宋_GB2312"/>
                <w:b/>
                <w:bCs/>
                <w:kern w:val="0"/>
                <w:sz w:val="24"/>
              </w:rPr>
              <w:t>资金情况（单位：元）</w:t>
            </w:r>
          </w:p>
        </w:tc>
        <w:tc>
          <w:tcPr>
            <w:tcW w:w="2410" w:type="dxa"/>
            <w:vMerge w:val="restart"/>
            <w:tcBorders>
              <w:top w:val="single" w:color="auto" w:sz="4" w:space="0"/>
              <w:left w:val="single" w:color="auto" w:sz="4" w:space="0"/>
              <w:bottom w:val="single" w:color="auto" w:sz="4" w:space="0"/>
              <w:right w:val="single" w:color="auto" w:sz="4" w:space="0"/>
            </w:tcBorders>
            <w:shd w:val="clear" w:color="auto" w:fill="95B3D7"/>
          </w:tcPr>
          <w:p>
            <w:pPr>
              <w:widowControl/>
              <w:jc w:val="center"/>
              <w:rPr>
                <w:rFonts w:ascii="仿宋_GB2312"/>
                <w:b/>
                <w:bCs/>
                <w:kern w:val="0"/>
                <w:sz w:val="24"/>
              </w:rPr>
            </w:pPr>
            <w:r>
              <w:rPr>
                <w:rFonts w:hint="eastAsia"/>
                <w:b/>
                <w:bCs/>
                <w:color w:val="000000"/>
                <w:kern w:val="0"/>
                <w:szCs w:val="21"/>
              </w:rPr>
              <w:t>财政资金专款专用数</w:t>
            </w:r>
          </w:p>
        </w:tc>
      </w:tr>
      <w:tr>
        <w:tblPrEx>
          <w:tblCellMar>
            <w:top w:w="0" w:type="dxa"/>
            <w:left w:w="30" w:type="dxa"/>
            <w:bottom w:w="0" w:type="dxa"/>
            <w:right w:w="30" w:type="dxa"/>
          </w:tblCellMar>
        </w:tblPrEx>
        <w:trPr>
          <w:trHeight w:val="466" w:hRule="atLeast"/>
        </w:trPr>
        <w:tc>
          <w:tcPr>
            <w:tcW w:w="2835" w:type="dxa"/>
            <w:vMerge w:val="continue"/>
            <w:tcBorders>
              <w:top w:val="single" w:color="auto" w:sz="4" w:space="0"/>
              <w:left w:val="single" w:color="auto" w:sz="4" w:space="0"/>
              <w:bottom w:val="single" w:color="auto" w:sz="4" w:space="0"/>
              <w:right w:val="single" w:color="auto" w:sz="4" w:space="0"/>
            </w:tcBorders>
            <w:shd w:val="solid" w:color="FFFFFF" w:fill="auto"/>
          </w:tcPr>
          <w:p>
            <w:pPr>
              <w:widowControl/>
              <w:jc w:val="center"/>
              <w:rPr>
                <w:rFonts w:ascii="仿宋_GB2312"/>
                <w:b/>
                <w:bCs/>
                <w:kern w:val="0"/>
                <w:sz w:val="24"/>
              </w:rPr>
            </w:pPr>
          </w:p>
        </w:tc>
        <w:tc>
          <w:tcPr>
            <w:tcW w:w="1418" w:type="dxa"/>
            <w:tcBorders>
              <w:top w:val="single" w:color="000000" w:sz="6" w:space="0"/>
              <w:left w:val="single" w:color="auto" w:sz="4"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color w:val="000000"/>
                <w:kern w:val="0"/>
                <w:szCs w:val="21"/>
              </w:rPr>
              <w:t>合计</w:t>
            </w:r>
          </w:p>
        </w:tc>
        <w:tc>
          <w:tcPr>
            <w:tcW w:w="2409"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color w:val="000000"/>
                <w:kern w:val="0"/>
                <w:szCs w:val="21"/>
              </w:rPr>
              <w:t>财政资金支出数</w:t>
            </w:r>
          </w:p>
        </w:tc>
        <w:tc>
          <w:tcPr>
            <w:tcW w:w="1843" w:type="dxa"/>
            <w:tcBorders>
              <w:top w:val="single" w:color="000000" w:sz="6" w:space="0"/>
              <w:left w:val="single" w:color="000000" w:sz="6" w:space="0"/>
              <w:bottom w:val="single" w:color="000000" w:sz="6" w:space="0"/>
              <w:right w:val="single" w:color="000000" w:sz="6" w:space="0"/>
            </w:tcBorders>
            <w:shd w:val="clear" w:color="auto" w:fill="95B3D7"/>
          </w:tcPr>
          <w:p>
            <w:pPr>
              <w:widowControl/>
              <w:jc w:val="center"/>
              <w:rPr>
                <w:rFonts w:ascii="仿宋_GB2312"/>
                <w:b/>
                <w:bCs/>
                <w:kern w:val="0"/>
                <w:sz w:val="24"/>
              </w:rPr>
            </w:pPr>
            <w:r>
              <w:rPr>
                <w:rFonts w:hint="eastAsia"/>
                <w:b/>
                <w:bCs/>
                <w:color w:val="000000"/>
                <w:kern w:val="0"/>
                <w:szCs w:val="21"/>
              </w:rPr>
              <w:t>其他资金支出数</w:t>
            </w:r>
          </w:p>
        </w:tc>
        <w:tc>
          <w:tcPr>
            <w:tcW w:w="2410" w:type="dxa"/>
            <w:vMerge w:val="continue"/>
            <w:tcBorders>
              <w:top w:val="single" w:color="auto" w:sz="4" w:space="0"/>
              <w:left w:val="single" w:color="auto" w:sz="4" w:space="0"/>
              <w:bottom w:val="single" w:color="auto" w:sz="4" w:space="0"/>
              <w:right w:val="single" w:color="auto" w:sz="4" w:space="0"/>
            </w:tcBorders>
            <w:shd w:val="clear" w:color="auto" w:fill="95B3D7"/>
          </w:tcPr>
          <w:p>
            <w:pPr>
              <w:autoSpaceDE w:val="0"/>
              <w:autoSpaceDN w:val="0"/>
              <w:jc w:val="center"/>
              <w:rPr>
                <w:rFonts w:ascii="宋体" w:hAnsi="Arial" w:cs="宋体"/>
                <w:color w:val="000000"/>
                <w:kern w:val="0"/>
                <w:sz w:val="20"/>
                <w:szCs w:val="20"/>
              </w:rPr>
            </w:pPr>
          </w:p>
        </w:tc>
      </w:tr>
      <w:tr>
        <w:tblPrEx>
          <w:tblCellMar>
            <w:top w:w="0" w:type="dxa"/>
            <w:left w:w="30" w:type="dxa"/>
            <w:bottom w:w="0" w:type="dxa"/>
            <w:right w:w="30" w:type="dxa"/>
          </w:tblCellMar>
        </w:tblPrEx>
        <w:trPr>
          <w:trHeight w:val="466" w:hRule="atLeast"/>
        </w:trPr>
        <w:tc>
          <w:tcPr>
            <w:tcW w:w="2835"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合计</w:t>
            </w:r>
          </w:p>
        </w:tc>
        <w:tc>
          <w:tcPr>
            <w:tcW w:w="1418" w:type="dxa"/>
            <w:tcBorders>
              <w:top w:val="single" w:color="000000" w:sz="6" w:space="0"/>
              <w:left w:val="single" w:color="auto" w:sz="4" w:space="0"/>
              <w:bottom w:val="single" w:color="000000" w:sz="6" w:space="0"/>
              <w:right w:val="single" w:color="000000" w:sz="6" w:space="0"/>
            </w:tcBorders>
            <w:vAlign w:val="center"/>
          </w:tcPr>
          <w:p>
            <w:pPr>
              <w:jc w:val="right"/>
              <w:rPr>
                <w:rFonts w:ascii="宋体" w:cs="宋体"/>
                <w:sz w:val="24"/>
              </w:rPr>
            </w:pPr>
            <w:r>
              <w:t>180410</w:t>
            </w:r>
          </w:p>
        </w:tc>
        <w:tc>
          <w:tcPr>
            <w:tcW w:w="2409" w:type="dxa"/>
            <w:tcBorders>
              <w:top w:val="single" w:color="000000" w:sz="6" w:space="0"/>
              <w:left w:val="single" w:color="000000" w:sz="6" w:space="0"/>
              <w:bottom w:val="single" w:color="000000" w:sz="6" w:space="0"/>
              <w:right w:val="single" w:color="000000" w:sz="6" w:space="0"/>
            </w:tcBorders>
            <w:vAlign w:val="center"/>
          </w:tcPr>
          <w:p>
            <w:pPr>
              <w:jc w:val="right"/>
              <w:rPr>
                <w:rFonts w:ascii="宋体" w:cs="宋体"/>
                <w:sz w:val="24"/>
              </w:rPr>
            </w:pPr>
            <w:r>
              <w:t>180410</w:t>
            </w:r>
          </w:p>
        </w:tc>
        <w:tc>
          <w:tcPr>
            <w:tcW w:w="184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2410"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tblPrEx>
          <w:tblCellMar>
            <w:top w:w="0" w:type="dxa"/>
            <w:left w:w="30" w:type="dxa"/>
            <w:bottom w:w="0" w:type="dxa"/>
            <w:right w:w="30" w:type="dxa"/>
          </w:tblCellMar>
        </w:tblPrEx>
        <w:trPr>
          <w:trHeight w:val="466" w:hRule="atLeast"/>
        </w:trPr>
        <w:tc>
          <w:tcPr>
            <w:tcW w:w="2835" w:type="dxa"/>
            <w:tcBorders>
              <w:top w:val="single" w:color="auto" w:sz="4" w:space="0"/>
              <w:left w:val="single" w:color="auto" w:sz="4" w:space="0"/>
              <w:bottom w:val="single" w:color="auto" w:sz="4" w:space="0"/>
              <w:right w:val="single" w:color="auto" w:sz="4" w:space="0"/>
            </w:tcBorders>
          </w:tcPr>
          <w:p>
            <w:pPr>
              <w:jc w:val="center"/>
              <w:rPr>
                <w:rFonts w:ascii="宋体" w:cs="宋体"/>
                <w:snapToGrid w:val="0"/>
                <w:spacing w:val="-20"/>
                <w:kern w:val="0"/>
                <w:szCs w:val="21"/>
              </w:rPr>
            </w:pPr>
            <w:r>
              <w:rPr>
                <w:rFonts w:hint="eastAsia"/>
                <w:snapToGrid w:val="0"/>
                <w:spacing w:val="-20"/>
                <w:kern w:val="0"/>
                <w:szCs w:val="21"/>
              </w:rPr>
              <w:t>离退休干部电子阅览室网络使用费</w:t>
            </w:r>
          </w:p>
        </w:tc>
        <w:tc>
          <w:tcPr>
            <w:tcW w:w="1418" w:type="dxa"/>
            <w:tcBorders>
              <w:top w:val="single" w:color="000000" w:sz="6" w:space="0"/>
              <w:left w:val="single" w:color="auto" w:sz="4" w:space="0"/>
              <w:bottom w:val="single" w:color="000000" w:sz="6" w:space="0"/>
              <w:right w:val="single" w:color="000000" w:sz="6" w:space="0"/>
            </w:tcBorders>
            <w:vAlign w:val="center"/>
          </w:tcPr>
          <w:p>
            <w:pPr>
              <w:jc w:val="right"/>
              <w:rPr>
                <w:rFonts w:ascii="宋体" w:cs="宋体"/>
                <w:sz w:val="24"/>
              </w:rPr>
            </w:pPr>
            <w:r>
              <w:t>22,000.00</w:t>
            </w:r>
          </w:p>
        </w:tc>
        <w:tc>
          <w:tcPr>
            <w:tcW w:w="2409" w:type="dxa"/>
            <w:tcBorders>
              <w:top w:val="single" w:color="000000" w:sz="6" w:space="0"/>
              <w:left w:val="single" w:color="000000" w:sz="6" w:space="0"/>
              <w:bottom w:val="single" w:color="000000" w:sz="6" w:space="0"/>
              <w:right w:val="single" w:color="000000" w:sz="6" w:space="0"/>
            </w:tcBorders>
            <w:vAlign w:val="center"/>
          </w:tcPr>
          <w:p>
            <w:pPr>
              <w:jc w:val="right"/>
              <w:rPr>
                <w:rFonts w:ascii="宋体" w:cs="宋体"/>
                <w:sz w:val="24"/>
              </w:rPr>
            </w:pPr>
            <w:r>
              <w:t>22,000.00</w:t>
            </w:r>
          </w:p>
        </w:tc>
        <w:tc>
          <w:tcPr>
            <w:tcW w:w="184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p>
        </w:tc>
        <w:tc>
          <w:tcPr>
            <w:tcW w:w="2410"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p>
        </w:tc>
      </w:tr>
      <w:tr>
        <w:tblPrEx>
          <w:tblCellMar>
            <w:top w:w="0" w:type="dxa"/>
            <w:left w:w="30" w:type="dxa"/>
            <w:bottom w:w="0" w:type="dxa"/>
            <w:right w:w="30" w:type="dxa"/>
          </w:tblCellMar>
        </w:tblPrEx>
        <w:trPr>
          <w:trHeight w:val="466" w:hRule="atLeast"/>
        </w:trPr>
        <w:tc>
          <w:tcPr>
            <w:tcW w:w="2835" w:type="dxa"/>
            <w:tcBorders>
              <w:top w:val="single" w:color="auto" w:sz="4" w:space="0"/>
              <w:left w:val="single" w:color="auto" w:sz="4" w:space="0"/>
              <w:bottom w:val="single" w:color="auto" w:sz="4" w:space="0"/>
              <w:right w:val="single" w:color="auto" w:sz="4" w:space="0"/>
            </w:tcBorders>
          </w:tcPr>
          <w:p>
            <w:pPr>
              <w:jc w:val="center"/>
              <w:rPr>
                <w:rFonts w:ascii="宋体" w:cs="宋体"/>
                <w:sz w:val="24"/>
              </w:rPr>
            </w:pPr>
            <w:r>
              <w:rPr>
                <w:rFonts w:hint="eastAsia"/>
              </w:rPr>
              <w:t>企业离休干部及遗孀取暖费</w:t>
            </w:r>
          </w:p>
        </w:tc>
        <w:tc>
          <w:tcPr>
            <w:tcW w:w="1418" w:type="dxa"/>
            <w:tcBorders>
              <w:top w:val="single" w:color="000000" w:sz="6" w:space="0"/>
              <w:left w:val="single" w:color="auto" w:sz="4" w:space="0"/>
              <w:bottom w:val="single" w:color="000000" w:sz="6" w:space="0"/>
              <w:right w:val="single" w:color="000000" w:sz="6" w:space="0"/>
            </w:tcBorders>
            <w:vAlign w:val="center"/>
          </w:tcPr>
          <w:p>
            <w:pPr>
              <w:jc w:val="right"/>
              <w:rPr>
                <w:rFonts w:ascii="宋体" w:cs="宋体"/>
                <w:sz w:val="24"/>
              </w:rPr>
            </w:pPr>
            <w:r>
              <w:rPr>
                <w:rFonts w:ascii="宋体" w:cs="宋体"/>
                <w:sz w:val="24"/>
              </w:rPr>
              <w:t>108,200</w:t>
            </w:r>
          </w:p>
        </w:tc>
        <w:tc>
          <w:tcPr>
            <w:tcW w:w="2409" w:type="dxa"/>
            <w:tcBorders>
              <w:top w:val="single" w:color="000000" w:sz="6" w:space="0"/>
              <w:left w:val="single" w:color="000000" w:sz="6" w:space="0"/>
              <w:bottom w:val="single" w:color="000000" w:sz="6" w:space="0"/>
              <w:right w:val="single" w:color="000000" w:sz="6" w:space="0"/>
            </w:tcBorders>
            <w:vAlign w:val="center"/>
          </w:tcPr>
          <w:p>
            <w:pPr>
              <w:jc w:val="right"/>
              <w:rPr>
                <w:rFonts w:ascii="宋体" w:cs="宋体"/>
                <w:sz w:val="24"/>
              </w:rPr>
            </w:pPr>
            <w:r>
              <w:rPr>
                <w:rFonts w:ascii="宋体" w:cs="宋体"/>
                <w:sz w:val="24"/>
              </w:rPr>
              <w:t>108,200</w:t>
            </w:r>
          </w:p>
        </w:tc>
        <w:tc>
          <w:tcPr>
            <w:tcW w:w="184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p>
        </w:tc>
        <w:tc>
          <w:tcPr>
            <w:tcW w:w="2410"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p>
        </w:tc>
      </w:tr>
      <w:tr>
        <w:tblPrEx>
          <w:tblCellMar>
            <w:top w:w="0" w:type="dxa"/>
            <w:left w:w="30" w:type="dxa"/>
            <w:bottom w:w="0" w:type="dxa"/>
            <w:right w:w="30" w:type="dxa"/>
          </w:tblCellMar>
        </w:tblPrEx>
        <w:trPr>
          <w:trHeight w:val="466" w:hRule="atLeast"/>
        </w:trPr>
        <w:tc>
          <w:tcPr>
            <w:tcW w:w="2835"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r>
              <w:rPr>
                <w:rFonts w:hint="eastAsia" w:ascii="宋体" w:hAnsi="Arial" w:cs="宋体"/>
                <w:color w:val="000000"/>
                <w:kern w:val="0"/>
                <w:sz w:val="20"/>
                <w:szCs w:val="20"/>
              </w:rPr>
              <w:t>企业离休干部活动费</w:t>
            </w:r>
          </w:p>
        </w:tc>
        <w:tc>
          <w:tcPr>
            <w:tcW w:w="1418" w:type="dxa"/>
            <w:tcBorders>
              <w:top w:val="single" w:color="000000" w:sz="6" w:space="0"/>
              <w:left w:val="single" w:color="auto" w:sz="4" w:space="0"/>
              <w:bottom w:val="single" w:color="000000" w:sz="6" w:space="0"/>
              <w:right w:val="single" w:color="000000" w:sz="6" w:space="0"/>
            </w:tcBorders>
            <w:vAlign w:val="center"/>
          </w:tcPr>
          <w:p>
            <w:pPr>
              <w:jc w:val="right"/>
              <w:rPr>
                <w:rFonts w:ascii="宋体" w:cs="宋体"/>
                <w:sz w:val="24"/>
              </w:rPr>
            </w:pPr>
            <w:r>
              <w:t>50,210</w:t>
            </w:r>
          </w:p>
        </w:tc>
        <w:tc>
          <w:tcPr>
            <w:tcW w:w="2409" w:type="dxa"/>
            <w:tcBorders>
              <w:top w:val="single" w:color="000000" w:sz="6" w:space="0"/>
              <w:left w:val="single" w:color="000000" w:sz="6" w:space="0"/>
              <w:bottom w:val="single" w:color="000000" w:sz="6" w:space="0"/>
              <w:right w:val="single" w:color="000000" w:sz="6" w:space="0"/>
            </w:tcBorders>
            <w:vAlign w:val="center"/>
          </w:tcPr>
          <w:p>
            <w:pPr>
              <w:jc w:val="right"/>
              <w:rPr>
                <w:rFonts w:ascii="宋体" w:cs="宋体"/>
                <w:sz w:val="24"/>
              </w:rPr>
            </w:pPr>
            <w:r>
              <w:t>50,210</w:t>
            </w:r>
          </w:p>
        </w:tc>
        <w:tc>
          <w:tcPr>
            <w:tcW w:w="1843" w:type="dxa"/>
            <w:tcBorders>
              <w:top w:val="single" w:color="000000" w:sz="6" w:space="0"/>
              <w:left w:val="single" w:color="000000" w:sz="6" w:space="0"/>
              <w:bottom w:val="single" w:color="000000" w:sz="6" w:space="0"/>
              <w:right w:val="single" w:color="000000" w:sz="6" w:space="0"/>
            </w:tcBorders>
          </w:tcPr>
          <w:p>
            <w:pPr>
              <w:autoSpaceDE w:val="0"/>
              <w:autoSpaceDN w:val="0"/>
              <w:jc w:val="center"/>
              <w:rPr>
                <w:rFonts w:ascii="宋体" w:hAnsi="Arial" w:cs="宋体"/>
                <w:color w:val="000000"/>
                <w:kern w:val="0"/>
                <w:sz w:val="20"/>
                <w:szCs w:val="20"/>
              </w:rPr>
            </w:pPr>
          </w:p>
        </w:tc>
        <w:tc>
          <w:tcPr>
            <w:tcW w:w="2410" w:type="dxa"/>
            <w:tcBorders>
              <w:top w:val="single" w:color="auto" w:sz="4" w:space="0"/>
              <w:left w:val="single" w:color="auto" w:sz="4" w:space="0"/>
              <w:bottom w:val="single" w:color="auto" w:sz="4" w:space="0"/>
              <w:right w:val="single" w:color="auto" w:sz="4" w:space="0"/>
            </w:tcBorders>
          </w:tcPr>
          <w:p>
            <w:pPr>
              <w:autoSpaceDE w:val="0"/>
              <w:autoSpaceDN w:val="0"/>
              <w:jc w:val="center"/>
              <w:rPr>
                <w:rFonts w:ascii="宋体" w:hAnsi="Arial" w:cs="宋体"/>
                <w:color w:val="000000"/>
                <w:kern w:val="0"/>
                <w:sz w:val="20"/>
                <w:szCs w:val="20"/>
              </w:rPr>
            </w:pPr>
          </w:p>
        </w:tc>
      </w:tr>
    </w:tbl>
    <w:p>
      <w:pPr>
        <w:spacing w:line="540" w:lineRule="exact"/>
        <w:ind w:firstLine="564" w:firstLineChars="181"/>
        <w:rPr>
          <w:rStyle w:val="21"/>
          <w:rFonts w:ascii="楷体" w:hAnsi="楷体" w:eastAsia="楷体"/>
          <w:spacing w:val="-4"/>
          <w:sz w:val="32"/>
          <w:szCs w:val="32"/>
        </w:rPr>
      </w:pPr>
    </w:p>
    <w:p>
      <w:pPr>
        <w:pStyle w:val="52"/>
        <w:ind w:left="420"/>
        <w:rPr>
          <w:rFonts w:ascii="Times New Roman" w:hAnsi="Times New Roman"/>
          <w:bCs/>
          <w:sz w:val="28"/>
        </w:rPr>
      </w:pPr>
      <w:r>
        <w:rPr>
          <w:rFonts w:hint="eastAsia" w:ascii="Times New Roman" w:hAnsi="Times New Roman"/>
          <w:bCs/>
          <w:sz w:val="28"/>
        </w:rPr>
        <w:t>（三）项目资金管理情况分析</w:t>
      </w:r>
    </w:p>
    <w:p>
      <w:pPr>
        <w:pStyle w:val="50"/>
        <w:ind w:firstLine="560"/>
        <w:rPr>
          <w:rFonts w:ascii="Times New Roman" w:hAnsi="Times New Roman"/>
          <w:szCs w:val="28"/>
        </w:rPr>
      </w:pPr>
      <w:r>
        <w:rPr>
          <w:rFonts w:hint="eastAsia" w:ascii="Times New Roman" w:hAnsi="Times New Roman"/>
          <w:szCs w:val="28"/>
        </w:rPr>
        <w:t>本单位制定了财务管理制度，对经费管理、经费审批、经费报销、组织活动开支管理形成制度规范。各项经费的管理、使用情况按财务管理制度和文件的规定执行，设立明细帐，支出费用的具体内容对象、用途等事项明确、清晰。</w:t>
      </w:r>
    </w:p>
    <w:p>
      <w:pPr>
        <w:pStyle w:val="55"/>
      </w:pPr>
      <w:r>
        <w:rPr>
          <w:rFonts w:hint="eastAsia"/>
        </w:rPr>
        <w:t>三、项目组织实施情况</w:t>
      </w:r>
    </w:p>
    <w:p>
      <w:pPr>
        <w:pStyle w:val="50"/>
        <w:ind w:firstLine="627"/>
        <w:rPr>
          <w:rFonts w:ascii="Times New Roman" w:hAnsi="Times New Roman"/>
          <w:bCs/>
          <w:szCs w:val="28"/>
        </w:rPr>
      </w:pPr>
      <w:r>
        <w:rPr>
          <w:rStyle w:val="21"/>
          <w:rFonts w:hint="eastAsia" w:ascii="黑体" w:hAnsi="黑体" w:eastAsia="黑体"/>
          <w:spacing w:val="-4"/>
          <w:sz w:val="32"/>
          <w:szCs w:val="32"/>
        </w:rPr>
        <w:t>（</w:t>
      </w:r>
      <w:r>
        <w:rPr>
          <w:rFonts w:hint="eastAsia" w:ascii="Times New Roman" w:hAnsi="Times New Roman"/>
          <w:bCs/>
          <w:szCs w:val="28"/>
        </w:rPr>
        <w:t>一）项目总目标</w:t>
      </w:r>
    </w:p>
    <w:p>
      <w:pPr>
        <w:pStyle w:val="50"/>
        <w:ind w:firstLine="560"/>
        <w:rPr>
          <w:rFonts w:ascii="Times New Roman" w:hAnsi="Times New Roman"/>
          <w:bCs/>
          <w:szCs w:val="28"/>
        </w:rPr>
      </w:pPr>
      <w:r>
        <w:rPr>
          <w:rFonts w:hint="eastAsia" w:ascii="Times New Roman" w:hAnsi="Times New Roman"/>
          <w:bCs/>
          <w:szCs w:val="28"/>
        </w:rPr>
        <w:t>为了更好地服务全州离退休干部，做好离退休干部工作，</w:t>
      </w:r>
      <w:r>
        <w:rPr>
          <w:rFonts w:ascii="Times New Roman" w:hAnsi="Times New Roman"/>
          <w:bCs/>
          <w:szCs w:val="28"/>
        </w:rPr>
        <w:t>2018</w:t>
      </w:r>
      <w:r>
        <w:rPr>
          <w:rFonts w:hint="eastAsia" w:ascii="Times New Roman" w:hAnsi="Times New Roman"/>
          <w:bCs/>
          <w:szCs w:val="28"/>
        </w:rPr>
        <w:t>年我中心安排老干部电子阅览室网络使用费，每年支付</w:t>
      </w:r>
      <w:r>
        <w:rPr>
          <w:rFonts w:ascii="Times New Roman" w:hAnsi="Times New Roman"/>
          <w:bCs/>
          <w:szCs w:val="28"/>
        </w:rPr>
        <w:t>22000</w:t>
      </w:r>
      <w:r>
        <w:rPr>
          <w:rFonts w:hint="eastAsia" w:ascii="Times New Roman" w:hAnsi="Times New Roman"/>
          <w:bCs/>
          <w:szCs w:val="28"/>
        </w:rPr>
        <w:t>元；认真落实保证离退休干部的政治、生活待遇，组织参加政治学习、走访慰问、特困帮扶、健身体育等活动，共拨付企业离退休干部活动经费</w:t>
      </w:r>
      <w:r>
        <w:rPr>
          <w:rFonts w:ascii="Times New Roman" w:hAnsi="Times New Roman"/>
          <w:bCs/>
          <w:szCs w:val="28"/>
        </w:rPr>
        <w:t>50210</w:t>
      </w:r>
      <w:r>
        <w:rPr>
          <w:rFonts w:hint="eastAsia" w:ascii="Times New Roman" w:hAnsi="Times New Roman"/>
          <w:bCs/>
          <w:szCs w:val="28"/>
        </w:rPr>
        <w:t>元；拨付企业离退休干部遗孀取暖费</w:t>
      </w:r>
      <w:r>
        <w:rPr>
          <w:rFonts w:ascii="Times New Roman" w:hAnsi="Times New Roman"/>
          <w:bCs/>
          <w:szCs w:val="28"/>
        </w:rPr>
        <w:t>108200</w:t>
      </w:r>
      <w:r>
        <w:rPr>
          <w:rFonts w:hint="eastAsia" w:ascii="Times New Roman" w:hAnsi="Times New Roman"/>
          <w:bCs/>
          <w:szCs w:val="28"/>
        </w:rPr>
        <w:t>元。</w:t>
      </w:r>
    </w:p>
    <w:p>
      <w:pPr>
        <w:pStyle w:val="50"/>
        <w:ind w:firstLine="560"/>
        <w:rPr>
          <w:rFonts w:ascii="Times New Roman" w:hAnsi="Times New Roman"/>
          <w:bCs/>
          <w:szCs w:val="28"/>
        </w:rPr>
      </w:pPr>
      <w:r>
        <w:rPr>
          <w:rFonts w:hint="eastAsia" w:ascii="Times New Roman" w:hAnsi="Times New Roman"/>
          <w:bCs/>
          <w:szCs w:val="28"/>
        </w:rPr>
        <w:t>（二）项目年度绩效目标</w:t>
      </w:r>
    </w:p>
    <w:p>
      <w:pPr>
        <w:pStyle w:val="50"/>
        <w:ind w:firstLine="700" w:firstLineChars="250"/>
        <w:rPr>
          <w:rFonts w:ascii="Times New Roman" w:hAnsi="Times New Roman"/>
          <w:bCs/>
          <w:szCs w:val="28"/>
        </w:rPr>
      </w:pPr>
      <w:r>
        <w:rPr>
          <w:rFonts w:ascii="Times New Roman" w:hAnsi="Times New Roman"/>
          <w:szCs w:val="28"/>
        </w:rPr>
        <w:t>1,</w:t>
      </w:r>
      <w:r>
        <w:rPr>
          <w:rFonts w:hint="eastAsia" w:ascii="Times New Roman" w:hAnsi="Times New Roman"/>
          <w:szCs w:val="28"/>
        </w:rPr>
        <w:t>抓好老干部活动中心阵地建设，为老干部发挥正能量提供场地保障。</w:t>
      </w:r>
      <w:r>
        <w:rPr>
          <w:rFonts w:hint="eastAsia" w:ascii="Times New Roman" w:hAnsi="Times New Roman"/>
          <w:bCs/>
          <w:szCs w:val="28"/>
        </w:rPr>
        <w:t>加强活动室的管理，为离退休人员日常政治学习、文体活动提供了良好服务。坚持每月一活动，组织完成了春、秋两季老干部趣味运动会，参加老同志达</w:t>
      </w:r>
      <w:r>
        <w:rPr>
          <w:rFonts w:ascii="Times New Roman" w:hAnsi="Times New Roman"/>
          <w:bCs/>
          <w:szCs w:val="28"/>
        </w:rPr>
        <w:t>140</w:t>
      </w:r>
      <w:r>
        <w:rPr>
          <w:rFonts w:hint="eastAsia" w:ascii="Times New Roman" w:hAnsi="Times New Roman"/>
          <w:bCs/>
          <w:szCs w:val="28"/>
        </w:rPr>
        <w:t>多人次。全年为约</w:t>
      </w:r>
      <w:r>
        <w:rPr>
          <w:rFonts w:ascii="Times New Roman" w:hAnsi="Times New Roman"/>
          <w:bCs/>
          <w:szCs w:val="28"/>
        </w:rPr>
        <w:t>1.5</w:t>
      </w:r>
      <w:r>
        <w:rPr>
          <w:rFonts w:hint="eastAsia" w:ascii="Times New Roman" w:hAnsi="Times New Roman"/>
          <w:bCs/>
          <w:szCs w:val="28"/>
        </w:rPr>
        <w:t>万人次老干部以及老龄协会、社区文艺团体提供场地和服务，长期固定来参加活动的老干部近</w:t>
      </w:r>
      <w:r>
        <w:rPr>
          <w:rFonts w:ascii="Times New Roman" w:hAnsi="Times New Roman"/>
          <w:bCs/>
          <w:szCs w:val="28"/>
        </w:rPr>
        <w:t>800</w:t>
      </w:r>
      <w:r>
        <w:rPr>
          <w:rFonts w:hint="eastAsia" w:ascii="Times New Roman" w:hAnsi="Times New Roman"/>
          <w:bCs/>
          <w:szCs w:val="28"/>
        </w:rPr>
        <w:t>人；共承办老龄协会等群团组织大型活动</w:t>
      </w:r>
      <w:r>
        <w:rPr>
          <w:rFonts w:ascii="Times New Roman" w:hAnsi="Times New Roman"/>
          <w:bCs/>
          <w:szCs w:val="28"/>
        </w:rPr>
        <w:t>4</w:t>
      </w:r>
      <w:r>
        <w:rPr>
          <w:rFonts w:hint="eastAsia" w:ascii="Times New Roman" w:hAnsi="Times New Roman"/>
          <w:bCs/>
          <w:szCs w:val="28"/>
        </w:rPr>
        <w:t>次。“七一”前夕举办了“不忘初心，继续前进”庆祝建党节系列活动，有</w:t>
      </w:r>
      <w:r>
        <w:rPr>
          <w:rFonts w:ascii="Times New Roman" w:hAnsi="Times New Roman"/>
          <w:bCs/>
          <w:szCs w:val="28"/>
        </w:rPr>
        <w:t>13</w:t>
      </w:r>
      <w:r>
        <w:rPr>
          <w:rFonts w:hint="eastAsia" w:ascii="Times New Roman" w:hAnsi="Times New Roman"/>
          <w:bCs/>
          <w:szCs w:val="28"/>
        </w:rPr>
        <w:t>个老年团队参加了表演，有近</w:t>
      </w:r>
      <w:r>
        <w:rPr>
          <w:rFonts w:ascii="Times New Roman" w:hAnsi="Times New Roman"/>
          <w:bCs/>
          <w:szCs w:val="28"/>
        </w:rPr>
        <w:t>200</w:t>
      </w:r>
      <w:r>
        <w:rPr>
          <w:rFonts w:hint="eastAsia" w:ascii="Times New Roman" w:hAnsi="Times New Roman"/>
          <w:bCs/>
          <w:szCs w:val="28"/>
        </w:rPr>
        <w:t>名老干部参加了活动。建立了“活动团队微信群”极大地提高了工作效率，增进了老同志之间的感情交流等。完成台球区、活动区防滑地胶的铺设和修补，保证了老同志开展活动的安全。对电子阅览室、排练厅等</w:t>
      </w:r>
      <w:r>
        <w:rPr>
          <w:rFonts w:ascii="Times New Roman" w:hAnsi="Times New Roman"/>
          <w:bCs/>
          <w:szCs w:val="28"/>
        </w:rPr>
        <w:t>4</w:t>
      </w:r>
      <w:r>
        <w:rPr>
          <w:rFonts w:hint="eastAsia" w:ascii="Times New Roman" w:hAnsi="Times New Roman"/>
          <w:bCs/>
          <w:szCs w:val="28"/>
        </w:rPr>
        <w:t>处屋顶墙面渗漏进行了修缮，并为老干部正常活动提供了</w:t>
      </w:r>
      <w:r>
        <w:rPr>
          <w:rFonts w:hint="eastAsia" w:ascii="Times New Roman" w:hAnsi="Times New Roman"/>
          <w:bCs/>
          <w:szCs w:val="28"/>
          <w:lang w:eastAsia="zh-CN"/>
        </w:rPr>
        <w:t>乒乓球</w:t>
      </w:r>
      <w:r>
        <w:rPr>
          <w:rFonts w:hint="eastAsia" w:ascii="Times New Roman" w:hAnsi="Times New Roman"/>
          <w:bCs/>
          <w:szCs w:val="28"/>
        </w:rPr>
        <w:t>、台球等。入冬前对泵房、地暖等供暖设备进行了维护和清理，保证了冬季老干部正常活动。新增了</w:t>
      </w:r>
      <w:r>
        <w:rPr>
          <w:rFonts w:ascii="Times New Roman" w:hAnsi="Times New Roman"/>
          <w:bCs/>
          <w:szCs w:val="28"/>
        </w:rPr>
        <w:t>5</w:t>
      </w:r>
      <w:r>
        <w:rPr>
          <w:rFonts w:hint="eastAsia" w:ascii="Times New Roman" w:hAnsi="Times New Roman"/>
          <w:bCs/>
          <w:szCs w:val="28"/>
        </w:rPr>
        <w:t>组展厅展架；对两层近</w:t>
      </w:r>
      <w:r>
        <w:rPr>
          <w:rFonts w:ascii="Times New Roman" w:hAnsi="Times New Roman"/>
          <w:bCs/>
          <w:szCs w:val="28"/>
        </w:rPr>
        <w:t>4000</w:t>
      </w:r>
      <w:r>
        <w:rPr>
          <w:rFonts w:hint="eastAsia" w:ascii="Times New Roman" w:hAnsi="Times New Roman"/>
          <w:bCs/>
          <w:szCs w:val="28"/>
        </w:rPr>
        <w:t>平米的消防设施进行了维修和检测，按照州委老干部局的要求新增了</w:t>
      </w:r>
      <w:r>
        <w:rPr>
          <w:rFonts w:ascii="Times New Roman" w:hAnsi="Times New Roman"/>
          <w:bCs/>
          <w:szCs w:val="28"/>
        </w:rPr>
        <w:t>21</w:t>
      </w:r>
      <w:r>
        <w:rPr>
          <w:rFonts w:hint="eastAsia" w:ascii="Times New Roman" w:hAnsi="Times New Roman"/>
          <w:bCs/>
          <w:szCs w:val="28"/>
        </w:rPr>
        <w:t>处高清监控摄像头并扩充了硬盘，做到全覆盖不留死角。</w:t>
      </w:r>
    </w:p>
    <w:p>
      <w:pPr>
        <w:pStyle w:val="50"/>
        <w:ind w:firstLine="700" w:firstLineChars="250"/>
        <w:rPr>
          <w:rFonts w:ascii="Times New Roman" w:hAnsi="Times New Roman"/>
          <w:bCs/>
          <w:szCs w:val="28"/>
        </w:rPr>
      </w:pPr>
      <w:r>
        <w:rPr>
          <w:rFonts w:ascii="Times New Roman" w:hAnsi="Times New Roman"/>
          <w:bCs/>
          <w:szCs w:val="28"/>
        </w:rPr>
        <w:t>2</w:t>
      </w:r>
      <w:r>
        <w:rPr>
          <w:rFonts w:hint="eastAsia" w:ascii="Times New Roman" w:hAnsi="Times New Roman"/>
          <w:bCs/>
          <w:szCs w:val="28"/>
        </w:rPr>
        <w:t>、坚持以人为本，落实离休干部生活待遇。继续协调好相关部门落实好为离休干部提高护理费标准、为离休干部送鲜花、蛋糕过生日和送政治生日贺卡等事宜。</w:t>
      </w:r>
      <w:r>
        <w:rPr>
          <w:rFonts w:hint="eastAsia" w:ascii="Times New Roman" w:hAnsi="Times New Roman"/>
          <w:bCs/>
          <w:szCs w:val="28"/>
          <w:lang w:eastAsia="zh-CN"/>
        </w:rPr>
        <w:t>截至目前</w:t>
      </w:r>
      <w:r>
        <w:rPr>
          <w:rFonts w:ascii="Times New Roman" w:hAnsi="Times New Roman"/>
          <w:bCs/>
          <w:szCs w:val="28"/>
        </w:rPr>
        <w:t>44</w:t>
      </w:r>
      <w:r>
        <w:rPr>
          <w:rFonts w:hint="eastAsia" w:ascii="Times New Roman" w:hAnsi="Times New Roman"/>
          <w:bCs/>
          <w:szCs w:val="28"/>
        </w:rPr>
        <w:t>名离休干部的护理费标准从原</w:t>
      </w:r>
      <w:r>
        <w:rPr>
          <w:rFonts w:ascii="Times New Roman" w:hAnsi="Times New Roman"/>
          <w:bCs/>
          <w:szCs w:val="28"/>
        </w:rPr>
        <w:t>1000</w:t>
      </w:r>
      <w:r>
        <w:rPr>
          <w:rFonts w:hint="eastAsia" w:ascii="Times New Roman" w:hAnsi="Times New Roman"/>
          <w:bCs/>
          <w:szCs w:val="28"/>
        </w:rPr>
        <w:t>元提高至</w:t>
      </w:r>
      <w:r>
        <w:rPr>
          <w:rFonts w:ascii="Times New Roman" w:hAnsi="Times New Roman"/>
          <w:bCs/>
          <w:szCs w:val="28"/>
        </w:rPr>
        <w:t>2500</w:t>
      </w:r>
      <w:r>
        <w:rPr>
          <w:rFonts w:hint="eastAsia" w:ascii="Times New Roman" w:hAnsi="Times New Roman"/>
          <w:bCs/>
          <w:szCs w:val="28"/>
        </w:rPr>
        <w:t>元落实到位。开展走访老干部送温暖活动，走访过程中，详细了解老干部家庭状况、身体情况和晚年生活，听取他们对自治州发展建设的意见和建议；为特殊困难老干部家中送特困帮扶金</w:t>
      </w:r>
      <w:r>
        <w:rPr>
          <w:rFonts w:ascii="Times New Roman" w:hAnsi="Times New Roman"/>
          <w:bCs/>
          <w:szCs w:val="28"/>
        </w:rPr>
        <w:t>1.8</w:t>
      </w:r>
      <w:r>
        <w:rPr>
          <w:rFonts w:hint="eastAsia" w:ascii="Times New Roman" w:hAnsi="Times New Roman"/>
          <w:bCs/>
          <w:szCs w:val="28"/>
        </w:rPr>
        <w:t>万元帮助</w:t>
      </w:r>
      <w:r>
        <w:rPr>
          <w:rFonts w:ascii="Times New Roman" w:hAnsi="Times New Roman"/>
          <w:bCs/>
          <w:szCs w:val="28"/>
        </w:rPr>
        <w:t>5</w:t>
      </w:r>
      <w:r>
        <w:rPr>
          <w:rFonts w:hint="eastAsia" w:ascii="Times New Roman" w:hAnsi="Times New Roman"/>
          <w:bCs/>
          <w:szCs w:val="28"/>
        </w:rPr>
        <w:t>名离休干部和</w:t>
      </w:r>
      <w:r>
        <w:rPr>
          <w:rFonts w:ascii="Times New Roman" w:hAnsi="Times New Roman"/>
          <w:bCs/>
          <w:szCs w:val="28"/>
        </w:rPr>
        <w:t>3</w:t>
      </w:r>
      <w:r>
        <w:rPr>
          <w:rFonts w:hint="eastAsia" w:ascii="Times New Roman" w:hAnsi="Times New Roman"/>
          <w:bCs/>
          <w:szCs w:val="28"/>
        </w:rPr>
        <w:t>名遗孀解决生活中遇到的实际困难和问题。及时发放企业离休干部相关费用和遗孀生活困难补助费。</w:t>
      </w:r>
    </w:p>
    <w:p>
      <w:pPr>
        <w:pStyle w:val="50"/>
        <w:ind w:firstLine="700" w:firstLineChars="250"/>
        <w:rPr>
          <w:rFonts w:ascii="Times New Roman" w:hAnsi="Times New Roman"/>
          <w:bCs/>
          <w:szCs w:val="28"/>
        </w:rPr>
      </w:pPr>
      <w:r>
        <w:rPr>
          <w:rFonts w:ascii="Times New Roman" w:hAnsi="Times New Roman"/>
          <w:bCs/>
          <w:szCs w:val="28"/>
        </w:rPr>
        <w:t>3</w:t>
      </w:r>
      <w:r>
        <w:rPr>
          <w:rFonts w:hint="eastAsia" w:ascii="Times New Roman" w:hAnsi="Times New Roman"/>
          <w:bCs/>
          <w:szCs w:val="28"/>
        </w:rPr>
        <w:t>、认真做好信访工作，确保老干部队伍稳定。及时梳理老干部最关心的热点、难点问题，对老同志们要办的事、需要解决的问题和寻求帮助等，尽最大能力给予办理、解决、帮助和做好解释工作，尽力解决老同志遇到的困难，积极为老同志提供服务，确保了老干部队伍的稳定。</w:t>
      </w:r>
      <w:r>
        <w:rPr>
          <w:rFonts w:ascii="Times New Roman" w:hAnsi="Times New Roman"/>
          <w:bCs/>
          <w:szCs w:val="28"/>
        </w:rPr>
        <w:t>2018</w:t>
      </w:r>
      <w:r>
        <w:rPr>
          <w:rFonts w:hint="eastAsia" w:ascii="Times New Roman" w:hAnsi="Times New Roman"/>
          <w:bCs/>
          <w:szCs w:val="28"/>
        </w:rPr>
        <w:t>年接待老干部来电、来访</w:t>
      </w:r>
      <w:r>
        <w:rPr>
          <w:rFonts w:ascii="Times New Roman" w:hAnsi="Times New Roman"/>
          <w:bCs/>
          <w:szCs w:val="28"/>
        </w:rPr>
        <w:t>18</w:t>
      </w:r>
      <w:r>
        <w:rPr>
          <w:rFonts w:hint="eastAsia" w:ascii="Times New Roman" w:hAnsi="Times New Roman"/>
          <w:bCs/>
          <w:szCs w:val="28"/>
        </w:rPr>
        <w:t>件（次），基本做到了事事有回音，件件有着落，没有发生一起上访上告事件。完成了</w:t>
      </w:r>
      <w:r>
        <w:rPr>
          <w:rFonts w:ascii="Times New Roman" w:hAnsi="Times New Roman"/>
          <w:bCs/>
          <w:szCs w:val="28"/>
        </w:rPr>
        <w:t>44</w:t>
      </w:r>
      <w:r>
        <w:rPr>
          <w:rFonts w:hint="eastAsia" w:ascii="Times New Roman" w:hAnsi="Times New Roman"/>
          <w:bCs/>
          <w:szCs w:val="28"/>
        </w:rPr>
        <w:t>名企业离休干部的社保生存认证信息报送工作。</w:t>
      </w:r>
    </w:p>
    <w:p>
      <w:pPr>
        <w:pStyle w:val="50"/>
        <w:ind w:firstLine="700" w:firstLineChars="250"/>
      </w:pPr>
      <w:r>
        <w:rPr>
          <w:rFonts w:hint="eastAsia"/>
        </w:rPr>
        <w:t>认真落实老干部政治、生活待遇，做好学习资料的征订工作，作好重大节庆日期间开展走访慰问活动；提高老干部接触现代科技和新知识的速度，</w:t>
      </w:r>
      <w:r>
        <w:rPr>
          <w:rFonts w:hint="eastAsia"/>
          <w:bCs/>
          <w:szCs w:val="28"/>
        </w:rPr>
        <w:t>加强阵地建设，适应新形势下，丰富老干部精神文化生活；保证企业离退休干部</w:t>
      </w:r>
      <w:r>
        <w:rPr>
          <w:bCs/>
          <w:szCs w:val="28"/>
        </w:rPr>
        <w:t xml:space="preserve"> </w:t>
      </w:r>
      <w:r>
        <w:rPr>
          <w:rFonts w:hint="eastAsia"/>
          <w:bCs/>
          <w:szCs w:val="28"/>
        </w:rPr>
        <w:t>其遗孀的取暖费及时报销，消除老干部的后顾之忧。</w:t>
      </w:r>
    </w:p>
    <w:p>
      <w:pPr>
        <w:pStyle w:val="50"/>
        <w:ind w:firstLine="700" w:firstLineChars="250"/>
        <w:rPr>
          <w:rFonts w:ascii="Times New Roman" w:hAnsi="Times New Roman"/>
          <w:bCs/>
          <w:szCs w:val="28"/>
        </w:rPr>
      </w:pPr>
      <w:r>
        <w:rPr>
          <w:rFonts w:hint="eastAsia" w:ascii="Times New Roman" w:hAnsi="Times New Roman"/>
          <w:bCs/>
          <w:szCs w:val="28"/>
        </w:rPr>
        <w:t>（三）项目实施计划</w:t>
      </w:r>
    </w:p>
    <w:p>
      <w:pPr>
        <w:pStyle w:val="50"/>
        <w:ind w:firstLine="700" w:firstLineChars="250"/>
      </w:pPr>
      <w:r>
        <w:rPr>
          <w:rFonts w:hint="eastAsia"/>
        </w:rPr>
        <w:t>一，为老干部提高接触新知识，新科技的速度，想方设法提供场所，建立电子阅览室，每年支付电子阅览室网络使用费</w:t>
      </w:r>
      <w:r>
        <w:t>22000</w:t>
      </w:r>
      <w:r>
        <w:rPr>
          <w:rFonts w:hint="eastAsia"/>
        </w:rPr>
        <w:t>元。</w:t>
      </w:r>
    </w:p>
    <w:p>
      <w:pPr>
        <w:pStyle w:val="50"/>
        <w:ind w:firstLine="700" w:firstLineChars="250"/>
      </w:pPr>
      <w:r>
        <w:rPr>
          <w:rFonts w:hint="eastAsia"/>
        </w:rPr>
        <w:t>二，积极协调财政，确保企业离休干部和遗孀取暖费、生活困难补助费</w:t>
      </w:r>
      <w:r>
        <w:t>108200</w:t>
      </w:r>
      <w:r>
        <w:rPr>
          <w:rFonts w:hint="eastAsia"/>
        </w:rPr>
        <w:t>等及时到位按时发放。</w:t>
      </w:r>
    </w:p>
    <w:p>
      <w:pPr>
        <w:pStyle w:val="50"/>
        <w:ind w:firstLine="700" w:firstLineChars="250"/>
        <w:rPr>
          <w:rFonts w:ascii="Times New Roman" w:hAnsi="Times New Roman"/>
          <w:bCs/>
          <w:szCs w:val="28"/>
        </w:rPr>
      </w:pPr>
      <w:r>
        <w:rPr>
          <w:rFonts w:hint="eastAsia" w:ascii="Times New Roman" w:hAnsi="Times New Roman"/>
          <w:bCs/>
          <w:szCs w:val="28"/>
        </w:rPr>
        <w:t>三，搞好企业离退休老干部的各项活动。支付活动经费</w:t>
      </w:r>
      <w:r>
        <w:rPr>
          <w:rFonts w:ascii="Times New Roman" w:hAnsi="Times New Roman"/>
          <w:bCs/>
          <w:szCs w:val="28"/>
        </w:rPr>
        <w:t>50210</w:t>
      </w:r>
      <w:r>
        <w:rPr>
          <w:rFonts w:hint="eastAsia" w:ascii="Times New Roman" w:hAnsi="Times New Roman"/>
          <w:bCs/>
          <w:szCs w:val="28"/>
        </w:rPr>
        <w:t>元。</w:t>
      </w:r>
    </w:p>
    <w:p>
      <w:pPr>
        <w:pStyle w:val="50"/>
        <w:ind w:firstLine="700" w:firstLineChars="250"/>
        <w:rPr>
          <w:rFonts w:ascii="Times New Roman" w:hAnsi="Times New Roman"/>
          <w:bCs/>
          <w:szCs w:val="28"/>
        </w:rPr>
      </w:pPr>
      <w:r>
        <w:rPr>
          <w:rFonts w:hint="eastAsia" w:ascii="Times New Roman" w:hAnsi="Times New Roman"/>
          <w:bCs/>
          <w:szCs w:val="28"/>
        </w:rPr>
        <w:t>为保证项目的顺利实施，我中心采取了以下措施：</w:t>
      </w:r>
    </w:p>
    <w:p>
      <w:pPr>
        <w:pStyle w:val="50"/>
        <w:ind w:firstLine="700" w:firstLineChars="250"/>
        <w:rPr>
          <w:rFonts w:ascii="Times New Roman" w:hAnsi="Times New Roman"/>
          <w:bCs/>
          <w:szCs w:val="28"/>
        </w:rPr>
      </w:pPr>
      <w:r>
        <w:rPr>
          <w:rFonts w:hint="eastAsia" w:ascii="Times New Roman" w:hAnsi="Times New Roman"/>
          <w:bCs/>
          <w:szCs w:val="28"/>
        </w:rPr>
        <w:t>（一）</w:t>
      </w:r>
      <w:r>
        <w:rPr>
          <w:rFonts w:hint="eastAsia" w:ascii="Times New Roman" w:hAnsi="Times New Roman"/>
          <w:szCs w:val="28"/>
        </w:rPr>
        <w:t>凝心聚力，认真抓好“两项建设”</w:t>
      </w:r>
    </w:p>
    <w:p>
      <w:pPr>
        <w:pStyle w:val="50"/>
        <w:ind w:firstLine="700" w:firstLineChars="250"/>
        <w:rPr>
          <w:rFonts w:ascii="Times New Roman" w:hAnsi="Times New Roman"/>
          <w:bCs/>
          <w:szCs w:val="28"/>
        </w:rPr>
      </w:pPr>
      <w:r>
        <w:rPr>
          <w:rFonts w:hint="eastAsia" w:ascii="Times New Roman" w:hAnsi="Times New Roman"/>
          <w:bCs/>
          <w:szCs w:val="28"/>
        </w:rPr>
        <w:t>截至目前，州离退休干部服务中心党支部共有党员</w:t>
      </w:r>
      <w:r>
        <w:rPr>
          <w:rFonts w:ascii="Times New Roman" w:hAnsi="Times New Roman"/>
          <w:bCs/>
          <w:szCs w:val="28"/>
        </w:rPr>
        <w:t>43</w:t>
      </w:r>
      <w:r>
        <w:rPr>
          <w:rFonts w:hint="eastAsia" w:ascii="Times New Roman" w:hAnsi="Times New Roman"/>
          <w:bCs/>
          <w:szCs w:val="28"/>
        </w:rPr>
        <w:t>名，其中离退休干部党员</w:t>
      </w:r>
      <w:r>
        <w:rPr>
          <w:rFonts w:ascii="Times New Roman" w:hAnsi="Times New Roman"/>
          <w:bCs/>
          <w:szCs w:val="28"/>
        </w:rPr>
        <w:t>35</w:t>
      </w:r>
      <w:r>
        <w:rPr>
          <w:rFonts w:hint="eastAsia" w:ascii="Times New Roman" w:hAnsi="Times New Roman"/>
          <w:bCs/>
          <w:szCs w:val="28"/>
        </w:rPr>
        <w:t>名，在职干部党员</w:t>
      </w:r>
      <w:r>
        <w:rPr>
          <w:rFonts w:ascii="Times New Roman" w:hAnsi="Times New Roman"/>
          <w:bCs/>
          <w:szCs w:val="28"/>
        </w:rPr>
        <w:t>7</w:t>
      </w:r>
      <w:r>
        <w:rPr>
          <w:rFonts w:hint="eastAsia" w:ascii="Times New Roman" w:hAnsi="Times New Roman"/>
          <w:bCs/>
          <w:szCs w:val="28"/>
        </w:rPr>
        <w:t>名。一是强化思想政治建设。自十九大召开以来，服务中心积极组织工作力量，开展了一系列学习、调研、座谈，对离退休干部思想政治建设、文化和活动阵地建设及服务管理工作等进行调研，并对服务管理办法征求意见，对提出的要求进行修改，对各项工作任务进行了分解分工，为进一步加强和改进离退休干部工作提供了制度保障。党支部组织离退休干部开展了一系列学习贯彻习近平新时代中国特色社会主义思想和党的十九大精神活动。</w:t>
      </w:r>
      <w:r>
        <w:rPr>
          <w:rFonts w:ascii="Times New Roman" w:hAnsi="Times New Roman"/>
          <w:bCs/>
          <w:szCs w:val="28"/>
        </w:rPr>
        <w:t>4</w:t>
      </w:r>
      <w:r>
        <w:rPr>
          <w:rFonts w:hint="eastAsia" w:ascii="Times New Roman" w:hAnsi="Times New Roman"/>
          <w:bCs/>
          <w:szCs w:val="28"/>
        </w:rPr>
        <w:t>月</w:t>
      </w:r>
      <w:r>
        <w:rPr>
          <w:rFonts w:ascii="Times New Roman" w:hAnsi="Times New Roman"/>
          <w:bCs/>
          <w:szCs w:val="28"/>
        </w:rPr>
        <w:t>20</w:t>
      </w:r>
      <w:r>
        <w:rPr>
          <w:rFonts w:hint="eastAsia" w:ascii="Times New Roman" w:hAnsi="Times New Roman"/>
          <w:bCs/>
          <w:szCs w:val="28"/>
        </w:rPr>
        <w:t>日</w:t>
      </w:r>
      <w:r>
        <w:rPr>
          <w:rFonts w:ascii="Times New Roman" w:hAnsi="Times New Roman"/>
          <w:bCs/>
          <w:szCs w:val="28"/>
        </w:rPr>
        <w:t>,</w:t>
      </w:r>
      <w:r>
        <w:rPr>
          <w:rFonts w:hint="eastAsia" w:ascii="Times New Roman" w:hAnsi="Times New Roman"/>
          <w:bCs/>
          <w:szCs w:val="28"/>
        </w:rPr>
        <w:t>做了</w:t>
      </w:r>
      <w:r>
        <w:rPr>
          <w:rFonts w:hint="eastAsia" w:ascii="Times New Roman" w:hAnsi="Times New Roman"/>
          <w:bCs/>
          <w:szCs w:val="28"/>
          <w:lang w:eastAsia="zh-CN"/>
        </w:rPr>
        <w:t>党的十九大精神</w:t>
      </w:r>
      <w:r>
        <w:rPr>
          <w:rFonts w:hint="eastAsia" w:ascii="Times New Roman" w:hAnsi="Times New Roman"/>
          <w:bCs/>
          <w:szCs w:val="28"/>
        </w:rPr>
        <w:t>宣讲报告。</w:t>
      </w:r>
      <w:r>
        <w:rPr>
          <w:rFonts w:ascii="Times New Roman" w:hAnsi="Times New Roman"/>
          <w:bCs/>
          <w:szCs w:val="28"/>
        </w:rPr>
        <w:t>5</w:t>
      </w:r>
      <w:r>
        <w:rPr>
          <w:rFonts w:hint="eastAsia" w:ascii="Times New Roman" w:hAnsi="Times New Roman"/>
          <w:bCs/>
          <w:szCs w:val="28"/>
        </w:rPr>
        <w:t>月</w:t>
      </w:r>
      <w:r>
        <w:rPr>
          <w:rFonts w:ascii="Times New Roman" w:hAnsi="Times New Roman"/>
          <w:bCs/>
          <w:szCs w:val="28"/>
        </w:rPr>
        <w:t>18</w:t>
      </w:r>
      <w:r>
        <w:rPr>
          <w:rFonts w:hint="eastAsia" w:ascii="Times New Roman" w:hAnsi="Times New Roman"/>
          <w:bCs/>
          <w:szCs w:val="28"/>
        </w:rPr>
        <w:t>日组织离退休干部党员到鑫汇来影城观看纪录片《厉害了，我的国》。</w:t>
      </w:r>
      <w:r>
        <w:rPr>
          <w:rFonts w:ascii="Times New Roman" w:hAnsi="Times New Roman"/>
          <w:bCs/>
          <w:szCs w:val="28"/>
        </w:rPr>
        <w:t>7</w:t>
      </w:r>
      <w:r>
        <w:rPr>
          <w:rFonts w:hint="eastAsia" w:ascii="Times New Roman" w:hAnsi="Times New Roman"/>
          <w:bCs/>
          <w:szCs w:val="28"/>
        </w:rPr>
        <w:t>月</w:t>
      </w:r>
      <w:r>
        <w:rPr>
          <w:rFonts w:ascii="Times New Roman" w:hAnsi="Times New Roman"/>
          <w:bCs/>
          <w:szCs w:val="28"/>
        </w:rPr>
        <w:t>6</w:t>
      </w:r>
      <w:r>
        <w:rPr>
          <w:rFonts w:hint="eastAsia" w:ascii="Times New Roman" w:hAnsi="Times New Roman"/>
          <w:bCs/>
          <w:szCs w:val="28"/>
        </w:rPr>
        <w:t>日组织召开了</w:t>
      </w:r>
      <w:r>
        <w:rPr>
          <w:rFonts w:ascii="Times New Roman" w:hAnsi="Times New Roman"/>
          <w:bCs/>
          <w:szCs w:val="28"/>
        </w:rPr>
        <w:t>2018</w:t>
      </w:r>
      <w:r>
        <w:rPr>
          <w:rFonts w:hint="eastAsia" w:ascii="Times New Roman" w:hAnsi="Times New Roman"/>
          <w:bCs/>
          <w:szCs w:val="28"/>
        </w:rPr>
        <w:t>年度学习宣传贯彻党的十九大精神学习班，共有</w:t>
      </w:r>
      <w:r>
        <w:rPr>
          <w:rFonts w:ascii="Times New Roman" w:hAnsi="Times New Roman"/>
          <w:bCs/>
          <w:szCs w:val="28"/>
        </w:rPr>
        <w:t>23</w:t>
      </w:r>
      <w:r>
        <w:rPr>
          <w:rFonts w:hint="eastAsia" w:ascii="Times New Roman" w:hAnsi="Times New Roman"/>
          <w:bCs/>
          <w:szCs w:val="28"/>
        </w:rPr>
        <w:t>名老干部参加。二是强化组织纪律建设。为加强党员的教育管理，充分发挥基层党组织的战斗堡垒作用，经州直机关工委批准，于</w:t>
      </w:r>
      <w:r>
        <w:rPr>
          <w:rFonts w:ascii="Times New Roman" w:hAnsi="Times New Roman"/>
          <w:bCs/>
          <w:szCs w:val="28"/>
        </w:rPr>
        <w:t>11</w:t>
      </w:r>
      <w:r>
        <w:rPr>
          <w:rFonts w:hint="eastAsia" w:ascii="Times New Roman" w:hAnsi="Times New Roman"/>
          <w:bCs/>
          <w:szCs w:val="28"/>
        </w:rPr>
        <w:t>月</w:t>
      </w:r>
      <w:r>
        <w:rPr>
          <w:rFonts w:ascii="Times New Roman" w:hAnsi="Times New Roman"/>
          <w:bCs/>
          <w:szCs w:val="28"/>
        </w:rPr>
        <w:t>9</w:t>
      </w:r>
      <w:r>
        <w:rPr>
          <w:rFonts w:hint="eastAsia" w:ascii="Times New Roman" w:hAnsi="Times New Roman"/>
          <w:bCs/>
          <w:szCs w:val="28"/>
        </w:rPr>
        <w:t>日召开党员大会，按组织程序，完成了支部的换届选举工作。结合离退休干部的特点和优势，制定符合老干部的学习活动方式和方法；每季度定期接受州直机关工委对服务中心党支部党的建设工作的目标管理考核。今年</w:t>
      </w:r>
      <w:r>
        <w:rPr>
          <w:rFonts w:ascii="Times New Roman" w:hAnsi="Times New Roman"/>
          <w:bCs/>
          <w:szCs w:val="28"/>
        </w:rPr>
        <w:t>5</w:t>
      </w:r>
      <w:r>
        <w:rPr>
          <w:rFonts w:hint="eastAsia" w:ascii="Times New Roman" w:hAnsi="Times New Roman"/>
          <w:bCs/>
          <w:szCs w:val="28"/>
        </w:rPr>
        <w:t>月有</w:t>
      </w:r>
      <w:r>
        <w:rPr>
          <w:rFonts w:ascii="Times New Roman" w:hAnsi="Times New Roman"/>
          <w:bCs/>
          <w:szCs w:val="28"/>
        </w:rPr>
        <w:t>1</w:t>
      </w:r>
      <w:r>
        <w:rPr>
          <w:rFonts w:hint="eastAsia" w:ascii="Times New Roman" w:hAnsi="Times New Roman"/>
          <w:bCs/>
          <w:szCs w:val="28"/>
        </w:rPr>
        <w:t>名党员查出触犯法律被收押，</w:t>
      </w:r>
      <w:r>
        <w:rPr>
          <w:rFonts w:ascii="Times New Roman" w:hAnsi="Times New Roman"/>
          <w:bCs/>
          <w:szCs w:val="28"/>
        </w:rPr>
        <w:t>8</w:t>
      </w:r>
      <w:r>
        <w:rPr>
          <w:rFonts w:hint="eastAsia" w:ascii="Times New Roman" w:hAnsi="Times New Roman"/>
          <w:bCs/>
          <w:szCs w:val="28"/>
        </w:rPr>
        <w:t>月受到开除党籍、开除公职处分。</w:t>
      </w:r>
    </w:p>
    <w:p>
      <w:pPr>
        <w:pStyle w:val="50"/>
        <w:ind w:firstLine="700" w:firstLineChars="250"/>
        <w:rPr>
          <w:rFonts w:ascii="Times New Roman" w:hAnsi="Times New Roman"/>
          <w:bCs/>
          <w:szCs w:val="28"/>
        </w:rPr>
      </w:pPr>
      <w:r>
        <w:rPr>
          <w:rFonts w:hint="eastAsia" w:ascii="Times New Roman" w:hAnsi="Times New Roman"/>
          <w:bCs/>
          <w:szCs w:val="28"/>
        </w:rPr>
        <w:t>（二）精准服务，认真落实“两个待遇”</w:t>
      </w:r>
    </w:p>
    <w:p>
      <w:pPr>
        <w:pStyle w:val="50"/>
        <w:ind w:firstLine="700" w:firstLineChars="250"/>
        <w:rPr>
          <w:rFonts w:ascii="Times New Roman" w:hAnsi="Times New Roman"/>
          <w:bCs/>
          <w:szCs w:val="28"/>
        </w:rPr>
      </w:pPr>
      <w:r>
        <w:rPr>
          <w:rFonts w:ascii="Times New Roman" w:hAnsi="Times New Roman"/>
          <w:bCs/>
          <w:szCs w:val="28"/>
        </w:rPr>
        <w:t>1</w:t>
      </w:r>
      <w:r>
        <w:rPr>
          <w:rFonts w:hint="eastAsia" w:ascii="Times New Roman" w:hAnsi="Times New Roman"/>
          <w:bCs/>
          <w:szCs w:val="28"/>
        </w:rPr>
        <w:t>、坚持学习制度。年初制定了学习计划，每个月</w:t>
      </w:r>
      <w:r>
        <w:rPr>
          <w:rFonts w:ascii="Times New Roman" w:hAnsi="Times New Roman"/>
          <w:bCs/>
          <w:szCs w:val="28"/>
        </w:rPr>
        <w:t>10</w:t>
      </w:r>
      <w:r>
        <w:rPr>
          <w:rFonts w:hint="eastAsia" w:ascii="Times New Roman" w:hAnsi="Times New Roman"/>
          <w:bCs/>
          <w:szCs w:val="28"/>
        </w:rPr>
        <w:t>日为老干部学习日，采取集中领学、座谈讨论、个人自学、上门送学通报情况等方式学习内容主要为党的重大决策部署、重要会议精神、自治区、自治州的社会稳定长治久安情况以及老年人心理健康知识等，全年共有</w:t>
      </w:r>
      <w:r>
        <w:rPr>
          <w:rFonts w:ascii="Times New Roman" w:hAnsi="Times New Roman"/>
          <w:bCs/>
          <w:szCs w:val="28"/>
        </w:rPr>
        <w:t>500</w:t>
      </w:r>
      <w:r>
        <w:rPr>
          <w:rFonts w:hint="eastAsia" w:ascii="Times New Roman" w:hAnsi="Times New Roman"/>
          <w:bCs/>
          <w:szCs w:val="28"/>
        </w:rPr>
        <w:t>余名老干部参加学习活动。切实关心老干部精神生活，</w:t>
      </w:r>
      <w:r>
        <w:rPr>
          <w:rFonts w:ascii="Times New Roman" w:hAnsi="Times New Roman"/>
          <w:bCs/>
          <w:szCs w:val="28"/>
        </w:rPr>
        <w:t>2018</w:t>
      </w:r>
      <w:r>
        <w:rPr>
          <w:rFonts w:hint="eastAsia" w:ascii="Times New Roman" w:hAnsi="Times New Roman"/>
          <w:bCs/>
          <w:szCs w:val="28"/>
        </w:rPr>
        <w:t>年为离退休干部及党支部征订了《人民日报》《求是》《特别关注》《金秋》《党课》《中国老年报》《今日新疆》《新疆日报》《老年康乐报》《巴音郭楞日报》《库尔勒晚报》《求是》《家庭医生》等各种内容丰富的报刊杂志近</w:t>
      </w:r>
      <w:r>
        <w:rPr>
          <w:rFonts w:ascii="Times New Roman" w:hAnsi="Times New Roman"/>
          <w:bCs/>
          <w:szCs w:val="28"/>
        </w:rPr>
        <w:t>5144.84</w:t>
      </w:r>
      <w:r>
        <w:rPr>
          <w:rFonts w:hint="eastAsia" w:ascii="Times New Roman" w:hAnsi="Times New Roman"/>
          <w:bCs/>
          <w:szCs w:val="28"/>
        </w:rPr>
        <w:t>元，充分利用阅览室学习阵地，为离退休人员学习知识、了解信息提供了渠道、阵地和学习资料，进一步落实了政治待遇。</w:t>
      </w:r>
    </w:p>
    <w:p>
      <w:pPr>
        <w:pStyle w:val="50"/>
        <w:ind w:firstLine="700" w:firstLineChars="250"/>
        <w:rPr>
          <w:rFonts w:ascii="Times New Roman" w:hAnsi="Times New Roman"/>
          <w:bCs/>
          <w:szCs w:val="28"/>
        </w:rPr>
      </w:pPr>
      <w:r>
        <w:rPr>
          <w:rFonts w:ascii="Times New Roman" w:hAnsi="Times New Roman"/>
          <w:bCs/>
          <w:szCs w:val="28"/>
        </w:rPr>
        <w:t>2</w:t>
      </w:r>
      <w:r>
        <w:rPr>
          <w:rFonts w:hint="eastAsia" w:ascii="Times New Roman" w:hAnsi="Times New Roman"/>
          <w:bCs/>
          <w:szCs w:val="28"/>
        </w:rPr>
        <w:t>、参加会议制度。</w:t>
      </w:r>
      <w:r>
        <w:rPr>
          <w:rFonts w:hint="eastAsia" w:ascii="Times New Roman" w:hAnsi="Times New Roman"/>
          <w:szCs w:val="28"/>
        </w:rPr>
        <w:t>邀请老干部代表参加自治州举办的各项重要会议，为巴州经济社会发展建言献策。</w:t>
      </w:r>
    </w:p>
    <w:p>
      <w:pPr>
        <w:pStyle w:val="50"/>
        <w:ind w:firstLine="700" w:firstLineChars="250"/>
        <w:rPr>
          <w:rFonts w:ascii="Times New Roman" w:hAnsi="Times New Roman"/>
          <w:bCs/>
          <w:szCs w:val="28"/>
        </w:rPr>
      </w:pPr>
      <w:r>
        <w:rPr>
          <w:rFonts w:ascii="Times New Roman" w:hAnsi="Times New Roman"/>
          <w:bCs/>
          <w:szCs w:val="28"/>
        </w:rPr>
        <w:t>3</w:t>
      </w:r>
      <w:r>
        <w:rPr>
          <w:rFonts w:hint="eastAsia" w:ascii="Times New Roman" w:hAnsi="Times New Roman"/>
          <w:bCs/>
          <w:szCs w:val="28"/>
        </w:rPr>
        <w:t>、参观考察制度。坚持每年春秋两季都组织老干部开展踏青和秋游活动，就近参观考察库尔勒经济技术开发区和城乡建设情况，共享改革开放带来的巨大变化和成果，参观了展览馆、规划馆，观看了库尔勒市未来的建设视频和规划蓝图。共有</w:t>
      </w:r>
      <w:r>
        <w:rPr>
          <w:rFonts w:ascii="Times New Roman" w:hAnsi="Times New Roman"/>
          <w:bCs/>
          <w:szCs w:val="28"/>
        </w:rPr>
        <w:t>140</w:t>
      </w:r>
      <w:r>
        <w:rPr>
          <w:rFonts w:hint="eastAsia" w:ascii="Times New Roman" w:hAnsi="Times New Roman"/>
          <w:bCs/>
          <w:szCs w:val="28"/>
        </w:rPr>
        <w:t>余名老干部参加参观学习活动。　</w:t>
      </w:r>
    </w:p>
    <w:p>
      <w:pPr>
        <w:pStyle w:val="50"/>
        <w:ind w:firstLine="700" w:firstLineChars="250"/>
        <w:rPr>
          <w:rFonts w:ascii="Times New Roman" w:hAnsi="Times New Roman"/>
          <w:bCs/>
          <w:szCs w:val="28"/>
        </w:rPr>
      </w:pPr>
      <w:r>
        <w:rPr>
          <w:rFonts w:ascii="Times New Roman" w:hAnsi="Times New Roman"/>
          <w:bCs/>
          <w:szCs w:val="28"/>
        </w:rPr>
        <w:t>4</w:t>
      </w:r>
      <w:r>
        <w:rPr>
          <w:rFonts w:hint="eastAsia" w:ascii="Times New Roman" w:hAnsi="Times New Roman"/>
          <w:bCs/>
          <w:szCs w:val="28"/>
        </w:rPr>
        <w:t>、情况通报制度。</w:t>
      </w:r>
      <w:r>
        <w:rPr>
          <w:rFonts w:ascii="Times New Roman" w:hAnsi="Times New Roman"/>
          <w:bCs/>
          <w:szCs w:val="28"/>
        </w:rPr>
        <w:t>5</w:t>
      </w:r>
      <w:r>
        <w:rPr>
          <w:rFonts w:hint="eastAsia" w:ascii="Times New Roman" w:hAnsi="Times New Roman"/>
          <w:bCs/>
          <w:szCs w:val="28"/>
        </w:rPr>
        <w:t>月</w:t>
      </w:r>
      <w:r>
        <w:rPr>
          <w:rFonts w:ascii="Times New Roman" w:hAnsi="Times New Roman"/>
          <w:bCs/>
          <w:szCs w:val="28"/>
        </w:rPr>
        <w:t>4</w:t>
      </w:r>
      <w:r>
        <w:rPr>
          <w:rFonts w:hint="eastAsia" w:ascii="Times New Roman" w:hAnsi="Times New Roman"/>
          <w:bCs/>
          <w:szCs w:val="28"/>
        </w:rPr>
        <w:t>日州委老干部局局长满俊红向离退休干部通报自治州</w:t>
      </w:r>
      <w:r>
        <w:rPr>
          <w:rFonts w:ascii="Times New Roman" w:hAnsi="Times New Roman"/>
          <w:bCs/>
          <w:szCs w:val="28"/>
        </w:rPr>
        <w:t>2017</w:t>
      </w:r>
      <w:r>
        <w:rPr>
          <w:rFonts w:hint="eastAsia" w:ascii="Times New Roman" w:hAnsi="Times New Roman"/>
          <w:bCs/>
          <w:szCs w:val="28"/>
        </w:rPr>
        <w:t>年老干部工作情况，并对</w:t>
      </w:r>
      <w:r>
        <w:rPr>
          <w:rFonts w:ascii="Times New Roman" w:hAnsi="Times New Roman"/>
          <w:bCs/>
          <w:szCs w:val="28"/>
        </w:rPr>
        <w:t>2018</w:t>
      </w:r>
      <w:r>
        <w:rPr>
          <w:rFonts w:hint="eastAsia" w:ascii="Times New Roman" w:hAnsi="Times New Roman"/>
          <w:bCs/>
          <w:szCs w:val="28"/>
        </w:rPr>
        <w:t>年的重点工作做了讲解。采取多种形式及时向广大离退休人员通报、宣传自治州建设和发展情况。全年组织离退休人员参加党委老干部局、服务活动中心的情况通报会、座谈会、报告会、表彰会、重大庆祝活动、参观活动及其他政治活动</w:t>
      </w:r>
      <w:r>
        <w:rPr>
          <w:rFonts w:ascii="Times New Roman" w:hAnsi="Times New Roman"/>
          <w:bCs/>
          <w:szCs w:val="28"/>
        </w:rPr>
        <w:t>12</w:t>
      </w:r>
      <w:r>
        <w:rPr>
          <w:rFonts w:hint="eastAsia" w:ascii="Times New Roman" w:hAnsi="Times New Roman"/>
          <w:bCs/>
          <w:szCs w:val="28"/>
        </w:rPr>
        <w:t>次，参加</w:t>
      </w:r>
      <w:r>
        <w:rPr>
          <w:rFonts w:ascii="Times New Roman" w:hAnsi="Times New Roman"/>
          <w:bCs/>
          <w:szCs w:val="28"/>
        </w:rPr>
        <w:t>750</w:t>
      </w:r>
      <w:r>
        <w:rPr>
          <w:rFonts w:hint="eastAsia" w:ascii="Times New Roman" w:hAnsi="Times New Roman"/>
          <w:bCs/>
          <w:szCs w:val="28"/>
        </w:rPr>
        <w:t>余人次。</w:t>
      </w:r>
    </w:p>
    <w:p>
      <w:pPr>
        <w:pStyle w:val="50"/>
        <w:ind w:firstLine="700" w:firstLineChars="250"/>
        <w:rPr>
          <w:rFonts w:ascii="Times New Roman" w:hAnsi="Times New Roman"/>
          <w:bCs/>
          <w:szCs w:val="28"/>
        </w:rPr>
      </w:pPr>
      <w:r>
        <w:rPr>
          <w:rFonts w:ascii="Times New Roman" w:hAnsi="Times New Roman"/>
          <w:bCs/>
          <w:szCs w:val="28"/>
        </w:rPr>
        <w:t>5</w:t>
      </w:r>
      <w:r>
        <w:rPr>
          <w:rFonts w:hint="eastAsia" w:ascii="Times New Roman" w:hAnsi="Times New Roman"/>
          <w:bCs/>
          <w:szCs w:val="28"/>
        </w:rPr>
        <w:t>、走访慰问制度。一是重大节日走访慰问。春节期间，共走访慰问离退休干部及遗孀</w:t>
      </w:r>
      <w:r>
        <w:rPr>
          <w:rFonts w:ascii="Times New Roman" w:hAnsi="Times New Roman"/>
          <w:bCs/>
          <w:szCs w:val="28"/>
        </w:rPr>
        <w:t>91</w:t>
      </w:r>
      <w:r>
        <w:rPr>
          <w:rFonts w:hint="eastAsia" w:ascii="Times New Roman" w:hAnsi="Times New Roman"/>
          <w:bCs/>
          <w:szCs w:val="28"/>
        </w:rPr>
        <w:t>名，发放慰问金</w:t>
      </w:r>
      <w:r>
        <w:rPr>
          <w:rFonts w:ascii="Times New Roman" w:hAnsi="Times New Roman"/>
          <w:bCs/>
          <w:szCs w:val="28"/>
        </w:rPr>
        <w:t>9</w:t>
      </w:r>
      <w:r>
        <w:rPr>
          <w:rFonts w:hint="eastAsia" w:ascii="Times New Roman" w:hAnsi="Times New Roman"/>
          <w:bCs/>
          <w:szCs w:val="28"/>
        </w:rPr>
        <w:t>万多元。</w:t>
      </w:r>
      <w:r>
        <w:rPr>
          <w:rFonts w:ascii="Times New Roman" w:hAnsi="Times New Roman"/>
          <w:bCs/>
          <w:szCs w:val="28"/>
        </w:rPr>
        <w:t>1</w:t>
      </w:r>
      <w:r>
        <w:rPr>
          <w:rFonts w:hint="eastAsia" w:ascii="Times New Roman" w:hAnsi="Times New Roman"/>
          <w:bCs/>
          <w:szCs w:val="28"/>
        </w:rPr>
        <w:t>月</w:t>
      </w:r>
      <w:r>
        <w:rPr>
          <w:rFonts w:ascii="Times New Roman" w:hAnsi="Times New Roman"/>
          <w:bCs/>
          <w:szCs w:val="28"/>
        </w:rPr>
        <w:t>20</w:t>
      </w:r>
      <w:r>
        <w:rPr>
          <w:rFonts w:hint="eastAsia" w:ascii="Times New Roman" w:hAnsi="Times New Roman"/>
          <w:bCs/>
          <w:szCs w:val="28"/>
        </w:rPr>
        <w:t>日，州委</w:t>
      </w:r>
      <w:r>
        <w:rPr>
          <w:rFonts w:hint="eastAsia" w:ascii="Times New Roman" w:hAnsi="Times New Roman"/>
          <w:bCs/>
          <w:szCs w:val="28"/>
          <w:lang w:eastAsia="zh-CN"/>
        </w:rPr>
        <w:t>老干部局</w:t>
      </w:r>
      <w:r>
        <w:rPr>
          <w:rFonts w:hint="eastAsia" w:ascii="Times New Roman" w:hAnsi="Times New Roman"/>
          <w:bCs/>
          <w:szCs w:val="28"/>
        </w:rPr>
        <w:t>率先派出慰问组走访慰问了易地安置在乌鲁木齐的</w:t>
      </w:r>
      <w:r>
        <w:rPr>
          <w:rFonts w:ascii="Times New Roman" w:hAnsi="Times New Roman"/>
          <w:bCs/>
          <w:szCs w:val="28"/>
        </w:rPr>
        <w:t>7</w:t>
      </w:r>
      <w:r>
        <w:rPr>
          <w:rFonts w:hint="eastAsia" w:ascii="Times New Roman" w:hAnsi="Times New Roman"/>
          <w:bCs/>
          <w:szCs w:val="28"/>
        </w:rPr>
        <w:t>位离休干部及遗孀；通过电话慰问了</w:t>
      </w:r>
      <w:r>
        <w:rPr>
          <w:rFonts w:ascii="Times New Roman" w:hAnsi="Times New Roman"/>
          <w:bCs/>
          <w:szCs w:val="28"/>
        </w:rPr>
        <w:t>5</w:t>
      </w:r>
      <w:r>
        <w:rPr>
          <w:rFonts w:hint="eastAsia" w:ascii="Times New Roman" w:hAnsi="Times New Roman"/>
          <w:bCs/>
          <w:szCs w:val="28"/>
        </w:rPr>
        <w:t>名易地安置的离休干部，向老干部转达了州委、州政府对他们的亲切问候，给他们讲了我州新的发展变化，了解了他们的生活情况和困难，并为老干部们每人寄发了</w:t>
      </w:r>
      <w:r>
        <w:rPr>
          <w:rFonts w:ascii="Times New Roman" w:hAnsi="Times New Roman"/>
          <w:bCs/>
          <w:szCs w:val="28"/>
        </w:rPr>
        <w:t>1000</w:t>
      </w:r>
      <w:r>
        <w:rPr>
          <w:rFonts w:hint="eastAsia" w:ascii="Times New Roman" w:hAnsi="Times New Roman"/>
          <w:bCs/>
          <w:szCs w:val="28"/>
        </w:rPr>
        <w:t>元慰问金。“三八妇女节”向</w:t>
      </w:r>
      <w:r>
        <w:rPr>
          <w:rFonts w:ascii="Times New Roman" w:hAnsi="Times New Roman"/>
          <w:bCs/>
          <w:szCs w:val="28"/>
        </w:rPr>
        <w:t>8</w:t>
      </w:r>
      <w:r>
        <w:rPr>
          <w:rFonts w:hint="eastAsia" w:ascii="Times New Roman" w:hAnsi="Times New Roman"/>
          <w:bCs/>
          <w:szCs w:val="28"/>
        </w:rPr>
        <w:t>名离退休女同志发放节日礼品；围绕建党</w:t>
      </w:r>
      <w:r>
        <w:rPr>
          <w:rFonts w:ascii="Times New Roman" w:hAnsi="Times New Roman"/>
          <w:bCs/>
          <w:szCs w:val="28"/>
        </w:rPr>
        <w:t>97</w:t>
      </w:r>
      <w:r>
        <w:rPr>
          <w:rFonts w:hint="eastAsia" w:ascii="Times New Roman" w:hAnsi="Times New Roman"/>
          <w:bCs/>
          <w:szCs w:val="28"/>
        </w:rPr>
        <w:t>周年，加强离退休干部思想政治建设。开展“忆党史、讲传统、颂党恩、送温暖、看发展”活动。</w:t>
      </w:r>
      <w:r>
        <w:rPr>
          <w:rFonts w:ascii="Times New Roman" w:hAnsi="Times New Roman"/>
          <w:bCs/>
          <w:szCs w:val="28"/>
        </w:rPr>
        <w:t>6</w:t>
      </w:r>
      <w:r>
        <w:rPr>
          <w:rFonts w:hint="eastAsia" w:ascii="Times New Roman" w:hAnsi="Times New Roman"/>
          <w:bCs/>
          <w:szCs w:val="28"/>
        </w:rPr>
        <w:t>月</w:t>
      </w:r>
      <w:r>
        <w:rPr>
          <w:rFonts w:ascii="Times New Roman" w:hAnsi="Times New Roman"/>
          <w:bCs/>
          <w:szCs w:val="28"/>
        </w:rPr>
        <w:t>29</w:t>
      </w:r>
      <w:r>
        <w:rPr>
          <w:rFonts w:hint="eastAsia" w:ascii="Times New Roman" w:hAnsi="Times New Roman"/>
          <w:bCs/>
          <w:szCs w:val="28"/>
        </w:rPr>
        <w:t>日召开</w:t>
      </w:r>
      <w:r>
        <w:rPr>
          <w:rFonts w:hint="eastAsia" w:ascii="Times New Roman" w:hAnsi="Times New Roman"/>
          <w:bCs/>
          <w:szCs w:val="28"/>
          <w:lang w:eastAsia="zh-CN"/>
        </w:rPr>
        <w:t>庆祝建党</w:t>
      </w:r>
      <w:r>
        <w:rPr>
          <w:rFonts w:ascii="Times New Roman" w:hAnsi="Times New Roman"/>
          <w:bCs/>
          <w:szCs w:val="28"/>
        </w:rPr>
        <w:t>97</w:t>
      </w:r>
      <w:r>
        <w:rPr>
          <w:rFonts w:hint="eastAsia" w:ascii="Times New Roman" w:hAnsi="Times New Roman"/>
          <w:bCs/>
          <w:szCs w:val="28"/>
        </w:rPr>
        <w:t>周年座谈会；为全体党员上“七一”主题党课，集体过政治生日，送生日贺卡；举办“不忘初心，继续前进”文艺汇演；承办庆祝建党节“与党同呼吸、共命运、心连心”书画、摄影作品展；走访慰问老干部党员及困难党员</w:t>
      </w:r>
      <w:r>
        <w:rPr>
          <w:rFonts w:ascii="Times New Roman" w:hAnsi="Times New Roman"/>
          <w:bCs/>
          <w:szCs w:val="28"/>
        </w:rPr>
        <w:t>17</w:t>
      </w:r>
      <w:r>
        <w:rPr>
          <w:rFonts w:hint="eastAsia" w:ascii="Times New Roman" w:hAnsi="Times New Roman"/>
          <w:bCs/>
          <w:szCs w:val="28"/>
        </w:rPr>
        <w:t>名，发送慰问品、慰问金</w:t>
      </w:r>
      <w:r>
        <w:rPr>
          <w:rFonts w:ascii="Times New Roman" w:hAnsi="Times New Roman"/>
          <w:bCs/>
          <w:szCs w:val="28"/>
        </w:rPr>
        <w:t>1.8</w:t>
      </w:r>
      <w:r>
        <w:rPr>
          <w:rFonts w:hint="eastAsia" w:ascii="Times New Roman" w:hAnsi="Times New Roman"/>
          <w:bCs/>
          <w:szCs w:val="28"/>
        </w:rPr>
        <w:t>万元。与此同时，我们还组织老干部参观工业园区、库尔勒城乡建设；学习杨善洲、郭明义先进事迹；学习习近平总书记“七一”重要讲话和开展“七一”走访慰问等一系列活动，最大限度地满足了离退休老干部对文化生活的不同需求。</w:t>
      </w:r>
      <w:r>
        <w:rPr>
          <w:rFonts w:ascii="Times New Roman" w:hAnsi="Times New Roman"/>
          <w:bCs/>
          <w:szCs w:val="28"/>
        </w:rPr>
        <w:t>9</w:t>
      </w:r>
      <w:r>
        <w:rPr>
          <w:rFonts w:hint="eastAsia" w:ascii="Times New Roman" w:hAnsi="Times New Roman"/>
          <w:bCs/>
          <w:szCs w:val="28"/>
        </w:rPr>
        <w:t>月底举办“中秋节、国庆节、重阳节”大型庆祝活动，向老干部通报近期服务中心工作开展情况等。为</w:t>
      </w:r>
      <w:r>
        <w:rPr>
          <w:rFonts w:ascii="Times New Roman" w:hAnsi="Times New Roman"/>
          <w:bCs/>
          <w:szCs w:val="28"/>
        </w:rPr>
        <w:t>13</w:t>
      </w:r>
      <w:r>
        <w:rPr>
          <w:rFonts w:hint="eastAsia" w:ascii="Times New Roman" w:hAnsi="Times New Roman"/>
          <w:bCs/>
          <w:szCs w:val="28"/>
        </w:rPr>
        <w:t>名</w:t>
      </w:r>
      <w:r>
        <w:rPr>
          <w:rFonts w:ascii="Times New Roman" w:hAnsi="Times New Roman"/>
          <w:bCs/>
          <w:szCs w:val="28"/>
        </w:rPr>
        <w:t>85</w:t>
      </w:r>
      <w:r>
        <w:rPr>
          <w:rFonts w:hint="eastAsia" w:ascii="Times New Roman" w:hAnsi="Times New Roman"/>
          <w:bCs/>
          <w:szCs w:val="28"/>
        </w:rPr>
        <w:t>岁、</w:t>
      </w:r>
      <w:r>
        <w:rPr>
          <w:rFonts w:ascii="Times New Roman" w:hAnsi="Times New Roman"/>
          <w:bCs/>
          <w:szCs w:val="28"/>
        </w:rPr>
        <w:t>90</w:t>
      </w:r>
      <w:r>
        <w:rPr>
          <w:rFonts w:hint="eastAsia" w:ascii="Times New Roman" w:hAnsi="Times New Roman"/>
          <w:bCs/>
          <w:szCs w:val="28"/>
        </w:rPr>
        <w:t>岁、</w:t>
      </w:r>
      <w:r>
        <w:rPr>
          <w:rFonts w:ascii="Times New Roman" w:hAnsi="Times New Roman"/>
          <w:bCs/>
          <w:szCs w:val="28"/>
        </w:rPr>
        <w:t>95</w:t>
      </w:r>
      <w:r>
        <w:rPr>
          <w:rFonts w:hint="eastAsia" w:ascii="Times New Roman" w:hAnsi="Times New Roman"/>
          <w:bCs/>
          <w:szCs w:val="28"/>
        </w:rPr>
        <w:t>岁老干部集体祝寿，发放纪念品；二是及时到医院探视慰问住院离退休干部共</w:t>
      </w:r>
      <w:r>
        <w:rPr>
          <w:rFonts w:ascii="Times New Roman" w:hAnsi="Times New Roman"/>
          <w:bCs/>
          <w:szCs w:val="28"/>
        </w:rPr>
        <w:t>156</w:t>
      </w:r>
      <w:r>
        <w:rPr>
          <w:rFonts w:hint="eastAsia" w:ascii="Times New Roman" w:hAnsi="Times New Roman"/>
          <w:bCs/>
          <w:szCs w:val="28"/>
        </w:rPr>
        <w:t>人次，送牛奶、鲜花等慰问品合计</w:t>
      </w:r>
      <w:r>
        <w:rPr>
          <w:rFonts w:ascii="Times New Roman" w:hAnsi="Times New Roman"/>
          <w:bCs/>
          <w:szCs w:val="28"/>
        </w:rPr>
        <w:t>1.1</w:t>
      </w:r>
      <w:r>
        <w:rPr>
          <w:rFonts w:hint="eastAsia" w:ascii="Times New Roman" w:hAnsi="Times New Roman"/>
          <w:bCs/>
          <w:szCs w:val="28"/>
        </w:rPr>
        <w:t>万多元。到家中走访看望离休、高龄、生活困难老干部</w:t>
      </w:r>
      <w:r>
        <w:rPr>
          <w:rFonts w:ascii="Times New Roman" w:hAnsi="Times New Roman"/>
          <w:bCs/>
          <w:szCs w:val="28"/>
        </w:rPr>
        <w:t>89</w:t>
      </w:r>
      <w:r>
        <w:rPr>
          <w:rFonts w:hint="eastAsia" w:ascii="Times New Roman" w:hAnsi="Times New Roman"/>
          <w:bCs/>
          <w:szCs w:val="28"/>
        </w:rPr>
        <w:t>人次；三是认真做好离退休干部和党员的个人信息采集工作，及时了解和掌握老干部的思想动态、家庭状况，身体和生活情况，认真做好党员统计工作。四是帮助老干部原单位及家属办理好老干部后事，今年共参加老干部丧事</w:t>
      </w:r>
      <w:r>
        <w:rPr>
          <w:rFonts w:ascii="Times New Roman" w:hAnsi="Times New Roman"/>
          <w:bCs/>
          <w:szCs w:val="28"/>
        </w:rPr>
        <w:t>10</w:t>
      </w:r>
      <w:r>
        <w:rPr>
          <w:rFonts w:hint="eastAsia" w:ascii="Times New Roman" w:hAnsi="Times New Roman"/>
          <w:bCs/>
          <w:szCs w:val="28"/>
        </w:rPr>
        <w:t>人次。</w:t>
      </w:r>
    </w:p>
    <w:p>
      <w:pPr>
        <w:pStyle w:val="50"/>
        <w:ind w:firstLine="700" w:firstLineChars="250"/>
        <w:rPr>
          <w:rFonts w:ascii="Times New Roman" w:hAnsi="Times New Roman"/>
          <w:bCs/>
          <w:szCs w:val="28"/>
        </w:rPr>
      </w:pPr>
      <w:r>
        <w:rPr>
          <w:rFonts w:ascii="Times New Roman" w:hAnsi="Times New Roman"/>
          <w:bCs/>
          <w:szCs w:val="28"/>
        </w:rPr>
        <w:t>6</w:t>
      </w:r>
      <w:r>
        <w:rPr>
          <w:rFonts w:hint="eastAsia" w:ascii="Times New Roman" w:hAnsi="Times New Roman"/>
          <w:bCs/>
          <w:szCs w:val="28"/>
        </w:rPr>
        <w:t>、坚持以人为本，落实离休干部生活待遇。继续协调好相关部门落实好为离休干部提高护理费标准、为离休干部送鲜花、蛋糕过生日和送政治生日贺卡等事宜。</w:t>
      </w:r>
      <w:r>
        <w:rPr>
          <w:rFonts w:hint="eastAsia" w:ascii="Times New Roman" w:hAnsi="Times New Roman"/>
          <w:bCs/>
          <w:szCs w:val="28"/>
          <w:lang w:eastAsia="zh-CN"/>
        </w:rPr>
        <w:t>截至目前</w:t>
      </w:r>
      <w:bookmarkStart w:id="1" w:name="_GoBack"/>
      <w:bookmarkEnd w:id="1"/>
      <w:r>
        <w:rPr>
          <w:rFonts w:ascii="Times New Roman" w:hAnsi="Times New Roman"/>
          <w:bCs/>
          <w:szCs w:val="28"/>
        </w:rPr>
        <w:t>44</w:t>
      </w:r>
      <w:r>
        <w:rPr>
          <w:rFonts w:hint="eastAsia" w:ascii="Times New Roman" w:hAnsi="Times New Roman"/>
          <w:bCs/>
          <w:szCs w:val="28"/>
        </w:rPr>
        <w:t>名离休干部的护理费标准从原</w:t>
      </w:r>
      <w:r>
        <w:rPr>
          <w:rFonts w:ascii="Times New Roman" w:hAnsi="Times New Roman"/>
          <w:bCs/>
          <w:szCs w:val="28"/>
        </w:rPr>
        <w:t>1000</w:t>
      </w:r>
      <w:r>
        <w:rPr>
          <w:rFonts w:hint="eastAsia" w:ascii="Times New Roman" w:hAnsi="Times New Roman"/>
          <w:bCs/>
          <w:szCs w:val="28"/>
        </w:rPr>
        <w:t>元提高至</w:t>
      </w:r>
      <w:r>
        <w:rPr>
          <w:rFonts w:ascii="Times New Roman" w:hAnsi="Times New Roman"/>
          <w:bCs/>
          <w:szCs w:val="28"/>
        </w:rPr>
        <w:t>2500</w:t>
      </w:r>
      <w:r>
        <w:rPr>
          <w:rFonts w:hint="eastAsia" w:ascii="Times New Roman" w:hAnsi="Times New Roman"/>
          <w:bCs/>
          <w:szCs w:val="28"/>
        </w:rPr>
        <w:t>元落实到位。开展走访老干部送温暖活动，走访过程中，详细了解老干部家庭状况、身体情况和晚年生活，听取他们对自治州发展建设的意见和建议；为特殊困难老干部家中送特困帮扶金</w:t>
      </w:r>
      <w:r>
        <w:rPr>
          <w:rFonts w:ascii="Times New Roman" w:hAnsi="Times New Roman"/>
          <w:bCs/>
          <w:szCs w:val="28"/>
        </w:rPr>
        <w:t>1.8</w:t>
      </w:r>
      <w:r>
        <w:rPr>
          <w:rFonts w:hint="eastAsia" w:ascii="Times New Roman" w:hAnsi="Times New Roman"/>
          <w:bCs/>
          <w:szCs w:val="28"/>
        </w:rPr>
        <w:t>万元帮助</w:t>
      </w:r>
      <w:r>
        <w:rPr>
          <w:rFonts w:ascii="Times New Roman" w:hAnsi="Times New Roman"/>
          <w:bCs/>
          <w:szCs w:val="28"/>
        </w:rPr>
        <w:t>5</w:t>
      </w:r>
      <w:r>
        <w:rPr>
          <w:rFonts w:hint="eastAsia" w:ascii="Times New Roman" w:hAnsi="Times New Roman"/>
          <w:bCs/>
          <w:szCs w:val="28"/>
        </w:rPr>
        <w:t>名离休干部和</w:t>
      </w:r>
      <w:r>
        <w:rPr>
          <w:rFonts w:ascii="Times New Roman" w:hAnsi="Times New Roman"/>
          <w:bCs/>
          <w:szCs w:val="28"/>
        </w:rPr>
        <w:t>3</w:t>
      </w:r>
      <w:r>
        <w:rPr>
          <w:rFonts w:hint="eastAsia" w:ascii="Times New Roman" w:hAnsi="Times New Roman"/>
          <w:bCs/>
          <w:szCs w:val="28"/>
        </w:rPr>
        <w:t>名遗孀解决生活中遇到的实际困难和问题。及时发放企业离休干部相关费用和遗孀生活困难补助费。</w:t>
      </w:r>
    </w:p>
    <w:p>
      <w:pPr>
        <w:pStyle w:val="55"/>
        <w:ind w:firstLine="640" w:firstLineChars="200"/>
      </w:pPr>
      <w:r>
        <w:rPr>
          <w:rFonts w:hint="eastAsia"/>
        </w:rPr>
        <w:t>四、项目绩效情况</w:t>
      </w:r>
    </w:p>
    <w:p>
      <w:pPr>
        <w:pStyle w:val="50"/>
        <w:ind w:firstLine="562"/>
        <w:rPr>
          <w:rFonts w:ascii="Times New Roman" w:hAnsi="Times New Roman"/>
          <w:b/>
          <w:szCs w:val="28"/>
        </w:rPr>
      </w:pPr>
      <w:r>
        <w:rPr>
          <w:rFonts w:hint="eastAsia" w:ascii="Times New Roman" w:hAnsi="Times New Roman"/>
          <w:b/>
          <w:szCs w:val="28"/>
        </w:rPr>
        <w:t>（一）项目绩效目标完成情况分析</w:t>
      </w:r>
    </w:p>
    <w:p>
      <w:pPr>
        <w:pStyle w:val="50"/>
        <w:ind w:firstLine="560"/>
        <w:rPr>
          <w:rFonts w:ascii="Times New Roman" w:hAnsi="Times New Roman"/>
          <w:b/>
          <w:bCs/>
          <w:szCs w:val="28"/>
        </w:rPr>
      </w:pPr>
      <w:r>
        <w:rPr>
          <w:rFonts w:hint="eastAsia" w:ascii="Times New Roman" w:hAnsi="Times New Roman"/>
          <w:bCs/>
          <w:szCs w:val="28"/>
        </w:rPr>
        <w:t>综合考虑资金投入、效果、影响力等各方面因素，通过数据采集及分析，最终评分结果：</w:t>
      </w:r>
      <w:r>
        <w:rPr>
          <w:rFonts w:ascii="Times New Roman" w:hAnsi="Times New Roman"/>
          <w:bCs/>
          <w:szCs w:val="28"/>
        </w:rPr>
        <w:t>2018</w:t>
      </w:r>
      <w:r>
        <w:rPr>
          <w:rFonts w:hint="eastAsia" w:ascii="Times New Roman" w:hAnsi="Times New Roman"/>
          <w:bCs/>
          <w:szCs w:val="28"/>
        </w:rPr>
        <w:t>年州管离退休离退休干部资金项目绩效自评结果为：总得分</w:t>
      </w:r>
      <w:r>
        <w:rPr>
          <w:rFonts w:ascii="Times New Roman" w:hAnsi="Times New Roman"/>
          <w:bCs/>
          <w:szCs w:val="28"/>
        </w:rPr>
        <w:t>89</w:t>
      </w:r>
      <w:r>
        <w:rPr>
          <w:rFonts w:hint="eastAsia" w:ascii="Times New Roman" w:hAnsi="Times New Roman"/>
          <w:bCs/>
          <w:szCs w:val="28"/>
        </w:rPr>
        <w:t>分，属于</w:t>
      </w:r>
      <w:r>
        <w:rPr>
          <w:rFonts w:ascii="Times New Roman" w:hAnsi="Times New Roman"/>
          <w:bCs/>
          <w:szCs w:val="28"/>
        </w:rPr>
        <w:t>"</w:t>
      </w:r>
      <w:r>
        <w:rPr>
          <w:rFonts w:hint="eastAsia" w:ascii="Times New Roman" w:hAnsi="Times New Roman"/>
          <w:bCs/>
          <w:szCs w:val="28"/>
        </w:rPr>
        <w:t>良好</w:t>
      </w:r>
      <w:r>
        <w:rPr>
          <w:rFonts w:ascii="Times New Roman" w:hAnsi="Times New Roman"/>
          <w:bCs/>
          <w:szCs w:val="28"/>
        </w:rPr>
        <w:t>"</w:t>
      </w:r>
      <w:r>
        <w:rPr>
          <w:rFonts w:hint="eastAsia" w:ascii="Times New Roman" w:hAnsi="Times New Roman"/>
          <w:bCs/>
          <w:szCs w:val="28"/>
        </w:rPr>
        <w:t>。</w:t>
      </w:r>
    </w:p>
    <w:p>
      <w:pPr>
        <w:pStyle w:val="50"/>
        <w:ind w:firstLine="562"/>
        <w:rPr>
          <w:rFonts w:ascii="Times New Roman" w:hAnsi="Times New Roman"/>
          <w:b/>
          <w:szCs w:val="28"/>
        </w:rPr>
      </w:pPr>
      <w:bookmarkStart w:id="0" w:name="_Toc515637207"/>
      <w:r>
        <w:rPr>
          <w:rFonts w:hint="eastAsia" w:ascii="Times New Roman" w:hAnsi="Times New Roman"/>
          <w:b/>
          <w:szCs w:val="28"/>
        </w:rPr>
        <w:t>（二）绩效目标完成的指标</w:t>
      </w:r>
      <w:bookmarkEnd w:id="0"/>
    </w:p>
    <w:p>
      <w:pPr>
        <w:pStyle w:val="50"/>
        <w:ind w:firstLine="560"/>
        <w:rPr>
          <w:rFonts w:ascii="Times New Roman" w:hAnsi="Times New Roman"/>
          <w:szCs w:val="28"/>
        </w:rPr>
      </w:pPr>
      <w:r>
        <w:rPr>
          <w:rFonts w:ascii="Times New Roman" w:hAnsi="Times New Roman"/>
          <w:szCs w:val="28"/>
        </w:rPr>
        <w:tab/>
      </w:r>
      <w:r>
        <w:rPr>
          <w:rFonts w:hint="eastAsia" w:ascii="Times New Roman" w:hAnsi="Times New Roman"/>
          <w:szCs w:val="28"/>
        </w:rPr>
        <w:t>预算编制规范性；预算资金到位率；预算执行率；财务管理制度健全性；资金使用合规性；主要计划完成率；日常维护管理制度。</w:t>
      </w:r>
      <w:r>
        <w:rPr>
          <w:rFonts w:ascii="Times New Roman" w:hAnsi="Times New Roman"/>
          <w:b/>
          <w:szCs w:val="28"/>
        </w:rPr>
        <w:tab/>
      </w:r>
    </w:p>
    <w:p>
      <w:pPr>
        <w:pStyle w:val="55"/>
      </w:pPr>
      <w:r>
        <w:rPr>
          <w:rFonts w:hint="eastAsia"/>
        </w:rPr>
        <w:t>五、其他需要说明的问题</w:t>
      </w:r>
    </w:p>
    <w:p>
      <w:pPr>
        <w:pStyle w:val="50"/>
        <w:ind w:firstLine="562"/>
        <w:rPr>
          <w:rFonts w:ascii="Times New Roman" w:hAnsi="Times New Roman"/>
          <w:b/>
          <w:szCs w:val="28"/>
        </w:rPr>
      </w:pPr>
      <w:r>
        <w:rPr>
          <w:rFonts w:hint="eastAsia" w:ascii="Times New Roman" w:hAnsi="Times New Roman"/>
          <w:b/>
          <w:szCs w:val="28"/>
        </w:rPr>
        <w:t>（一）后续工作计划</w:t>
      </w:r>
    </w:p>
    <w:p>
      <w:pPr>
        <w:pStyle w:val="50"/>
        <w:ind w:firstLine="560"/>
        <w:rPr>
          <w:rFonts w:ascii="Times New Roman" w:hAnsi="Times New Roman"/>
          <w:szCs w:val="28"/>
        </w:rPr>
      </w:pPr>
      <w:r>
        <w:rPr>
          <w:rFonts w:hint="eastAsia" w:ascii="Times New Roman" w:hAnsi="Times New Roman"/>
          <w:szCs w:val="28"/>
        </w:rPr>
        <w:t>一是继续深入落实离退休干部政治待遇，使他们了解党的方针政策、国内外形势、思想上政治上与党中央保持高度一致。二是落实离退休干部生活待遇，解决离休干部及遗属实际生活困难。三是宣传离退休干部政策、维护合法权益。四是营造全社会弘扬离退休干部优良革命传统。五是加强离退休干部服务部门自身建设，提升队伍素质和服务水平。六是引导离退休干部为党的事业增添正能量。七营造全社会良好的尊老、敬老、助老的社会氛围。</w:t>
      </w:r>
    </w:p>
    <w:p>
      <w:pPr>
        <w:pStyle w:val="50"/>
        <w:ind w:firstLine="562"/>
        <w:rPr>
          <w:rFonts w:ascii="Times New Roman" w:hAnsi="Times New Roman"/>
          <w:b/>
          <w:szCs w:val="28"/>
        </w:rPr>
      </w:pPr>
      <w:r>
        <w:rPr>
          <w:rFonts w:hint="eastAsia" w:ascii="Times New Roman" w:hAnsi="Times New Roman"/>
          <w:b/>
          <w:szCs w:val="28"/>
        </w:rPr>
        <w:t>（二）主要经验及做法、存在问题和建议</w:t>
      </w:r>
    </w:p>
    <w:p>
      <w:pPr>
        <w:pStyle w:val="50"/>
        <w:ind w:firstLine="560"/>
        <w:rPr>
          <w:rFonts w:ascii="Times New Roman" w:hAnsi="Times New Roman"/>
          <w:szCs w:val="28"/>
        </w:rPr>
      </w:pPr>
      <w:r>
        <w:rPr>
          <w:rFonts w:ascii="Times New Roman" w:hAnsi="Times New Roman"/>
          <w:szCs w:val="28"/>
        </w:rPr>
        <w:t>1.</w:t>
      </w:r>
      <w:r>
        <w:rPr>
          <w:rFonts w:hint="eastAsia" w:ascii="Times New Roman" w:hAnsi="Times New Roman"/>
          <w:szCs w:val="28"/>
        </w:rPr>
        <w:t>加强项目资金管理。一是加强学习，努力提高绩效评价工作水平和质量。二是加强项目管理和绩效管理相结合，以预算绩效管理为抓手，对专项资金实施全过程预算绩效管理，建立健全预算编制、执行和监督的绩效管理体系。三是加强预算执行情况分析，及时掌握项目绩效目标的实现情况、项目实施进程和资金支出进度，从而对出现的情况和问题及时采取措施予以纠偏。四是进一步提高财政资金使用的效益，实现财政资金科学化、精细化管理。</w:t>
      </w:r>
    </w:p>
    <w:p>
      <w:pPr>
        <w:pStyle w:val="50"/>
        <w:ind w:firstLine="560"/>
        <w:rPr>
          <w:rFonts w:ascii="Times New Roman" w:hAnsi="Times New Roman"/>
          <w:szCs w:val="28"/>
        </w:rPr>
      </w:pPr>
      <w:r>
        <w:rPr>
          <w:rFonts w:ascii="Times New Roman" w:hAnsi="Times New Roman"/>
          <w:szCs w:val="28"/>
        </w:rPr>
        <w:t>2.</w:t>
      </w:r>
      <w:r>
        <w:rPr>
          <w:rFonts w:hint="eastAsia" w:ascii="Times New Roman" w:hAnsi="Times New Roman"/>
          <w:szCs w:val="28"/>
        </w:rPr>
        <w:t>专项资金管理方面。继续预算安排该项目资金。</w:t>
      </w:r>
    </w:p>
    <w:p>
      <w:pPr>
        <w:pStyle w:val="50"/>
        <w:ind w:firstLine="562"/>
        <w:rPr>
          <w:rFonts w:ascii="Times New Roman" w:hAnsi="Times New Roman"/>
          <w:b/>
          <w:szCs w:val="28"/>
        </w:rPr>
      </w:pPr>
      <w:r>
        <w:rPr>
          <w:rFonts w:hint="eastAsia" w:ascii="Times New Roman" w:hAnsi="Times New Roman"/>
          <w:b/>
          <w:szCs w:val="28"/>
        </w:rPr>
        <w:t>（三）其他</w:t>
      </w:r>
    </w:p>
    <w:p>
      <w:pPr>
        <w:pStyle w:val="50"/>
        <w:ind w:firstLine="560"/>
        <w:rPr>
          <w:rFonts w:ascii="Times New Roman" w:hAnsi="Times New Roman"/>
          <w:szCs w:val="28"/>
        </w:rPr>
      </w:pPr>
      <w:r>
        <w:rPr>
          <w:rFonts w:hint="eastAsia" w:ascii="Times New Roman" w:hAnsi="Times New Roman"/>
          <w:szCs w:val="28"/>
        </w:rPr>
        <w:t>无</w:t>
      </w:r>
    </w:p>
    <w:p>
      <w:pPr>
        <w:pStyle w:val="55"/>
      </w:pPr>
      <w:r>
        <w:rPr>
          <w:rFonts w:hint="eastAsia"/>
        </w:rPr>
        <w:t>六、项目评价工作情况</w:t>
      </w:r>
    </w:p>
    <w:p>
      <w:pPr>
        <w:pStyle w:val="50"/>
        <w:ind w:firstLine="560"/>
        <w:rPr>
          <w:rFonts w:ascii="Times New Roman" w:hAnsi="Times New Roman"/>
          <w:szCs w:val="28"/>
        </w:rPr>
      </w:pPr>
      <w:r>
        <w:rPr>
          <w:rFonts w:hint="eastAsia" w:ascii="Times New Roman" w:hAnsi="Times New Roman"/>
          <w:szCs w:val="28"/>
        </w:rPr>
        <w:t>根据该项目绩效自评表，围绕绩效评价指标体系，对投入、过程、效果指标进行分析，</w:t>
      </w:r>
      <w:r>
        <w:rPr>
          <w:rFonts w:ascii="Times New Roman" w:hAnsi="Times New Roman"/>
          <w:szCs w:val="28"/>
        </w:rPr>
        <w:t>              </w:t>
      </w:r>
    </w:p>
    <w:p>
      <w:pPr>
        <w:pStyle w:val="50"/>
        <w:ind w:firstLine="560"/>
        <w:rPr>
          <w:rFonts w:ascii="Times New Roman" w:hAnsi="Times New Roman"/>
          <w:b/>
          <w:szCs w:val="28"/>
        </w:rPr>
      </w:pPr>
      <w:r>
        <w:rPr>
          <w:rFonts w:ascii="Times New Roman" w:hAnsi="Times New Roman"/>
          <w:szCs w:val="28"/>
        </w:rPr>
        <w:t>   </w:t>
      </w:r>
      <w:r>
        <w:rPr>
          <w:rFonts w:hint="eastAsia" w:ascii="Times New Roman" w:hAnsi="Times New Roman"/>
          <w:b/>
          <w:szCs w:val="28"/>
        </w:rPr>
        <w:t>（一）投入</w:t>
      </w:r>
    </w:p>
    <w:p>
      <w:pPr>
        <w:pStyle w:val="50"/>
        <w:ind w:firstLine="560"/>
        <w:rPr>
          <w:rFonts w:ascii="Times New Roman" w:hAnsi="Times New Roman"/>
          <w:szCs w:val="28"/>
        </w:rPr>
      </w:pPr>
      <w:r>
        <w:rPr>
          <w:rFonts w:ascii="Times New Roman" w:hAnsi="Times New Roman"/>
          <w:szCs w:val="28"/>
        </w:rPr>
        <w:t>1.</w:t>
      </w:r>
      <w:r>
        <w:rPr>
          <w:rFonts w:hint="eastAsia" w:ascii="Times New Roman" w:hAnsi="Times New Roman"/>
          <w:szCs w:val="28"/>
        </w:rPr>
        <w:t>项目立项。项目立项规范。绩效目标设置合理，绩效指标明确。</w:t>
      </w:r>
    </w:p>
    <w:p>
      <w:pPr>
        <w:rPr>
          <w:rFonts w:eastAsia="仿宋_GB2312"/>
          <w:kern w:val="0"/>
          <w:sz w:val="28"/>
          <w:szCs w:val="28"/>
        </w:rPr>
      </w:pPr>
      <w:r>
        <w:rPr>
          <w:rFonts w:eastAsia="仿宋_GB2312"/>
          <w:kern w:val="0"/>
          <w:sz w:val="28"/>
          <w:szCs w:val="28"/>
        </w:rPr>
        <w:t>2.</w:t>
      </w:r>
      <w:r>
        <w:rPr>
          <w:rFonts w:hint="eastAsia" w:eastAsia="仿宋_GB2312"/>
          <w:kern w:val="0"/>
          <w:sz w:val="28"/>
          <w:szCs w:val="28"/>
        </w:rPr>
        <w:t>资金落实。项目资金全部由财政拨款，资金来源合规。</w:t>
      </w:r>
      <w:r>
        <w:rPr>
          <w:rFonts w:eastAsia="仿宋_GB2312"/>
          <w:kern w:val="0"/>
          <w:sz w:val="28"/>
          <w:szCs w:val="28"/>
        </w:rPr>
        <w:t>2018</w:t>
      </w:r>
      <w:r>
        <w:rPr>
          <w:rFonts w:hint="eastAsia" w:eastAsia="仿宋_GB2312"/>
          <w:kern w:val="0"/>
          <w:sz w:val="28"/>
          <w:szCs w:val="28"/>
        </w:rPr>
        <w:t>年实际可支配资金</w:t>
      </w:r>
      <w:r>
        <w:rPr>
          <w:rFonts w:eastAsia="仿宋_GB2312"/>
          <w:kern w:val="0"/>
          <w:sz w:val="28"/>
          <w:szCs w:val="28"/>
        </w:rPr>
        <w:t>180000</w:t>
      </w:r>
      <w:r>
        <w:rPr>
          <w:rFonts w:hint="eastAsia" w:eastAsia="仿宋_GB2312"/>
          <w:kern w:val="0"/>
          <w:sz w:val="28"/>
          <w:szCs w:val="28"/>
        </w:rPr>
        <w:t>元，实际支出</w:t>
      </w:r>
      <w:r>
        <w:rPr>
          <w:rFonts w:eastAsia="仿宋_GB2312"/>
          <w:kern w:val="0"/>
          <w:sz w:val="28"/>
          <w:szCs w:val="28"/>
        </w:rPr>
        <w:t>180410</w:t>
      </w:r>
      <w:r>
        <w:rPr>
          <w:rFonts w:hint="eastAsia" w:eastAsia="仿宋_GB2312"/>
          <w:kern w:val="0"/>
          <w:sz w:val="28"/>
          <w:szCs w:val="28"/>
        </w:rPr>
        <w:t>元。资金使用率</w:t>
      </w:r>
      <w:r>
        <w:rPr>
          <w:rFonts w:eastAsia="仿宋_GB2312"/>
          <w:kern w:val="0"/>
          <w:sz w:val="28"/>
          <w:szCs w:val="28"/>
        </w:rPr>
        <w:t>100%</w:t>
      </w:r>
      <w:r>
        <w:rPr>
          <w:rFonts w:hint="eastAsia" w:eastAsia="仿宋_GB2312"/>
          <w:kern w:val="0"/>
          <w:sz w:val="28"/>
          <w:szCs w:val="28"/>
        </w:rPr>
        <w:t>。</w:t>
      </w:r>
    </w:p>
    <w:p>
      <w:pPr>
        <w:pStyle w:val="50"/>
        <w:ind w:firstLine="560"/>
        <w:rPr>
          <w:rFonts w:ascii="Times New Roman" w:hAnsi="Times New Roman"/>
          <w:szCs w:val="28"/>
        </w:rPr>
      </w:pPr>
      <w:r>
        <w:rPr>
          <w:rFonts w:hint="eastAsia" w:ascii="Times New Roman" w:hAnsi="Times New Roman"/>
          <w:szCs w:val="28"/>
        </w:rPr>
        <w:t>（二）过程</w:t>
      </w:r>
    </w:p>
    <w:p>
      <w:pPr>
        <w:pStyle w:val="50"/>
        <w:ind w:firstLine="560"/>
        <w:rPr>
          <w:rFonts w:ascii="Times New Roman" w:hAnsi="Times New Roman"/>
          <w:szCs w:val="28"/>
        </w:rPr>
      </w:pPr>
      <w:r>
        <w:rPr>
          <w:rFonts w:ascii="Times New Roman" w:hAnsi="Times New Roman"/>
          <w:szCs w:val="28"/>
        </w:rPr>
        <w:t>1.</w:t>
      </w:r>
      <w:r>
        <w:rPr>
          <w:rFonts w:hint="eastAsia" w:ascii="Times New Roman" w:hAnsi="Times New Roman"/>
          <w:szCs w:val="28"/>
        </w:rPr>
        <w:t>业务管理。业务管理制度健全，制度执行有效，具有相应的项目质量要求，采取了必需的控制措施或手段。</w:t>
      </w:r>
    </w:p>
    <w:p>
      <w:pPr>
        <w:pStyle w:val="50"/>
        <w:ind w:firstLine="560"/>
        <w:rPr>
          <w:rFonts w:ascii="Times New Roman" w:hAnsi="Times New Roman"/>
          <w:szCs w:val="28"/>
        </w:rPr>
      </w:pPr>
      <w:r>
        <w:rPr>
          <w:rFonts w:ascii="Times New Roman" w:hAnsi="Times New Roman"/>
          <w:szCs w:val="28"/>
        </w:rPr>
        <w:t>2.</w:t>
      </w:r>
      <w:r>
        <w:rPr>
          <w:rFonts w:hint="eastAsia" w:ascii="Times New Roman" w:hAnsi="Times New Roman"/>
          <w:szCs w:val="28"/>
        </w:rPr>
        <w:t>财务管理。一是财务管理制度健全。制定了《巴州离退休干部服务中心财务管理暂行规定》、《离退休干部专项业务费项目资金管理办法》等，符合相关财务会计制度和专项资金管理办法规定。二是资金使用合规。资金拨付有完整的审批程序和手续。项目重大开支由中心务会议研究决定。</w:t>
      </w:r>
    </w:p>
    <w:p>
      <w:pPr>
        <w:pStyle w:val="50"/>
        <w:ind w:firstLine="562"/>
        <w:rPr>
          <w:rFonts w:ascii="Times New Roman" w:hAnsi="Times New Roman"/>
          <w:b/>
          <w:szCs w:val="28"/>
        </w:rPr>
      </w:pPr>
      <w:r>
        <w:rPr>
          <w:rFonts w:hint="eastAsia" w:ascii="Times New Roman" w:hAnsi="Times New Roman"/>
          <w:b/>
          <w:szCs w:val="28"/>
        </w:rPr>
        <w:t>（三）效果</w:t>
      </w:r>
    </w:p>
    <w:p>
      <w:pPr>
        <w:ind w:firstLine="560" w:firstLineChars="200"/>
        <w:rPr>
          <w:rFonts w:eastAsia="仿宋_GB2312"/>
          <w:kern w:val="0"/>
          <w:sz w:val="28"/>
          <w:szCs w:val="28"/>
        </w:rPr>
      </w:pPr>
      <w:r>
        <w:rPr>
          <w:rFonts w:eastAsia="仿宋_GB2312"/>
          <w:kern w:val="0"/>
          <w:sz w:val="28"/>
          <w:szCs w:val="28"/>
        </w:rPr>
        <w:t>1.</w:t>
      </w:r>
      <w:r>
        <w:rPr>
          <w:rFonts w:hint="eastAsia" w:eastAsia="仿宋_GB2312"/>
          <w:kern w:val="0"/>
          <w:sz w:val="28"/>
          <w:szCs w:val="28"/>
        </w:rPr>
        <w:t>实际完成情况：</w:t>
      </w:r>
      <w:r>
        <w:rPr>
          <w:rFonts w:eastAsia="仿宋_GB2312"/>
          <w:kern w:val="0"/>
          <w:sz w:val="28"/>
          <w:szCs w:val="28"/>
        </w:rPr>
        <w:t>2018</w:t>
      </w:r>
      <w:r>
        <w:rPr>
          <w:rFonts w:hint="eastAsia" w:eastAsia="仿宋_GB2312"/>
          <w:kern w:val="0"/>
          <w:sz w:val="28"/>
          <w:szCs w:val="28"/>
        </w:rPr>
        <w:t>年以来，我中心以贯彻落实巴党组通字【</w:t>
      </w:r>
      <w:r>
        <w:rPr>
          <w:rFonts w:eastAsia="仿宋_GB2312"/>
          <w:kern w:val="0"/>
          <w:sz w:val="28"/>
          <w:szCs w:val="28"/>
        </w:rPr>
        <w:t>2014</w:t>
      </w:r>
      <w:r>
        <w:rPr>
          <w:rFonts w:hint="eastAsia" w:eastAsia="仿宋_GB2312"/>
          <w:kern w:val="0"/>
          <w:sz w:val="28"/>
          <w:szCs w:val="28"/>
        </w:rPr>
        <w:t>】</w:t>
      </w:r>
      <w:r>
        <w:rPr>
          <w:rFonts w:eastAsia="仿宋_GB2312"/>
          <w:kern w:val="0"/>
          <w:sz w:val="28"/>
          <w:szCs w:val="28"/>
        </w:rPr>
        <w:t>14</w:t>
      </w:r>
      <w:r>
        <w:rPr>
          <w:rFonts w:hint="eastAsia" w:eastAsia="仿宋_GB2312"/>
          <w:kern w:val="0"/>
          <w:sz w:val="28"/>
          <w:szCs w:val="28"/>
        </w:rPr>
        <w:t>号、巴财预【</w:t>
      </w:r>
      <w:r>
        <w:rPr>
          <w:rFonts w:eastAsia="仿宋_GB2312"/>
          <w:kern w:val="0"/>
          <w:sz w:val="28"/>
          <w:szCs w:val="28"/>
        </w:rPr>
        <w:t>2008</w:t>
      </w:r>
      <w:r>
        <w:rPr>
          <w:rFonts w:hint="eastAsia" w:eastAsia="仿宋_GB2312"/>
          <w:kern w:val="0"/>
          <w:sz w:val="28"/>
          <w:szCs w:val="28"/>
        </w:rPr>
        <w:t>】</w:t>
      </w:r>
      <w:r>
        <w:rPr>
          <w:rFonts w:eastAsia="仿宋_GB2312"/>
          <w:kern w:val="0"/>
          <w:sz w:val="28"/>
          <w:szCs w:val="28"/>
        </w:rPr>
        <w:t>175</w:t>
      </w:r>
      <w:r>
        <w:rPr>
          <w:rFonts w:hint="eastAsia" w:eastAsia="仿宋_GB2312"/>
          <w:kern w:val="0"/>
          <w:sz w:val="28"/>
          <w:szCs w:val="28"/>
        </w:rPr>
        <w:t>号文件精神线，积极推进全州离退休干部党建工作，扎实开展正能量活动，努力为离退休干部办实事做好事，取得了新成效。我中心绩效自评项目离退休干部专项完成了</w:t>
      </w:r>
      <w:r>
        <w:rPr>
          <w:rFonts w:eastAsia="仿宋_GB2312"/>
          <w:kern w:val="0"/>
          <w:sz w:val="28"/>
          <w:szCs w:val="28"/>
        </w:rPr>
        <w:t>2018</w:t>
      </w:r>
      <w:r>
        <w:rPr>
          <w:rFonts w:hint="eastAsia" w:eastAsia="仿宋_GB2312"/>
          <w:kern w:val="0"/>
          <w:sz w:val="28"/>
          <w:szCs w:val="28"/>
        </w:rPr>
        <w:t>年绩效目标。</w:t>
      </w:r>
    </w:p>
    <w:p>
      <w:pPr>
        <w:pStyle w:val="50"/>
        <w:ind w:firstLine="560"/>
        <w:rPr>
          <w:rFonts w:ascii="Times New Roman" w:hAnsi="Times New Roman"/>
          <w:szCs w:val="28"/>
        </w:rPr>
      </w:pPr>
      <w:r>
        <w:rPr>
          <w:rFonts w:ascii="Times New Roman" w:hAnsi="Times New Roman"/>
          <w:szCs w:val="28"/>
        </w:rPr>
        <w:t>2.</w:t>
      </w:r>
      <w:r>
        <w:rPr>
          <w:rFonts w:hint="eastAsia" w:ascii="Times New Roman" w:hAnsi="Times New Roman"/>
          <w:szCs w:val="28"/>
        </w:rPr>
        <w:t>完成及时性、质量情况。各项工作任务均按计划时间完成，完成质量良好。</w:t>
      </w:r>
    </w:p>
    <w:p>
      <w:pPr>
        <w:pStyle w:val="50"/>
        <w:ind w:firstLine="562"/>
        <w:rPr>
          <w:rFonts w:ascii="Times New Roman" w:hAnsi="Times New Roman"/>
          <w:b/>
          <w:szCs w:val="28"/>
        </w:rPr>
      </w:pPr>
    </w:p>
    <w:p>
      <w:pPr>
        <w:pStyle w:val="50"/>
        <w:ind w:firstLine="562"/>
        <w:rPr>
          <w:rFonts w:ascii="Times New Roman" w:hAnsi="Times New Roman"/>
          <w:b/>
          <w:szCs w:val="28"/>
        </w:rPr>
      </w:pPr>
    </w:p>
    <w:p>
      <w:pPr>
        <w:pStyle w:val="50"/>
        <w:ind w:firstLine="562"/>
        <w:rPr>
          <w:rFonts w:ascii="Times New Roman" w:hAnsi="Times New Roman"/>
          <w:b/>
          <w:szCs w:val="28"/>
        </w:rPr>
      </w:pPr>
    </w:p>
    <w:p>
      <w:pPr>
        <w:pStyle w:val="50"/>
        <w:ind w:firstLine="562"/>
        <w:rPr>
          <w:rFonts w:ascii="Times New Roman" w:hAnsi="Times New Roman"/>
          <w:b/>
          <w:szCs w:val="28"/>
        </w:rPr>
      </w:pPr>
    </w:p>
    <w:p>
      <w:pPr>
        <w:pStyle w:val="50"/>
        <w:ind w:firstLine="562"/>
        <w:rPr>
          <w:rFonts w:ascii="Times New Roman" w:hAnsi="Times New Roman"/>
          <w:b/>
          <w:szCs w:val="28"/>
        </w:rPr>
      </w:pPr>
    </w:p>
    <w:p>
      <w:pPr>
        <w:pStyle w:val="50"/>
        <w:ind w:firstLine="562"/>
        <w:rPr>
          <w:rFonts w:ascii="Times New Roman" w:hAnsi="Times New Roman"/>
          <w:b/>
          <w:szCs w:val="28"/>
        </w:rPr>
      </w:pPr>
      <w:r>
        <w:rPr>
          <w:rFonts w:hint="eastAsia" w:ascii="Times New Roman" w:hAnsi="Times New Roman"/>
          <w:b/>
          <w:szCs w:val="28"/>
        </w:rPr>
        <w:t>（四）项目管理资料</w:t>
      </w:r>
    </w:p>
    <w:tbl>
      <w:tblPr>
        <w:tblStyle w:val="19"/>
        <w:tblW w:w="0" w:type="auto"/>
        <w:tblInd w:w="0" w:type="dxa"/>
        <w:tblLayout w:type="fixed"/>
        <w:tblCellMar>
          <w:top w:w="0" w:type="dxa"/>
          <w:left w:w="0" w:type="dxa"/>
          <w:bottom w:w="0" w:type="dxa"/>
          <w:right w:w="0" w:type="dxa"/>
        </w:tblCellMar>
      </w:tblPr>
      <w:tblGrid>
        <w:gridCol w:w="2140"/>
        <w:gridCol w:w="2140"/>
        <w:gridCol w:w="4960"/>
        <w:gridCol w:w="3560"/>
      </w:tblGrid>
      <w:tr>
        <w:tblPrEx>
          <w:tblCellMar>
            <w:top w:w="0" w:type="dxa"/>
            <w:left w:w="0" w:type="dxa"/>
            <w:bottom w:w="0" w:type="dxa"/>
            <w:right w:w="0" w:type="dxa"/>
          </w:tblCellMar>
        </w:tblPrEx>
        <w:trPr>
          <w:trHeight w:val="375" w:hRule="atLeast"/>
        </w:trPr>
        <w:tc>
          <w:tcPr>
            <w:tcW w:w="12800" w:type="dxa"/>
            <w:gridSpan w:val="4"/>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黑体" w:eastAsia="黑体" w:cs="Arial"/>
                <w:b/>
                <w:bCs/>
                <w:szCs w:val="28"/>
              </w:rPr>
            </w:pPr>
            <w:r>
              <w:rPr>
                <w:rFonts w:hint="eastAsia" w:ascii="黑体" w:hAnsi="黑体" w:eastAsia="黑体" w:cs="Arial"/>
                <w:b/>
                <w:bCs/>
                <w:szCs w:val="28"/>
              </w:rPr>
              <w:t>附表</w:t>
            </w:r>
            <w:r>
              <w:rPr>
                <w:rFonts w:ascii="黑体" w:hAnsi="黑体" w:eastAsia="黑体" w:cs="Arial"/>
                <w:b/>
                <w:bCs/>
                <w:szCs w:val="28"/>
              </w:rPr>
              <w:t>1.</w:t>
            </w:r>
            <w:r>
              <w:rPr>
                <w:rFonts w:hint="eastAsia" w:ascii="黑体" w:hAnsi="黑体" w:eastAsia="黑体" w:cs="Arial"/>
                <w:b/>
                <w:bCs/>
                <w:szCs w:val="28"/>
              </w:rPr>
              <w:t>项目管理资料</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jc w:val="center"/>
              <w:rPr>
                <w:sz w:val="22"/>
              </w:rPr>
            </w:pPr>
            <w:r>
              <w:rPr>
                <w:rFonts w:hint="eastAsia"/>
                <w:sz w:val="22"/>
              </w:rPr>
              <w:t>项目阶段</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jc w:val="center"/>
              <w:rPr>
                <w:sz w:val="22"/>
              </w:rPr>
            </w:pPr>
            <w:r>
              <w:rPr>
                <w:rFonts w:hint="eastAsia"/>
                <w:sz w:val="22"/>
              </w:rPr>
              <w:t>阶段要素</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jc w:val="center"/>
              <w:rPr>
                <w:sz w:val="22"/>
              </w:rPr>
            </w:pPr>
            <w:r>
              <w:rPr>
                <w:rFonts w:hint="eastAsia"/>
                <w:sz w:val="22"/>
              </w:rPr>
              <w:t>材料明细</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jc w:val="center"/>
              <w:rPr>
                <w:sz w:val="22"/>
              </w:rPr>
            </w:pPr>
            <w:r>
              <w:rPr>
                <w:rFonts w:hint="eastAsia"/>
                <w:sz w:val="22"/>
              </w:rPr>
              <w:t>文件</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项目立项</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项目申报</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项目前期调研材料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立项申报材料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p>
            <w:pPr>
              <w:ind w:firstLine="440"/>
              <w:rPr>
                <w:sz w:val="22"/>
              </w:rPr>
            </w:pP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立项政策依据</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rPr>
                <w:sz w:val="22"/>
              </w:rPr>
            </w:pPr>
            <w:r>
              <w:rPr>
                <w:sz w:val="22"/>
              </w:rPr>
              <w:t>1</w:t>
            </w:r>
            <w:r>
              <w:rPr>
                <w:rFonts w:hint="eastAsia"/>
                <w:sz w:val="22"/>
              </w:rPr>
              <w:t>、巴党组通字【</w:t>
            </w:r>
            <w:r>
              <w:rPr>
                <w:sz w:val="22"/>
              </w:rPr>
              <w:t>2014</w:t>
            </w:r>
            <w:r>
              <w:rPr>
                <w:rFonts w:hint="eastAsia"/>
                <w:sz w:val="22"/>
              </w:rPr>
              <w:t>】</w:t>
            </w:r>
            <w:r>
              <w:rPr>
                <w:sz w:val="22"/>
              </w:rPr>
              <w:t>14</w:t>
            </w:r>
            <w:r>
              <w:rPr>
                <w:rFonts w:hint="eastAsia"/>
                <w:sz w:val="22"/>
              </w:rPr>
              <w:t>号</w:t>
            </w:r>
          </w:p>
          <w:p>
            <w:pPr>
              <w:rPr>
                <w:sz w:val="22"/>
              </w:rPr>
            </w:pPr>
            <w:r>
              <w:rPr>
                <w:sz w:val="22"/>
              </w:rPr>
              <w:t>2</w:t>
            </w:r>
            <w:r>
              <w:rPr>
                <w:rFonts w:hint="eastAsia"/>
                <w:sz w:val="22"/>
              </w:rPr>
              <w:t>、巴财预【</w:t>
            </w:r>
            <w:r>
              <w:rPr>
                <w:sz w:val="22"/>
              </w:rPr>
              <w:t>2008</w:t>
            </w:r>
            <w:r>
              <w:rPr>
                <w:rFonts w:hint="eastAsia"/>
                <w:sz w:val="22"/>
              </w:rPr>
              <w:t>】</w:t>
            </w:r>
            <w:r>
              <w:rPr>
                <w:sz w:val="22"/>
              </w:rPr>
              <w:t>175</w:t>
            </w:r>
            <w:r>
              <w:rPr>
                <w:rFonts w:hint="eastAsia"/>
                <w:sz w:val="22"/>
              </w:rPr>
              <w:t>号</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项目预算申请材料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预算调整申请材料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项目审批</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项目立项申报批复材料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立项会议纪要及批示</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项目预算批复材料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预算调整申请批复材料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项目准备</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项目启动</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人员安排及分工</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实施方案及计划</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制度建设</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项目管理制度或办法</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财务管理制度或办法</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项目实施</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项目执行</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申报材料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内容纪要及图片材料等</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项目结项</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项目结项</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项目总结材料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项目决算</w:t>
            </w:r>
            <w:r>
              <w:rPr>
                <w:sz w:val="22"/>
              </w:rPr>
              <w:t xml:space="preserve">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资金支出明细</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18"/>
                <w:szCs w:val="18"/>
              </w:rPr>
            </w:pPr>
            <w:r>
              <w:rPr>
                <w:rFonts w:hint="eastAsia"/>
                <w:sz w:val="18"/>
                <w:szCs w:val="18"/>
              </w:rPr>
              <w:t>项目归档与后续管理</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归档证明材料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后续管理计划、制度或方案</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394"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满意度</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rPr>
          <w:trHeight w:val="289" w:hRule="atLeast"/>
        </w:trPr>
        <w:tc>
          <w:tcPr>
            <w:tcW w:w="2140"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214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c>
          <w:tcPr>
            <w:tcW w:w="49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受益方满意度相关材料</w:t>
            </w:r>
          </w:p>
        </w:tc>
        <w:tc>
          <w:tcPr>
            <w:tcW w:w="3560" w:type="dxa"/>
            <w:tcBorders>
              <w:top w:val="nil"/>
              <w:left w:val="nil"/>
              <w:bottom w:val="single" w:color="000000" w:sz="4" w:space="0"/>
              <w:right w:val="single" w:color="000000" w:sz="4" w:space="0"/>
            </w:tcBorders>
            <w:tcMar>
              <w:top w:w="15" w:type="dxa"/>
              <w:left w:w="15" w:type="dxa"/>
              <w:bottom w:w="0" w:type="dxa"/>
              <w:right w:w="15" w:type="dxa"/>
            </w:tcMar>
            <w:vAlign w:val="center"/>
          </w:tcPr>
          <w:p>
            <w:pPr>
              <w:ind w:firstLine="440"/>
              <w:rPr>
                <w:sz w:val="22"/>
              </w:rPr>
            </w:pPr>
            <w:r>
              <w:rPr>
                <w:rFonts w:hint="eastAsia"/>
                <w:sz w:val="22"/>
              </w:rPr>
              <w:t>　</w:t>
            </w:r>
          </w:p>
        </w:tc>
      </w:tr>
      <w:tr>
        <w:tblPrEx>
          <w:tblCellMar>
            <w:top w:w="0" w:type="dxa"/>
            <w:left w:w="0" w:type="dxa"/>
            <w:bottom w:w="0" w:type="dxa"/>
            <w:right w:w="0" w:type="dxa"/>
          </w:tblCellMar>
        </w:tblPrEx>
        <w:tc>
          <w:tcPr>
            <w:tcW w:w="2140" w:type="dxa"/>
            <w:tcBorders>
              <w:top w:val="nil"/>
              <w:left w:val="nil"/>
              <w:bottom w:val="nil"/>
              <w:right w:val="nil"/>
            </w:tcBorders>
            <w:tcMar>
              <w:top w:w="15" w:type="dxa"/>
              <w:left w:w="15" w:type="dxa"/>
              <w:bottom w:w="0" w:type="dxa"/>
              <w:right w:w="15" w:type="dxa"/>
            </w:tcMar>
            <w:vAlign w:val="bottom"/>
          </w:tcPr>
          <w:p>
            <w:pPr>
              <w:ind w:firstLine="440"/>
              <w:rPr>
                <w:sz w:val="22"/>
              </w:rPr>
            </w:pPr>
          </w:p>
        </w:tc>
        <w:tc>
          <w:tcPr>
            <w:tcW w:w="2140" w:type="dxa"/>
            <w:tcBorders>
              <w:top w:val="nil"/>
              <w:left w:val="nil"/>
              <w:bottom w:val="nil"/>
              <w:right w:val="nil"/>
            </w:tcBorders>
            <w:tcMar>
              <w:top w:w="15" w:type="dxa"/>
              <w:left w:w="15" w:type="dxa"/>
              <w:bottom w:w="0" w:type="dxa"/>
              <w:right w:w="15" w:type="dxa"/>
            </w:tcMar>
            <w:vAlign w:val="bottom"/>
          </w:tcPr>
          <w:p>
            <w:pPr>
              <w:ind w:firstLine="400"/>
              <w:rPr>
                <w:rFonts w:eastAsia="Times New Roman"/>
                <w:sz w:val="20"/>
                <w:szCs w:val="20"/>
              </w:rPr>
            </w:pPr>
          </w:p>
        </w:tc>
        <w:tc>
          <w:tcPr>
            <w:tcW w:w="4960" w:type="dxa"/>
            <w:tcBorders>
              <w:top w:val="nil"/>
              <w:left w:val="nil"/>
              <w:bottom w:val="nil"/>
              <w:right w:val="nil"/>
            </w:tcBorders>
            <w:tcMar>
              <w:top w:w="15" w:type="dxa"/>
              <w:left w:w="15" w:type="dxa"/>
              <w:bottom w:w="0" w:type="dxa"/>
              <w:right w:w="15" w:type="dxa"/>
            </w:tcMar>
            <w:vAlign w:val="bottom"/>
          </w:tcPr>
          <w:p>
            <w:pPr>
              <w:ind w:firstLine="400"/>
              <w:rPr>
                <w:rFonts w:eastAsia="Times New Roman"/>
                <w:sz w:val="20"/>
                <w:szCs w:val="20"/>
              </w:rPr>
            </w:pPr>
          </w:p>
        </w:tc>
        <w:tc>
          <w:tcPr>
            <w:tcW w:w="3560" w:type="dxa"/>
            <w:tcBorders>
              <w:top w:val="nil"/>
              <w:left w:val="nil"/>
              <w:bottom w:val="nil"/>
              <w:right w:val="nil"/>
            </w:tcBorders>
            <w:tcMar>
              <w:top w:w="15" w:type="dxa"/>
              <w:left w:w="15" w:type="dxa"/>
              <w:bottom w:w="0" w:type="dxa"/>
              <w:right w:w="15" w:type="dxa"/>
            </w:tcMar>
            <w:vAlign w:val="bottom"/>
          </w:tcPr>
          <w:p>
            <w:pPr>
              <w:ind w:firstLine="400"/>
              <w:rPr>
                <w:rFonts w:eastAsia="Times New Roman"/>
                <w:sz w:val="20"/>
                <w:szCs w:val="20"/>
              </w:rPr>
            </w:pPr>
          </w:p>
        </w:tc>
      </w:tr>
    </w:tbl>
    <w:p>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七、附表</w:t>
      </w:r>
    </w:p>
    <w:p>
      <w:pPr>
        <w:pStyle w:val="50"/>
        <w:ind w:firstLine="560"/>
        <w:rPr>
          <w:rFonts w:ascii="Times New Roman" w:hAnsi="Times New Roman"/>
          <w:bCs/>
          <w:szCs w:val="28"/>
        </w:rPr>
      </w:pPr>
      <w:r>
        <w:rPr>
          <w:rFonts w:hint="eastAsia" w:ascii="Times New Roman" w:hAnsi="Times New Roman"/>
          <w:bCs/>
          <w:szCs w:val="28"/>
        </w:rPr>
        <w:t>《巴州离退休干部服务中心财政项目支出绩效自评表》</w:t>
      </w:r>
    </w:p>
    <w:p>
      <w:pPr>
        <w:spacing w:line="540" w:lineRule="exact"/>
        <w:rPr>
          <w:rStyle w:val="21"/>
          <w:rFonts w:ascii="仿宋" w:hAnsi="仿宋" w:eastAsia="仿宋"/>
          <w:b w:val="0"/>
          <w:spacing w:val="-4"/>
          <w:sz w:val="32"/>
          <w:szCs w:val="32"/>
        </w:rPr>
        <w:sectPr>
          <w:pgSz w:w="16838" w:h="11906" w:orient="landscape"/>
          <w:pgMar w:top="1797" w:right="1440" w:bottom="1559" w:left="1440" w:header="851" w:footer="992" w:gutter="0"/>
          <w:cols w:space="425" w:num="1"/>
          <w:docGrid w:type="linesAndChars" w:linePitch="312" w:charSpace="0"/>
        </w:sectPr>
      </w:pPr>
    </w:p>
    <w:p>
      <w:pPr>
        <w:spacing w:line="540" w:lineRule="exact"/>
        <w:rPr>
          <w:rStyle w:val="21"/>
          <w:rFonts w:ascii="仿宋" w:hAnsi="仿宋" w:eastAsia="仿宋"/>
          <w:b w:val="0"/>
          <w:spacing w:val="-4"/>
          <w:sz w:val="32"/>
          <w:szCs w:val="32"/>
        </w:rPr>
      </w:pPr>
    </w:p>
    <w:tbl>
      <w:tblPr>
        <w:tblStyle w:val="19"/>
        <w:tblW w:w="9020" w:type="dxa"/>
        <w:tblInd w:w="93" w:type="dxa"/>
        <w:tblLayout w:type="autofit"/>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cs="宋体"/>
                <w:b/>
                <w:bCs/>
                <w:kern w:val="0"/>
                <w:sz w:val="32"/>
                <w:szCs w:val="32"/>
              </w:rPr>
            </w:pPr>
            <w:r>
              <w:rPr>
                <w:rFonts w:hint="eastAsia" w:ascii="宋体" w:hAnsi="宋体" w:cs="宋体"/>
                <w:b/>
                <w:bCs/>
                <w:kern w:val="0"/>
                <w:sz w:val="32"/>
                <w:szCs w:val="32"/>
              </w:rPr>
              <w:t>巴州离退休干部服务中心财政项目支出绩效自评表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rFonts w:ascii="宋体" w:hAnsi="宋体" w:cs="宋体"/>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cs="宋体"/>
                <w:kern w:val="0"/>
                <w:sz w:val="24"/>
              </w:rPr>
            </w:pPr>
          </w:p>
        </w:tc>
        <w:tc>
          <w:tcPr>
            <w:tcW w:w="1140" w:type="dxa"/>
            <w:tcBorders>
              <w:top w:val="nil"/>
              <w:left w:val="nil"/>
              <w:bottom w:val="nil"/>
              <w:right w:val="nil"/>
            </w:tcBorders>
            <w:vAlign w:val="center"/>
          </w:tcPr>
          <w:p>
            <w:pPr>
              <w:widowControl/>
              <w:jc w:val="center"/>
              <w:rPr>
                <w:rFonts w:ascii="宋体" w:cs="宋体"/>
                <w:kern w:val="0"/>
                <w:sz w:val="24"/>
              </w:rPr>
            </w:pPr>
          </w:p>
        </w:tc>
        <w:tc>
          <w:tcPr>
            <w:tcW w:w="1360" w:type="dxa"/>
            <w:tcBorders>
              <w:top w:val="nil"/>
              <w:left w:val="nil"/>
              <w:bottom w:val="nil"/>
              <w:right w:val="nil"/>
            </w:tcBorders>
            <w:vAlign w:val="center"/>
          </w:tcPr>
          <w:p>
            <w:pPr>
              <w:widowControl/>
              <w:jc w:val="center"/>
              <w:rPr>
                <w:rFonts w:ascii="宋体" w:cs="宋体"/>
                <w:kern w:val="0"/>
                <w:sz w:val="24"/>
              </w:rPr>
            </w:pPr>
          </w:p>
        </w:tc>
        <w:tc>
          <w:tcPr>
            <w:tcW w:w="1080" w:type="dxa"/>
            <w:tcBorders>
              <w:top w:val="nil"/>
              <w:left w:val="nil"/>
              <w:bottom w:val="nil"/>
              <w:right w:val="nil"/>
            </w:tcBorders>
            <w:vAlign w:val="center"/>
          </w:tcPr>
          <w:p>
            <w:pPr>
              <w:widowControl/>
              <w:jc w:val="center"/>
              <w:rPr>
                <w:rFonts w:ascii="宋体" w:cs="宋体"/>
                <w:kern w:val="0"/>
                <w:sz w:val="24"/>
              </w:rPr>
            </w:pPr>
          </w:p>
        </w:tc>
        <w:tc>
          <w:tcPr>
            <w:tcW w:w="880" w:type="dxa"/>
            <w:tcBorders>
              <w:top w:val="nil"/>
              <w:left w:val="nil"/>
              <w:bottom w:val="nil"/>
              <w:right w:val="nil"/>
            </w:tcBorders>
            <w:vAlign w:val="center"/>
          </w:tcPr>
          <w:p>
            <w:pPr>
              <w:widowControl/>
              <w:jc w:val="center"/>
              <w:rPr>
                <w:rFonts w:ascii="宋体" w:cs="宋体"/>
                <w:kern w:val="0"/>
                <w:sz w:val="24"/>
              </w:rPr>
            </w:pPr>
          </w:p>
        </w:tc>
        <w:tc>
          <w:tcPr>
            <w:tcW w:w="2060" w:type="dxa"/>
            <w:tcBorders>
              <w:top w:val="nil"/>
              <w:left w:val="nil"/>
              <w:bottom w:val="nil"/>
              <w:right w:val="nil"/>
            </w:tcBorders>
            <w:vAlign w:val="center"/>
          </w:tcPr>
          <w:p>
            <w:pPr>
              <w:widowControl/>
              <w:jc w:val="center"/>
              <w:rPr>
                <w:rFonts w:ascii="宋体" w:cs="宋体"/>
                <w:kern w:val="0"/>
                <w:sz w:val="24"/>
              </w:rPr>
            </w:pPr>
          </w:p>
        </w:tc>
        <w:tc>
          <w:tcPr>
            <w:tcW w:w="1780" w:type="dxa"/>
            <w:tcBorders>
              <w:top w:val="nil"/>
              <w:left w:val="nil"/>
              <w:bottom w:val="nil"/>
              <w:right w:val="nil"/>
            </w:tcBorders>
            <w:vAlign w:val="center"/>
          </w:tcPr>
          <w:p>
            <w:pPr>
              <w:widowControl/>
              <w:jc w:val="center"/>
              <w:rPr>
                <w:rFonts w:asci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2018</w:t>
            </w:r>
            <w:r>
              <w:rPr>
                <w:rFonts w:hint="eastAsia" w:ascii="宋体" w:hAnsi="宋体" w:cs="宋体"/>
                <w:kern w:val="0"/>
                <w:sz w:val="20"/>
                <w:szCs w:val="20"/>
              </w:rPr>
              <w:t>年州管离退休离退休干部项目资金</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巴州离退休干部服务中心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ascii="宋体" w:hAnsi="Arial" w:cs="宋体"/>
                <w:color w:val="000000"/>
                <w:kern w:val="0"/>
                <w:sz w:val="20"/>
                <w:szCs w:val="20"/>
              </w:rPr>
              <w:t>180000</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Arial" w:cs="宋体"/>
                <w:color w:val="000000"/>
                <w:kern w:val="0"/>
                <w:sz w:val="20"/>
                <w:szCs w:val="20"/>
              </w:rPr>
              <w:t>180410</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ascii="宋体" w:hAnsi="Arial" w:cs="宋体"/>
                <w:color w:val="000000"/>
                <w:kern w:val="0"/>
                <w:sz w:val="20"/>
                <w:szCs w:val="20"/>
              </w:rPr>
              <w:t>180000</w:t>
            </w:r>
            <w:r>
              <w:rPr>
                <w:rFonts w:hint="eastAsia" w:ascii="宋体" w:hAnsi="宋体" w:cs="宋体"/>
                <w:kern w:val="0"/>
                <w:sz w:val="20"/>
                <w:szCs w:val="20"/>
              </w:rPr>
              <w:t>　</w:t>
            </w:r>
          </w:p>
        </w:tc>
        <w:tc>
          <w:tcPr>
            <w:tcW w:w="2060" w:type="dxa"/>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Arial" w:cs="宋体"/>
                <w:color w:val="000000"/>
                <w:kern w:val="0"/>
                <w:sz w:val="20"/>
                <w:szCs w:val="20"/>
              </w:rPr>
              <w:t>180410</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ascii="宋体" w:cs="宋体"/>
                <w:kern w:val="0"/>
                <w:sz w:val="20"/>
                <w:szCs w:val="20"/>
              </w:rPr>
              <w:t>0</w:t>
            </w: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cs="宋体"/>
                <w:kern w:val="0"/>
                <w:sz w:val="20"/>
                <w:szCs w:val="20"/>
              </w:rPr>
              <w:t>0</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rPr>
                <w:sz w:val="22"/>
              </w:rPr>
            </w:pPr>
            <w:r>
              <w:rPr>
                <w:sz w:val="22"/>
              </w:rPr>
              <w:t>1</w:t>
            </w:r>
            <w:r>
              <w:rPr>
                <w:rFonts w:hint="eastAsia"/>
                <w:sz w:val="22"/>
              </w:rPr>
              <w:t>、巴党组通字【</w:t>
            </w:r>
            <w:r>
              <w:rPr>
                <w:sz w:val="22"/>
              </w:rPr>
              <w:t>2014</w:t>
            </w:r>
            <w:r>
              <w:rPr>
                <w:rFonts w:hint="eastAsia"/>
                <w:sz w:val="22"/>
              </w:rPr>
              <w:t>】</w:t>
            </w:r>
            <w:r>
              <w:rPr>
                <w:sz w:val="22"/>
              </w:rPr>
              <w:t>14</w:t>
            </w:r>
            <w:r>
              <w:rPr>
                <w:rFonts w:hint="eastAsia"/>
                <w:sz w:val="22"/>
              </w:rPr>
              <w:t>号</w:t>
            </w:r>
          </w:p>
          <w:p>
            <w:r>
              <w:rPr>
                <w:sz w:val="22"/>
              </w:rPr>
              <w:t>2</w:t>
            </w:r>
            <w:r>
              <w:rPr>
                <w:rFonts w:hint="eastAsia"/>
                <w:sz w:val="22"/>
              </w:rPr>
              <w:t>、巴财预【</w:t>
            </w:r>
            <w:r>
              <w:rPr>
                <w:sz w:val="22"/>
              </w:rPr>
              <w:t>2008</w:t>
            </w:r>
            <w:r>
              <w:rPr>
                <w:rFonts w:hint="eastAsia"/>
                <w:sz w:val="22"/>
              </w:rPr>
              <w:t>】</w:t>
            </w:r>
            <w:r>
              <w:rPr>
                <w:sz w:val="22"/>
              </w:rPr>
              <w:t>175</w:t>
            </w:r>
            <w:r>
              <w:rPr>
                <w:rFonts w:hint="eastAsia"/>
                <w:sz w:val="22"/>
              </w:rPr>
              <w:t>号</w:t>
            </w:r>
            <w:r>
              <w:rPr>
                <w:rFonts w:hint="eastAsia"/>
              </w:rPr>
              <w:t>。</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Fonts w:hint="eastAsia"/>
              </w:rPr>
              <w:t>完成及时性、质量情况。各项工作任务均按计划时间完成，完成质量良好。</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right w:val="single" w:color="auto" w:sz="4" w:space="0"/>
            </w:tcBorders>
            <w:vAlign w:val="center"/>
          </w:tcPr>
          <w:p>
            <w:pPr>
              <w:widowControl/>
              <w:jc w:val="center"/>
              <w:rPr>
                <w:rFonts w:ascii="宋体" w:cs="宋体"/>
                <w:kern w:val="0"/>
                <w:sz w:val="20"/>
                <w:szCs w:val="20"/>
              </w:rPr>
            </w:pPr>
          </w:p>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311"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single" w:color="auto" w:sz="4" w:space="0"/>
              <w:left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项目完成指标</w:t>
            </w:r>
          </w:p>
        </w:tc>
        <w:tc>
          <w:tcPr>
            <w:tcW w:w="1360" w:type="dxa"/>
            <w:vMerge w:val="restart"/>
            <w:tcBorders>
              <w:top w:val="single" w:color="auto" w:sz="4" w:space="0"/>
              <w:left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老干部网络使用费</w:t>
            </w:r>
          </w:p>
        </w:tc>
        <w:tc>
          <w:tcPr>
            <w:tcW w:w="2060" w:type="dxa"/>
            <w:tcBorders>
              <w:top w:val="nil"/>
              <w:left w:val="nil"/>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保证网络正常运行</w:t>
            </w:r>
          </w:p>
        </w:tc>
        <w:tc>
          <w:tcPr>
            <w:tcW w:w="1780" w:type="dxa"/>
            <w:tcBorders>
              <w:top w:val="nil"/>
              <w:left w:val="nil"/>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311"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center"/>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center"/>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慰问企业离退休干部及遗孀</w:t>
            </w:r>
          </w:p>
        </w:tc>
        <w:tc>
          <w:tcPr>
            <w:tcW w:w="2060" w:type="dxa"/>
            <w:tcBorders>
              <w:left w:val="nil"/>
              <w:right w:val="single" w:color="auto" w:sz="4" w:space="0"/>
            </w:tcBorders>
            <w:vAlign w:val="center"/>
          </w:tcPr>
          <w:p>
            <w:pPr>
              <w:widowControl/>
              <w:jc w:val="left"/>
              <w:rPr>
                <w:rFonts w:ascii="宋体" w:cs="宋体"/>
                <w:kern w:val="0"/>
                <w:sz w:val="20"/>
                <w:szCs w:val="20"/>
              </w:rPr>
            </w:pPr>
            <w:r>
              <w:rPr>
                <w:rFonts w:ascii="宋体" w:cs="宋体"/>
                <w:kern w:val="0"/>
                <w:sz w:val="20"/>
                <w:szCs w:val="20"/>
              </w:rPr>
              <w:t>91</w:t>
            </w:r>
            <w:r>
              <w:rPr>
                <w:rFonts w:hint="eastAsia" w:ascii="宋体" w:cs="宋体"/>
                <w:kern w:val="0"/>
                <w:sz w:val="20"/>
                <w:szCs w:val="20"/>
              </w:rPr>
              <w:t>人</w:t>
            </w:r>
          </w:p>
        </w:tc>
        <w:tc>
          <w:tcPr>
            <w:tcW w:w="1780" w:type="dxa"/>
            <w:tcBorders>
              <w:left w:val="nil"/>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311"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center"/>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center"/>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慰问易地安置企业离休干部及遗孀</w:t>
            </w:r>
          </w:p>
        </w:tc>
        <w:tc>
          <w:tcPr>
            <w:tcW w:w="2060" w:type="dxa"/>
            <w:tcBorders>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5</w:t>
            </w:r>
            <w:r>
              <w:rPr>
                <w:rFonts w:hint="eastAsia" w:ascii="宋体" w:cs="宋体"/>
                <w:kern w:val="0"/>
                <w:sz w:val="20"/>
                <w:szCs w:val="20"/>
              </w:rPr>
              <w:t>人</w:t>
            </w:r>
          </w:p>
        </w:tc>
        <w:tc>
          <w:tcPr>
            <w:tcW w:w="1780" w:type="dxa"/>
            <w:tcBorders>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走访慰问老干部党员和生活困难党员</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17</w:t>
            </w:r>
            <w:r>
              <w:rPr>
                <w:rFonts w:hint="eastAsia" w:ascii="宋体" w:cs="宋体"/>
                <w:kern w:val="0"/>
                <w:sz w:val="20"/>
                <w:szCs w:val="20"/>
              </w:rPr>
              <w:t>人</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慰问重病老干部</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156</w:t>
            </w:r>
            <w:r>
              <w:rPr>
                <w:rFonts w:hint="eastAsia" w:ascii="宋体" w:cs="宋体"/>
                <w:kern w:val="0"/>
                <w:sz w:val="20"/>
                <w:szCs w:val="20"/>
              </w:rPr>
              <w:t>人次</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全年慰问生活不能自理老干部</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52</w:t>
            </w:r>
            <w:r>
              <w:rPr>
                <w:rFonts w:hint="eastAsia" w:ascii="宋体" w:hAnsi="宋体" w:cs="宋体"/>
                <w:kern w:val="0"/>
                <w:sz w:val="20"/>
                <w:szCs w:val="20"/>
              </w:rPr>
              <w:t>人次</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征订党报党刊</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17</w:t>
            </w:r>
            <w:r>
              <w:rPr>
                <w:rFonts w:hint="eastAsia" w:ascii="宋体" w:cs="宋体"/>
                <w:kern w:val="0"/>
                <w:sz w:val="20"/>
                <w:szCs w:val="20"/>
              </w:rPr>
              <w:t>种</w:t>
            </w:r>
            <w:r>
              <w:rPr>
                <w:rFonts w:ascii="宋体" w:cs="宋体"/>
                <w:kern w:val="0"/>
                <w:sz w:val="20"/>
                <w:szCs w:val="20"/>
              </w:rPr>
              <w:t>5144.84</w:t>
            </w:r>
            <w:r>
              <w:rPr>
                <w:rFonts w:hint="eastAsia" w:ascii="宋体" w:cs="宋体"/>
                <w:kern w:val="0"/>
                <w:sz w:val="20"/>
                <w:szCs w:val="20"/>
              </w:rPr>
              <w:t>元</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cs="宋体"/>
                <w:kern w:val="0"/>
                <w:sz w:val="18"/>
                <w:szCs w:val="18"/>
              </w:rPr>
              <w:t>慰问高龄生活困难老干部</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89</w:t>
            </w:r>
            <w:r>
              <w:rPr>
                <w:rFonts w:hint="eastAsia" w:ascii="宋体" w:cs="宋体"/>
                <w:kern w:val="0"/>
                <w:sz w:val="20"/>
                <w:szCs w:val="20"/>
              </w:rPr>
              <w:t>人次</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举办老干部运动会</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2</w:t>
            </w:r>
            <w:r>
              <w:rPr>
                <w:rFonts w:hint="eastAsia" w:ascii="宋体" w:cs="宋体"/>
                <w:kern w:val="0"/>
                <w:sz w:val="20"/>
                <w:szCs w:val="20"/>
              </w:rPr>
              <w:t>次</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举办老干部参观活动</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12</w:t>
            </w:r>
            <w:r>
              <w:rPr>
                <w:rFonts w:hint="eastAsia" w:ascii="宋体" w:hAnsi="宋体" w:cs="宋体"/>
                <w:kern w:val="0"/>
                <w:sz w:val="20"/>
                <w:szCs w:val="20"/>
              </w:rPr>
              <w:t>次</w:t>
            </w:r>
            <w:r>
              <w:rPr>
                <w:rFonts w:ascii="宋体" w:hAnsi="宋体" w:cs="宋体"/>
                <w:kern w:val="0"/>
                <w:sz w:val="20"/>
                <w:szCs w:val="20"/>
              </w:rPr>
              <w:t>750</w:t>
            </w:r>
            <w:r>
              <w:rPr>
                <w:rFonts w:hint="eastAsia" w:ascii="宋体" w:hAnsi="宋体" w:cs="宋体"/>
                <w:kern w:val="0"/>
                <w:sz w:val="20"/>
                <w:szCs w:val="20"/>
              </w:rPr>
              <w:t>余人</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举办老干部文艺活动</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20</w:t>
            </w:r>
            <w:r>
              <w:rPr>
                <w:rFonts w:hint="eastAsia" w:ascii="宋体" w:hAnsi="宋体" w:cs="宋体"/>
                <w:kern w:val="0"/>
                <w:sz w:val="20"/>
                <w:szCs w:val="20"/>
              </w:rPr>
              <w:t>次</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完成率</w:t>
            </w: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网络运行正常率</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走访慰问工作全覆盖率</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100%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100%</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企业离退休干部及遗孀取暖费报销率</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100%</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困难离退休干部帮扶率</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ascii="宋体" w:hAnsi="宋体" w:cs="宋体"/>
                <w:kern w:val="0"/>
                <w:sz w:val="20"/>
                <w:szCs w:val="20"/>
              </w:rPr>
              <w:t>100%</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参加老干部丧事</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10</w:t>
            </w:r>
            <w:r>
              <w:rPr>
                <w:rFonts w:hint="eastAsia" w:ascii="宋体" w:cs="宋体"/>
                <w:kern w:val="0"/>
                <w:sz w:val="20"/>
                <w:szCs w:val="20"/>
              </w:rPr>
              <w:t>次</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社会效益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离退休干部新知识学习情况</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有所提高</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有所提高</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取得“慰问一人、温暖一户、带动一片”的效果</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有所提高</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有所提高</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为巴州各项事业积极建言献策</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有所提高</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有所提高</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给更多的困难离退休干部及家庭提供帮助</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有所提升</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有所提升</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企业离退休干部满意度</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100%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90%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rPr>
              <w:t>企业离退休遗孀满意度</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100%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90%</w:t>
            </w:r>
          </w:p>
        </w:tc>
      </w:tr>
    </w:tbl>
    <w:p>
      <w:pPr>
        <w:spacing w:line="540" w:lineRule="exact"/>
        <w:ind w:firstLine="567"/>
        <w:rPr>
          <w:rStyle w:val="21"/>
          <w:rFonts w:ascii="仿宋" w:hAnsi="仿宋" w:eastAsia="仿宋"/>
          <w:b w:val="0"/>
          <w:spacing w:val="-4"/>
          <w:sz w:val="32"/>
          <w:szCs w:val="32"/>
        </w:rPr>
      </w:pPr>
    </w:p>
    <w:sectPr>
      <w:pgSz w:w="11906" w:h="16838"/>
      <w:pgMar w:top="1440" w:right="1559"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9142A03-AB8F-4169-9403-034C7CD60E43}"/>
  </w:font>
  <w:font w:name="黑体">
    <w:panose1 w:val="02010609060101010101"/>
    <w:charset w:val="86"/>
    <w:family w:val="auto"/>
    <w:pitch w:val="default"/>
    <w:sig w:usb0="800002BF" w:usb1="38CF7CFA" w:usb2="00000016" w:usb3="00000000" w:csb0="00040001" w:csb1="00000000"/>
    <w:embedRegular r:id="rId2" w:fontKey="{E930113B-492E-4AC6-9CDD-D2F1684D4DD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A7B007DB-4364-4AD9-A595-9DB21991B5BF}"/>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embedRegular r:id="rId4" w:fontKey="{AA5C4AB4-348A-4346-B127-9912C8DCB788}"/>
  </w:font>
  <w:font w:name="华文中宋">
    <w:panose1 w:val="02010600040101010101"/>
    <w:charset w:val="86"/>
    <w:family w:val="auto"/>
    <w:pitch w:val="default"/>
    <w:sig w:usb0="00000287" w:usb1="080F0000" w:usb2="00000000" w:usb3="00000000" w:csb0="0004009F" w:csb1="DFD70000"/>
    <w:embedRegular r:id="rId5" w:fontKey="{C03908BB-8DAC-42C2-82D3-7A772857941D}"/>
  </w:font>
  <w:font w:name="方正小标宋_GBK">
    <w:panose1 w:val="02000000000000000000"/>
    <w:charset w:val="86"/>
    <w:family w:val="script"/>
    <w:pitch w:val="default"/>
    <w:sig w:usb0="A00002BF" w:usb1="38CF7CFA" w:usb2="00082016" w:usb3="00000000" w:csb0="00040001" w:csb1="00000000"/>
    <w:embedRegular r:id="rId6" w:fontKey="{9E3D81D1-EF72-4F2C-AE03-8FA7FE14A89C}"/>
  </w:font>
  <w:font w:name="楷体">
    <w:panose1 w:val="02010609060101010101"/>
    <w:charset w:val="86"/>
    <w:family w:val="modern"/>
    <w:pitch w:val="default"/>
    <w:sig w:usb0="800002BF" w:usb1="38CF7CFA" w:usb2="00000016" w:usb3="00000000" w:csb0="00040001" w:csb1="00000000"/>
    <w:embedRegular r:id="rId7" w:fontKey="{12CC80CF-CA5C-4816-A479-7971BCADCB9D}"/>
  </w:font>
  <w:font w:name="仿宋">
    <w:panose1 w:val="02010609060101010101"/>
    <w:charset w:val="86"/>
    <w:family w:val="modern"/>
    <w:pitch w:val="default"/>
    <w:sig w:usb0="800002BF" w:usb1="38CF7CFA" w:usb2="00000016" w:usb3="00000000" w:csb0="00040001" w:csb1="00000000"/>
    <w:embedRegular r:id="rId8" w:fontKey="{99460310-4854-4A3A-B38C-D0CAE064B1F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2</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hiMzgzMWJiNDVmMjc4YmZhYzYxZmZlMGEwZTI0MDIifQ=="/>
  </w:docVars>
  <w:rsids>
    <w:rsidRoot w:val="00CA6457"/>
    <w:rsid w:val="00020341"/>
    <w:rsid w:val="000211C1"/>
    <w:rsid w:val="00031DEA"/>
    <w:rsid w:val="00056465"/>
    <w:rsid w:val="00064A03"/>
    <w:rsid w:val="00073267"/>
    <w:rsid w:val="00074766"/>
    <w:rsid w:val="000772EE"/>
    <w:rsid w:val="000968A8"/>
    <w:rsid w:val="00097F47"/>
    <w:rsid w:val="000A6716"/>
    <w:rsid w:val="000B5E51"/>
    <w:rsid w:val="000C4FE7"/>
    <w:rsid w:val="000D53ED"/>
    <w:rsid w:val="000D5D7A"/>
    <w:rsid w:val="000E166B"/>
    <w:rsid w:val="000F296E"/>
    <w:rsid w:val="0011381C"/>
    <w:rsid w:val="001149B5"/>
    <w:rsid w:val="00121AE4"/>
    <w:rsid w:val="001227DC"/>
    <w:rsid w:val="00123412"/>
    <w:rsid w:val="00146AAD"/>
    <w:rsid w:val="00155729"/>
    <w:rsid w:val="00155EA3"/>
    <w:rsid w:val="0015659D"/>
    <w:rsid w:val="00161872"/>
    <w:rsid w:val="00170D78"/>
    <w:rsid w:val="0017323D"/>
    <w:rsid w:val="00191DE4"/>
    <w:rsid w:val="001935B6"/>
    <w:rsid w:val="001A0127"/>
    <w:rsid w:val="001A5883"/>
    <w:rsid w:val="001B3A40"/>
    <w:rsid w:val="001C243D"/>
    <w:rsid w:val="001C53F9"/>
    <w:rsid w:val="001C65B2"/>
    <w:rsid w:val="001D0535"/>
    <w:rsid w:val="001E6440"/>
    <w:rsid w:val="001F29A4"/>
    <w:rsid w:val="002013B5"/>
    <w:rsid w:val="0021160F"/>
    <w:rsid w:val="00212F2A"/>
    <w:rsid w:val="00213552"/>
    <w:rsid w:val="002328EB"/>
    <w:rsid w:val="00232DA4"/>
    <w:rsid w:val="00251A2A"/>
    <w:rsid w:val="00252851"/>
    <w:rsid w:val="002574E5"/>
    <w:rsid w:val="00261FCD"/>
    <w:rsid w:val="00274F05"/>
    <w:rsid w:val="002853A7"/>
    <w:rsid w:val="00293A7A"/>
    <w:rsid w:val="002A51DB"/>
    <w:rsid w:val="002B624C"/>
    <w:rsid w:val="002C232F"/>
    <w:rsid w:val="002E61D7"/>
    <w:rsid w:val="002F262F"/>
    <w:rsid w:val="002F47A7"/>
    <w:rsid w:val="003027B0"/>
    <w:rsid w:val="00306ABC"/>
    <w:rsid w:val="00306C16"/>
    <w:rsid w:val="003278AB"/>
    <w:rsid w:val="003329E1"/>
    <w:rsid w:val="00340DEE"/>
    <w:rsid w:val="00357B5C"/>
    <w:rsid w:val="00361EAA"/>
    <w:rsid w:val="00362677"/>
    <w:rsid w:val="00367F62"/>
    <w:rsid w:val="00371FD4"/>
    <w:rsid w:val="00376D25"/>
    <w:rsid w:val="00386DB4"/>
    <w:rsid w:val="003908B7"/>
    <w:rsid w:val="00395764"/>
    <w:rsid w:val="003C5792"/>
    <w:rsid w:val="003D096E"/>
    <w:rsid w:val="003D5B68"/>
    <w:rsid w:val="003E206C"/>
    <w:rsid w:val="003F375F"/>
    <w:rsid w:val="003F4475"/>
    <w:rsid w:val="004023AC"/>
    <w:rsid w:val="00403380"/>
    <w:rsid w:val="00415E93"/>
    <w:rsid w:val="00421A77"/>
    <w:rsid w:val="0042399F"/>
    <w:rsid w:val="00430380"/>
    <w:rsid w:val="00434307"/>
    <w:rsid w:val="00434E88"/>
    <w:rsid w:val="004366A8"/>
    <w:rsid w:val="00437400"/>
    <w:rsid w:val="00440D31"/>
    <w:rsid w:val="00457286"/>
    <w:rsid w:val="00464335"/>
    <w:rsid w:val="00471936"/>
    <w:rsid w:val="00486B5B"/>
    <w:rsid w:val="004947DC"/>
    <w:rsid w:val="00495999"/>
    <w:rsid w:val="00495C72"/>
    <w:rsid w:val="00497F33"/>
    <w:rsid w:val="004B7799"/>
    <w:rsid w:val="004C390B"/>
    <w:rsid w:val="004F7960"/>
    <w:rsid w:val="00501FF9"/>
    <w:rsid w:val="00502BA7"/>
    <w:rsid w:val="00512B28"/>
    <w:rsid w:val="005162F1"/>
    <w:rsid w:val="005178C7"/>
    <w:rsid w:val="0052473E"/>
    <w:rsid w:val="0053071A"/>
    <w:rsid w:val="00535153"/>
    <w:rsid w:val="00545DD1"/>
    <w:rsid w:val="00553A9E"/>
    <w:rsid w:val="00554F82"/>
    <w:rsid w:val="0056390D"/>
    <w:rsid w:val="005719B0"/>
    <w:rsid w:val="00571C39"/>
    <w:rsid w:val="005904C5"/>
    <w:rsid w:val="00591DB8"/>
    <w:rsid w:val="005924B1"/>
    <w:rsid w:val="005B3783"/>
    <w:rsid w:val="005D10D6"/>
    <w:rsid w:val="005D2B1A"/>
    <w:rsid w:val="005E2A94"/>
    <w:rsid w:val="005E2C02"/>
    <w:rsid w:val="005F2777"/>
    <w:rsid w:val="00611C78"/>
    <w:rsid w:val="00625A20"/>
    <w:rsid w:val="006462D5"/>
    <w:rsid w:val="00651209"/>
    <w:rsid w:val="00663EDA"/>
    <w:rsid w:val="00666243"/>
    <w:rsid w:val="00667590"/>
    <w:rsid w:val="00674373"/>
    <w:rsid w:val="0069024C"/>
    <w:rsid w:val="00691A1A"/>
    <w:rsid w:val="006A5697"/>
    <w:rsid w:val="006B1A98"/>
    <w:rsid w:val="006B4BEA"/>
    <w:rsid w:val="006C1E92"/>
    <w:rsid w:val="006C32AA"/>
    <w:rsid w:val="006C649A"/>
    <w:rsid w:val="006D1A59"/>
    <w:rsid w:val="006D59FE"/>
    <w:rsid w:val="006E171B"/>
    <w:rsid w:val="006E6BB4"/>
    <w:rsid w:val="00700DA5"/>
    <w:rsid w:val="007343FD"/>
    <w:rsid w:val="00741ADC"/>
    <w:rsid w:val="00754F82"/>
    <w:rsid w:val="007653DA"/>
    <w:rsid w:val="00782532"/>
    <w:rsid w:val="00784F66"/>
    <w:rsid w:val="00790462"/>
    <w:rsid w:val="007B1008"/>
    <w:rsid w:val="007B6592"/>
    <w:rsid w:val="007C53B0"/>
    <w:rsid w:val="007D2CB8"/>
    <w:rsid w:val="007D5BA9"/>
    <w:rsid w:val="007E1F38"/>
    <w:rsid w:val="007E7984"/>
    <w:rsid w:val="007F73FB"/>
    <w:rsid w:val="00816D9E"/>
    <w:rsid w:val="00834B55"/>
    <w:rsid w:val="00834E79"/>
    <w:rsid w:val="00855E3A"/>
    <w:rsid w:val="00860BF4"/>
    <w:rsid w:val="0086197A"/>
    <w:rsid w:val="00866681"/>
    <w:rsid w:val="008A101A"/>
    <w:rsid w:val="008A3A6E"/>
    <w:rsid w:val="008A6A46"/>
    <w:rsid w:val="008B0D9B"/>
    <w:rsid w:val="008D01F9"/>
    <w:rsid w:val="008D6079"/>
    <w:rsid w:val="008E5256"/>
    <w:rsid w:val="008E7317"/>
    <w:rsid w:val="008F1003"/>
    <w:rsid w:val="009137B7"/>
    <w:rsid w:val="00922CB9"/>
    <w:rsid w:val="0093477D"/>
    <w:rsid w:val="00955D9B"/>
    <w:rsid w:val="00961C1A"/>
    <w:rsid w:val="0097638A"/>
    <w:rsid w:val="00976EE8"/>
    <w:rsid w:val="00995C7B"/>
    <w:rsid w:val="009A49F9"/>
    <w:rsid w:val="009C3BB6"/>
    <w:rsid w:val="009D06FA"/>
    <w:rsid w:val="009D1D1D"/>
    <w:rsid w:val="009D3B7F"/>
    <w:rsid w:val="009E5CD9"/>
    <w:rsid w:val="009F0EFE"/>
    <w:rsid w:val="009F5294"/>
    <w:rsid w:val="009F78E9"/>
    <w:rsid w:val="00A03251"/>
    <w:rsid w:val="00A12EFD"/>
    <w:rsid w:val="00A2493C"/>
    <w:rsid w:val="00A26421"/>
    <w:rsid w:val="00A35460"/>
    <w:rsid w:val="00A42505"/>
    <w:rsid w:val="00A4293B"/>
    <w:rsid w:val="00A514C1"/>
    <w:rsid w:val="00A62270"/>
    <w:rsid w:val="00A63580"/>
    <w:rsid w:val="00A645BF"/>
    <w:rsid w:val="00A67D50"/>
    <w:rsid w:val="00A73FCA"/>
    <w:rsid w:val="00A76598"/>
    <w:rsid w:val="00A86077"/>
    <w:rsid w:val="00A8691A"/>
    <w:rsid w:val="00A937AC"/>
    <w:rsid w:val="00AC0D2B"/>
    <w:rsid w:val="00AC1946"/>
    <w:rsid w:val="00AC621B"/>
    <w:rsid w:val="00AD0AFD"/>
    <w:rsid w:val="00B06FA5"/>
    <w:rsid w:val="00B20555"/>
    <w:rsid w:val="00B40063"/>
    <w:rsid w:val="00B41F5D"/>
    <w:rsid w:val="00B41F61"/>
    <w:rsid w:val="00B457B8"/>
    <w:rsid w:val="00B45F6F"/>
    <w:rsid w:val="00B6183A"/>
    <w:rsid w:val="00B636B3"/>
    <w:rsid w:val="00B73614"/>
    <w:rsid w:val="00B94BE8"/>
    <w:rsid w:val="00BA122A"/>
    <w:rsid w:val="00BA46E6"/>
    <w:rsid w:val="00BA576B"/>
    <w:rsid w:val="00BA5A1B"/>
    <w:rsid w:val="00BA7173"/>
    <w:rsid w:val="00BB0887"/>
    <w:rsid w:val="00BB28C3"/>
    <w:rsid w:val="00BD5227"/>
    <w:rsid w:val="00BD753F"/>
    <w:rsid w:val="00C14484"/>
    <w:rsid w:val="00C4491D"/>
    <w:rsid w:val="00C56C72"/>
    <w:rsid w:val="00C65590"/>
    <w:rsid w:val="00C67A7C"/>
    <w:rsid w:val="00C7004A"/>
    <w:rsid w:val="00C83E7E"/>
    <w:rsid w:val="00CA4A31"/>
    <w:rsid w:val="00CA4B08"/>
    <w:rsid w:val="00CA6457"/>
    <w:rsid w:val="00CB08F2"/>
    <w:rsid w:val="00CB4FDA"/>
    <w:rsid w:val="00CB5714"/>
    <w:rsid w:val="00CC0D4D"/>
    <w:rsid w:val="00CC7C79"/>
    <w:rsid w:val="00CD7A71"/>
    <w:rsid w:val="00CE3331"/>
    <w:rsid w:val="00CF0855"/>
    <w:rsid w:val="00CF10AF"/>
    <w:rsid w:val="00CF3080"/>
    <w:rsid w:val="00CF49C9"/>
    <w:rsid w:val="00CF58E0"/>
    <w:rsid w:val="00D00051"/>
    <w:rsid w:val="00D17F2E"/>
    <w:rsid w:val="00D30354"/>
    <w:rsid w:val="00D354B4"/>
    <w:rsid w:val="00D425CC"/>
    <w:rsid w:val="00D50305"/>
    <w:rsid w:val="00D65462"/>
    <w:rsid w:val="00D66BFB"/>
    <w:rsid w:val="00D74CC6"/>
    <w:rsid w:val="00D9169E"/>
    <w:rsid w:val="00D978C2"/>
    <w:rsid w:val="00DB06F0"/>
    <w:rsid w:val="00DB67A7"/>
    <w:rsid w:val="00DE0441"/>
    <w:rsid w:val="00DF24D8"/>
    <w:rsid w:val="00DF42A0"/>
    <w:rsid w:val="00E024BC"/>
    <w:rsid w:val="00E147B5"/>
    <w:rsid w:val="00E15DEF"/>
    <w:rsid w:val="00E54331"/>
    <w:rsid w:val="00E7288B"/>
    <w:rsid w:val="00E769FE"/>
    <w:rsid w:val="00E8476D"/>
    <w:rsid w:val="00E95A23"/>
    <w:rsid w:val="00E97255"/>
    <w:rsid w:val="00EA2CBE"/>
    <w:rsid w:val="00EA6A30"/>
    <w:rsid w:val="00EB3B68"/>
    <w:rsid w:val="00EB5FA4"/>
    <w:rsid w:val="00EC0A17"/>
    <w:rsid w:val="00EC18A9"/>
    <w:rsid w:val="00ED45AF"/>
    <w:rsid w:val="00ED5C56"/>
    <w:rsid w:val="00ED63C6"/>
    <w:rsid w:val="00EE44F4"/>
    <w:rsid w:val="00EF248E"/>
    <w:rsid w:val="00EF6144"/>
    <w:rsid w:val="00F07A96"/>
    <w:rsid w:val="00F24E69"/>
    <w:rsid w:val="00F32FEE"/>
    <w:rsid w:val="00F510AF"/>
    <w:rsid w:val="00F51A73"/>
    <w:rsid w:val="00F6577B"/>
    <w:rsid w:val="00F80B5C"/>
    <w:rsid w:val="00F9071D"/>
    <w:rsid w:val="00F945C6"/>
    <w:rsid w:val="00FA2708"/>
    <w:rsid w:val="00FA698A"/>
    <w:rsid w:val="00FB10BB"/>
    <w:rsid w:val="00FB6280"/>
    <w:rsid w:val="00FC3272"/>
    <w:rsid w:val="00FC32D2"/>
    <w:rsid w:val="00FC333B"/>
    <w:rsid w:val="00FC4805"/>
    <w:rsid w:val="00FD0700"/>
    <w:rsid w:val="00FF0E83"/>
    <w:rsid w:val="58F35A84"/>
    <w:rsid w:val="6882571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99" w:semiHidden="0" w:name="toc 1" w:locked="1"/>
    <w:lsdException w:unhideWhenUsed="0" w:uiPriority="99" w:semiHidden="0"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nhideWhenUsed="0"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4"/>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5"/>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6"/>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7"/>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8"/>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9"/>
    <w:qFormat/>
    <w:uiPriority w:val="99"/>
    <w:pPr>
      <w:widowControl/>
      <w:spacing w:before="240" w:after="60"/>
      <w:jc w:val="left"/>
      <w:outlineLvl w:val="6"/>
    </w:pPr>
    <w:rPr>
      <w:rFonts w:ascii="Calibri" w:hAnsi="Calibri"/>
      <w:kern w:val="0"/>
      <w:sz w:val="24"/>
    </w:rPr>
  </w:style>
  <w:style w:type="paragraph" w:styleId="9">
    <w:name w:val="heading 8"/>
    <w:basedOn w:val="1"/>
    <w:next w:val="1"/>
    <w:link w:val="30"/>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1"/>
    <w:qFormat/>
    <w:uiPriority w:val="99"/>
    <w:pPr>
      <w:widowControl/>
      <w:spacing w:before="240" w:after="60"/>
      <w:jc w:val="left"/>
      <w:outlineLvl w:val="8"/>
    </w:pPr>
    <w:rPr>
      <w:rFonts w:ascii="Cambria" w:hAnsi="Cambria"/>
      <w:kern w:val="0"/>
      <w:sz w:val="22"/>
      <w:szCs w:val="22"/>
    </w:rPr>
  </w:style>
  <w:style w:type="character" w:default="1" w:styleId="20">
    <w:name w:val="Default Paragraph Font"/>
    <w:semiHidden/>
    <w:uiPriority w:val="99"/>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8"/>
    <w:semiHidden/>
    <w:uiPriority w:val="99"/>
    <w:rPr>
      <w:sz w:val="18"/>
      <w:szCs w:val="18"/>
    </w:rPr>
  </w:style>
  <w:style w:type="paragraph" w:styleId="12">
    <w:name w:val="footer"/>
    <w:basedOn w:val="1"/>
    <w:link w:val="47"/>
    <w:uiPriority w:val="99"/>
    <w:pPr>
      <w:tabs>
        <w:tab w:val="center" w:pos="4153"/>
        <w:tab w:val="right" w:pos="8306"/>
      </w:tabs>
      <w:snapToGrid w:val="0"/>
      <w:jc w:val="left"/>
    </w:pPr>
    <w:rPr>
      <w:rFonts w:ascii="Calibri" w:hAnsi="Calibri"/>
      <w:sz w:val="18"/>
      <w:szCs w:val="18"/>
    </w:rPr>
  </w:style>
  <w:style w:type="paragraph" w:styleId="13">
    <w:name w:val="header"/>
    <w:basedOn w:val="1"/>
    <w:link w:val="46"/>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toc 1"/>
    <w:basedOn w:val="1"/>
    <w:next w:val="1"/>
    <w:locked/>
    <w:uiPriority w:val="99"/>
    <w:pPr>
      <w:spacing w:before="120" w:after="120"/>
      <w:ind w:firstLine="600" w:firstLineChars="200"/>
      <w:jc w:val="left"/>
    </w:pPr>
    <w:rPr>
      <w:rFonts w:ascii="Calibri" w:hAnsi="Calibri" w:eastAsia="仿宋_GB2312" w:cs="Calibri"/>
      <w:b/>
      <w:bCs/>
      <w:caps/>
      <w:sz w:val="20"/>
      <w:szCs w:val="20"/>
    </w:rPr>
  </w:style>
  <w:style w:type="paragraph" w:styleId="15">
    <w:name w:val="Subtitle"/>
    <w:basedOn w:val="1"/>
    <w:next w:val="1"/>
    <w:link w:val="33"/>
    <w:qFormat/>
    <w:uiPriority w:val="99"/>
    <w:pPr>
      <w:widowControl/>
      <w:spacing w:after="60"/>
      <w:jc w:val="center"/>
      <w:outlineLvl w:val="1"/>
    </w:pPr>
    <w:rPr>
      <w:rFonts w:ascii="Cambria" w:hAnsi="Cambria"/>
      <w:kern w:val="0"/>
      <w:sz w:val="24"/>
    </w:rPr>
  </w:style>
  <w:style w:type="paragraph" w:styleId="16">
    <w:name w:val="toc 2"/>
    <w:basedOn w:val="1"/>
    <w:next w:val="1"/>
    <w:locked/>
    <w:uiPriority w:val="99"/>
    <w:pPr>
      <w:ind w:left="280" w:firstLine="600" w:firstLineChars="200"/>
      <w:jc w:val="left"/>
    </w:pPr>
    <w:rPr>
      <w:rFonts w:ascii="Calibri" w:hAnsi="Calibri" w:eastAsia="仿宋_GB2312" w:cs="Calibri"/>
      <w:smallCaps/>
      <w:sz w:val="20"/>
      <w:szCs w:val="20"/>
    </w:rPr>
  </w:style>
  <w:style w:type="paragraph" w:styleId="17">
    <w:name w:val="Normal (Web)"/>
    <w:basedOn w:val="1"/>
    <w:locked/>
    <w:uiPriority w:val="99"/>
    <w:pPr>
      <w:widowControl/>
      <w:spacing w:before="100" w:beforeAutospacing="1" w:after="100" w:afterAutospacing="1"/>
      <w:jc w:val="left"/>
    </w:pPr>
    <w:rPr>
      <w:rFonts w:ascii="宋体" w:hAnsi="宋体" w:cs="宋体"/>
      <w:kern w:val="0"/>
      <w:sz w:val="24"/>
    </w:rPr>
  </w:style>
  <w:style w:type="paragraph" w:styleId="18">
    <w:name w:val="Title"/>
    <w:basedOn w:val="1"/>
    <w:next w:val="1"/>
    <w:link w:val="32"/>
    <w:qFormat/>
    <w:uiPriority w:val="99"/>
    <w:pPr>
      <w:widowControl/>
      <w:spacing w:before="240" w:after="60"/>
      <w:jc w:val="center"/>
      <w:outlineLvl w:val="0"/>
    </w:pPr>
    <w:rPr>
      <w:rFonts w:ascii="Cambria" w:hAnsi="Cambria"/>
      <w:b/>
      <w:bCs/>
      <w:kern w:val="28"/>
      <w:sz w:val="32"/>
      <w:szCs w:val="32"/>
    </w:rPr>
  </w:style>
  <w:style w:type="character" w:styleId="21">
    <w:name w:val="Strong"/>
    <w:basedOn w:val="20"/>
    <w:qFormat/>
    <w:uiPriority w:val="99"/>
    <w:rPr>
      <w:rFonts w:cs="Times New Roman"/>
      <w:b/>
      <w:bCs/>
    </w:rPr>
  </w:style>
  <w:style w:type="character" w:styleId="22">
    <w:name w:val="Emphasis"/>
    <w:basedOn w:val="20"/>
    <w:qFormat/>
    <w:uiPriority w:val="99"/>
    <w:rPr>
      <w:rFonts w:ascii="Calibri" w:hAnsi="Calibri" w:cs="Times New Roman"/>
      <w:b/>
      <w:i/>
      <w:iCs/>
    </w:rPr>
  </w:style>
  <w:style w:type="character" w:customStyle="1" w:styleId="23">
    <w:name w:val="Heading 1 Char"/>
    <w:basedOn w:val="20"/>
    <w:link w:val="2"/>
    <w:locked/>
    <w:uiPriority w:val="99"/>
    <w:rPr>
      <w:rFonts w:ascii="Cambria" w:hAnsi="Cambria" w:eastAsia="宋体" w:cs="Times New Roman"/>
      <w:b/>
      <w:bCs/>
      <w:kern w:val="32"/>
      <w:sz w:val="32"/>
      <w:szCs w:val="32"/>
    </w:rPr>
  </w:style>
  <w:style w:type="character" w:customStyle="1" w:styleId="24">
    <w:name w:val="Heading 2 Char"/>
    <w:basedOn w:val="20"/>
    <w:link w:val="3"/>
    <w:semiHidden/>
    <w:locked/>
    <w:uiPriority w:val="99"/>
    <w:rPr>
      <w:rFonts w:ascii="Cambria" w:hAnsi="Cambria" w:eastAsia="宋体" w:cs="Times New Roman"/>
      <w:b/>
      <w:bCs/>
      <w:i/>
      <w:iCs/>
      <w:sz w:val="28"/>
      <w:szCs w:val="28"/>
    </w:rPr>
  </w:style>
  <w:style w:type="character" w:customStyle="1" w:styleId="25">
    <w:name w:val="Heading 3 Char"/>
    <w:basedOn w:val="20"/>
    <w:link w:val="4"/>
    <w:semiHidden/>
    <w:locked/>
    <w:uiPriority w:val="99"/>
    <w:rPr>
      <w:rFonts w:ascii="Cambria" w:hAnsi="Cambria" w:eastAsia="宋体" w:cs="Times New Roman"/>
      <w:b/>
      <w:bCs/>
      <w:sz w:val="26"/>
      <w:szCs w:val="26"/>
    </w:rPr>
  </w:style>
  <w:style w:type="character" w:customStyle="1" w:styleId="26">
    <w:name w:val="Heading 4 Char"/>
    <w:basedOn w:val="20"/>
    <w:link w:val="5"/>
    <w:semiHidden/>
    <w:locked/>
    <w:uiPriority w:val="99"/>
    <w:rPr>
      <w:rFonts w:cs="Times New Roman"/>
      <w:b/>
      <w:bCs/>
      <w:sz w:val="28"/>
      <w:szCs w:val="28"/>
    </w:rPr>
  </w:style>
  <w:style w:type="character" w:customStyle="1" w:styleId="27">
    <w:name w:val="Heading 5 Char"/>
    <w:basedOn w:val="20"/>
    <w:link w:val="6"/>
    <w:semiHidden/>
    <w:locked/>
    <w:uiPriority w:val="99"/>
    <w:rPr>
      <w:rFonts w:cs="Times New Roman"/>
      <w:b/>
      <w:bCs/>
      <w:i/>
      <w:iCs/>
      <w:sz w:val="26"/>
      <w:szCs w:val="26"/>
    </w:rPr>
  </w:style>
  <w:style w:type="character" w:customStyle="1" w:styleId="28">
    <w:name w:val="Heading 6 Char"/>
    <w:basedOn w:val="20"/>
    <w:link w:val="7"/>
    <w:semiHidden/>
    <w:locked/>
    <w:uiPriority w:val="99"/>
    <w:rPr>
      <w:rFonts w:cs="Times New Roman"/>
      <w:b/>
      <w:bCs/>
    </w:rPr>
  </w:style>
  <w:style w:type="character" w:customStyle="1" w:styleId="29">
    <w:name w:val="Heading 7 Char"/>
    <w:basedOn w:val="20"/>
    <w:link w:val="8"/>
    <w:semiHidden/>
    <w:locked/>
    <w:uiPriority w:val="99"/>
    <w:rPr>
      <w:rFonts w:cs="Times New Roman"/>
      <w:sz w:val="24"/>
      <w:szCs w:val="24"/>
    </w:rPr>
  </w:style>
  <w:style w:type="character" w:customStyle="1" w:styleId="30">
    <w:name w:val="Heading 8 Char"/>
    <w:basedOn w:val="20"/>
    <w:link w:val="9"/>
    <w:semiHidden/>
    <w:locked/>
    <w:uiPriority w:val="99"/>
    <w:rPr>
      <w:rFonts w:cs="Times New Roman"/>
      <w:i/>
      <w:iCs/>
      <w:sz w:val="24"/>
      <w:szCs w:val="24"/>
    </w:rPr>
  </w:style>
  <w:style w:type="character" w:customStyle="1" w:styleId="31">
    <w:name w:val="Heading 9 Char"/>
    <w:basedOn w:val="20"/>
    <w:link w:val="10"/>
    <w:semiHidden/>
    <w:locked/>
    <w:uiPriority w:val="99"/>
    <w:rPr>
      <w:rFonts w:ascii="Cambria" w:hAnsi="Cambria" w:eastAsia="宋体" w:cs="Times New Roman"/>
    </w:rPr>
  </w:style>
  <w:style w:type="character" w:customStyle="1" w:styleId="32">
    <w:name w:val="Title Char"/>
    <w:basedOn w:val="20"/>
    <w:link w:val="18"/>
    <w:locked/>
    <w:uiPriority w:val="99"/>
    <w:rPr>
      <w:rFonts w:ascii="Cambria" w:hAnsi="Cambria" w:eastAsia="宋体" w:cs="Times New Roman"/>
      <w:b/>
      <w:bCs/>
      <w:kern w:val="28"/>
      <w:sz w:val="32"/>
      <w:szCs w:val="32"/>
    </w:rPr>
  </w:style>
  <w:style w:type="character" w:customStyle="1" w:styleId="33">
    <w:name w:val="Subtitle Char"/>
    <w:basedOn w:val="20"/>
    <w:link w:val="15"/>
    <w:locked/>
    <w:uiPriority w:val="99"/>
    <w:rPr>
      <w:rFonts w:ascii="Cambria" w:hAnsi="Cambria" w:eastAsia="宋体" w:cs="Times New Roman"/>
      <w:sz w:val="24"/>
      <w:szCs w:val="24"/>
    </w:rPr>
  </w:style>
  <w:style w:type="paragraph" w:styleId="34">
    <w:name w:val="No Spacing"/>
    <w:basedOn w:val="1"/>
    <w:qFormat/>
    <w:uiPriority w:val="99"/>
    <w:pPr>
      <w:widowControl/>
      <w:jc w:val="left"/>
    </w:pPr>
    <w:rPr>
      <w:rFonts w:ascii="Calibri" w:hAnsi="Calibri"/>
      <w:kern w:val="0"/>
      <w:sz w:val="24"/>
      <w:szCs w:val="32"/>
      <w:lang w:eastAsia="en-US"/>
    </w:rPr>
  </w:style>
  <w:style w:type="paragraph" w:styleId="35">
    <w:name w:val="List Paragraph"/>
    <w:basedOn w:val="1"/>
    <w:qFormat/>
    <w:uiPriority w:val="99"/>
    <w:pPr>
      <w:widowControl/>
      <w:ind w:left="720"/>
      <w:contextualSpacing/>
      <w:jc w:val="left"/>
    </w:pPr>
    <w:rPr>
      <w:rFonts w:ascii="Calibri" w:hAnsi="Calibri"/>
      <w:kern w:val="0"/>
      <w:sz w:val="24"/>
      <w:lang w:eastAsia="en-US"/>
    </w:rPr>
  </w:style>
  <w:style w:type="paragraph" w:styleId="36">
    <w:name w:val="Quote"/>
    <w:basedOn w:val="1"/>
    <w:next w:val="1"/>
    <w:link w:val="37"/>
    <w:qFormat/>
    <w:uiPriority w:val="99"/>
    <w:pPr>
      <w:widowControl/>
      <w:jc w:val="left"/>
    </w:pPr>
    <w:rPr>
      <w:rFonts w:ascii="Calibri" w:hAnsi="Calibri"/>
      <w:i/>
      <w:kern w:val="0"/>
      <w:sz w:val="24"/>
    </w:rPr>
  </w:style>
  <w:style w:type="character" w:customStyle="1" w:styleId="37">
    <w:name w:val="Quote Char"/>
    <w:basedOn w:val="20"/>
    <w:link w:val="36"/>
    <w:locked/>
    <w:uiPriority w:val="99"/>
    <w:rPr>
      <w:rFonts w:cs="Times New Roman"/>
      <w:i/>
      <w:sz w:val="24"/>
      <w:szCs w:val="24"/>
    </w:rPr>
  </w:style>
  <w:style w:type="paragraph" w:styleId="38">
    <w:name w:val="Intense Quote"/>
    <w:basedOn w:val="1"/>
    <w:next w:val="1"/>
    <w:link w:val="39"/>
    <w:qFormat/>
    <w:uiPriority w:val="99"/>
    <w:pPr>
      <w:widowControl/>
      <w:ind w:left="720" w:right="720"/>
      <w:jc w:val="left"/>
    </w:pPr>
    <w:rPr>
      <w:rFonts w:ascii="Calibri" w:hAnsi="Calibri"/>
      <w:b/>
      <w:i/>
      <w:kern w:val="0"/>
      <w:sz w:val="24"/>
      <w:szCs w:val="22"/>
    </w:rPr>
  </w:style>
  <w:style w:type="character" w:customStyle="1" w:styleId="39">
    <w:name w:val="Intense Quote Char"/>
    <w:basedOn w:val="20"/>
    <w:link w:val="38"/>
    <w:locked/>
    <w:uiPriority w:val="99"/>
    <w:rPr>
      <w:rFonts w:cs="Times New Roman"/>
      <w:b/>
      <w:i/>
      <w:sz w:val="24"/>
    </w:rPr>
  </w:style>
  <w:style w:type="character" w:customStyle="1" w:styleId="40">
    <w:name w:val="Subtle Emphasis"/>
    <w:basedOn w:val="20"/>
    <w:qFormat/>
    <w:uiPriority w:val="99"/>
    <w:rPr>
      <w:rFonts w:cs="Times New Roman"/>
      <w:i/>
      <w:color w:val="5A5A5A"/>
    </w:rPr>
  </w:style>
  <w:style w:type="character" w:customStyle="1" w:styleId="41">
    <w:name w:val="Intense Emphasis"/>
    <w:basedOn w:val="20"/>
    <w:qFormat/>
    <w:uiPriority w:val="99"/>
    <w:rPr>
      <w:rFonts w:cs="Times New Roman"/>
      <w:b/>
      <w:i/>
      <w:sz w:val="24"/>
      <w:szCs w:val="24"/>
      <w:u w:val="single"/>
    </w:rPr>
  </w:style>
  <w:style w:type="character" w:customStyle="1" w:styleId="42">
    <w:name w:val="Subtle Reference"/>
    <w:basedOn w:val="20"/>
    <w:qFormat/>
    <w:uiPriority w:val="99"/>
    <w:rPr>
      <w:rFonts w:cs="Times New Roman"/>
      <w:sz w:val="24"/>
      <w:szCs w:val="24"/>
      <w:u w:val="single"/>
    </w:rPr>
  </w:style>
  <w:style w:type="character" w:customStyle="1" w:styleId="43">
    <w:name w:val="Intense Reference"/>
    <w:basedOn w:val="20"/>
    <w:qFormat/>
    <w:uiPriority w:val="99"/>
    <w:rPr>
      <w:rFonts w:cs="Times New Roman"/>
      <w:b/>
      <w:sz w:val="24"/>
      <w:u w:val="single"/>
    </w:rPr>
  </w:style>
  <w:style w:type="character" w:customStyle="1" w:styleId="44">
    <w:name w:val="Book Title"/>
    <w:basedOn w:val="20"/>
    <w:qFormat/>
    <w:uiPriority w:val="99"/>
    <w:rPr>
      <w:rFonts w:ascii="Cambria" w:hAnsi="Cambria" w:eastAsia="宋体" w:cs="Times New Roman"/>
      <w:b/>
      <w:i/>
      <w:sz w:val="24"/>
      <w:szCs w:val="24"/>
    </w:rPr>
  </w:style>
  <w:style w:type="paragraph" w:customStyle="1" w:styleId="45">
    <w:name w:val="TOC Heading"/>
    <w:basedOn w:val="2"/>
    <w:next w:val="1"/>
    <w:qFormat/>
    <w:uiPriority w:val="99"/>
    <w:pPr>
      <w:outlineLvl w:val="9"/>
    </w:pPr>
    <w:rPr>
      <w:lang w:eastAsia="en-US"/>
    </w:rPr>
  </w:style>
  <w:style w:type="character" w:customStyle="1" w:styleId="46">
    <w:name w:val="Header Char"/>
    <w:basedOn w:val="20"/>
    <w:link w:val="13"/>
    <w:qFormat/>
    <w:locked/>
    <w:uiPriority w:val="99"/>
    <w:rPr>
      <w:rFonts w:ascii="Calibri" w:hAnsi="Calibri" w:eastAsia="宋体" w:cs="Times New Roman"/>
      <w:kern w:val="2"/>
      <w:sz w:val="18"/>
      <w:szCs w:val="18"/>
    </w:rPr>
  </w:style>
  <w:style w:type="character" w:customStyle="1" w:styleId="47">
    <w:name w:val="Footer Char"/>
    <w:basedOn w:val="20"/>
    <w:link w:val="12"/>
    <w:locked/>
    <w:uiPriority w:val="99"/>
    <w:rPr>
      <w:rFonts w:ascii="Calibri" w:hAnsi="Calibri" w:eastAsia="宋体" w:cs="Times New Roman"/>
      <w:kern w:val="2"/>
      <w:sz w:val="18"/>
      <w:szCs w:val="18"/>
    </w:rPr>
  </w:style>
  <w:style w:type="character" w:customStyle="1" w:styleId="48">
    <w:name w:val="Balloon Text Char"/>
    <w:basedOn w:val="20"/>
    <w:link w:val="11"/>
    <w:semiHidden/>
    <w:locked/>
    <w:uiPriority w:val="99"/>
    <w:rPr>
      <w:rFonts w:ascii="Times New Roman" w:hAnsi="Times New Roman" w:eastAsia="宋体" w:cs="Times New Roman"/>
      <w:kern w:val="2"/>
      <w:sz w:val="18"/>
      <w:szCs w:val="18"/>
    </w:rPr>
  </w:style>
  <w:style w:type="character" w:customStyle="1" w:styleId="49">
    <w:name w:val="闻政-正文段落文字 Char"/>
    <w:link w:val="50"/>
    <w:locked/>
    <w:uiPriority w:val="99"/>
    <w:rPr>
      <w:rFonts w:eastAsia="仿宋_GB2312"/>
      <w:sz w:val="28"/>
    </w:rPr>
  </w:style>
  <w:style w:type="paragraph" w:customStyle="1" w:styleId="50">
    <w:name w:val="闻政-正文段落文字"/>
    <w:basedOn w:val="1"/>
    <w:link w:val="49"/>
    <w:uiPriority w:val="99"/>
    <w:pPr>
      <w:spacing w:line="500" w:lineRule="exact"/>
      <w:ind w:firstLine="200" w:firstLineChars="200"/>
    </w:pPr>
    <w:rPr>
      <w:rFonts w:ascii="Calibri" w:hAnsi="Calibri" w:eastAsia="仿宋_GB2312"/>
      <w:kern w:val="0"/>
      <w:sz w:val="28"/>
      <w:szCs w:val="20"/>
    </w:rPr>
  </w:style>
  <w:style w:type="character" w:customStyle="1" w:styleId="51">
    <w:name w:val="闻政-正文二级标题 Char"/>
    <w:link w:val="52"/>
    <w:locked/>
    <w:uiPriority w:val="99"/>
    <w:rPr>
      <w:rFonts w:eastAsia="仿宋_GB2312"/>
      <w:b/>
      <w:sz w:val="32"/>
    </w:rPr>
  </w:style>
  <w:style w:type="paragraph" w:customStyle="1" w:styleId="52">
    <w:name w:val="闻政-正文二级标题"/>
    <w:basedOn w:val="3"/>
    <w:next w:val="50"/>
    <w:link w:val="51"/>
    <w:qFormat/>
    <w:uiPriority w:val="99"/>
    <w:pPr>
      <w:keepLines/>
      <w:widowControl w:val="0"/>
      <w:spacing w:before="120" w:line="500" w:lineRule="exact"/>
      <w:ind w:left="200" w:leftChars="200"/>
    </w:pPr>
    <w:rPr>
      <w:rFonts w:ascii="Calibri" w:hAnsi="Calibri" w:eastAsia="仿宋_GB2312"/>
      <w:bCs w:val="0"/>
      <w:i w:val="0"/>
      <w:iCs w:val="0"/>
      <w:sz w:val="32"/>
      <w:szCs w:val="20"/>
    </w:rPr>
  </w:style>
  <w:style w:type="character" w:customStyle="1" w:styleId="53">
    <w:name w:val="闻政-正文三级标题 Char"/>
    <w:link w:val="54"/>
    <w:locked/>
    <w:uiPriority w:val="99"/>
    <w:rPr>
      <w:rFonts w:eastAsia="仿宋_GB2312"/>
      <w:b/>
      <w:sz w:val="28"/>
    </w:rPr>
  </w:style>
  <w:style w:type="paragraph" w:customStyle="1" w:styleId="54">
    <w:name w:val="闻政-正文三级标题"/>
    <w:basedOn w:val="1"/>
    <w:next w:val="50"/>
    <w:link w:val="53"/>
    <w:uiPriority w:val="99"/>
    <w:pPr>
      <w:widowControl/>
      <w:spacing w:before="120" w:after="60" w:line="500" w:lineRule="exact"/>
      <w:ind w:left="200" w:leftChars="200"/>
    </w:pPr>
    <w:rPr>
      <w:rFonts w:ascii="Calibri" w:hAnsi="Calibri" w:eastAsia="仿宋_GB2312"/>
      <w:b/>
      <w:kern w:val="0"/>
      <w:sz w:val="28"/>
      <w:szCs w:val="20"/>
    </w:rPr>
  </w:style>
  <w:style w:type="paragraph" w:customStyle="1" w:styleId="55">
    <w:name w:val="闻政-正文一级标题"/>
    <w:basedOn w:val="4"/>
    <w:next w:val="50"/>
    <w:uiPriority w:val="99"/>
    <w:pPr>
      <w:keepLines/>
      <w:widowControl w:val="0"/>
      <w:spacing w:before="120" w:line="500" w:lineRule="exact"/>
      <w:outlineLvl w:val="0"/>
    </w:pPr>
    <w:rPr>
      <w:rFonts w:ascii="黑体" w:hAnsi="黑体" w:eastAsia="黑体"/>
      <w:b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16</Pages>
  <Words>1171</Words>
  <Characters>6678</Characters>
  <Lines>0</Lines>
  <Paragraphs>0</Paragraphs>
  <TotalTime>25</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2019-01-31T08:24:00Z</dcterms:created>
  <dc:creator>赵 恺（预算处）</dc:creator>
  <cp:lastModifiedBy>Qxb</cp:lastModifiedBy>
  <cp:lastPrinted>2019-01-15T09:06:00Z</cp:lastPrinted>
  <dcterms:modified xsi:type="dcterms:W3CDTF">2023-12-18T09:57:53Z</dcterms:modified>
  <dc:title>巴州离退休干部服务中心财政项目支出绩效自评报告</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FC4AD003C2E84584B23B9F9D5F808FF2_12</vt:lpwstr>
  </property>
</Properties>
</file>