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single"/>
          <w:lang w:eastAsia="zh-CN"/>
        </w:rPr>
        <w:t>巴州</w:t>
      </w:r>
      <w:bookmarkStart w:id="0" w:name="_GoBack"/>
      <w:bookmarkEnd w:id="0"/>
      <w:r>
        <w:rPr>
          <w:rFonts w:hint="eastAsia" w:ascii="方正小标宋_GBK" w:hAnsi="华文中宋" w:eastAsia="方正小标宋_GBK" w:cs="宋体"/>
          <w:b/>
          <w:kern w:val="0"/>
          <w:sz w:val="48"/>
          <w:szCs w:val="48"/>
          <w:u w:val="single"/>
        </w:rPr>
        <w:t>地区</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项目名称：小手拉大手青少年大赛工作经费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实施单位（公章）：巴州教育局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29</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仿宋" w:hAnsi="仿宋" w:eastAsia="仿宋"/>
          <w:b w:val="0"/>
          <w:spacing w:val="-4"/>
          <w:sz w:val="32"/>
          <w:szCs w:val="32"/>
        </w:rPr>
        <w:t>巴州教育局是巴州人民政府的职能部门之一。其主要工作职责是履行国家赋予的教育行政管理职能，正确贯彻执行国家的有关教育管理法律、法规和方针、政策，履行法定管理职能</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深入贯彻落实习近平新时代中国特色社会主义思想和党的十九大精神，按照自治区党委九届四次全体会议的总体部署，聚焦社会稳定和长治久安总目标，通过接续举办青少年大赛，全面总结宣传国家通用语言文字教育发展成就，展现各族青少年学习、生活、成长在一起，强化“五个认同”意识、提高综合文化素质、拓宽就业发展空间的生动局面；充分展现国家通用语言文字教育在带动影响“民族团结一家亲”、民族团结联谊活动、“三进两联一交友”、“访惠聚”、扶贫攻坚、干部教师支教等惠民利民工程中的基础性作用；展现国家通用语言文字教育在强化“五个认同”，提高文化素质，拓宽就业门路，影响家庭、辐射社会，促进各民族交流交往交融，营造一心向党、爱国爱疆良好社会风尚方面“小手拉大手”的引领作用。全州各县市和州直中小学、幼儿园学生通过校（园）海选、县市初赛选出代表参加巴州地区复赛（</w:t>
      </w:r>
      <w:r>
        <w:rPr>
          <w:rStyle w:val="17"/>
          <w:rFonts w:ascii="仿宋" w:hAnsi="仿宋" w:eastAsia="仿宋"/>
          <w:b w:val="0"/>
          <w:spacing w:val="-4"/>
          <w:sz w:val="32"/>
          <w:szCs w:val="32"/>
        </w:rPr>
        <w:t>337</w:t>
      </w:r>
      <w:r>
        <w:rPr>
          <w:rStyle w:val="17"/>
          <w:rFonts w:hint="eastAsia" w:ascii="仿宋" w:hAnsi="仿宋" w:eastAsia="仿宋"/>
          <w:b w:val="0"/>
          <w:spacing w:val="-4"/>
          <w:sz w:val="32"/>
          <w:szCs w:val="32"/>
        </w:rPr>
        <w:t>名师生参与活动），选出</w:t>
      </w:r>
      <w:r>
        <w:rPr>
          <w:rStyle w:val="17"/>
          <w:rFonts w:ascii="仿宋" w:hAnsi="仿宋" w:eastAsia="仿宋"/>
          <w:b w:val="0"/>
          <w:spacing w:val="-4"/>
          <w:sz w:val="32"/>
          <w:szCs w:val="32"/>
        </w:rPr>
        <w:t>10</w:t>
      </w:r>
      <w:r>
        <w:rPr>
          <w:rStyle w:val="17"/>
          <w:rFonts w:hint="eastAsia" w:ascii="仿宋" w:hAnsi="仿宋" w:eastAsia="仿宋"/>
          <w:b w:val="0"/>
          <w:spacing w:val="-4"/>
          <w:sz w:val="32"/>
          <w:szCs w:val="32"/>
        </w:rPr>
        <w:t>名选手代表我州参加自治区决赛</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陪同参赛的另有助演</w:t>
      </w:r>
      <w:r>
        <w:rPr>
          <w:rStyle w:val="17"/>
          <w:rFonts w:ascii="仿宋" w:hAnsi="仿宋" w:eastAsia="仿宋"/>
          <w:b w:val="0"/>
          <w:spacing w:val="-4"/>
          <w:sz w:val="32"/>
          <w:szCs w:val="32"/>
        </w:rPr>
        <w:t>6</w:t>
      </w:r>
      <w:r>
        <w:rPr>
          <w:rStyle w:val="17"/>
          <w:rFonts w:hint="eastAsia" w:ascii="仿宋" w:hAnsi="仿宋" w:eastAsia="仿宋"/>
          <w:b w:val="0"/>
          <w:spacing w:val="-4"/>
          <w:sz w:val="32"/>
          <w:szCs w:val="32"/>
        </w:rPr>
        <w:t>人，指导教师</w:t>
      </w:r>
      <w:r>
        <w:rPr>
          <w:rStyle w:val="17"/>
          <w:rFonts w:ascii="仿宋" w:hAnsi="仿宋" w:eastAsia="仿宋"/>
          <w:b w:val="0"/>
          <w:spacing w:val="-4"/>
          <w:sz w:val="32"/>
          <w:szCs w:val="32"/>
        </w:rPr>
        <w:t>10</w:t>
      </w:r>
      <w:r>
        <w:rPr>
          <w:rStyle w:val="17"/>
          <w:rFonts w:hint="eastAsia" w:ascii="仿宋" w:hAnsi="仿宋" w:eastAsia="仿宋"/>
          <w:b w:val="0"/>
          <w:spacing w:val="-4"/>
          <w:sz w:val="32"/>
          <w:szCs w:val="32"/>
        </w:rPr>
        <w:t>人）。</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根据年初部门预算安排</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公共财政资金</w:t>
      </w:r>
      <w:r>
        <w:rPr>
          <w:rFonts w:hint="eastAsia" w:hAnsi="宋体" w:eastAsia="仿宋_GB2312" w:cs="宋体"/>
          <w:kern w:val="0"/>
          <w:sz w:val="32"/>
          <w:szCs w:val="32"/>
        </w:rPr>
        <w:t>手拉大手青少小年大赛工作经费</w:t>
      </w:r>
      <w:r>
        <w:rPr>
          <w:rStyle w:val="17"/>
          <w:rFonts w:hint="eastAsia" w:ascii="仿宋" w:hAnsi="仿宋" w:eastAsia="仿宋"/>
          <w:b w:val="0"/>
          <w:spacing w:val="-4"/>
          <w:sz w:val="32"/>
          <w:szCs w:val="32"/>
        </w:rPr>
        <w:t>总投入</w:t>
      </w:r>
      <w:r>
        <w:rPr>
          <w:rStyle w:val="17"/>
          <w:rFonts w:ascii="仿宋" w:hAnsi="仿宋" w:eastAsia="仿宋"/>
          <w:b w:val="0"/>
          <w:spacing w:val="-4"/>
          <w:sz w:val="32"/>
          <w:szCs w:val="32"/>
        </w:rPr>
        <w:t>171833.7</w:t>
      </w:r>
      <w:r>
        <w:rPr>
          <w:rStyle w:val="17"/>
          <w:rFonts w:hint="eastAsia" w:ascii="仿宋" w:hAnsi="仿宋" w:eastAsia="仿宋"/>
          <w:b w:val="0"/>
          <w:spacing w:val="-4"/>
          <w:sz w:val="32"/>
          <w:szCs w:val="32"/>
        </w:rPr>
        <w:t>元</w:t>
      </w:r>
      <w:r>
        <w:rPr>
          <w:rStyle w:val="17"/>
          <w:rFonts w:ascii="仿宋" w:hAnsi="仿宋" w:eastAsia="仿宋"/>
          <w:b w:val="0"/>
          <w:spacing w:val="-4"/>
          <w:sz w:val="32"/>
          <w:szCs w:val="32"/>
        </w:rPr>
        <w:t>.</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根据年初预算，有计划、分步骤开展</w:t>
      </w:r>
      <w:r>
        <w:rPr>
          <w:rFonts w:hint="eastAsia" w:hAnsi="宋体" w:eastAsia="仿宋_GB2312" w:cs="宋体"/>
          <w:kern w:val="0"/>
          <w:sz w:val="32"/>
          <w:szCs w:val="32"/>
        </w:rPr>
        <w:t>小手拉大手青少年大赛</w:t>
      </w:r>
      <w:r>
        <w:rPr>
          <w:rStyle w:val="17"/>
          <w:rFonts w:hint="eastAsia" w:ascii="仿宋" w:hAnsi="仿宋" w:eastAsia="仿宋"/>
          <w:b w:val="0"/>
          <w:spacing w:val="-4"/>
          <w:sz w:val="32"/>
          <w:szCs w:val="32"/>
        </w:rPr>
        <w:t>各项工作，资金实际使用情况与前期预算一致。</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成立</w:t>
      </w:r>
      <w:r>
        <w:rPr>
          <w:rFonts w:hint="eastAsia" w:hAnsi="宋体" w:eastAsia="仿宋_GB2312" w:cs="宋体"/>
          <w:kern w:val="0"/>
          <w:sz w:val="32"/>
          <w:szCs w:val="32"/>
        </w:rPr>
        <w:t>小手拉大手青少年大赛</w:t>
      </w:r>
      <w:r>
        <w:rPr>
          <w:rStyle w:val="17"/>
          <w:rFonts w:hint="eastAsia" w:ascii="仿宋" w:hAnsi="仿宋" w:eastAsia="仿宋"/>
          <w:b w:val="0"/>
          <w:spacing w:val="-4"/>
          <w:sz w:val="32"/>
          <w:szCs w:val="32"/>
        </w:rPr>
        <w:t>工作领导机构，制定工作实施方案，规范和加强对大赛资金的管理，资金管理使用有序推进。</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24" w:firstLineChars="200"/>
        <w:rPr>
          <w:rStyle w:val="17"/>
          <w:rFonts w:ascii="仿宋" w:hAnsi="仿宋" w:eastAsia="仿宋_GB2312"/>
          <w:b w:val="0"/>
          <w:spacing w:val="-4"/>
          <w:sz w:val="32"/>
          <w:szCs w:val="32"/>
        </w:rPr>
      </w:pPr>
      <w:r>
        <w:rPr>
          <w:rStyle w:val="17"/>
          <w:rFonts w:hint="eastAsia" w:ascii="仿宋" w:hAnsi="仿宋" w:eastAsia="仿宋"/>
          <w:b w:val="0"/>
          <w:spacing w:val="-4"/>
          <w:sz w:val="32"/>
          <w:szCs w:val="32"/>
        </w:rPr>
        <w:t>自治区</w:t>
      </w:r>
      <w:r>
        <w:rPr>
          <w:rStyle w:val="17"/>
          <w:rFonts w:ascii="仿宋" w:hAnsi="仿宋" w:eastAsia="仿宋"/>
          <w:b w:val="0"/>
          <w:spacing w:val="-4"/>
          <w:sz w:val="32"/>
          <w:szCs w:val="32"/>
        </w:rPr>
        <w:t>2018</w:t>
      </w:r>
      <w:r>
        <w:rPr>
          <w:rStyle w:val="17"/>
          <w:rFonts w:hint="eastAsia" w:ascii="仿宋" w:hAnsi="仿宋" w:eastAsia="仿宋"/>
          <w:b w:val="0"/>
          <w:spacing w:val="-4"/>
          <w:sz w:val="32"/>
          <w:szCs w:val="32"/>
        </w:rPr>
        <w:t>年“小手拉大手”青少年大赛巴州赛区复赛为每年</w:t>
      </w:r>
      <w:r>
        <w:rPr>
          <w:rFonts w:hint="eastAsia" w:eastAsia="仿宋_GB2312"/>
          <w:snapToGrid w:val="0"/>
          <w:kern w:val="0"/>
          <w:sz w:val="32"/>
          <w:szCs w:val="32"/>
        </w:rPr>
        <w:t>接续举办的常规赛事，本年度按照州党委的安排部署</w:t>
      </w:r>
      <w:r>
        <w:rPr>
          <w:rStyle w:val="17"/>
          <w:rFonts w:hint="eastAsia" w:ascii="仿宋" w:hAnsi="仿宋" w:eastAsia="仿宋"/>
          <w:b w:val="0"/>
          <w:spacing w:val="-4"/>
          <w:sz w:val="32"/>
          <w:szCs w:val="32"/>
        </w:rPr>
        <w:t>，根据既定工作计划，有效组织实施。</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由州党委宣传部牵头，州教育局、州民宗委、州文体广影局认真组织实施，项目组织实施规范有序。</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项目实际支出与年初项目预算一致，通过“小手拉大手”青少年大赛巴州赛区复赛活动营造全社会关心支持国家通用语言文字教育改革发展的良好氛围，形成推动国家通用语言文字教育发展、维护社会稳定和长治久安的强大正能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继续组织实施好青少年大赛，推动国家通用语言文字教育发展、维护社会稳定和长治久安的强大正能量。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根据州党委主要领导批示精神，认真做好</w:t>
      </w:r>
      <w:r>
        <w:rPr>
          <w:rFonts w:hint="eastAsia" w:ascii="仿宋_GB2312" w:eastAsia="仿宋_GB2312"/>
          <w:spacing w:val="-4"/>
          <w:sz w:val="32"/>
          <w:szCs w:val="32"/>
        </w:rPr>
        <w:t>青少年大赛</w:t>
      </w:r>
      <w:r>
        <w:rPr>
          <w:rStyle w:val="17"/>
          <w:rFonts w:hint="eastAsia" w:ascii="仿宋" w:hAnsi="仿宋" w:eastAsia="仿宋"/>
          <w:b w:val="0"/>
          <w:spacing w:val="-4"/>
          <w:sz w:val="32"/>
          <w:szCs w:val="32"/>
        </w:rPr>
        <w:t>各项工作。</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w:t>
      </w:r>
      <w:r>
        <w:rPr>
          <w:rStyle w:val="17"/>
          <w:rFonts w:ascii="仿宋" w:hAnsi="仿宋" w:eastAsia="仿宋"/>
          <w:b w:val="0"/>
          <w:spacing w:val="-4"/>
          <w:sz w:val="32"/>
          <w:szCs w:val="32"/>
        </w:rPr>
        <w:t>XX</w:t>
      </w:r>
      <w:r>
        <w:rPr>
          <w:rStyle w:val="17"/>
          <w:rFonts w:hint="eastAsia" w:ascii="仿宋" w:hAnsi="仿宋" w:eastAsia="仿宋"/>
          <w:b w:val="0"/>
          <w:spacing w:val="-4"/>
          <w:sz w:val="32"/>
          <w:szCs w:val="32"/>
        </w:rPr>
        <w:t>地区财政项目支出绩效自评表》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ascii="宋体" w:hAnsi="宋体" w:cs="宋体"/>
                <w:b/>
                <w:bCs/>
                <w:kern w:val="0"/>
                <w:sz w:val="32"/>
                <w:szCs w:val="32"/>
                <w:u w:val="single"/>
              </w:rPr>
              <w:t>XX</w:t>
            </w:r>
            <w:r>
              <w:rPr>
                <w:rFonts w:hint="eastAsia" w:ascii="宋体" w:hAnsi="宋体" w:cs="宋体"/>
                <w:b/>
                <w:bCs/>
                <w:kern w:val="0"/>
                <w:sz w:val="32"/>
                <w:szCs w:val="32"/>
                <w:u w:val="single"/>
              </w:rPr>
              <w:t>地区</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spacing w:line="700" w:lineRule="exact"/>
              <w:jc w:val="left"/>
              <w:rPr>
                <w:rFonts w:hAnsi="宋体" w:eastAsia="仿宋_GB2312" w:cs="宋体"/>
                <w:kern w:val="0"/>
                <w:sz w:val="20"/>
                <w:szCs w:val="20"/>
              </w:rPr>
            </w:pPr>
            <w:r>
              <w:rPr>
                <w:rFonts w:hint="eastAsia" w:hAnsi="宋体" w:eastAsia="仿宋_GB2312" w:cs="宋体"/>
                <w:kern w:val="0"/>
                <w:sz w:val="20"/>
                <w:szCs w:val="20"/>
              </w:rPr>
              <w:t>小手拉大手青少年大赛工作经费</w:t>
            </w:r>
          </w:p>
          <w:p>
            <w:pPr>
              <w:widowControl/>
              <w:jc w:val="center"/>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巴音郭楞蒙古自治州教育局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17.18</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17.18</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17.18</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17.18</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cs="宋体"/>
                <w:b/>
                <w:kern w:val="0"/>
                <w:sz w:val="20"/>
                <w:szCs w:val="20"/>
              </w:rPr>
            </w:pPr>
            <w:r>
              <w:rPr>
                <w:rStyle w:val="17"/>
                <w:rFonts w:hint="eastAsia" w:ascii="仿宋" w:hAnsi="仿宋" w:eastAsia="仿宋"/>
                <w:b w:val="0"/>
                <w:spacing w:val="-4"/>
              </w:rPr>
              <w:t>　通过举办青少年大赛，全面总结宣传国家通用语言文字教育发展成就，展现国家通用语言文字教育在强化“五个认同”，提高文化素质，拓宽就业门路，影响家庭、辐射社会，促进各民族交流交往交融，营造一心向党、爱国爱疆良好社会风尚方面“小手拉大手”的引领作用。</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Style w:val="17"/>
                <w:rFonts w:hint="eastAsia" w:ascii="仿宋" w:hAnsi="仿宋" w:eastAsia="仿宋"/>
                <w:b w:val="0"/>
                <w:spacing w:val="-4"/>
                <w:sz w:val="20"/>
                <w:szCs w:val="20"/>
              </w:rPr>
              <w:t>全州各县市和州直中小学、幼儿园学生通过校（园）海选、县市初赛选出代表参加巴州地区复赛（</w:t>
            </w:r>
            <w:r>
              <w:rPr>
                <w:rStyle w:val="17"/>
                <w:rFonts w:ascii="仿宋" w:hAnsi="仿宋" w:eastAsia="仿宋"/>
                <w:b w:val="0"/>
                <w:spacing w:val="-4"/>
                <w:sz w:val="20"/>
                <w:szCs w:val="20"/>
              </w:rPr>
              <w:t>337</w:t>
            </w:r>
            <w:r>
              <w:rPr>
                <w:rStyle w:val="17"/>
                <w:rFonts w:hint="eastAsia" w:ascii="仿宋" w:hAnsi="仿宋" w:eastAsia="仿宋"/>
                <w:b w:val="0"/>
                <w:spacing w:val="-4"/>
                <w:sz w:val="20"/>
                <w:szCs w:val="20"/>
              </w:rPr>
              <w:t>名师生参与活动），复赛共选出</w:t>
            </w:r>
            <w:r>
              <w:rPr>
                <w:rStyle w:val="17"/>
                <w:rFonts w:ascii="仿宋" w:hAnsi="仿宋" w:eastAsia="仿宋"/>
                <w:b w:val="0"/>
                <w:spacing w:val="-4"/>
                <w:sz w:val="20"/>
                <w:szCs w:val="20"/>
              </w:rPr>
              <w:t>10</w:t>
            </w:r>
            <w:r>
              <w:rPr>
                <w:rStyle w:val="17"/>
                <w:rFonts w:hint="eastAsia" w:ascii="仿宋" w:hAnsi="仿宋" w:eastAsia="仿宋"/>
                <w:b w:val="0"/>
                <w:spacing w:val="-4"/>
                <w:sz w:val="20"/>
                <w:szCs w:val="20"/>
              </w:rPr>
              <w:t>名选手代表我州参加自治区决赛</w:t>
            </w:r>
            <w:r>
              <w:rPr>
                <w:rStyle w:val="17"/>
                <w:rFonts w:ascii="仿宋" w:hAnsi="仿宋" w:eastAsia="仿宋"/>
                <w:b w:val="0"/>
                <w:spacing w:val="-4"/>
                <w:sz w:val="20"/>
                <w:szCs w:val="20"/>
              </w:rPr>
              <w:t>(</w:t>
            </w:r>
            <w:r>
              <w:rPr>
                <w:rStyle w:val="17"/>
                <w:rFonts w:hint="eastAsia" w:ascii="仿宋" w:hAnsi="仿宋" w:eastAsia="仿宋"/>
                <w:b w:val="0"/>
                <w:spacing w:val="-4"/>
                <w:sz w:val="20"/>
                <w:szCs w:val="20"/>
              </w:rPr>
              <w:t>陪同参赛的另有助演</w:t>
            </w:r>
            <w:r>
              <w:rPr>
                <w:rStyle w:val="17"/>
                <w:rFonts w:ascii="仿宋" w:hAnsi="仿宋" w:eastAsia="仿宋"/>
                <w:b w:val="0"/>
                <w:spacing w:val="-4"/>
                <w:sz w:val="20"/>
                <w:szCs w:val="20"/>
              </w:rPr>
              <w:t>6</w:t>
            </w:r>
            <w:r>
              <w:rPr>
                <w:rStyle w:val="17"/>
                <w:rFonts w:hint="eastAsia" w:ascii="仿宋" w:hAnsi="仿宋" w:eastAsia="仿宋"/>
                <w:b w:val="0"/>
                <w:spacing w:val="-4"/>
                <w:sz w:val="20"/>
                <w:szCs w:val="20"/>
              </w:rPr>
              <w:t>人，指导教师</w:t>
            </w:r>
            <w:r>
              <w:rPr>
                <w:rStyle w:val="17"/>
                <w:rFonts w:ascii="仿宋" w:hAnsi="仿宋" w:eastAsia="仿宋"/>
                <w:b w:val="0"/>
                <w:spacing w:val="-4"/>
                <w:sz w:val="20"/>
                <w:szCs w:val="20"/>
              </w:rPr>
              <w:t>10</w:t>
            </w:r>
            <w:r>
              <w:rPr>
                <w:rStyle w:val="17"/>
                <w:rFonts w:hint="eastAsia" w:ascii="仿宋" w:hAnsi="仿宋" w:eastAsia="仿宋"/>
                <w:b w:val="0"/>
                <w:spacing w:val="-4"/>
                <w:sz w:val="20"/>
                <w:szCs w:val="20"/>
              </w:rPr>
              <w:t>人）。通过活动，</w:t>
            </w:r>
            <w:r>
              <w:rPr>
                <w:rStyle w:val="17"/>
                <w:rFonts w:hint="eastAsia" w:ascii="仿宋" w:hAnsi="仿宋" w:eastAsia="仿宋"/>
                <w:b w:val="0"/>
                <w:spacing w:val="-4"/>
              </w:rPr>
              <w:t>展现出国家通用语言文字教育在强化“五个认同”，提高少数民族文化素质，促进各民族交流交往交融的重要引领作用。</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：活动人数</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350</w:t>
            </w:r>
            <w:r>
              <w:rPr>
                <w:rFonts w:hint="eastAsia" w:ascii="宋体" w:hAnsi="宋体" w:cs="宋体"/>
                <w:kern w:val="0"/>
                <w:sz w:val="20"/>
                <w:szCs w:val="20"/>
              </w:rPr>
              <w:t>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337</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：活动天数</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5</w:t>
            </w:r>
            <w:r>
              <w:rPr>
                <w:rFonts w:hint="eastAsia" w:ascii="宋体" w:hAnsi="宋体" w:cs="宋体"/>
                <w:kern w:val="0"/>
                <w:sz w:val="20"/>
                <w:szCs w:val="20"/>
              </w:rPr>
              <w:t>天</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4</w:t>
            </w:r>
            <w:r>
              <w:rPr>
                <w:rFonts w:hint="eastAsia" w:ascii="宋体" w:hAnsi="宋体" w:cs="宋体"/>
                <w:kern w:val="0"/>
                <w:sz w:val="20"/>
                <w:szCs w:val="20"/>
              </w:rPr>
              <w:t>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：项目完成时限</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11</w:t>
            </w:r>
            <w:r>
              <w:rPr>
                <w:rFonts w:hint="eastAsia" w:ascii="宋体" w:hAnsi="宋体" w:cs="宋体"/>
                <w:kern w:val="0"/>
                <w:sz w:val="20"/>
                <w:szCs w:val="20"/>
              </w:rPr>
              <w:t>月以前</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10</w:t>
            </w:r>
            <w:r>
              <w:rPr>
                <w:rFonts w:hint="eastAsia" w:ascii="宋体" w:hAnsi="宋体" w:cs="宋体"/>
                <w:kern w:val="0"/>
                <w:sz w:val="20"/>
                <w:szCs w:val="20"/>
              </w:rPr>
              <w:t>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：进一步促进各民族间的交流交往交融</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更加深入</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更加深入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：促进少数民族使用国家通用语言文字水平明显提高</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逐步提高</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逐步提高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：师生满意度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92%</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：社会满意度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90%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4</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934"/>
    <w:rsid w:val="00024E0C"/>
    <w:rsid w:val="000561A3"/>
    <w:rsid w:val="00056465"/>
    <w:rsid w:val="000E36E6"/>
    <w:rsid w:val="000F48B3"/>
    <w:rsid w:val="00121AE4"/>
    <w:rsid w:val="00146AAD"/>
    <w:rsid w:val="00164EE3"/>
    <w:rsid w:val="001B3A40"/>
    <w:rsid w:val="001E1BE2"/>
    <w:rsid w:val="001E4E88"/>
    <w:rsid w:val="002346DF"/>
    <w:rsid w:val="002472CF"/>
    <w:rsid w:val="002574E5"/>
    <w:rsid w:val="003908B7"/>
    <w:rsid w:val="003B0B88"/>
    <w:rsid w:val="0040118F"/>
    <w:rsid w:val="004366A8"/>
    <w:rsid w:val="004632D5"/>
    <w:rsid w:val="00473214"/>
    <w:rsid w:val="004C1018"/>
    <w:rsid w:val="004C4833"/>
    <w:rsid w:val="00502BA7"/>
    <w:rsid w:val="005162F1"/>
    <w:rsid w:val="00535153"/>
    <w:rsid w:val="00554F82"/>
    <w:rsid w:val="0056390D"/>
    <w:rsid w:val="005719B0"/>
    <w:rsid w:val="005D10D6"/>
    <w:rsid w:val="006B2D3C"/>
    <w:rsid w:val="006E6BB4"/>
    <w:rsid w:val="00776574"/>
    <w:rsid w:val="00780A9F"/>
    <w:rsid w:val="007815CA"/>
    <w:rsid w:val="00855E3A"/>
    <w:rsid w:val="00886095"/>
    <w:rsid w:val="008A1232"/>
    <w:rsid w:val="008E07B8"/>
    <w:rsid w:val="00922CB9"/>
    <w:rsid w:val="009E5CD9"/>
    <w:rsid w:val="00A10EE0"/>
    <w:rsid w:val="00A26421"/>
    <w:rsid w:val="00A4293B"/>
    <w:rsid w:val="00A67D50"/>
    <w:rsid w:val="00A8691A"/>
    <w:rsid w:val="00AC1946"/>
    <w:rsid w:val="00B11694"/>
    <w:rsid w:val="00B21E04"/>
    <w:rsid w:val="00B40063"/>
    <w:rsid w:val="00B41F61"/>
    <w:rsid w:val="00BA46E6"/>
    <w:rsid w:val="00C56C72"/>
    <w:rsid w:val="00C83668"/>
    <w:rsid w:val="00CA6457"/>
    <w:rsid w:val="00D17F2E"/>
    <w:rsid w:val="00D30354"/>
    <w:rsid w:val="00D933BF"/>
    <w:rsid w:val="00DF42A0"/>
    <w:rsid w:val="00E15799"/>
    <w:rsid w:val="00E214A8"/>
    <w:rsid w:val="00E2192D"/>
    <w:rsid w:val="00E50128"/>
    <w:rsid w:val="00E769FE"/>
    <w:rsid w:val="00EA2CBE"/>
    <w:rsid w:val="00EA6649"/>
    <w:rsid w:val="00F32D9F"/>
    <w:rsid w:val="00F32FEE"/>
    <w:rsid w:val="00F7020C"/>
    <w:rsid w:val="00F81BD4"/>
    <w:rsid w:val="00F86448"/>
    <w:rsid w:val="00FB10BB"/>
    <w:rsid w:val="035C6EC5"/>
    <w:rsid w:val="05E57283"/>
    <w:rsid w:val="17631908"/>
    <w:rsid w:val="1DB11793"/>
    <w:rsid w:val="23B5318C"/>
    <w:rsid w:val="48F33F17"/>
    <w:rsid w:val="4E1429D7"/>
    <w:rsid w:val="60D04EF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29"/>
    <w:semiHidden/>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Char"/>
    <w:basedOn w:val="16"/>
    <w:link w:val="2"/>
    <w:qFormat/>
    <w:locked/>
    <w:uiPriority w:val="99"/>
    <w:rPr>
      <w:rFonts w:ascii="Cambria" w:hAnsi="Cambria" w:eastAsia="宋体" w:cs="Times New Roman"/>
      <w:b/>
      <w:bCs/>
      <w:kern w:val="32"/>
      <w:sz w:val="32"/>
      <w:szCs w:val="32"/>
    </w:rPr>
  </w:style>
  <w:style w:type="character" w:customStyle="1" w:styleId="21">
    <w:name w:val="标题 2 Char"/>
    <w:basedOn w:val="16"/>
    <w:link w:val="3"/>
    <w:semiHidden/>
    <w:locked/>
    <w:uiPriority w:val="99"/>
    <w:rPr>
      <w:rFonts w:ascii="Cambria" w:hAnsi="Cambria" w:eastAsia="宋体" w:cs="Times New Roman"/>
      <w:b/>
      <w:bCs/>
      <w:i/>
      <w:iCs/>
      <w:sz w:val="28"/>
      <w:szCs w:val="28"/>
    </w:rPr>
  </w:style>
  <w:style w:type="character" w:customStyle="1" w:styleId="22">
    <w:name w:val="标题 3 Char"/>
    <w:basedOn w:val="16"/>
    <w:link w:val="4"/>
    <w:semiHidden/>
    <w:qFormat/>
    <w:locked/>
    <w:uiPriority w:val="99"/>
    <w:rPr>
      <w:rFonts w:ascii="Cambria" w:hAnsi="Cambria" w:eastAsia="宋体" w:cs="Times New Roman"/>
      <w:b/>
      <w:bCs/>
      <w:sz w:val="26"/>
      <w:szCs w:val="26"/>
    </w:rPr>
  </w:style>
  <w:style w:type="character" w:customStyle="1" w:styleId="23">
    <w:name w:val="标题 4 Char"/>
    <w:basedOn w:val="16"/>
    <w:link w:val="5"/>
    <w:semiHidden/>
    <w:qFormat/>
    <w:locked/>
    <w:uiPriority w:val="99"/>
    <w:rPr>
      <w:rFonts w:cs="Times New Roman"/>
      <w:b/>
      <w:bCs/>
      <w:sz w:val="28"/>
      <w:szCs w:val="28"/>
    </w:rPr>
  </w:style>
  <w:style w:type="character" w:customStyle="1" w:styleId="24">
    <w:name w:val="标题 5 Char"/>
    <w:basedOn w:val="16"/>
    <w:link w:val="6"/>
    <w:semiHidden/>
    <w:qFormat/>
    <w:locked/>
    <w:uiPriority w:val="99"/>
    <w:rPr>
      <w:rFonts w:cs="Times New Roman"/>
      <w:b/>
      <w:bCs/>
      <w:i/>
      <w:iCs/>
      <w:sz w:val="26"/>
      <w:szCs w:val="26"/>
    </w:rPr>
  </w:style>
  <w:style w:type="character" w:customStyle="1" w:styleId="25">
    <w:name w:val="标题 6 Char"/>
    <w:basedOn w:val="16"/>
    <w:link w:val="7"/>
    <w:semiHidden/>
    <w:qFormat/>
    <w:locked/>
    <w:uiPriority w:val="99"/>
    <w:rPr>
      <w:rFonts w:cs="Times New Roman"/>
      <w:b/>
      <w:bCs/>
    </w:rPr>
  </w:style>
  <w:style w:type="character" w:customStyle="1" w:styleId="26">
    <w:name w:val="标题 7 Char"/>
    <w:basedOn w:val="16"/>
    <w:link w:val="8"/>
    <w:semiHidden/>
    <w:qFormat/>
    <w:locked/>
    <w:uiPriority w:val="99"/>
    <w:rPr>
      <w:rFonts w:cs="Times New Roman"/>
      <w:sz w:val="24"/>
      <w:szCs w:val="24"/>
    </w:rPr>
  </w:style>
  <w:style w:type="character" w:customStyle="1" w:styleId="27">
    <w:name w:val="标题 8 Char"/>
    <w:basedOn w:val="16"/>
    <w:link w:val="9"/>
    <w:semiHidden/>
    <w:locked/>
    <w:uiPriority w:val="99"/>
    <w:rPr>
      <w:rFonts w:cs="Times New Roman"/>
      <w:i/>
      <w:iCs/>
      <w:sz w:val="24"/>
      <w:szCs w:val="24"/>
    </w:rPr>
  </w:style>
  <w:style w:type="character" w:customStyle="1" w:styleId="28">
    <w:name w:val="标题 9 Char"/>
    <w:basedOn w:val="16"/>
    <w:link w:val="10"/>
    <w:semiHidden/>
    <w:qFormat/>
    <w:locked/>
    <w:uiPriority w:val="99"/>
    <w:rPr>
      <w:rFonts w:ascii="Cambria" w:hAnsi="Cambria" w:eastAsia="宋体" w:cs="Times New Roman"/>
    </w:rPr>
  </w:style>
  <w:style w:type="character" w:customStyle="1" w:styleId="29">
    <w:name w:val="批注框文本 Char"/>
    <w:basedOn w:val="16"/>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6"/>
    <w:link w:val="12"/>
    <w:locked/>
    <w:uiPriority w:val="99"/>
    <w:rPr>
      <w:rFonts w:ascii="Calibri" w:hAnsi="Calibri" w:eastAsia="宋体" w:cs="Times New Roman"/>
      <w:kern w:val="2"/>
      <w:sz w:val="18"/>
      <w:szCs w:val="18"/>
    </w:rPr>
  </w:style>
  <w:style w:type="character" w:customStyle="1" w:styleId="31">
    <w:name w:val="页眉 Char"/>
    <w:basedOn w:val="16"/>
    <w:link w:val="13"/>
    <w:qFormat/>
    <w:locked/>
    <w:uiPriority w:val="99"/>
    <w:rPr>
      <w:rFonts w:ascii="Calibri" w:hAnsi="Calibri" w:eastAsia="宋体" w:cs="Times New Roman"/>
      <w:kern w:val="2"/>
      <w:sz w:val="18"/>
      <w:szCs w:val="18"/>
    </w:rPr>
  </w:style>
  <w:style w:type="character" w:customStyle="1" w:styleId="32">
    <w:name w:val="副标题 Char"/>
    <w:basedOn w:val="16"/>
    <w:link w:val="14"/>
    <w:qFormat/>
    <w:locked/>
    <w:uiPriority w:val="99"/>
    <w:rPr>
      <w:rFonts w:ascii="Cambria" w:hAnsi="Cambria" w:eastAsia="宋体" w:cs="Times New Roman"/>
      <w:sz w:val="24"/>
      <w:szCs w:val="24"/>
    </w:rPr>
  </w:style>
  <w:style w:type="character" w:customStyle="1" w:styleId="33">
    <w:name w:val="标题 Char"/>
    <w:basedOn w:val="16"/>
    <w:link w:val="15"/>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16"/>
    <w:link w:val="36"/>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16"/>
    <w:link w:val="38"/>
    <w:qFormat/>
    <w:locked/>
    <w:uiPriority w:val="99"/>
    <w:rPr>
      <w:rFonts w:cs="Times New Roman"/>
      <w:b/>
      <w:i/>
      <w:sz w:val="24"/>
    </w:rPr>
  </w:style>
  <w:style w:type="character" w:customStyle="1" w:styleId="40">
    <w:name w:val="不明显强调1"/>
    <w:qFormat/>
    <w:uiPriority w:val="99"/>
    <w:rPr>
      <w:i/>
      <w:color w:val="5A5A5A"/>
    </w:rPr>
  </w:style>
  <w:style w:type="character" w:customStyle="1" w:styleId="41">
    <w:name w:val="明显强调1"/>
    <w:basedOn w:val="16"/>
    <w:qFormat/>
    <w:uiPriority w:val="99"/>
    <w:rPr>
      <w:rFonts w:cs="Times New Roman"/>
      <w:b/>
      <w:i/>
      <w:sz w:val="24"/>
      <w:szCs w:val="24"/>
      <w:u w:val="single"/>
    </w:rPr>
  </w:style>
  <w:style w:type="character" w:customStyle="1" w:styleId="42">
    <w:name w:val="不明显参考1"/>
    <w:basedOn w:val="16"/>
    <w:qFormat/>
    <w:uiPriority w:val="99"/>
    <w:rPr>
      <w:rFonts w:cs="Times New Roman"/>
      <w:sz w:val="24"/>
      <w:szCs w:val="24"/>
      <w:u w:val="single"/>
    </w:rPr>
  </w:style>
  <w:style w:type="character" w:customStyle="1" w:styleId="43">
    <w:name w:val="明显参考1"/>
    <w:basedOn w:val="16"/>
    <w:qFormat/>
    <w:uiPriority w:val="99"/>
    <w:rPr>
      <w:rFonts w:cs="Times New Roman"/>
      <w:b/>
      <w:sz w:val="24"/>
      <w:u w:val="single"/>
    </w:rPr>
  </w:style>
  <w:style w:type="character" w:customStyle="1" w:styleId="44">
    <w:name w:val="书籍标题1"/>
    <w:basedOn w:val="16"/>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369</Words>
  <Characters>2104</Characters>
  <Lines>17</Lines>
  <Paragraphs>4</Paragraphs>
  <TotalTime>30</TotalTime>
  <ScaleCrop>false</ScaleCrop>
  <LinksUpToDate>false</LinksUpToDate>
  <CharactersWithSpaces>2469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bq</cp:lastModifiedBy>
  <cp:lastPrinted>2018-12-31T10:56:00Z</cp:lastPrinted>
  <dcterms:modified xsi:type="dcterms:W3CDTF">2020-03-26T03:12:26Z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