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巴州地区</w:t>
      </w:r>
      <w:bookmarkStart w:id="0" w:name="_GoBack"/>
      <w:bookmarkEnd w:id="0"/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项目名称：第一书记为民办实事经费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实施单位（公章）：巴州教育局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项目负责人（签章）：李加拉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>29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巴州教育局是巴州人民政府的职能部门之一。其主要工作职责是履行国家赋予的教育行政管理职能，正确贯彻执行国家的有关教育管理法律、法规和方针、政策，履行法定管理职能。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564" w:firstLineChars="181"/>
        <w:rPr>
          <w:rStyle w:val="17"/>
          <w:rFonts w:ascii="仿宋" w:hAnsi="仿宋" w:eastAsia="仿宋"/>
          <w:b w:val="0"/>
          <w:color w:val="0000FF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以习近平新时代中国特色社会主义思想和党的十九大精神为指导，坚定坚决贯彻落实以习近平同志为核心的党中央治疆方略，特别是社会稳定和长治久安总目标，贯彻落实自治区、自治州党委决策部署，紧紧围绕“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1+2+5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”目标任务，强基层打基础，用真心真情拉近干群关系，赢得广大农牧民群众的信任和拥护，切实做到“访有实招，惠有实策，聚有实效”，不断把“访惠聚”驻村工作引向深入。全力推进脱贫攻坚。坚持把提高脱贫质量放在首位，以增加贫困人口收入为核心，聚焦“两不愁、三保障”、突出“七个一批”，落实“六个精准”，坚持分类施策、靶向治疗，全力抓好各项脱贫措施落实。利用访惠聚工作经费解难帮困，购买生产生活资料，慰问困难群体，盖上自己生活环境，切实帮助基层群众办实事、做好事、解难事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根据年初部门预算安排，公共财政资金</w:t>
      </w:r>
      <w:r>
        <w:rPr>
          <w:rFonts w:hint="eastAsia" w:hAnsi="宋体" w:eastAsia="仿宋_GB2312" w:cs="宋体"/>
          <w:kern w:val="0"/>
          <w:sz w:val="36"/>
          <w:szCs w:val="36"/>
        </w:rPr>
        <w:t>第一书记为民办实事经费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投入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4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万元。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根据年初预算，有计划、分步骤开展</w:t>
      </w:r>
      <w:r>
        <w:rPr>
          <w:rFonts w:hint="eastAsia" w:hAnsi="宋体" w:eastAsia="仿宋_GB2312" w:cs="宋体"/>
          <w:kern w:val="0"/>
          <w:sz w:val="32"/>
          <w:szCs w:val="32"/>
        </w:rPr>
        <w:t>第一书记为民办实事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各项工作有序开展，资金实际使用情况与前期预算一致。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根据工作开展情况，成立领导小组，制定工作实施方案，规范和加强对第一书记工作经费的管理，确保不铺张浪费，资金使用合理有效。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第一书记工作经费是根据自治区、自治州等相关文件统筹安排的工作，本年度按照自治区、自治州工作安排，在自治州党委的指导下，根据既定工作计划有效组织实施。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在自治区、自治州党委的领导和统筹安排下，州教育局认真贯彻落实、并组织实施，安排有能力的同志到驻村工作队开展工作，并得到有效实施。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4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利用工作队经费，为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 xml:space="preserve"> 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“三类人员”亲属购买地膜、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50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袋化肥（二铵），助力其农业生产；投入资金购买盆花美化办公环境；慰问孤寡老人、“双收”人员亲属和因病去世的“三类人员”家属，着力解决其生活困难，进一步密切干群关系、鱼水深情。利用为民办实事经费购买米面油等看望慰问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75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岁以上老人，为贫困户、孤寡老人、困难党员等困难家庭发放冬季燃煤，为贫困户、孤寡老人粉刷住房。免费发放给种菜农户，解决了“三类人员”亲属农资紧缺问题；为精准帮扶贫困对象，促进儿童健康成长，让偏远农牧区贫困孩子享用优质牛奶等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.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春节期间，拟利用工作队及第一书记工作经费购买等弄悬挂在村里主要干道。拟对部分困难家庭进行走访慰问。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作为自治区级深度贫困村，资金安排要在确保贫困村民生产生活正常基础上，着重向造血型生产资料帮扶等方面倾斜，主力他们早日脱贫致富奔小康。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每项项目资金支出都是通过精准摸排、会议研究、项目评估比对等程序予以实施。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《琼买里村第一书记工作队财政项目支出绩效自评表》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9"/>
        <w:tblW w:w="943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318"/>
        <w:gridCol w:w="562"/>
        <w:gridCol w:w="1853"/>
        <w:gridCol w:w="207"/>
        <w:gridCol w:w="21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43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琼买里村第一书记工作队财政项目支出绩效自评表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3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62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700" w:lineRule="exact"/>
              <w:jc w:val="left"/>
              <w:rPr>
                <w:rFonts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hAnsi="宋体" w:eastAsia="仿宋_GB2312" w:cs="宋体"/>
                <w:kern w:val="0"/>
                <w:sz w:val="20"/>
                <w:szCs w:val="20"/>
              </w:rPr>
              <w:t>第一书记为民办实事经费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62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巴州教育局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4万　</w:t>
            </w:r>
          </w:p>
        </w:tc>
        <w:tc>
          <w:tcPr>
            <w:tcW w:w="262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2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4万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4万　</w:t>
            </w:r>
          </w:p>
        </w:tc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4万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622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38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8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38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解决群众最关心、最直接、最现实的利益问题，千方百计解决群众生产生活中的实际困难，及时将党和政府的温暖送到群众的心坎上。具体用于访贫问苦，为群众送信息、送服务、送温暖，困难群众房屋修缮，基础设施维护，技能培训，开展活动等。</w:t>
            </w:r>
          </w:p>
        </w:tc>
        <w:tc>
          <w:tcPr>
            <w:tcW w:w="48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通过为贫困户、孤寡老人粉刷住房、购买春耕化肥、冬季取暖燃煤、改善人居环境、技能培训等方式方法，切实为群众解决实际困难，改善村民生产生活条件，提高村民生活质量，取得一定成效。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：为民办实事经费覆盖村数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村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：走访慰问贫困群众覆盖率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：解决群众实际困难覆盖率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93%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：专项经费使用效率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：项目完成时限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2018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年</w:t>
            </w:r>
            <w:r>
              <w:rPr>
                <w:rFonts w:ascii="宋体" w:cs="宋体"/>
                <w:kern w:val="0"/>
                <w:sz w:val="20"/>
                <w:szCs w:val="20"/>
              </w:rPr>
              <w:t>12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月以前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2018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：干部群众关系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进一步密切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进一步密切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：基层群众满意度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92%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92%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tabs>
          <w:tab w:val="left" w:pos="7536"/>
        </w:tabs>
        <w:jc w:val="lef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ab/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24E0C"/>
    <w:rsid w:val="00056465"/>
    <w:rsid w:val="0006356F"/>
    <w:rsid w:val="000927E4"/>
    <w:rsid w:val="000B53F2"/>
    <w:rsid w:val="000D5650"/>
    <w:rsid w:val="000E36E6"/>
    <w:rsid w:val="00121AE4"/>
    <w:rsid w:val="00146AAD"/>
    <w:rsid w:val="001B3A40"/>
    <w:rsid w:val="002346DF"/>
    <w:rsid w:val="002574E5"/>
    <w:rsid w:val="002C7373"/>
    <w:rsid w:val="002D022E"/>
    <w:rsid w:val="002E0AE5"/>
    <w:rsid w:val="00360DCD"/>
    <w:rsid w:val="003908B7"/>
    <w:rsid w:val="003910C3"/>
    <w:rsid w:val="004366A8"/>
    <w:rsid w:val="00446193"/>
    <w:rsid w:val="00502BA7"/>
    <w:rsid w:val="005162F1"/>
    <w:rsid w:val="00533EC5"/>
    <w:rsid w:val="00535153"/>
    <w:rsid w:val="00554F82"/>
    <w:rsid w:val="0056390D"/>
    <w:rsid w:val="005719B0"/>
    <w:rsid w:val="005961B5"/>
    <w:rsid w:val="005D10D6"/>
    <w:rsid w:val="006E6BB4"/>
    <w:rsid w:val="006F4D1D"/>
    <w:rsid w:val="007A1660"/>
    <w:rsid w:val="007A3245"/>
    <w:rsid w:val="00826FC3"/>
    <w:rsid w:val="00855E3A"/>
    <w:rsid w:val="00922CB9"/>
    <w:rsid w:val="00924B6D"/>
    <w:rsid w:val="00924D5E"/>
    <w:rsid w:val="00926DE4"/>
    <w:rsid w:val="0093552F"/>
    <w:rsid w:val="0095618A"/>
    <w:rsid w:val="00962258"/>
    <w:rsid w:val="00973F37"/>
    <w:rsid w:val="009B4A0B"/>
    <w:rsid w:val="009E5CD9"/>
    <w:rsid w:val="00A26421"/>
    <w:rsid w:val="00A36487"/>
    <w:rsid w:val="00A37177"/>
    <w:rsid w:val="00A4293B"/>
    <w:rsid w:val="00A60FCE"/>
    <w:rsid w:val="00A67D50"/>
    <w:rsid w:val="00A8691A"/>
    <w:rsid w:val="00AA3498"/>
    <w:rsid w:val="00AB602F"/>
    <w:rsid w:val="00AC1946"/>
    <w:rsid w:val="00AD699E"/>
    <w:rsid w:val="00B11694"/>
    <w:rsid w:val="00B34A6D"/>
    <w:rsid w:val="00B36155"/>
    <w:rsid w:val="00B40063"/>
    <w:rsid w:val="00B41F61"/>
    <w:rsid w:val="00BA46E6"/>
    <w:rsid w:val="00C56C72"/>
    <w:rsid w:val="00C83668"/>
    <w:rsid w:val="00C96FAC"/>
    <w:rsid w:val="00CA6457"/>
    <w:rsid w:val="00D17F2E"/>
    <w:rsid w:val="00D30354"/>
    <w:rsid w:val="00DF42A0"/>
    <w:rsid w:val="00E07C8F"/>
    <w:rsid w:val="00E215EF"/>
    <w:rsid w:val="00E22243"/>
    <w:rsid w:val="00E769FE"/>
    <w:rsid w:val="00E952F5"/>
    <w:rsid w:val="00EA2CBE"/>
    <w:rsid w:val="00F2573B"/>
    <w:rsid w:val="00F32FEE"/>
    <w:rsid w:val="00F81BD4"/>
    <w:rsid w:val="00FB10BB"/>
    <w:rsid w:val="00FF1758"/>
    <w:rsid w:val="08491BE6"/>
    <w:rsid w:val="0BEA4F0E"/>
    <w:rsid w:val="1356589E"/>
    <w:rsid w:val="15B5296A"/>
    <w:rsid w:val="19384D35"/>
    <w:rsid w:val="1ABC2252"/>
    <w:rsid w:val="1C240901"/>
    <w:rsid w:val="1D014B76"/>
    <w:rsid w:val="20C31F63"/>
    <w:rsid w:val="238C18D8"/>
    <w:rsid w:val="2E2C40ED"/>
    <w:rsid w:val="309953C6"/>
    <w:rsid w:val="33A1091A"/>
    <w:rsid w:val="34733AA3"/>
    <w:rsid w:val="3FA2643D"/>
    <w:rsid w:val="40B529EA"/>
    <w:rsid w:val="45704ADE"/>
    <w:rsid w:val="4662617A"/>
    <w:rsid w:val="47F4151D"/>
    <w:rsid w:val="4D9E5151"/>
    <w:rsid w:val="55723605"/>
    <w:rsid w:val="59D15388"/>
    <w:rsid w:val="5AEC1AE4"/>
    <w:rsid w:val="615A638E"/>
    <w:rsid w:val="6182174C"/>
    <w:rsid w:val="65C5205A"/>
    <w:rsid w:val="68F85323"/>
    <w:rsid w:val="6CC5684C"/>
    <w:rsid w:val="6F177433"/>
    <w:rsid w:val="6FBA5F54"/>
    <w:rsid w:val="77E97050"/>
    <w:rsid w:val="7D9F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29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2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33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99"/>
    <w:rPr>
      <w:rFonts w:cs="Times New Roman"/>
      <w:b/>
      <w:bCs/>
    </w:rPr>
  </w:style>
  <w:style w:type="character" w:styleId="18">
    <w:name w:val="Emphasis"/>
    <w:basedOn w:val="16"/>
    <w:qFormat/>
    <w:uiPriority w:val="99"/>
    <w:rPr>
      <w:rFonts w:ascii="Calibri" w:hAnsi="Calibri" w:cs="Times New Roman"/>
      <w:b/>
      <w:i/>
      <w:iCs/>
    </w:rPr>
  </w:style>
  <w:style w:type="character" w:customStyle="1" w:styleId="20">
    <w:name w:val="标题 1 Char"/>
    <w:basedOn w:val="16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1">
    <w:name w:val="标题 2 Char"/>
    <w:basedOn w:val="16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2">
    <w:name w:val="标题 3 Char"/>
    <w:basedOn w:val="16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3">
    <w:name w:val="标题 4 Char"/>
    <w:basedOn w:val="16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4">
    <w:name w:val="标题 5 Char"/>
    <w:basedOn w:val="16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5">
    <w:name w:val="标题 6 Char"/>
    <w:basedOn w:val="16"/>
    <w:link w:val="7"/>
    <w:semiHidden/>
    <w:qFormat/>
    <w:locked/>
    <w:uiPriority w:val="99"/>
    <w:rPr>
      <w:rFonts w:cs="Times New Roman"/>
      <w:b/>
      <w:bCs/>
    </w:rPr>
  </w:style>
  <w:style w:type="character" w:customStyle="1" w:styleId="26">
    <w:name w:val="标题 7 Char"/>
    <w:basedOn w:val="16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7">
    <w:name w:val="标题 8 Char"/>
    <w:basedOn w:val="16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8">
    <w:name w:val="标题 9 Char"/>
    <w:basedOn w:val="16"/>
    <w:link w:val="10"/>
    <w:semiHidden/>
    <w:locked/>
    <w:uiPriority w:val="99"/>
    <w:rPr>
      <w:rFonts w:ascii="Cambria" w:hAnsi="Cambria" w:eastAsia="宋体" w:cs="Times New Roman"/>
    </w:rPr>
  </w:style>
  <w:style w:type="character" w:customStyle="1" w:styleId="29">
    <w:name w:val="批注框文本 Char"/>
    <w:basedOn w:val="16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0">
    <w:name w:val="页脚 Char"/>
    <w:basedOn w:val="16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1">
    <w:name w:val="页眉 Char"/>
    <w:basedOn w:val="16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副标题 Char"/>
    <w:basedOn w:val="16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3">
    <w:name w:val="标题 Char"/>
    <w:basedOn w:val="16"/>
    <w:link w:val="15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4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5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6">
    <w:name w:val="Quote"/>
    <w:basedOn w:val="1"/>
    <w:next w:val="1"/>
    <w:link w:val="37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7">
    <w:name w:val="引用 Char"/>
    <w:basedOn w:val="16"/>
    <w:link w:val="36"/>
    <w:qFormat/>
    <w:locked/>
    <w:uiPriority w:val="99"/>
    <w:rPr>
      <w:rFonts w:cs="Times New Roman"/>
      <w:i/>
      <w:sz w:val="24"/>
      <w:szCs w:val="24"/>
    </w:rPr>
  </w:style>
  <w:style w:type="paragraph" w:styleId="38">
    <w:name w:val="Intense Quote"/>
    <w:basedOn w:val="1"/>
    <w:next w:val="1"/>
    <w:link w:val="39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9">
    <w:name w:val="明显引用 Char"/>
    <w:basedOn w:val="16"/>
    <w:link w:val="38"/>
    <w:qFormat/>
    <w:locked/>
    <w:uiPriority w:val="99"/>
    <w:rPr>
      <w:rFonts w:cs="Times New Roman"/>
      <w:b/>
      <w:i/>
      <w:sz w:val="24"/>
    </w:rPr>
  </w:style>
  <w:style w:type="character" w:customStyle="1" w:styleId="40">
    <w:name w:val="不明显强调1"/>
    <w:qFormat/>
    <w:uiPriority w:val="99"/>
    <w:rPr>
      <w:i/>
      <w:color w:val="5A5A5A"/>
    </w:rPr>
  </w:style>
  <w:style w:type="character" w:customStyle="1" w:styleId="41">
    <w:name w:val="明显强调1"/>
    <w:basedOn w:val="16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2">
    <w:name w:val="不明显参考1"/>
    <w:basedOn w:val="16"/>
    <w:qFormat/>
    <w:uiPriority w:val="99"/>
    <w:rPr>
      <w:rFonts w:cs="Times New Roman"/>
      <w:sz w:val="24"/>
      <w:szCs w:val="24"/>
      <w:u w:val="single"/>
    </w:rPr>
  </w:style>
  <w:style w:type="character" w:customStyle="1" w:styleId="43">
    <w:name w:val="明显参考1"/>
    <w:basedOn w:val="16"/>
    <w:qFormat/>
    <w:uiPriority w:val="99"/>
    <w:rPr>
      <w:rFonts w:cs="Times New Roman"/>
      <w:b/>
      <w:sz w:val="24"/>
      <w:u w:val="single"/>
    </w:rPr>
  </w:style>
  <w:style w:type="character" w:customStyle="1" w:styleId="44">
    <w:name w:val="书籍标题1"/>
    <w:basedOn w:val="16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5">
    <w:name w:val="TOC 标题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354</Words>
  <Characters>2022</Characters>
  <Lines>16</Lines>
  <Paragraphs>4</Paragraphs>
  <TotalTime>35</TotalTime>
  <ScaleCrop>false</ScaleCrop>
  <LinksUpToDate>false</LinksUpToDate>
  <CharactersWithSpaces>2372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bq</cp:lastModifiedBy>
  <cp:lastPrinted>2018-12-31T10:56:00Z</cp:lastPrinted>
  <dcterms:modified xsi:type="dcterms:W3CDTF">2020-03-26T03:12:03Z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