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  <w:t>巴州住房公积金管理中心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项目名称：住房公积金系统平台建设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实施单位（公章）：巴州住房公积金管理中心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>01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14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  <w:bookmarkStart w:id="0" w:name="_GoBack"/>
      <w:bookmarkEnd w:id="0"/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6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567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单位主要工作职责：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、编制、执行住房公积金的归集、使用计划；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、记载职工住房公积金缴存；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、负责住房公积金的核算；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、审批住房公积金的提取、使用</w:t>
      </w:r>
      <w:r>
        <w:rPr>
          <w:rFonts w:ascii="仿宋_GB2312" w:hAnsi="仿宋_GB2312" w:eastAsia="仿宋_GB2312" w:cs="仿宋_GB2312"/>
          <w:sz w:val="32"/>
          <w:szCs w:val="32"/>
        </w:rPr>
        <w:t>;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、负责住房公积金的保值和归还；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、编制住房公积金归集、使用计划执行情况的报告；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机构人员情况：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巴州住房公积金管理中心，政府直属事业单位，机构规格相当县级，核定事业编制</w:t>
      </w:r>
      <w:r>
        <w:rPr>
          <w:rFonts w:ascii="仿宋_GB2312" w:hAnsi="仿宋_GB2312" w:eastAsia="仿宋_GB2312" w:cs="仿宋_GB2312"/>
          <w:sz w:val="32"/>
          <w:szCs w:val="32"/>
        </w:rPr>
        <w:t>65</w:t>
      </w:r>
      <w:r>
        <w:rPr>
          <w:rFonts w:hint="eastAsia" w:ascii="仿宋_GB2312" w:hAnsi="仿宋_GB2312" w:eastAsia="仿宋_GB2312" w:cs="仿宋_GB2312"/>
          <w:sz w:val="32"/>
          <w:szCs w:val="32"/>
        </w:rPr>
        <w:t>名，现实有人员</w:t>
      </w:r>
      <w:r>
        <w:rPr>
          <w:rFonts w:ascii="仿宋_GB2312" w:hAnsi="仿宋_GB2312" w:eastAsia="仿宋_GB2312" w:cs="仿宋_GB2312"/>
          <w:sz w:val="32"/>
          <w:szCs w:val="32"/>
        </w:rPr>
        <w:t>63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人，其中：在职人员</w:t>
      </w:r>
      <w:r>
        <w:rPr>
          <w:rFonts w:ascii="仿宋_GB2312" w:hAnsi="仿宋_GB2312" w:eastAsia="仿宋_GB2312" w:cs="仿宋_GB2312"/>
          <w:sz w:val="32"/>
          <w:szCs w:val="32"/>
        </w:rPr>
        <w:t>54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人，退休人员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，经费实行自收自支。内设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个职能科室：办公室、资金管理科、信贷科、稽查科、技术科、计划财务科。下设库尔勒、南市区、焉耆、博湖、和硕、和静、尉犁、轮台、且末、若羌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个管理部。</w:t>
      </w:r>
    </w:p>
    <w:p>
      <w:pPr>
        <w:spacing w:line="560" w:lineRule="exact"/>
        <w:ind w:firstLine="627" w:firstLineChars="200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项目：住房公积金系统平台建设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主要是用于住房公积金系统云平台、综合服务平台、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12329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语音服务等系统；自治区住建厅监管处统一住房公积金服务系统“双贯标”建设。通过开展住房公积金信息系统和综合服务平台的上线，实现政策、业务、资金、系统四统一，提升巴州住房公积金信息化建设水平和风险防控能力，促进全州住房公积金业务数据体系的科学化、标准化、规范化建设，实现全疆数据共享。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（项目设立依据：根据住建部、自治区住建厅关于住房公积金系统”双贯标”要求，自治区住建厅进行全疆公积金系统统招分签，用于住房公积金缴存职工对住房公积金政策咨询、办理业务等方面。）</w:t>
      </w:r>
    </w:p>
    <w:p>
      <w:pPr>
        <w:spacing w:line="560" w:lineRule="exact"/>
        <w:ind w:firstLine="624" w:firstLineChars="20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565" w:firstLineChars="181"/>
        <w:rPr>
          <w:rStyle w:val="16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项目涉及资金</w:t>
      </w:r>
      <w:r>
        <w:rPr>
          <w:rStyle w:val="1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  <w:t>299</w:t>
      </w:r>
      <w:r>
        <w:rPr>
          <w:rStyle w:val="1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万元，州财政根据年初预算全部下达本单位。</w:t>
      </w:r>
    </w:p>
    <w:p>
      <w:pPr>
        <w:spacing w:line="56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565" w:firstLineChars="181"/>
        <w:rPr>
          <w:rStyle w:val="1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由于本单位性质为自收自支事业单位，管理费用实行“收支两条线”管理，实际此项目资金全部为自筹，交由财政帐户，再由财政拔付给本单位使用。当年未完成预算指标，由财政全部收回。</w:t>
      </w:r>
    </w:p>
    <w:p>
      <w:pPr>
        <w:spacing w:line="56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Style w:val="16"/>
          <w:rFonts w:ascii="仿宋_GB2312" w:hAnsi="仿宋_GB2312" w:eastAsia="仿宋_GB2312" w:cs="仿宋_GB2312"/>
          <w:b w:val="0"/>
          <w:spacing w:val="-4"/>
          <w:sz w:val="32"/>
          <w:szCs w:val="32"/>
        </w:rPr>
        <w:t>2018</w:t>
      </w:r>
      <w:r>
        <w:rPr>
          <w:rStyle w:val="1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年本单位使用住房公积金系统平台建设项目资金</w:t>
      </w:r>
      <w:r>
        <w:rPr>
          <w:rStyle w:val="16"/>
          <w:rFonts w:ascii="仿宋_GB2312" w:hAnsi="仿宋_GB2312" w:eastAsia="仿宋_GB2312" w:cs="仿宋_GB2312"/>
          <w:b w:val="0"/>
          <w:spacing w:val="-4"/>
          <w:sz w:val="32"/>
          <w:szCs w:val="32"/>
        </w:rPr>
        <w:t>63.34</w:t>
      </w:r>
      <w:r>
        <w:rPr>
          <w:rStyle w:val="1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住房公积金系统平台建设项目实际支出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61.62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;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信息化建设会议费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1.72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该项目严格按照项目管理规定和《巴州住房公积金管理中心财务管理办法》，在预算执行上，坚持专款专用、公开透明，定期分析管理中存在的问题和通报预算执行进度。在会计核算上，按照会计准则，单独设置办公场所大型修缮、办公设备购置、网络建设等科目核算，账务处理及时、经济科目清晰、会计核算规范。在结算报销上，坚持以实际发生经济活动的原始凭证为依据，签字报批手续齐全，并分类整理编制会计凭证。年度内，项目财务制度健全，管理措施完善，支出真实合规。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 xml:space="preserve"> </w:t>
      </w:r>
    </w:p>
    <w:p>
      <w:pPr>
        <w:spacing w:line="560" w:lineRule="exact"/>
        <w:ind w:firstLine="624" w:firstLineChars="20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567" w:firstLineChars="181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624" w:firstLineChars="200"/>
        <w:rPr>
          <w:rStyle w:val="1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本单位住房公积金系统平台建设项目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由办公室提出需求，申报党委会审议通过后由</w:t>
      </w:r>
      <w:r>
        <w:rPr>
          <w:rStyle w:val="1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自治区住建厅监管理处统招分签程序实施，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按流程组织采购。</w:t>
      </w:r>
    </w:p>
    <w:p>
      <w:pPr>
        <w:spacing w:line="560" w:lineRule="exact"/>
        <w:ind w:firstLine="627" w:firstLineChars="200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（包括项目管理制度建设、日常检查监督管理等情况）</w:t>
      </w:r>
    </w:p>
    <w:p>
      <w:pPr>
        <w:pStyle w:val="20"/>
        <w:widowControl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将遵循住房公积金管理“以人为本、服务社会、科学管理、追求卓越”的宗旨，通过整合原有资源，推动住房公积金管理的进一步优化与整合，服务公积金缴存职工。住房公积金系统建设由自治区住建厅统一招标、统一考核。</w:t>
      </w:r>
    </w:p>
    <w:p>
      <w:pPr>
        <w:spacing w:line="560" w:lineRule="exact"/>
        <w:ind w:firstLine="624" w:firstLineChars="200"/>
        <w:rPr>
          <w:rStyle w:val="16"/>
          <w:rFonts w:ascii="黑体" w:hAnsi="黑体" w:eastAsia="黑体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565" w:firstLineChars="181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（将项目支出后的实际状况与申报的绩效目标对比，从项目的经济性、效率性、有益性和可持续性等方面进行量化、具体分析。）</w:t>
      </w:r>
    </w:p>
    <w:p>
      <w:pPr>
        <w:spacing w:line="560" w:lineRule="exact"/>
        <w:ind w:firstLine="624" w:firstLineChars="200"/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</w:pP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住房公积金系统平台建设项目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299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万元，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  <w:lang w:eastAsia="zh-CN"/>
        </w:rPr>
        <w:t>未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完成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235.66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万元。主要是根据自治区住建厅监管处统招分签、统一验收合格、统一支付，住房公积金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12329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语音服务系统按合同需支付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44.4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万元，由于自治区监管理处验收滞后本年度统一验收支付了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22.2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万元。希望公司综合服务平台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75.2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万元末支付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35.78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万元，主要是自治区监管处统招分签于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2018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年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5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月才签订，根据合同约定按比例本年支付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39.42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万元；自治区监管处统招分签神月公司住房公积金云平台管理系统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199.88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万元末签订合同，设备及系统服务已上线。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24" w:firstLineChars="200"/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</w:pP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住房公积金系统平台建设，主要是根据自治区住建厅监管处统招分签、统一验收合格、统一支付，住房公积金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12329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语音服务系统按合同需支付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44.4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万元，由于自治区监管理处验收滞后本年度统一验收支付了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22.2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万元。希望公司综合服务平台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75.2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万元末支付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35.78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万元，主要是自治区监管处统招分签于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2018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年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5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月才签订，根据合同约定按比例本年支付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39.42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万元；自治区监管处统招分签神月公司住房公积金云平台管理系统</w:t>
      </w:r>
      <w:r>
        <w:rPr>
          <w:rStyle w:val="16"/>
          <w:rFonts w:ascii="仿宋_GB2312" w:eastAsia="仿宋_GB2312" w:cs="仿宋_GB2312"/>
          <w:b w:val="0"/>
          <w:spacing w:val="-4"/>
          <w:sz w:val="32"/>
          <w:szCs w:val="32"/>
        </w:rPr>
        <w:t>199.88</w:t>
      </w:r>
      <w:r>
        <w:rPr>
          <w:rStyle w:val="16"/>
          <w:rFonts w:hint="eastAsia" w:ascii="仿宋_GB2312" w:eastAsia="仿宋_GB2312" w:cs="仿宋_GB2312"/>
          <w:b w:val="0"/>
          <w:spacing w:val="-4"/>
          <w:sz w:val="32"/>
          <w:szCs w:val="32"/>
        </w:rPr>
        <w:t>万元末签订合同，设备及系统服务已上线。</w:t>
      </w:r>
    </w:p>
    <w:p>
      <w:pPr>
        <w:spacing w:line="56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ascii="仿宋_GB2312" w:hAnsi="仿宋_GB2312" w:eastAsia="仿宋_GB2312" w:cs="仿宋_GB2312"/>
          <w:bCs/>
          <w:spacing w:val="-4"/>
          <w:sz w:val="32"/>
          <w:szCs w:val="32"/>
        </w:rPr>
        <w:t>2019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年，我中心将按照住房公积金管理系统等项目合同约定支付运行维护费。由自治区住建厅再次确定统招分签住房公积金管理中心运行维护费。</w:t>
      </w:r>
    </w:p>
    <w:p>
      <w:pPr>
        <w:spacing w:line="560" w:lineRule="exact"/>
        <w:ind w:firstLine="313" w:firstLineChars="1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widowControl/>
        <w:spacing w:line="560" w:lineRule="exact"/>
        <w:ind w:firstLine="599"/>
        <w:jc w:val="left"/>
        <w:rPr>
          <w:rFonts w:ascii="仿宋_GB2312" w:hAnsi="仿宋_GB2312" w:eastAsia="仿宋_GB2312" w:cs="仿宋_GB2312"/>
          <w:b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43434"/>
          <w:kern w:val="0"/>
          <w:sz w:val="32"/>
          <w:szCs w:val="32"/>
        </w:rPr>
        <w:t>每年预算在上年的</w:t>
      </w:r>
      <w:r>
        <w:rPr>
          <w:rFonts w:ascii="仿宋_GB2312" w:hAnsi="仿宋_GB2312" w:eastAsia="仿宋_GB2312" w:cs="仿宋_GB2312"/>
          <w:color w:val="343434"/>
          <w:kern w:val="0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color w:val="343434"/>
          <w:kern w:val="0"/>
          <w:sz w:val="32"/>
          <w:szCs w:val="32"/>
        </w:rPr>
        <w:t>月作出，与本年实际签订合同、履行合同实际金额有差，造成延期完成预算金额，支付时间滞后情况。</w:t>
      </w:r>
    </w:p>
    <w:p>
      <w:pPr>
        <w:spacing w:line="56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widowControl/>
        <w:spacing w:line="560" w:lineRule="exact"/>
        <w:ind w:firstLine="599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43434"/>
          <w:kern w:val="0"/>
          <w:sz w:val="32"/>
          <w:szCs w:val="32"/>
        </w:rPr>
        <w:t>保障了正常办公秩序，满足了营业大厅业务办理需求。让缴存职工享受优美的环境和良好的服务，从各个方面提高了公积金中心的服务质量，让缴存职工的满意度达到最高，有较大的社会效益。</w:t>
      </w:r>
      <w:r>
        <w:rPr>
          <w:rFonts w:ascii="仿宋_GB2312" w:hAnsi="仿宋_GB2312" w:eastAsia="仿宋_GB2312" w:cs="仿宋_GB2312"/>
          <w:color w:val="343434"/>
          <w:kern w:val="0"/>
          <w:sz w:val="32"/>
          <w:szCs w:val="32"/>
        </w:rPr>
        <w:t xml:space="preserve"> 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8324" w:type="dxa"/>
              <w:tblInd w:w="9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8324"/>
            </w:tblGrid>
            <w:tr>
              <w:trPr>
                <w:trHeight w:val="405" w:hRule="atLeast"/>
              </w:trPr>
              <w:tc>
                <w:tcPr>
                  <w:tcW w:w="832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cs="宋体"/>
                      <w:b/>
                      <w:bCs/>
                      <w:kern w:val="0"/>
                      <w:sz w:val="32"/>
                      <w:szCs w:val="32"/>
                      <w:u w:val="single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kern w:val="0"/>
                      <w:sz w:val="32"/>
                      <w:szCs w:val="32"/>
                      <w:u w:val="single"/>
                    </w:rPr>
                    <w:t>巴州住房公积金管理中心财政项目支出绩效自评表</w:t>
                  </w:r>
                </w:p>
              </w:tc>
            </w:tr>
          </w:tbl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（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2018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年度）</w:t>
            </w:r>
          </w:p>
        </w:tc>
      </w:tr>
      <w:tr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住房公积金系统平台建设　</w:t>
            </w:r>
          </w:p>
        </w:tc>
      </w:tr>
      <w:tr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巴州住房公积金管理中心　</w:t>
            </w:r>
          </w:p>
        </w:tc>
      </w:tr>
      <w:tr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预算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执行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情况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299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63.34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299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63.34</w:t>
            </w:r>
          </w:p>
        </w:tc>
      </w:tr>
      <w:tr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目标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完成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实际完成目标</w:t>
            </w:r>
          </w:p>
        </w:tc>
      </w:tr>
      <w:tr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通过开展住房公积金信息系统和综合服务平台的上线，实现政策、业务、资金、系统四统一，提升巴州住房公积金信息化建设水平和风险防控能力，促进全州住房公积金业务数据体系的科学化、标准化、规范化建设，提高了巴州住房公积金服务水平和管理效率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通过开展住房公积金信息系统和综合服务平台的上线，实现政策、业务、资金、系统四统一，提升巴州住房公积金信息化建设水平和风险防控能力，促进全州住房公积金业务数据体系的科学化、标准化、规范化建设，提高了巴州住房公积金服务水平和管理效率。</w:t>
            </w:r>
          </w:p>
        </w:tc>
      </w:tr>
      <w:tr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绩效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完成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文章写手、个人网厅、微信、短信功能等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7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个席位（服务全州住房公积金缴存职工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13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万人）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7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个席位（服务全州住房公积金缴存职工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13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万人）</w:t>
            </w:r>
          </w:p>
        </w:tc>
      </w:tr>
      <w:tr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住房公积金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12329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语音热线话务量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8000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8000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次</w:t>
            </w:r>
          </w:p>
        </w:tc>
      </w:tr>
      <w:tr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初步实现全州住房公积金管理中心、住房公积金监管单位、缴存单位、缴存职工、房地产企业、商业银行、人民银行等相关机构的互联互通，基本形成多元采集、集中存储、管理规范、应用全面、可视化展示的综合服务与管理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较显著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较显著</w:t>
            </w:r>
          </w:p>
        </w:tc>
      </w:tr>
      <w:tr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按合同约定完成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&gt;=50%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&gt;=50%</w:t>
            </w:r>
          </w:p>
        </w:tc>
      </w:tr>
      <w:tr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社会效益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br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实现全州统一的服务入口，实现信息查询、信息发布和互动交流等线上服务；缴存提取等部分具体业务和环节，实现网厅和</w:t>
            </w:r>
            <w:r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  <w:t>APP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办理，服务功能。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影响显著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　影响显著</w:t>
            </w:r>
          </w:p>
        </w:tc>
      </w:tr>
      <w:tr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提高住房公积金服务质量和优化服务环境，落实各项服务制度，健全和完善公积金自我约束机制，着力打造优质服务窗口，扎实落实放管服要求，为缴存职工提供“零距离、高效率”的服务。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影响显著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影响显著</w:t>
            </w:r>
          </w:p>
        </w:tc>
      </w:tr>
      <w:tr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发挥作用年限：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长期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长期</w:t>
            </w:r>
          </w:p>
        </w:tc>
      </w:tr>
      <w:tr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运行流程规范、使用便利快捷、服务高效优质、缴存职工满意。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&gt;=80%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&gt;=80%</w:t>
            </w:r>
          </w:p>
        </w:tc>
      </w:tr>
      <w:tr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</w:p>
        </w:tc>
      </w:tr>
    </w:tbl>
    <w:p>
      <w:pPr>
        <w:spacing w:line="540" w:lineRule="exact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4" w:type="default"/>
      <w:pgSz w:w="11906" w:h="16838"/>
      <w:pgMar w:top="1440" w:right="1558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287" w:usb1="080E0000" w:usb2="00000010" w:usb3="00000000" w:csb0="000400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楷体_GB2312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pPr>
      <w:keepNext/>
      <w:widowControl/>
      <w:spacing w:before="240" w:after="60"/>
      <w:jc w:val="left"/>
      <w:outlineLvl w:val="0"/>
    </w:pPr>
    <w:rPr>
      <w:rFonts w:ascii="Cambria" w:hAnsi="Cambria" w:eastAsia="宋体" w:cs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6"/>
    <w:pPr>
      <w:keepNext/>
      <w:widowControl/>
      <w:spacing w:before="240" w:after="60"/>
      <w:jc w:val="left"/>
      <w:outlineLvl w:val="1"/>
    </w:pPr>
    <w:rPr>
      <w:rFonts w:ascii="Cambria" w:hAnsi="Cambria" w:eastAsia="宋体" w:cs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7"/>
    <w:pPr>
      <w:keepNext/>
      <w:widowControl/>
      <w:spacing w:before="240" w:after="60"/>
      <w:jc w:val="left"/>
      <w:outlineLvl w:val="2"/>
    </w:pPr>
    <w:rPr>
      <w:rFonts w:ascii="Cambria" w:hAnsi="Cambria" w:eastAsia="宋体" w:cs="Times New Roman"/>
      <w:b/>
      <w:bCs/>
      <w:sz w:val="26"/>
      <w:szCs w:val="26"/>
    </w:rPr>
  </w:style>
  <w:style w:type="paragraph" w:styleId="5">
    <w:name w:val="heading 4"/>
    <w:basedOn w:val="1"/>
    <w:next w:val="1"/>
    <w:link w:val="28"/>
    <w:pPr>
      <w:keepNext/>
      <w:widowControl/>
      <w:spacing w:before="240" w:after="60"/>
      <w:jc w:val="left"/>
      <w:outlineLvl w:val="3"/>
    </w:pPr>
    <w:rPr>
      <w:rFonts w:cs="Times New Roman"/>
      <w:b/>
      <w:bCs/>
      <w:sz w:val="28"/>
      <w:szCs w:val="28"/>
    </w:rPr>
  </w:style>
  <w:style w:type="paragraph" w:styleId="6">
    <w:name w:val="heading 5"/>
    <w:basedOn w:val="1"/>
    <w:next w:val="1"/>
    <w:link w:val="29"/>
    <w:pPr>
      <w:widowControl/>
      <w:spacing w:before="240" w:after="60"/>
      <w:jc w:val="left"/>
      <w:outlineLvl w:val="4"/>
    </w:pPr>
    <w:rPr>
      <w:rFonts w:cs="Times New Roman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30"/>
    <w:pPr>
      <w:widowControl/>
      <w:spacing w:before="240" w:after="60"/>
      <w:jc w:val="left"/>
      <w:outlineLvl w:val="5"/>
    </w:pPr>
    <w:rPr>
      <w:rFonts w:cs="Times New Roman"/>
      <w:b/>
      <w:bCs/>
    </w:rPr>
  </w:style>
  <w:style w:type="paragraph" w:styleId="8">
    <w:name w:val="heading 7"/>
    <w:basedOn w:val="1"/>
    <w:next w:val="1"/>
    <w:link w:val="31"/>
    <w:pPr>
      <w:widowControl/>
      <w:spacing w:before="240" w:after="60"/>
      <w:jc w:val="left"/>
      <w:outlineLvl w:val="6"/>
    </w:pPr>
    <w:rPr>
      <w:rFonts w:cs="Times New Roman"/>
      <w:sz w:val="24"/>
      <w:szCs w:val="24"/>
    </w:rPr>
  </w:style>
  <w:style w:type="paragraph" w:styleId="9">
    <w:name w:val="heading 8"/>
    <w:basedOn w:val="1"/>
    <w:next w:val="1"/>
    <w:link w:val="32"/>
    <w:pPr>
      <w:widowControl/>
      <w:spacing w:before="240" w:after="60"/>
      <w:jc w:val="left"/>
      <w:outlineLvl w:val="7"/>
    </w:pPr>
    <w:rPr>
      <w:rFonts w:cs="Times New Roman"/>
      <w:i/>
      <w:iCs/>
      <w:sz w:val="24"/>
      <w:szCs w:val="24"/>
    </w:rPr>
  </w:style>
  <w:style w:type="paragraph" w:styleId="10">
    <w:name w:val="heading 9"/>
    <w:basedOn w:val="1"/>
    <w:next w:val="1"/>
    <w:link w:val="33"/>
    <w:pPr>
      <w:widowControl/>
      <w:spacing w:before="240" w:after="60"/>
      <w:jc w:val="left"/>
      <w:outlineLvl w:val="8"/>
    </w:pPr>
    <w:rPr>
      <w:rFonts w:ascii="Cambria" w:hAnsi="Cambria" w:eastAsia="宋体" w:cs="Times New Roman"/>
    </w:rPr>
  </w:style>
  <w:style w:type="character" w:default="1" w:styleId="15">
    <w:name w:val="Default Paragraph Font"/>
  </w:style>
  <w:style w:type="paragraph" w:styleId="11">
    <w:name w:val="footer"/>
    <w:basedOn w:val="1"/>
    <w:link w:val="35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header"/>
    <w:basedOn w:val="1"/>
    <w:link w:val="36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2"/>
      <w:sz w:val="18"/>
      <w:szCs w:val="18"/>
    </w:rPr>
  </w:style>
  <w:style w:type="paragraph" w:styleId="13">
    <w:name w:val="Subtitle"/>
    <w:basedOn w:val="1"/>
    <w:next w:val="1"/>
    <w:link w:val="37"/>
    <w:pPr>
      <w:widowControl/>
      <w:spacing w:after="60"/>
      <w:jc w:val="center"/>
      <w:outlineLvl w:val="1"/>
    </w:pPr>
    <w:rPr>
      <w:rFonts w:ascii="Cambria" w:hAnsi="Cambria" w:eastAsia="宋体" w:cs="Times New Roman"/>
      <w:sz w:val="24"/>
      <w:szCs w:val="24"/>
    </w:rPr>
  </w:style>
  <w:style w:type="paragraph" w:styleId="14">
    <w:name w:val="Title"/>
    <w:basedOn w:val="1"/>
    <w:next w:val="1"/>
    <w:link w:val="38"/>
    <w:pPr>
      <w:widowControl/>
      <w:spacing w:before="240" w:after="60"/>
      <w:jc w:val="center"/>
      <w:outlineLvl w:val="0"/>
    </w:pPr>
    <w:rPr>
      <w:rFonts w:ascii="Cambria" w:hAnsi="Cambria" w:eastAsia="宋体" w:cs="Times New Roman"/>
      <w:b/>
      <w:bCs/>
      <w:kern w:val="28"/>
      <w:sz w:val="32"/>
      <w:szCs w:val="32"/>
    </w:rPr>
  </w:style>
  <w:style w:type="character" w:styleId="16">
    <w:name w:val="Strong"/>
    <w:basedOn w:val="15"/>
    <w:rPr>
      <w:rFonts w:cs="Times New Roman"/>
      <w:b/>
      <w:bCs/>
    </w:rPr>
  </w:style>
  <w:style w:type="character" w:styleId="17">
    <w:name w:val="Emphasis"/>
    <w:basedOn w:val="15"/>
    <w:rPr>
      <w:rFonts w:ascii="Calibri" w:hAnsi="Calibri" w:cs="Times New Roman"/>
      <w:b/>
      <w:i/>
      <w:iCs/>
    </w:rPr>
  </w:style>
  <w:style w:type="paragraph" w:customStyle="1" w:styleId="18">
    <w:name w:val="Block Text"/>
    <w:basedOn w:val="1"/>
    <w:next w:val="1"/>
    <w:link w:val="39"/>
    <w:pPr>
      <w:widowControl/>
      <w:jc w:val="left"/>
    </w:pPr>
    <w:rPr>
      <w:rFonts w:cs="Times New Roman"/>
      <w:i/>
      <w:sz w:val="24"/>
      <w:szCs w:val="24"/>
    </w:rPr>
  </w:style>
  <w:style w:type="paragraph" w:customStyle="1" w:styleId="19">
    <w:name w:val="批注框文本 Char Char"/>
    <w:basedOn w:val="1"/>
    <w:link w:val="34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20">
    <w:name w:val="Normal (Web)"/>
    <w:basedOn w:val="1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21">
    <w:name w:val="No Spacing"/>
    <w:basedOn w:val="1"/>
    <w:pPr>
      <w:widowControl/>
      <w:jc w:val="left"/>
    </w:pPr>
    <w:rPr>
      <w:rFonts w:ascii="Calibri" w:hAnsi="Calibri" w:eastAsia="宋体" w:cs="Times New Roman"/>
      <w:kern w:val="0"/>
      <w:sz w:val="24"/>
      <w:szCs w:val="32"/>
      <w:lang w:val="en-US" w:eastAsia="en-US" w:bidi="ar-SA"/>
    </w:rPr>
  </w:style>
  <w:style w:type="paragraph" w:customStyle="1" w:styleId="22">
    <w:name w:val="List Paragraph"/>
    <w:basedOn w:val="1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23">
    <w:name w:val="Intense Quote"/>
    <w:basedOn w:val="1"/>
    <w:next w:val="1"/>
    <w:link w:val="40"/>
    <w:pPr>
      <w:widowControl/>
      <w:ind w:left="720" w:right="720"/>
      <w:jc w:val="left"/>
    </w:pPr>
    <w:rPr>
      <w:rFonts w:cs="Times New Roman"/>
      <w:b/>
      <w:i/>
      <w:sz w:val="24"/>
    </w:rPr>
  </w:style>
  <w:style w:type="paragraph" w:customStyle="1" w:styleId="24">
    <w:name w:val="TOC Heading1"/>
    <w:basedOn w:val="2"/>
    <w:next w:val="1"/>
    <w:pPr>
      <w:outlineLvl w:val="9"/>
    </w:pPr>
    <w:rPr>
      <w:lang w:eastAsia="en-US"/>
    </w:rPr>
  </w:style>
  <w:style w:type="character" w:customStyle="1" w:styleId="25">
    <w:name w:val="Heading 1 Char"/>
    <w:basedOn w:val="15"/>
    <w:link w:val="2"/>
    <w:semiHidden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6">
    <w:name w:val="Heading 2 Char"/>
    <w:basedOn w:val="15"/>
    <w:link w:val="3"/>
    <w:semiHidden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7">
    <w:name w:val="Heading 3 Char"/>
    <w:basedOn w:val="15"/>
    <w:link w:val="4"/>
    <w:semiHidden/>
    <w:rPr>
      <w:rFonts w:ascii="Cambria" w:hAnsi="Cambria" w:eastAsia="宋体" w:cs="Times New Roman"/>
      <w:b/>
      <w:bCs/>
      <w:sz w:val="26"/>
      <w:szCs w:val="26"/>
    </w:rPr>
  </w:style>
  <w:style w:type="character" w:customStyle="1" w:styleId="28">
    <w:name w:val="Heading 4 Char"/>
    <w:basedOn w:val="15"/>
    <w:link w:val="5"/>
    <w:semiHidden/>
    <w:rPr>
      <w:rFonts w:cs="Times New Roman"/>
      <w:b/>
      <w:bCs/>
      <w:sz w:val="28"/>
      <w:szCs w:val="28"/>
    </w:rPr>
  </w:style>
  <w:style w:type="character" w:customStyle="1" w:styleId="29">
    <w:name w:val="Heading 5 Char"/>
    <w:basedOn w:val="15"/>
    <w:link w:val="6"/>
    <w:semiHidden/>
    <w:rPr>
      <w:rFonts w:cs="Times New Roman"/>
      <w:b/>
      <w:bCs/>
      <w:i/>
      <w:iCs/>
      <w:sz w:val="26"/>
      <w:szCs w:val="26"/>
    </w:rPr>
  </w:style>
  <w:style w:type="character" w:customStyle="1" w:styleId="30">
    <w:name w:val="Heading 6 Char"/>
    <w:basedOn w:val="15"/>
    <w:link w:val="7"/>
    <w:semiHidden/>
    <w:rPr>
      <w:rFonts w:cs="Times New Roman"/>
      <w:b/>
      <w:bCs/>
    </w:rPr>
  </w:style>
  <w:style w:type="character" w:customStyle="1" w:styleId="31">
    <w:name w:val="Heading 7 Char"/>
    <w:basedOn w:val="15"/>
    <w:link w:val="8"/>
    <w:semiHidden/>
    <w:rPr>
      <w:rFonts w:cs="Times New Roman"/>
      <w:sz w:val="24"/>
      <w:szCs w:val="24"/>
    </w:rPr>
  </w:style>
  <w:style w:type="character" w:customStyle="1" w:styleId="32">
    <w:name w:val="Heading 8 Char"/>
    <w:basedOn w:val="15"/>
    <w:link w:val="9"/>
    <w:semiHidden/>
    <w:rPr>
      <w:rFonts w:cs="Times New Roman"/>
      <w:i/>
      <w:iCs/>
      <w:sz w:val="24"/>
      <w:szCs w:val="24"/>
    </w:rPr>
  </w:style>
  <w:style w:type="character" w:customStyle="1" w:styleId="33">
    <w:name w:val="Heading 9 Char"/>
    <w:basedOn w:val="15"/>
    <w:link w:val="10"/>
    <w:semiHidden/>
    <w:rPr>
      <w:rFonts w:ascii="Cambria" w:hAnsi="Cambria" w:eastAsia="宋体" w:cs="Times New Roman"/>
    </w:rPr>
  </w:style>
  <w:style w:type="character" w:customStyle="1" w:styleId="34">
    <w:name w:val="Balloon Text Char"/>
    <w:basedOn w:val="15"/>
    <w:link w:val="19"/>
    <w:semiHidden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5">
    <w:name w:val="Footer Char"/>
    <w:basedOn w:val="15"/>
    <w:link w:val="11"/>
    <w:semiHidden/>
    <w:rPr>
      <w:rFonts w:ascii="Calibri" w:hAnsi="Calibri" w:eastAsia="宋体" w:cs="Times New Roman"/>
      <w:kern w:val="2"/>
      <w:sz w:val="18"/>
      <w:szCs w:val="18"/>
    </w:rPr>
  </w:style>
  <w:style w:type="character" w:customStyle="1" w:styleId="36">
    <w:name w:val="Header Char"/>
    <w:basedOn w:val="15"/>
    <w:link w:val="12"/>
    <w:semiHidden/>
    <w:rPr>
      <w:rFonts w:ascii="Calibri" w:hAnsi="Calibri" w:eastAsia="宋体" w:cs="Times New Roman"/>
      <w:kern w:val="2"/>
      <w:sz w:val="18"/>
      <w:szCs w:val="18"/>
    </w:rPr>
  </w:style>
  <w:style w:type="character" w:customStyle="1" w:styleId="37">
    <w:name w:val="Subtitle Char"/>
    <w:basedOn w:val="15"/>
    <w:link w:val="13"/>
    <w:semiHidden/>
    <w:rPr>
      <w:rFonts w:ascii="Cambria" w:hAnsi="Cambria" w:eastAsia="宋体" w:cs="Times New Roman"/>
      <w:sz w:val="24"/>
      <w:szCs w:val="24"/>
    </w:rPr>
  </w:style>
  <w:style w:type="character" w:customStyle="1" w:styleId="38">
    <w:name w:val="Title Char"/>
    <w:basedOn w:val="15"/>
    <w:link w:val="14"/>
    <w:semiHidden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39">
    <w:name w:val="Quote Char"/>
    <w:basedOn w:val="15"/>
    <w:link w:val="18"/>
    <w:semiHidden/>
    <w:rPr>
      <w:rFonts w:cs="Times New Roman"/>
      <w:i/>
      <w:sz w:val="24"/>
      <w:szCs w:val="24"/>
    </w:rPr>
  </w:style>
  <w:style w:type="character" w:customStyle="1" w:styleId="40">
    <w:name w:val="Intense Quote Char Char"/>
    <w:basedOn w:val="15"/>
    <w:link w:val="23"/>
    <w:semiHidden/>
    <w:rPr>
      <w:rFonts w:cs="Times New Roman"/>
      <w:b/>
      <w:i/>
      <w:sz w:val="24"/>
    </w:rPr>
  </w:style>
  <w:style w:type="character" w:customStyle="1" w:styleId="41">
    <w:name w:val="Subtle Emphasis1"/>
    <w:rPr>
      <w:i/>
      <w:color w:val="5A5A5A"/>
    </w:rPr>
  </w:style>
  <w:style w:type="character" w:customStyle="1" w:styleId="42">
    <w:name w:val="Intense Emphasis1"/>
    <w:basedOn w:val="15"/>
    <w:rPr>
      <w:rFonts w:cs="Times New Roman"/>
      <w:b/>
      <w:i/>
      <w:sz w:val="24"/>
      <w:szCs w:val="24"/>
      <w:u w:val="single"/>
    </w:rPr>
  </w:style>
  <w:style w:type="character" w:customStyle="1" w:styleId="43">
    <w:name w:val="Subtle Reference1"/>
    <w:basedOn w:val="15"/>
    <w:rPr>
      <w:rFonts w:cs="Times New Roman"/>
      <w:sz w:val="24"/>
      <w:szCs w:val="24"/>
      <w:u w:val="single"/>
    </w:rPr>
  </w:style>
  <w:style w:type="character" w:customStyle="1" w:styleId="44">
    <w:name w:val="Intense Reference1"/>
    <w:basedOn w:val="15"/>
    <w:rPr>
      <w:rFonts w:cs="Times New Roman"/>
      <w:b/>
      <w:sz w:val="24"/>
      <w:u w:val="single"/>
    </w:rPr>
  </w:style>
  <w:style w:type="character" w:customStyle="1" w:styleId="45">
    <w:name w:val="Book Title1"/>
    <w:basedOn w:val="15"/>
    <w:rPr>
      <w:rFonts w:ascii="Cambria" w:hAnsi="Cambria" w:eastAsia="宋体" w:cs="Times New Roman"/>
      <w:b/>
      <w:i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8</Pages>
  <Words>495</Words>
  <Characters>2828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2018-08-15T18:06:00Z</dcterms:created>
  <dc:creator>赵 恺（预算处）</dc:creator>
  <cp:lastPrinted>2019-01-15T19:36:00Z</cp:lastPrinted>
  <dcterms:modified xsi:type="dcterms:W3CDTF">2019-11-22T12:22:57Z</dcterms:modified>
  <dc:title>User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