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巴州住房公积金管理中心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left="1800" w:hanging="1800" w:hangingChars="5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购办公楼、办公场所改造、办公设备购置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实施单位（公章）：巴州住房公积金管理中心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01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14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单位主要工作职责：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、编制、执行住房公积金的归集、使用计划；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、记载职工住房公积金缴存；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、负责住房公积金的核算；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、审批住房公积金的提取、使用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、负责住房公积金的保值和归还；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、编制住房公积金归集、使用计划执行情况的报告；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机构人员情况：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巴州住房公积金管理中心，政府直属事业单位，机构规格相当县级，核定事业编制</w:t>
      </w:r>
      <w:r>
        <w:rPr>
          <w:rFonts w:ascii="仿宋_GB2312" w:hAnsi="仿宋_GB2312" w:eastAsia="仿宋_GB2312" w:cs="仿宋_GB2312"/>
          <w:sz w:val="32"/>
          <w:szCs w:val="32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名，现实有人员</w:t>
      </w:r>
      <w:r>
        <w:rPr>
          <w:rFonts w:ascii="仿宋_GB2312" w:hAnsi="仿宋_GB2312" w:eastAsia="仿宋_GB2312" w:cs="仿宋_GB2312"/>
          <w:sz w:val="32"/>
          <w:szCs w:val="32"/>
        </w:rPr>
        <w:t>63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人，其中：在职人员</w:t>
      </w:r>
      <w:r>
        <w:rPr>
          <w:rFonts w:ascii="仿宋_GB2312" w:hAnsi="仿宋_GB2312" w:eastAsia="仿宋_GB2312" w:cs="仿宋_GB2312"/>
          <w:sz w:val="32"/>
          <w:szCs w:val="32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人，退休人员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，经费实行自收自支。内设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个职能科室：办公室、资金管理科、信贷科、稽查科、技术科、计划财务科。下设库尔勒、南市区、焉耆、博湖、和硕、和静、尉犁、轮台、且末、若羌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个管理部。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项目：购办公楼、办公场所改造、办公设备购置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用于州直百川大厦四楼购置及改造，更新旧办公电脑、桌椅等设备，稳步推进巴州住房公积金管理中心新迁百川大厦办公场所建设，实现一窗受理、集成服务，让群众最多跑一趟，为办事群众提供优良的环境。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（项目设立依据：根据巴州人民政府工作安排，将我中心在金色时代广场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楼办公场所移交巴州机关事务管理局，将办公场所迁移至我中心购置的百川办公写字楼。因原写字楼内办公格局不适合办公使用，所以进行办公场所改造。）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565" w:firstLineChars="181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项目涉及资金</w:t>
      </w:r>
      <w:r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  <w:t>620.34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万元，州财政根据年初预算全部下达本单位。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565" w:firstLineChars="181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由于本单位性质为自收自支事业单位，管理费用实行“收支两条线”管理，实际此项目资金全部为自筹，交由财政帐户，再由财政拔付给本单位使用。当年未完成预算指标，由财政全部收回。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  <w:t>2018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年本单位使用项目资金</w:t>
      </w:r>
      <w:r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  <w:t>101.16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购办公楼、办公场所改造、办公设备购置项目实际支出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73.48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万元；“访惠聚”工作队为民办实事工作经费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27.68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　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所有项目严格按照项目管理规定和《巴州住房公积金管理中心财务管理办法》，在预算执行上，坚持专款专用、公开透明，定期分析管理中存在的问题和通报预算执行进度。在会计核算上，按照会计准则，单独设置办公场所大型修缮、办公设备购置、网络建设等科目核算，账务处理及时、经济科目清晰、会计核算规范。在结算报销上，坚持以实际发生经济活动的原始凭证为依据，签字报批手续齐全，并分类整理编制会计凭证。年度内，项目财务制度健全，管理措施完善，支出真实合规。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本单位购置办公场所、办公场所改造、办公设备购置项目全部通过巴州机关事务管理局招投标、财政政府采购程序实施。</w:t>
      </w:r>
    </w:p>
    <w:p>
      <w:pPr>
        <w:spacing w:line="560" w:lineRule="exact"/>
        <w:ind w:firstLine="640" w:firstLineChars="200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该项目由办公室提出需求，申报党委会审议通过后交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巴州机关事务管理局招投标、财政政府采购，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按流程组织采购。</w:t>
      </w:r>
    </w:p>
    <w:p>
      <w:pPr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（包括项目管理制度建设、日常检查监督管理等情况）</w:t>
      </w:r>
    </w:p>
    <w:p>
      <w:pPr>
        <w:pStyle w:val="20"/>
        <w:widowControl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将遵循住房公积金管理“以人为本、服务社会、科学管理、追求卓越”的宗旨，通过整合原有资源，推动住房公积金管理的进一步优化与整合、优化办公环境，服务公积金缴存职工。工程进度由中心甲方代表按照工程进度进行检查。</w:t>
      </w:r>
    </w:p>
    <w:p>
      <w:pPr>
        <w:spacing w:line="560" w:lineRule="exact"/>
        <w:ind w:firstLine="624" w:firstLineChars="20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565" w:firstLineChars="181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（将项目支出后的实际状况与申报的绩效目标对比，从项目的经济性、效率性、有益性和可持续性等方面进行量化、具体分析。）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购办公楼、办公场所改造、办公设备购置项目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620.34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完成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546.86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万主要是用于购买焉耆、轮台、若羌管理部办公场所、州直百川大厦四楼共计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505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万没有实施（有可能以后年度将取消）；百川办公场所改造交由巴州机关事务管理局负责招投标（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年），百川消防改造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年由州财政政府采购招标代理公司实施，按合同当年支付比例实施，支付金额为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68.13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万元，末完成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11.87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万元；由于百川大厦改造末完成，设备配备无法购置，办公设备实际执行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5.36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万元，末完成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29.98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年购买焉耆、轮台、若羌管理部办公场所、州直百川大厦四楼共计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505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万没有实施。未完成原因：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焉耆、轮台、若羌三个管理部工作人员少，为更好的落实社会稳定和长治久安总目标，认真做好国家“放管服”改革工作要求，使住房公积金缴存职工能更好、更便捷的办理公积金业务，同时做好管理部安全保障工作，我中心同管理部所在地银行合作，将办公场所安置在银行内，所以停止购买焉耆、轮台、若羌三个管理部办公场所。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、我中心在办理支付百川大厦四楼房款事宜时，由于支付款项对象未确定，造成支付房款未完成。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办公场所改造涉及办公场所改造、消防工程改造（按新消防验收国标要求进行消防改造），按照合同约定支付工程款。</w:t>
      </w:r>
    </w:p>
    <w:p>
      <w:pPr>
        <w:spacing w:line="560" w:lineRule="exact"/>
        <w:ind w:firstLine="313" w:firstLineChars="1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599"/>
        <w:jc w:val="left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43434"/>
          <w:kern w:val="0"/>
          <w:sz w:val="32"/>
          <w:szCs w:val="32"/>
        </w:rPr>
        <w:t>每年预算在上年的</w:t>
      </w:r>
      <w:r>
        <w:rPr>
          <w:rFonts w:ascii="仿宋_GB2312" w:hAnsi="仿宋_GB2312" w:eastAsia="仿宋_GB2312" w:cs="仿宋_GB2312"/>
          <w:color w:val="343434"/>
          <w:kern w:val="0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color w:val="343434"/>
          <w:kern w:val="0"/>
          <w:sz w:val="32"/>
          <w:szCs w:val="32"/>
        </w:rPr>
        <w:t>月作出，与本年实际签订合同、履行合同实际金额有差，造成延期完成预算金额，支付时间滞后情况。</w:t>
      </w:r>
    </w:p>
    <w:p>
      <w:pPr>
        <w:spacing w:line="56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599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43434"/>
          <w:kern w:val="0"/>
          <w:sz w:val="32"/>
          <w:szCs w:val="32"/>
        </w:rPr>
        <w:t>保障了正常办公秩序，满足了营业大厅业务办理需求。让缴存职工享受优美的环境和良好的服务，从各个方面提高了公积金中心的服务质量，让缴存职工的满意度达到最高，有较大的社会效益。</w:t>
      </w:r>
      <w:r>
        <w:rPr>
          <w:rFonts w:ascii="仿宋_GB2312" w:hAnsi="仿宋_GB2312" w:eastAsia="仿宋_GB2312" w:cs="仿宋_GB2312"/>
          <w:color w:val="343434"/>
          <w:kern w:val="0"/>
          <w:sz w:val="32"/>
          <w:szCs w:val="32"/>
        </w:rPr>
        <w:t xml:space="preserve"> 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tbl>
      <w:tblPr>
        <w:tblW w:w="83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77"/>
        <w:gridCol w:w="915"/>
        <w:gridCol w:w="1093"/>
        <w:gridCol w:w="867"/>
        <w:gridCol w:w="707"/>
        <w:gridCol w:w="2109"/>
        <w:gridCol w:w="2056"/>
      </w:tblGrid>
      <w:tr>
        <w:trPr>
          <w:trHeight w:val="405" w:hRule="atLeast"/>
        </w:trPr>
        <w:tc>
          <w:tcPr>
            <w:tcW w:w="8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巴州住房公积金管理中心财政项目支出绩效自评表</w:t>
            </w:r>
          </w:p>
        </w:tc>
      </w:tr>
      <w:tr>
        <w:trPr>
          <w:trHeight w:val="327" w:hRule="atLeast"/>
        </w:trPr>
        <w:tc>
          <w:tcPr>
            <w:tcW w:w="8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2018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u w:val="single"/>
              </w:rPr>
              <w:t>年度）</w:t>
            </w:r>
          </w:p>
        </w:tc>
      </w:tr>
      <w:tr>
        <w:trPr>
          <w:trHeight w:val="285" w:hRule="atLeast"/>
        </w:trPr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  <w:u w:val="single"/>
              </w:rPr>
            </w:pPr>
          </w:p>
        </w:tc>
      </w:tr>
      <w:tr>
        <w:trPr>
          <w:trHeight w:val="420" w:hRule="atLeast"/>
        </w:trPr>
        <w:tc>
          <w:tcPr>
            <w:tcW w:w="25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项目名称</w:t>
            </w:r>
          </w:p>
        </w:tc>
        <w:tc>
          <w:tcPr>
            <w:tcW w:w="57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购置办公场所、办公场所改造、办公设备购置、</w:t>
            </w:r>
          </w:p>
        </w:tc>
      </w:tr>
      <w:tr>
        <w:trPr>
          <w:trHeight w:val="435" w:hRule="atLeast"/>
        </w:trPr>
        <w:tc>
          <w:tcPr>
            <w:tcW w:w="25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预算单位</w:t>
            </w:r>
          </w:p>
        </w:tc>
        <w:tc>
          <w:tcPr>
            <w:tcW w:w="57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巴州住房公积金管理中心　</w:t>
            </w:r>
          </w:p>
        </w:tc>
      </w:tr>
      <w:tr>
        <w:trPr>
          <w:trHeight w:val="465" w:hRule="atLeast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预算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执行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情况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（万元）</w:t>
            </w: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预算数：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620.34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执行数：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73.48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</w:tr>
      <w:tr>
        <w:trPr>
          <w:trHeight w:val="509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其中：财政拨款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620.34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其中：财政拨款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73.48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</w:tr>
      <w:tr>
        <w:trPr>
          <w:trHeight w:val="433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其他资金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  <w:tc>
          <w:tcPr>
            <w:tcW w:w="210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其他资金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</w:tr>
      <w:tr>
        <w:trPr>
          <w:trHeight w:val="450" w:hRule="atLeast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年度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目标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完成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情况</w:t>
            </w:r>
          </w:p>
        </w:tc>
        <w:tc>
          <w:tcPr>
            <w:tcW w:w="3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预期目标</w:t>
            </w:r>
          </w:p>
        </w:tc>
        <w:tc>
          <w:tcPr>
            <w:tcW w:w="4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实际完成目标</w:t>
            </w:r>
          </w:p>
        </w:tc>
      </w:tr>
      <w:tr>
        <w:trPr>
          <w:trHeight w:val="1361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35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稳步推进巴州住房公积金管理中心新迁百川大厦办公场所建设，实现一窗受理、集成服务，让群众最多跑一趟，为办事群众提供优良的环境</w:t>
            </w:r>
          </w:p>
        </w:tc>
        <w:tc>
          <w:tcPr>
            <w:tcW w:w="4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稳步推进巴州住房公积金管理中心新迁百川大厦办公场所建设，正在进行改造。</w:t>
            </w:r>
          </w:p>
        </w:tc>
      </w:tr>
      <w:tr>
        <w:trPr>
          <w:trHeight w:val="720" w:hRule="atLeast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年度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绩效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指标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完成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情况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一级指标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二级指标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三级指标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预期指标值（包含数字及文字描述）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实际完成指标值（包含数字及文字描述）</w:t>
            </w:r>
          </w:p>
        </w:tc>
      </w:tr>
      <w:tr>
        <w:trPr>
          <w:trHeight w:val="480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项目完成指标</w:t>
            </w:r>
          </w:p>
        </w:tc>
        <w:tc>
          <w:tcPr>
            <w:tcW w:w="10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数量指标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W w:w="593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937"/>
            </w:tblGrid>
            <w:tr>
              <w:trPr>
                <w:trHeight w:val="286" w:hRule="atLeast"/>
              </w:trPr>
              <w:tc>
                <w:tcPr>
                  <w:tcW w:w="59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</w:pPr>
                  <w:r>
                    <w:rPr>
                      <w:rFonts w:hint="eastAsia" w:ascii="仿宋_GB2312" w:hAnsi="宋体" w:eastAsia="仿宋_GB2312" w:cs="仿宋_GB2312"/>
                      <w:color w:val="000000"/>
                      <w:kern w:val="0"/>
                      <w:sz w:val="24"/>
                    </w:rPr>
                    <w:t>笔记本电脑</w:t>
                  </w: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  <w:t>笔记本电脑、打印复印一体机等</w:t>
                  </w:r>
                </w:p>
              </w:tc>
            </w:tr>
            <w:tr>
              <w:trPr>
                <w:trHeight w:val="286" w:hRule="atLeast"/>
              </w:trPr>
              <w:tc>
                <w:tcPr>
                  <w:tcW w:w="59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  <w:t>机房空调</w:t>
                  </w:r>
                </w:p>
              </w:tc>
            </w:tr>
            <w:tr>
              <w:trPr>
                <w:trHeight w:val="286" w:hRule="atLeast"/>
              </w:trPr>
              <w:tc>
                <w:tcPr>
                  <w:tcW w:w="59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  <w:t>办公桌椅</w:t>
                  </w:r>
                </w:p>
              </w:tc>
            </w:tr>
            <w:tr>
              <w:trPr>
                <w:trHeight w:val="286" w:hRule="atLeast"/>
              </w:trPr>
              <w:tc>
                <w:tcPr>
                  <w:tcW w:w="593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0"/>
                      <w:szCs w:val="20"/>
                      <w:u w:val="single"/>
                    </w:rPr>
                    <w:t>电子显屏</w:t>
                  </w:r>
                </w:p>
              </w:tc>
            </w:tr>
          </w:tbl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15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台电脑及电子设备、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台空调、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35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张桌椅、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个显屏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49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个电子设备及电脑</w:t>
            </w:r>
          </w:p>
        </w:tc>
      </w:tr>
      <w:tr>
        <w:trPr>
          <w:trHeight w:val="480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购办公楼百川大厦四楼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0</w:t>
            </w:r>
          </w:p>
        </w:tc>
      </w:tr>
      <w:tr>
        <w:trPr>
          <w:trHeight w:val="480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0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办公场所改造（百川）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2100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平方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2100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平方</w:t>
            </w:r>
          </w:p>
        </w:tc>
      </w:tr>
      <w:tr>
        <w:trPr>
          <w:trHeight w:val="480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时效指标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当年按合同约定完成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30%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30%</w:t>
            </w:r>
          </w:p>
        </w:tc>
      </w:tr>
      <w:tr>
        <w:trPr>
          <w:trHeight w:val="480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社会效益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指标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提升办公环境和外部形象，提高住房公积金服务质量和优化服务环境。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持续提高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有特提高</w:t>
            </w:r>
          </w:p>
        </w:tc>
      </w:tr>
      <w:tr>
        <w:trPr>
          <w:trHeight w:val="480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可持续影响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指标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发挥作用年限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长期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长期</w:t>
            </w:r>
          </w:p>
        </w:tc>
      </w:tr>
      <w:tr>
        <w:trPr>
          <w:trHeight w:val="480" w:hRule="atLeast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满意度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指标</w:t>
            </w:r>
          </w:p>
        </w:tc>
        <w:tc>
          <w:tcPr>
            <w:tcW w:w="109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满意度指标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服务对象满意度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&gt;=80%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  <w:u w:val="single"/>
              </w:rPr>
              <w:t>&gt;=80%</w:t>
            </w:r>
          </w:p>
        </w:tc>
      </w:tr>
    </w:tbl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ind w:firstLine="567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20"/>
          <w:szCs w:val="20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287" w:usb1="080E0000" w:usb2="00000010" w:usb3="00000000" w:csb0="0004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pPr>
      <w:keepNext/>
      <w:widowControl/>
      <w:spacing w:before="240" w:after="60"/>
      <w:jc w:val="left"/>
      <w:outlineLvl w:val="0"/>
    </w:pPr>
    <w:rPr>
      <w:rFonts w:ascii="Cambria" w:hAnsi="Cambria" w:eastAsia="宋体" w:cs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6"/>
    <w:pPr>
      <w:keepNext/>
      <w:widowControl/>
      <w:spacing w:before="240" w:after="60"/>
      <w:jc w:val="left"/>
      <w:outlineLvl w:val="1"/>
    </w:pPr>
    <w:rPr>
      <w:rFonts w:ascii="Cambria" w:hAnsi="Cambria" w:eastAsia="宋体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7"/>
    <w:pPr>
      <w:keepNext/>
      <w:widowControl/>
      <w:spacing w:before="240" w:after="60"/>
      <w:jc w:val="left"/>
      <w:outlineLvl w:val="2"/>
    </w:pPr>
    <w:rPr>
      <w:rFonts w:ascii="Cambria" w:hAnsi="Cambria" w:eastAsia="宋体" w:cs="Times New Roman"/>
      <w:b/>
      <w:bCs/>
      <w:sz w:val="26"/>
      <w:szCs w:val="26"/>
    </w:rPr>
  </w:style>
  <w:style w:type="paragraph" w:styleId="5">
    <w:name w:val="heading 4"/>
    <w:basedOn w:val="1"/>
    <w:next w:val="1"/>
    <w:link w:val="28"/>
    <w:pPr>
      <w:keepNext/>
      <w:widowControl/>
      <w:spacing w:before="240" w:after="60"/>
      <w:jc w:val="left"/>
      <w:outlineLvl w:val="3"/>
    </w:pPr>
    <w:rPr>
      <w:rFonts w:cs="Times New Roman"/>
      <w:b/>
      <w:bCs/>
      <w:sz w:val="28"/>
      <w:szCs w:val="28"/>
    </w:rPr>
  </w:style>
  <w:style w:type="paragraph" w:styleId="6">
    <w:name w:val="heading 5"/>
    <w:basedOn w:val="1"/>
    <w:next w:val="1"/>
    <w:link w:val="29"/>
    <w:pPr>
      <w:widowControl/>
      <w:spacing w:before="240" w:after="60"/>
      <w:jc w:val="left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0"/>
    <w:pPr>
      <w:widowControl/>
      <w:spacing w:before="240" w:after="60"/>
      <w:jc w:val="left"/>
      <w:outlineLvl w:val="5"/>
    </w:pPr>
    <w:rPr>
      <w:rFonts w:cs="Times New Roman"/>
      <w:b/>
      <w:bCs/>
    </w:rPr>
  </w:style>
  <w:style w:type="paragraph" w:styleId="8">
    <w:name w:val="heading 7"/>
    <w:basedOn w:val="1"/>
    <w:next w:val="1"/>
    <w:link w:val="31"/>
    <w:pPr>
      <w:widowControl/>
      <w:spacing w:before="240" w:after="60"/>
      <w:jc w:val="left"/>
      <w:outlineLvl w:val="6"/>
    </w:pPr>
    <w:rPr>
      <w:rFonts w:cs="Times New Roman"/>
      <w:sz w:val="24"/>
      <w:szCs w:val="24"/>
    </w:rPr>
  </w:style>
  <w:style w:type="paragraph" w:styleId="9">
    <w:name w:val="heading 8"/>
    <w:basedOn w:val="1"/>
    <w:next w:val="1"/>
    <w:link w:val="32"/>
    <w:pPr>
      <w:widowControl/>
      <w:spacing w:before="240" w:after="60"/>
      <w:jc w:val="left"/>
      <w:outlineLvl w:val="7"/>
    </w:pPr>
    <w:rPr>
      <w:rFonts w:cs="Times New Roman"/>
      <w:i/>
      <w:iCs/>
      <w:sz w:val="24"/>
      <w:szCs w:val="24"/>
    </w:rPr>
  </w:style>
  <w:style w:type="paragraph" w:styleId="10">
    <w:name w:val="heading 9"/>
    <w:basedOn w:val="1"/>
    <w:next w:val="1"/>
    <w:link w:val="33"/>
    <w:pPr>
      <w:widowControl/>
      <w:spacing w:before="240" w:after="60"/>
      <w:jc w:val="left"/>
      <w:outlineLvl w:val="8"/>
    </w:pPr>
    <w:rPr>
      <w:rFonts w:ascii="Cambria" w:hAnsi="Cambria" w:eastAsia="宋体" w:cs="Times New Roman"/>
    </w:rPr>
  </w:style>
  <w:style w:type="character" w:default="1" w:styleId="17">
    <w:name w:val="Default Paragraph Font"/>
  </w:style>
  <w:style w:type="paragraph" w:styleId="11">
    <w:name w:val="Block Text"/>
    <w:basedOn w:val="1"/>
    <w:next w:val="1"/>
    <w:link w:val="39"/>
    <w:pPr>
      <w:widowControl/>
      <w:jc w:val="left"/>
    </w:pPr>
    <w:rPr>
      <w:rFonts w:cs="Times New Roman"/>
      <w:i/>
      <w:sz w:val="24"/>
      <w:szCs w:val="24"/>
    </w:rPr>
  </w:style>
  <w:style w:type="paragraph" w:styleId="12">
    <w:name w:val="批注框文本"/>
    <w:basedOn w:val="1"/>
    <w:link w:val="34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footer"/>
    <w:basedOn w:val="1"/>
    <w:link w:val="35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</w:rPr>
  </w:style>
  <w:style w:type="paragraph" w:styleId="14">
    <w:name w:val="header"/>
    <w:basedOn w:val="1"/>
    <w:link w:val="3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</w:rPr>
  </w:style>
  <w:style w:type="paragraph" w:styleId="15">
    <w:name w:val="Subtitle"/>
    <w:basedOn w:val="1"/>
    <w:next w:val="1"/>
    <w:link w:val="37"/>
    <w:pPr>
      <w:widowControl/>
      <w:spacing w:after="60"/>
      <w:jc w:val="center"/>
      <w:outlineLvl w:val="1"/>
    </w:pPr>
    <w:rPr>
      <w:rFonts w:ascii="Cambria" w:hAnsi="Cambria" w:eastAsia="宋体" w:cs="Times New Roman"/>
      <w:sz w:val="24"/>
      <w:szCs w:val="24"/>
    </w:rPr>
  </w:style>
  <w:style w:type="paragraph" w:styleId="16">
    <w:name w:val="Title"/>
    <w:basedOn w:val="1"/>
    <w:next w:val="1"/>
    <w:link w:val="38"/>
    <w:pPr>
      <w:widowControl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8"/>
      <w:sz w:val="32"/>
      <w:szCs w:val="32"/>
    </w:rPr>
  </w:style>
  <w:style w:type="character" w:styleId="18">
    <w:name w:val="Strong"/>
    <w:basedOn w:val="17"/>
    <w:rPr>
      <w:rFonts w:cs="Times New Roman"/>
      <w:b/>
      <w:bCs/>
    </w:rPr>
  </w:style>
  <w:style w:type="character" w:styleId="19">
    <w:name w:val="Emphasis"/>
    <w:basedOn w:val="17"/>
    <w:rPr>
      <w:rFonts w:ascii="Calibri" w:hAnsi="Calibri" w:cs="Times New Roman"/>
      <w:b/>
      <w:i/>
      <w:iCs/>
    </w:rPr>
  </w:style>
  <w:style w:type="paragraph" w:customStyle="1" w:styleId="20">
    <w:name w:val="Normal (Web)"/>
    <w:basedOn w:val="1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1">
    <w:name w:val="No Spacing"/>
    <w:basedOn w:val="1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ar-SA"/>
    </w:rPr>
  </w:style>
  <w:style w:type="paragraph" w:customStyle="1" w:styleId="22">
    <w:name w:val="List Paragraph"/>
    <w:basedOn w:val="1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23">
    <w:name w:val="Intense Quote"/>
    <w:basedOn w:val="1"/>
    <w:next w:val="1"/>
    <w:link w:val="40"/>
    <w:pPr>
      <w:widowControl/>
      <w:ind w:left="720" w:right="720"/>
      <w:jc w:val="left"/>
    </w:pPr>
    <w:rPr>
      <w:rFonts w:cs="Times New Roman"/>
      <w:b/>
      <w:i/>
      <w:sz w:val="24"/>
    </w:rPr>
  </w:style>
  <w:style w:type="paragraph" w:customStyle="1" w:styleId="24">
    <w:name w:val="TOC Heading1"/>
    <w:basedOn w:val="2"/>
    <w:next w:val="1"/>
    <w:pPr>
      <w:outlineLvl w:val="9"/>
    </w:pPr>
    <w:rPr>
      <w:lang w:eastAsia="en-US"/>
    </w:rPr>
  </w:style>
  <w:style w:type="character" w:customStyle="1" w:styleId="25">
    <w:name w:val="Heading 1 Char"/>
    <w:basedOn w:val="17"/>
    <w:link w:val="2"/>
    <w:semiHidden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6">
    <w:name w:val="Heading 2 Char"/>
    <w:basedOn w:val="17"/>
    <w:link w:val="3"/>
    <w:semiHidden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7">
    <w:name w:val="Heading 3 Char"/>
    <w:basedOn w:val="17"/>
    <w:link w:val="4"/>
    <w:semiHidden/>
    <w:rPr>
      <w:rFonts w:ascii="Cambria" w:hAnsi="Cambria" w:eastAsia="宋体" w:cs="Times New Roman"/>
      <w:b/>
      <w:bCs/>
      <w:sz w:val="26"/>
      <w:szCs w:val="26"/>
    </w:rPr>
  </w:style>
  <w:style w:type="character" w:customStyle="1" w:styleId="28">
    <w:name w:val="Heading 4 Char"/>
    <w:basedOn w:val="17"/>
    <w:link w:val="5"/>
    <w:semiHidden/>
    <w:rPr>
      <w:rFonts w:cs="Times New Roman"/>
      <w:b/>
      <w:bCs/>
      <w:sz w:val="28"/>
      <w:szCs w:val="28"/>
    </w:rPr>
  </w:style>
  <w:style w:type="character" w:customStyle="1" w:styleId="29">
    <w:name w:val="Heading 5 Char"/>
    <w:basedOn w:val="17"/>
    <w:link w:val="6"/>
    <w:semiHidden/>
    <w:rPr>
      <w:rFonts w:cs="Times New Roman"/>
      <w:b/>
      <w:bCs/>
      <w:i/>
      <w:iCs/>
      <w:sz w:val="26"/>
      <w:szCs w:val="26"/>
    </w:rPr>
  </w:style>
  <w:style w:type="character" w:customStyle="1" w:styleId="30">
    <w:name w:val="Heading 6 Char"/>
    <w:basedOn w:val="17"/>
    <w:link w:val="7"/>
    <w:semiHidden/>
    <w:rPr>
      <w:rFonts w:cs="Times New Roman"/>
      <w:b/>
      <w:bCs/>
    </w:rPr>
  </w:style>
  <w:style w:type="character" w:customStyle="1" w:styleId="31">
    <w:name w:val="Heading 7 Char"/>
    <w:basedOn w:val="17"/>
    <w:link w:val="8"/>
    <w:semiHidden/>
    <w:rPr>
      <w:rFonts w:cs="Times New Roman"/>
      <w:sz w:val="24"/>
      <w:szCs w:val="24"/>
    </w:rPr>
  </w:style>
  <w:style w:type="character" w:customStyle="1" w:styleId="32">
    <w:name w:val="Heading 8 Char"/>
    <w:basedOn w:val="17"/>
    <w:link w:val="9"/>
    <w:semiHidden/>
    <w:rPr>
      <w:rFonts w:cs="Times New Roman"/>
      <w:i/>
      <w:iCs/>
      <w:sz w:val="24"/>
      <w:szCs w:val="24"/>
    </w:rPr>
  </w:style>
  <w:style w:type="character" w:customStyle="1" w:styleId="33">
    <w:name w:val="Heading 9 Char"/>
    <w:basedOn w:val="17"/>
    <w:link w:val="10"/>
    <w:semiHidden/>
    <w:rPr>
      <w:rFonts w:ascii="Cambria" w:hAnsi="Cambria" w:eastAsia="宋体" w:cs="Times New Roman"/>
    </w:rPr>
  </w:style>
  <w:style w:type="character" w:customStyle="1" w:styleId="34">
    <w:name w:val="Balloon Text Char"/>
    <w:basedOn w:val="17"/>
    <w:link w:val="12"/>
    <w:semiHidden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5">
    <w:name w:val="Footer Char"/>
    <w:basedOn w:val="17"/>
    <w:link w:val="13"/>
    <w:semiHidden/>
    <w:rPr>
      <w:rFonts w:ascii="Calibri" w:hAnsi="Calibri" w:eastAsia="宋体" w:cs="Times New Roman"/>
      <w:kern w:val="2"/>
      <w:sz w:val="18"/>
      <w:szCs w:val="18"/>
    </w:rPr>
  </w:style>
  <w:style w:type="character" w:customStyle="1" w:styleId="36">
    <w:name w:val="Header Char"/>
    <w:basedOn w:val="17"/>
    <w:link w:val="14"/>
    <w:semiHidden/>
    <w:rPr>
      <w:rFonts w:ascii="Calibri" w:hAnsi="Calibri" w:eastAsia="宋体" w:cs="Times New Roman"/>
      <w:kern w:val="2"/>
      <w:sz w:val="18"/>
      <w:szCs w:val="18"/>
    </w:rPr>
  </w:style>
  <w:style w:type="character" w:customStyle="1" w:styleId="37">
    <w:name w:val="Subtitle Char"/>
    <w:basedOn w:val="17"/>
    <w:link w:val="15"/>
    <w:semiHidden/>
    <w:rPr>
      <w:rFonts w:ascii="Cambria" w:hAnsi="Cambria" w:eastAsia="宋体" w:cs="Times New Roman"/>
      <w:sz w:val="24"/>
      <w:szCs w:val="24"/>
    </w:rPr>
  </w:style>
  <w:style w:type="character" w:customStyle="1" w:styleId="38">
    <w:name w:val="Title Char"/>
    <w:basedOn w:val="17"/>
    <w:link w:val="16"/>
    <w:semiHidden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9">
    <w:name w:val="Quote Char"/>
    <w:basedOn w:val="17"/>
    <w:link w:val="11"/>
    <w:semiHidden/>
    <w:rPr>
      <w:rFonts w:cs="Times New Roman"/>
      <w:i/>
      <w:sz w:val="24"/>
      <w:szCs w:val="24"/>
    </w:rPr>
  </w:style>
  <w:style w:type="character" w:customStyle="1" w:styleId="40">
    <w:name w:val="Intense Quote Char Char"/>
    <w:basedOn w:val="17"/>
    <w:link w:val="23"/>
    <w:semiHidden/>
    <w:rPr>
      <w:rFonts w:cs="Times New Roman"/>
      <w:b/>
      <w:i/>
      <w:sz w:val="24"/>
    </w:rPr>
  </w:style>
  <w:style w:type="character" w:customStyle="1" w:styleId="41">
    <w:name w:val="Subtle Emphasis1"/>
    <w:rPr>
      <w:i/>
      <w:color w:val="5A5A5A"/>
    </w:rPr>
  </w:style>
  <w:style w:type="character" w:customStyle="1" w:styleId="42">
    <w:name w:val="Intense Emphasis1"/>
    <w:basedOn w:val="17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basedOn w:val="17"/>
    <w:rPr>
      <w:rFonts w:cs="Times New Roman"/>
      <w:sz w:val="24"/>
      <w:szCs w:val="24"/>
      <w:u w:val="single"/>
    </w:rPr>
  </w:style>
  <w:style w:type="character" w:customStyle="1" w:styleId="44">
    <w:name w:val="Intense Reference1"/>
    <w:basedOn w:val="17"/>
    <w:rPr>
      <w:rFonts w:cs="Times New Roman"/>
      <w:b/>
      <w:sz w:val="24"/>
      <w:u w:val="single"/>
    </w:rPr>
  </w:style>
  <w:style w:type="character" w:customStyle="1" w:styleId="45">
    <w:name w:val="Book Title1"/>
    <w:basedOn w:val="17"/>
    <w:rPr>
      <w:rFonts w:ascii="Cambria" w:hAnsi="Cambria" w:eastAsia="宋体" w:cs="Times New Roman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440</Words>
  <Characters>2511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2018-08-15T10:06:00Z</dcterms:created>
  <dc:creator>赵 恺（预算处）</dc:creator>
  <cp:lastPrinted>2019-01-15T11:36:00Z</cp:lastPrinted>
  <dcterms:modified xsi:type="dcterms:W3CDTF">2019-11-22T12:21:46Z</dcterms:modified>
  <dc:title>User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