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kern w:val="0"/>
          <w:sz w:val="32"/>
          <w:szCs w:val="32"/>
        </w:rPr>
      </w:pPr>
      <w:r>
        <w:rPr>
          <w:rFonts w:hint="eastAsia" w:ascii="仿宋" w:hAnsi="仿宋" w:eastAsia="仿宋" w:cs="仿宋"/>
          <w:kern w:val="0"/>
          <w:sz w:val="32"/>
          <w:szCs w:val="32"/>
        </w:rPr>
        <w:t>附件</w:t>
      </w:r>
      <w:r>
        <w:rPr>
          <w:rFonts w:ascii="仿宋" w:hAnsi="仿宋" w:eastAsia="仿宋" w:cs="仿宋"/>
          <w:kern w:val="0"/>
          <w:sz w:val="32"/>
          <w:szCs w:val="32"/>
        </w:rPr>
        <w:t>2</w:t>
      </w:r>
      <w:r>
        <w:rPr>
          <w:rFonts w:hint="eastAsia" w:ascii="仿宋" w:hAnsi="仿宋" w:eastAsia="仿宋" w:cs="仿宋"/>
          <w:kern w:val="0"/>
          <w:sz w:val="32"/>
          <w:szCs w:val="32"/>
        </w:rPr>
        <w:t>：</w:t>
      </w: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华文中宋" w:hAnsi="华文中宋" w:eastAsia="华文中宋"/>
          <w:b/>
          <w:bCs/>
          <w:kern w:val="0"/>
          <w:sz w:val="52"/>
          <w:szCs w:val="52"/>
        </w:rPr>
      </w:pPr>
    </w:p>
    <w:p>
      <w:pPr>
        <w:spacing w:line="540" w:lineRule="exact"/>
        <w:jc w:val="center"/>
        <w:rPr>
          <w:rFonts w:ascii="方正小标宋_GBK" w:hAnsi="华文中宋" w:eastAsia="方正小标宋_GBK"/>
          <w:b/>
          <w:bCs/>
          <w:kern w:val="0"/>
          <w:sz w:val="48"/>
          <w:szCs w:val="48"/>
        </w:rPr>
      </w:pPr>
      <w:r>
        <w:rPr>
          <w:rFonts w:hint="eastAsia" w:ascii="方正小标宋_GBK" w:hAnsi="华文中宋" w:eastAsia="方正小标宋_GBK" w:cs="方正小标宋_GBK"/>
          <w:b/>
          <w:bCs/>
          <w:kern w:val="0"/>
          <w:sz w:val="48"/>
          <w:szCs w:val="48"/>
          <w:u w:val="single"/>
        </w:rPr>
        <w:t>巴州</w:t>
      </w:r>
      <w:r>
        <w:rPr>
          <w:rFonts w:hint="eastAsia" w:ascii="方正小标宋_GBK" w:hAnsi="华文中宋" w:eastAsia="方正小标宋_GBK" w:cs="方正小标宋_GBK"/>
          <w:b/>
          <w:bCs/>
          <w:kern w:val="0"/>
          <w:sz w:val="48"/>
          <w:szCs w:val="48"/>
        </w:rPr>
        <w:t>财政项目支出绩效自评报告</w:t>
      </w:r>
    </w:p>
    <w:p>
      <w:pPr>
        <w:spacing w:line="540" w:lineRule="exact"/>
        <w:jc w:val="center"/>
        <w:rPr>
          <w:rFonts w:ascii="华文中宋" w:hAnsi="华文中宋" w:eastAsia="华文中宋"/>
          <w:b/>
          <w:bCs/>
          <w:kern w:val="0"/>
          <w:sz w:val="52"/>
          <w:szCs w:val="52"/>
        </w:rPr>
      </w:pPr>
    </w:p>
    <w:p>
      <w:pPr>
        <w:spacing w:line="540" w:lineRule="exact"/>
        <w:jc w:val="center"/>
        <w:rPr>
          <w:rFonts w:hAnsi="宋体" w:eastAsia="仿宋_GB2312"/>
          <w:kern w:val="0"/>
          <w:sz w:val="36"/>
          <w:szCs w:val="36"/>
        </w:rPr>
      </w:pPr>
      <w:r>
        <w:rPr>
          <w:rFonts w:hint="eastAsia" w:hAnsi="宋体" w:eastAsia="仿宋_GB2312" w:cs="仿宋_GB2312"/>
          <w:kern w:val="0"/>
          <w:sz w:val="36"/>
          <w:szCs w:val="36"/>
        </w:rPr>
        <w:t>（</w:t>
      </w:r>
      <w:r>
        <w:rPr>
          <w:rFonts w:hAnsi="宋体" w:eastAsia="仿宋_GB2312"/>
          <w:kern w:val="0"/>
          <w:sz w:val="36"/>
          <w:szCs w:val="36"/>
        </w:rPr>
        <w:t>2018</w:t>
      </w:r>
      <w:r>
        <w:rPr>
          <w:rFonts w:hint="eastAsia" w:hAnsi="宋体" w:eastAsia="仿宋_GB2312" w:cs="仿宋_GB2312"/>
          <w:kern w:val="0"/>
          <w:sz w:val="36"/>
          <w:szCs w:val="36"/>
        </w:rPr>
        <w:t>年度）</w:t>
      </w: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r>
        <w:rPr>
          <w:rFonts w:ascii="方正小标宋_GBK" w:hAnsi="宋体" w:eastAsia="方正小标宋_GBK" w:cs="方正小标宋_GBK"/>
          <w:kern w:val="0"/>
          <w:sz w:val="36"/>
          <w:szCs w:val="36"/>
        </w:rPr>
        <w:t xml:space="preserve"> </w:t>
      </w: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jc w:val="center"/>
        <w:rPr>
          <w:rFonts w:hAnsi="宋体" w:eastAsia="仿宋_GB2312"/>
          <w:kern w:val="0"/>
          <w:sz w:val="30"/>
          <w:szCs w:val="30"/>
        </w:rPr>
      </w:pPr>
    </w:p>
    <w:p>
      <w:pPr>
        <w:spacing w:line="540" w:lineRule="exact"/>
        <w:rPr>
          <w:rFonts w:hAnsi="宋体" w:eastAsia="仿宋_GB2312"/>
          <w:kern w:val="0"/>
          <w:sz w:val="30"/>
          <w:szCs w:val="30"/>
        </w:rPr>
      </w:pPr>
    </w:p>
    <w:p>
      <w:pPr>
        <w:spacing w:line="700" w:lineRule="exact"/>
        <w:ind w:firstLine="900" w:firstLineChars="250"/>
        <w:jc w:val="left"/>
        <w:rPr>
          <w:rFonts w:hAnsi="宋体" w:eastAsia="仿宋_GB2312"/>
          <w:kern w:val="0"/>
          <w:sz w:val="36"/>
          <w:szCs w:val="36"/>
        </w:rPr>
      </w:pPr>
      <w:r>
        <w:rPr>
          <w:rFonts w:hint="eastAsia" w:hAnsi="宋体" w:eastAsia="仿宋_GB2312" w:cs="仿宋_GB2312"/>
          <w:kern w:val="0"/>
          <w:sz w:val="36"/>
          <w:szCs w:val="36"/>
        </w:rPr>
        <w:t>项目名称：地震监测预报预测</w:t>
      </w:r>
    </w:p>
    <w:p>
      <w:pPr>
        <w:spacing w:line="700" w:lineRule="exact"/>
        <w:ind w:firstLine="900" w:firstLineChars="250"/>
        <w:jc w:val="left"/>
        <w:rPr>
          <w:rFonts w:hAnsi="宋体" w:eastAsia="仿宋_GB2312"/>
          <w:kern w:val="0"/>
          <w:sz w:val="36"/>
          <w:szCs w:val="36"/>
        </w:rPr>
      </w:pPr>
      <w:r>
        <w:rPr>
          <w:rFonts w:hint="eastAsia" w:hAnsi="宋体" w:eastAsia="仿宋_GB2312" w:cs="仿宋_GB2312"/>
          <w:kern w:val="0"/>
          <w:sz w:val="36"/>
          <w:szCs w:val="36"/>
        </w:rPr>
        <w:t>实施单位（公章）：巴州地震局</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主管部门（公章）：巴州地震局</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项目负责人（签章）：郑少华</w:t>
      </w:r>
    </w:p>
    <w:p>
      <w:pPr>
        <w:spacing w:line="700" w:lineRule="exact"/>
        <w:ind w:firstLine="849" w:firstLineChars="236"/>
        <w:jc w:val="left"/>
        <w:rPr>
          <w:rFonts w:hAnsi="宋体" w:eastAsia="仿宋_GB2312"/>
          <w:kern w:val="0"/>
          <w:sz w:val="36"/>
          <w:szCs w:val="36"/>
        </w:rPr>
      </w:pPr>
      <w:r>
        <w:rPr>
          <w:rFonts w:hint="eastAsia" w:hAnsi="宋体" w:eastAsia="仿宋_GB2312" w:cs="仿宋_GB2312"/>
          <w:kern w:val="0"/>
          <w:sz w:val="36"/>
          <w:szCs w:val="36"/>
        </w:rPr>
        <w:t>填报时间：</w:t>
      </w:r>
      <w:r>
        <w:rPr>
          <w:rFonts w:hAnsi="宋体" w:eastAsia="仿宋_GB2312"/>
          <w:kern w:val="0"/>
          <w:sz w:val="36"/>
          <w:szCs w:val="36"/>
        </w:rPr>
        <w:t>2019</w:t>
      </w:r>
      <w:r>
        <w:rPr>
          <w:rFonts w:hint="eastAsia" w:hAnsi="宋体" w:eastAsia="仿宋_GB2312" w:cs="仿宋_GB2312"/>
          <w:kern w:val="0"/>
          <w:sz w:val="36"/>
          <w:szCs w:val="36"/>
        </w:rPr>
        <w:t>年</w:t>
      </w:r>
      <w:r>
        <w:rPr>
          <w:rFonts w:hAnsi="宋体" w:eastAsia="仿宋_GB2312"/>
          <w:kern w:val="0"/>
          <w:sz w:val="36"/>
          <w:szCs w:val="36"/>
        </w:rPr>
        <w:t>1</w:t>
      </w:r>
      <w:r>
        <w:rPr>
          <w:rFonts w:hint="eastAsia" w:hAnsi="宋体" w:eastAsia="仿宋_GB2312" w:cs="仿宋_GB2312"/>
          <w:kern w:val="0"/>
          <w:sz w:val="36"/>
          <w:szCs w:val="36"/>
        </w:rPr>
        <w:t>月</w:t>
      </w:r>
      <w:r>
        <w:rPr>
          <w:rFonts w:hAnsi="宋体" w:eastAsia="仿宋_GB2312"/>
          <w:kern w:val="0"/>
          <w:sz w:val="36"/>
          <w:szCs w:val="36"/>
        </w:rPr>
        <w:t>22</w:t>
      </w:r>
      <w:r>
        <w:rPr>
          <w:rFonts w:hint="eastAsia" w:hAnsi="宋体" w:eastAsia="仿宋_GB2312" w:cs="仿宋_GB2312"/>
          <w:kern w:val="0"/>
          <w:sz w:val="36"/>
          <w:szCs w:val="36"/>
        </w:rPr>
        <w:t>日</w:t>
      </w:r>
    </w:p>
    <w:p>
      <w:pPr>
        <w:spacing w:line="540" w:lineRule="exact"/>
        <w:jc w:val="center"/>
        <w:rPr>
          <w:rFonts w:hAnsi="宋体" w:eastAsia="仿宋_GB2312"/>
          <w:kern w:val="0"/>
          <w:sz w:val="30"/>
          <w:szCs w:val="30"/>
        </w:rPr>
      </w:pPr>
    </w:p>
    <w:p>
      <w:pPr>
        <w:spacing w:line="540" w:lineRule="exact"/>
        <w:rPr>
          <w:rStyle w:val="19"/>
          <w:rFonts w:ascii="黑体" w:hAnsi="黑体" w:eastAsia="黑体"/>
          <w:b w:val="0"/>
          <w:bCs w:val="0"/>
          <w:spacing w:val="-4"/>
          <w:sz w:val="32"/>
          <w:szCs w:val="32"/>
        </w:rPr>
      </w:pPr>
    </w:p>
    <w:p>
      <w:pPr>
        <w:spacing w:line="540" w:lineRule="exact"/>
        <w:ind w:firstLine="640"/>
        <w:rPr>
          <w:rStyle w:val="19"/>
          <w:rFonts w:ascii="黑体" w:hAnsi="黑体" w:eastAsia="黑体"/>
          <w:b w:val="0"/>
          <w:bCs w:val="0"/>
          <w:spacing w:val="-4"/>
          <w:sz w:val="32"/>
          <w:szCs w:val="32"/>
        </w:rPr>
      </w:pPr>
      <w:r>
        <w:rPr>
          <w:rStyle w:val="19"/>
          <w:rFonts w:hint="eastAsia" w:ascii="黑体" w:hAnsi="黑体" w:eastAsia="黑体" w:cs="黑体"/>
          <w:b w:val="0"/>
          <w:bCs w:val="0"/>
          <w:spacing w:val="-4"/>
          <w:sz w:val="32"/>
          <w:szCs w:val="32"/>
        </w:rPr>
        <w:t>一、项目概况</w:t>
      </w:r>
    </w:p>
    <w:p>
      <w:pPr>
        <w:spacing w:line="540" w:lineRule="exact"/>
        <w:ind w:firstLine="567"/>
        <w:rPr>
          <w:rStyle w:val="19"/>
          <w:rFonts w:ascii="方正仿宋_GBK" w:hAnsi="楷体" w:eastAsia="方正仿宋_GBK"/>
          <w:spacing w:val="-4"/>
          <w:sz w:val="32"/>
          <w:szCs w:val="32"/>
        </w:rPr>
      </w:pPr>
      <w:r>
        <w:rPr>
          <w:rStyle w:val="19"/>
          <w:rFonts w:hint="eastAsia" w:ascii="方正仿宋_GBK" w:hAnsi="楷体" w:eastAsia="方正仿宋_GBK" w:cs="方正仿宋_GBK"/>
          <w:spacing w:val="-4"/>
          <w:sz w:val="32"/>
          <w:szCs w:val="32"/>
        </w:rPr>
        <w:t>（一）项目单位基本情况</w:t>
      </w:r>
    </w:p>
    <w:p>
      <w:pPr>
        <w:spacing w:line="540" w:lineRule="exact"/>
        <w:ind w:firstLine="564" w:firstLineChars="181"/>
        <w:rPr>
          <w:rStyle w:val="19"/>
          <w:rFonts w:ascii="方正仿宋_GBK" w:hAnsi="仿宋" w:eastAsia="方正仿宋_GBK"/>
          <w:b w:val="0"/>
          <w:bCs w:val="0"/>
          <w:spacing w:val="-4"/>
          <w:sz w:val="32"/>
          <w:szCs w:val="32"/>
        </w:rPr>
      </w:pPr>
      <w:r>
        <w:rPr>
          <w:rStyle w:val="19"/>
          <w:rFonts w:hint="eastAsia" w:ascii="方正仿宋_GBK" w:hAnsi="仿宋" w:eastAsia="方正仿宋_GBK" w:cs="方正仿宋_GBK"/>
          <w:b w:val="0"/>
          <w:bCs w:val="0"/>
          <w:spacing w:val="-4"/>
          <w:sz w:val="32"/>
          <w:szCs w:val="32"/>
        </w:rPr>
        <w:t>巴州地震局是巴州行政区域主管地震工作的职能部门，隶属巴州人民政府，正县级建制。主要工作职责：根据《中华人民共和国防震减灾法》及相关法律、法规、规章的规定，监督、检查本行政区域内的防震减灾工作；拟定有关防震减灾的政策措施，制定规范性文件，并组织实施。重点负责巴州行政区域内的地震监测预报、地震灾害预防、地震应急、震后救灾与重建等工作。</w:t>
      </w:r>
    </w:p>
    <w:p>
      <w:pPr>
        <w:spacing w:line="540" w:lineRule="exact"/>
        <w:ind w:firstLine="564" w:firstLineChars="181"/>
        <w:rPr>
          <w:rFonts w:ascii="方正仿宋_GBK" w:hAnsi="仿宋" w:eastAsia="方正仿宋_GBK"/>
          <w:spacing w:val="-4"/>
          <w:sz w:val="32"/>
          <w:szCs w:val="32"/>
        </w:rPr>
      </w:pPr>
      <w:r>
        <w:rPr>
          <w:rFonts w:hint="eastAsia" w:ascii="方正仿宋_GBK" w:hAnsi="仿宋" w:eastAsia="方正仿宋_GBK" w:cs="方正仿宋_GBK"/>
          <w:spacing w:val="-4"/>
          <w:sz w:val="32"/>
          <w:szCs w:val="32"/>
        </w:rPr>
        <w:t>本单位属参照公务员管理单位，核定行政编制数为</w:t>
      </w:r>
      <w:r>
        <w:rPr>
          <w:rFonts w:ascii="方正仿宋_GBK" w:hAnsi="仿宋" w:eastAsia="方正仿宋_GBK" w:cs="方正仿宋_GBK"/>
          <w:spacing w:val="-4"/>
          <w:sz w:val="32"/>
          <w:szCs w:val="32"/>
        </w:rPr>
        <w:t>14</w:t>
      </w:r>
      <w:r>
        <w:rPr>
          <w:rFonts w:hint="eastAsia" w:ascii="方正仿宋_GBK" w:hAnsi="仿宋" w:eastAsia="方正仿宋_GBK" w:cs="方正仿宋_GBK"/>
          <w:spacing w:val="-4"/>
          <w:sz w:val="32"/>
          <w:szCs w:val="32"/>
        </w:rPr>
        <w:t>人，其中：事业编制</w:t>
      </w:r>
      <w:r>
        <w:rPr>
          <w:rFonts w:ascii="方正仿宋_GBK" w:hAnsi="仿宋" w:eastAsia="方正仿宋_GBK" w:cs="方正仿宋_GBK"/>
          <w:spacing w:val="-4"/>
          <w:sz w:val="32"/>
          <w:szCs w:val="32"/>
        </w:rPr>
        <w:t>14</w:t>
      </w:r>
      <w:r>
        <w:rPr>
          <w:rFonts w:hint="eastAsia" w:ascii="方正仿宋_GBK" w:hAnsi="仿宋" w:eastAsia="方正仿宋_GBK" w:cs="方正仿宋_GBK"/>
          <w:spacing w:val="-4"/>
          <w:sz w:val="32"/>
          <w:szCs w:val="32"/>
        </w:rPr>
        <w:t>人；现在实有人员</w:t>
      </w:r>
      <w:r>
        <w:rPr>
          <w:rFonts w:ascii="方正仿宋_GBK" w:hAnsi="仿宋" w:eastAsia="方正仿宋_GBK" w:cs="方正仿宋_GBK"/>
          <w:spacing w:val="-4"/>
          <w:sz w:val="32"/>
          <w:szCs w:val="32"/>
        </w:rPr>
        <w:t>23</w:t>
      </w:r>
      <w:r>
        <w:rPr>
          <w:rFonts w:hint="eastAsia" w:ascii="方正仿宋_GBK" w:hAnsi="仿宋" w:eastAsia="方正仿宋_GBK" w:cs="方正仿宋_GBK"/>
          <w:spacing w:val="-4"/>
          <w:sz w:val="32"/>
          <w:szCs w:val="32"/>
        </w:rPr>
        <w:t>人，其中：在职人员</w:t>
      </w:r>
      <w:r>
        <w:rPr>
          <w:rFonts w:ascii="方正仿宋_GBK" w:hAnsi="仿宋" w:eastAsia="方正仿宋_GBK" w:cs="方正仿宋_GBK"/>
          <w:spacing w:val="-4"/>
          <w:sz w:val="32"/>
          <w:szCs w:val="32"/>
        </w:rPr>
        <w:t>14</w:t>
      </w:r>
      <w:r>
        <w:rPr>
          <w:rFonts w:hint="eastAsia" w:ascii="方正仿宋_GBK" w:hAnsi="仿宋" w:eastAsia="方正仿宋_GBK" w:cs="方正仿宋_GBK"/>
          <w:spacing w:val="-4"/>
          <w:sz w:val="32"/>
          <w:szCs w:val="32"/>
        </w:rPr>
        <w:t>人，离退休人员</w:t>
      </w:r>
      <w:r>
        <w:rPr>
          <w:rFonts w:ascii="方正仿宋_GBK" w:hAnsi="仿宋" w:eastAsia="方正仿宋_GBK" w:cs="方正仿宋_GBK"/>
          <w:spacing w:val="-4"/>
          <w:sz w:val="32"/>
          <w:szCs w:val="32"/>
        </w:rPr>
        <w:t>9</w:t>
      </w:r>
      <w:r>
        <w:rPr>
          <w:rFonts w:hint="eastAsia" w:ascii="方正仿宋_GBK" w:hAnsi="仿宋" w:eastAsia="方正仿宋_GBK" w:cs="方正仿宋_GBK"/>
          <w:spacing w:val="-4"/>
          <w:sz w:val="32"/>
          <w:szCs w:val="32"/>
        </w:rPr>
        <w:t>人。单位设有一室两科：办公室、监测预报科和震害防御科。</w:t>
      </w:r>
    </w:p>
    <w:p>
      <w:pPr>
        <w:spacing w:line="540" w:lineRule="exact"/>
        <w:ind w:firstLine="567" w:firstLineChars="181"/>
        <w:rPr>
          <w:rStyle w:val="19"/>
          <w:rFonts w:ascii="方正仿宋_GBK" w:hAnsi="楷体" w:eastAsia="方正仿宋_GBK"/>
          <w:spacing w:val="-4"/>
          <w:sz w:val="32"/>
          <w:szCs w:val="32"/>
        </w:rPr>
      </w:pPr>
      <w:r>
        <w:rPr>
          <w:rStyle w:val="19"/>
          <w:rFonts w:hint="eastAsia" w:ascii="方正仿宋_GBK" w:hAnsi="楷体" w:eastAsia="方正仿宋_GBK" w:cs="方正仿宋_GBK"/>
          <w:spacing w:val="-4"/>
          <w:sz w:val="32"/>
          <w:szCs w:val="32"/>
        </w:rPr>
        <w:t>（二）项目预算绩效目标设定情况</w:t>
      </w:r>
    </w:p>
    <w:p>
      <w:pPr>
        <w:spacing w:line="540" w:lineRule="exact"/>
        <w:ind w:firstLine="564" w:firstLineChars="181"/>
        <w:rPr>
          <w:rStyle w:val="19"/>
          <w:rFonts w:ascii="方正仿宋_GBK" w:hAnsi="仿宋" w:eastAsia="方正仿宋_GBK"/>
          <w:b w:val="0"/>
          <w:bCs w:val="0"/>
          <w:spacing w:val="-4"/>
          <w:sz w:val="32"/>
          <w:szCs w:val="32"/>
        </w:rPr>
      </w:pPr>
      <w:r>
        <w:rPr>
          <w:rStyle w:val="19"/>
          <w:rFonts w:hint="eastAsia" w:ascii="方正仿宋_GBK" w:hAnsi="仿宋" w:eastAsia="方正仿宋_GBK" w:cs="方正仿宋_GBK"/>
          <w:b w:val="0"/>
          <w:bCs w:val="0"/>
          <w:spacing w:val="-4"/>
          <w:sz w:val="32"/>
          <w:szCs w:val="32"/>
        </w:rPr>
        <w:t>预期目标：做好巴州境内的地震监测预报工作，将地震监测数据有效利用，最大限度减轻地震灾害造成的损失，同时，为巴州地震研究分析预测提供可靠持续的历史数据。</w:t>
      </w:r>
    </w:p>
    <w:p>
      <w:pPr>
        <w:spacing w:line="540" w:lineRule="exact"/>
        <w:ind w:firstLine="564" w:firstLineChars="181"/>
        <w:rPr>
          <w:rStyle w:val="19"/>
          <w:rFonts w:ascii="方正仿宋_GBK" w:hAnsi="仿宋" w:eastAsia="方正仿宋_GBK"/>
          <w:b w:val="0"/>
          <w:bCs w:val="0"/>
          <w:spacing w:val="-4"/>
          <w:sz w:val="32"/>
          <w:szCs w:val="32"/>
        </w:rPr>
      </w:pPr>
      <w:r>
        <w:rPr>
          <w:rStyle w:val="19"/>
          <w:rFonts w:hint="eastAsia" w:ascii="方正仿宋_GBK" w:hAnsi="仿宋" w:eastAsia="方正仿宋_GBK" w:cs="方正仿宋_GBK"/>
          <w:b w:val="0"/>
          <w:bCs w:val="0"/>
          <w:spacing w:val="-4"/>
          <w:sz w:val="32"/>
          <w:szCs w:val="32"/>
        </w:rPr>
        <w:t>阶段性目标：</w:t>
      </w:r>
    </w:p>
    <w:p>
      <w:pPr>
        <w:spacing w:line="540" w:lineRule="exact"/>
        <w:ind w:firstLine="564" w:firstLineChars="181"/>
        <w:rPr>
          <w:rStyle w:val="19"/>
          <w:rFonts w:ascii="方正仿宋_GBK" w:hAnsi="仿宋" w:eastAsia="方正仿宋_GBK"/>
          <w:b w:val="0"/>
          <w:bCs w:val="0"/>
          <w:spacing w:val="-4"/>
          <w:sz w:val="32"/>
          <w:szCs w:val="32"/>
        </w:rPr>
      </w:pPr>
      <w:r>
        <w:rPr>
          <w:rStyle w:val="19"/>
          <w:rFonts w:ascii="方正仿宋_GBK" w:hAnsi="仿宋" w:eastAsia="方正仿宋_GBK" w:cs="方正仿宋_GBK"/>
          <w:b w:val="0"/>
          <w:bCs w:val="0"/>
          <w:spacing w:val="-4"/>
          <w:sz w:val="32"/>
          <w:szCs w:val="32"/>
        </w:rPr>
        <w:t>1</w:t>
      </w:r>
      <w:r>
        <w:rPr>
          <w:rStyle w:val="19"/>
          <w:rFonts w:hint="eastAsia" w:ascii="方正仿宋_GBK" w:hAnsi="仿宋" w:eastAsia="方正仿宋_GBK" w:cs="方正仿宋_GBK"/>
          <w:b w:val="0"/>
          <w:bCs w:val="0"/>
          <w:spacing w:val="-4"/>
          <w:sz w:val="32"/>
          <w:szCs w:val="32"/>
        </w:rPr>
        <w:t>、对州域内</w:t>
      </w:r>
      <w:r>
        <w:rPr>
          <w:rStyle w:val="19"/>
          <w:rFonts w:ascii="方正仿宋_GBK" w:hAnsi="仿宋" w:eastAsia="方正仿宋_GBK" w:cs="方正仿宋_GBK"/>
          <w:b w:val="0"/>
          <w:bCs w:val="0"/>
          <w:spacing w:val="-4"/>
          <w:sz w:val="32"/>
          <w:szCs w:val="32"/>
        </w:rPr>
        <w:t>6</w:t>
      </w:r>
      <w:r>
        <w:rPr>
          <w:rStyle w:val="19"/>
          <w:rFonts w:hint="eastAsia" w:ascii="方正仿宋_GBK" w:hAnsi="仿宋" w:eastAsia="方正仿宋_GBK" w:cs="方正仿宋_GBK"/>
          <w:b w:val="0"/>
          <w:bCs w:val="0"/>
          <w:spacing w:val="-4"/>
          <w:sz w:val="32"/>
          <w:szCs w:val="32"/>
        </w:rPr>
        <w:t>个地震监测台站的运行、管理、维护，保证数据真实、连续、可靠；</w:t>
      </w:r>
    </w:p>
    <w:p>
      <w:pPr>
        <w:spacing w:line="540" w:lineRule="exact"/>
        <w:ind w:firstLine="564" w:firstLineChars="181"/>
        <w:rPr>
          <w:rStyle w:val="19"/>
          <w:rFonts w:ascii="方正仿宋_GBK" w:hAnsi="仿宋" w:eastAsia="方正仿宋_GBK"/>
          <w:b w:val="0"/>
          <w:bCs w:val="0"/>
          <w:spacing w:val="-4"/>
          <w:sz w:val="32"/>
          <w:szCs w:val="32"/>
        </w:rPr>
      </w:pPr>
      <w:r>
        <w:rPr>
          <w:rStyle w:val="19"/>
          <w:rFonts w:ascii="方正仿宋_GBK" w:hAnsi="仿宋" w:eastAsia="方正仿宋_GBK" w:cs="方正仿宋_GBK"/>
          <w:b w:val="0"/>
          <w:bCs w:val="0"/>
          <w:spacing w:val="-4"/>
          <w:sz w:val="32"/>
          <w:szCs w:val="32"/>
        </w:rPr>
        <w:t>2</w:t>
      </w:r>
      <w:r>
        <w:rPr>
          <w:rStyle w:val="19"/>
          <w:rFonts w:hint="eastAsia" w:ascii="方正仿宋_GBK" w:hAnsi="仿宋" w:eastAsia="方正仿宋_GBK" w:cs="方正仿宋_GBK"/>
          <w:b w:val="0"/>
          <w:bCs w:val="0"/>
          <w:spacing w:val="-4"/>
          <w:sz w:val="32"/>
          <w:szCs w:val="32"/>
        </w:rPr>
        <w:t>、对八县一市地震监测工作、应急准备工作进行督导检查；</w:t>
      </w:r>
    </w:p>
    <w:p>
      <w:pPr>
        <w:spacing w:line="540" w:lineRule="exact"/>
        <w:ind w:firstLine="564" w:firstLineChars="181"/>
        <w:rPr>
          <w:rStyle w:val="19"/>
          <w:rFonts w:ascii="方正仿宋_GBK" w:hAnsi="仿宋" w:eastAsia="方正仿宋_GBK"/>
          <w:b w:val="0"/>
          <w:bCs w:val="0"/>
          <w:spacing w:val="-4"/>
          <w:sz w:val="32"/>
          <w:szCs w:val="32"/>
        </w:rPr>
      </w:pPr>
      <w:r>
        <w:rPr>
          <w:rStyle w:val="19"/>
          <w:rFonts w:ascii="方正仿宋_GBK" w:hAnsi="仿宋" w:eastAsia="方正仿宋_GBK" w:cs="方正仿宋_GBK"/>
          <w:b w:val="0"/>
          <w:bCs w:val="0"/>
          <w:spacing w:val="-4"/>
          <w:sz w:val="32"/>
          <w:szCs w:val="32"/>
        </w:rPr>
        <w:t>3</w:t>
      </w:r>
      <w:r>
        <w:rPr>
          <w:rStyle w:val="19"/>
          <w:rFonts w:hint="eastAsia" w:ascii="方正仿宋_GBK" w:hAnsi="仿宋" w:eastAsia="方正仿宋_GBK" w:cs="方正仿宋_GBK"/>
          <w:b w:val="0"/>
          <w:bCs w:val="0"/>
          <w:spacing w:val="-4"/>
          <w:sz w:val="32"/>
          <w:szCs w:val="32"/>
        </w:rPr>
        <w:t>、对八县一市地震分管领导、负责人、工作人员、宏观观测员进行</w:t>
      </w:r>
      <w:r>
        <w:rPr>
          <w:rStyle w:val="19"/>
          <w:rFonts w:ascii="方正仿宋_GBK" w:hAnsi="仿宋" w:eastAsia="方正仿宋_GBK" w:cs="方正仿宋_GBK"/>
          <w:b w:val="0"/>
          <w:bCs w:val="0"/>
          <w:spacing w:val="-4"/>
          <w:sz w:val="32"/>
          <w:szCs w:val="32"/>
        </w:rPr>
        <w:t>1-2</w:t>
      </w:r>
      <w:r>
        <w:rPr>
          <w:rStyle w:val="19"/>
          <w:rFonts w:hint="eastAsia" w:ascii="方正仿宋_GBK" w:hAnsi="仿宋" w:eastAsia="方正仿宋_GBK" w:cs="方正仿宋_GBK"/>
          <w:b w:val="0"/>
          <w:bCs w:val="0"/>
          <w:spacing w:val="-4"/>
          <w:sz w:val="32"/>
          <w:szCs w:val="32"/>
        </w:rPr>
        <w:t>次集中培训（或以会代训）。</w:t>
      </w:r>
    </w:p>
    <w:p>
      <w:pPr>
        <w:spacing w:line="540" w:lineRule="exact"/>
        <w:ind w:firstLine="564" w:firstLineChars="181"/>
        <w:rPr>
          <w:rStyle w:val="19"/>
          <w:rFonts w:ascii="方正仿宋_GBK" w:hAnsi="仿宋" w:eastAsia="方正仿宋_GBK"/>
          <w:b w:val="0"/>
          <w:bCs w:val="0"/>
          <w:spacing w:val="-4"/>
          <w:sz w:val="32"/>
          <w:szCs w:val="32"/>
        </w:rPr>
      </w:pPr>
      <w:r>
        <w:rPr>
          <w:rStyle w:val="19"/>
          <w:rFonts w:hint="eastAsia" w:ascii="方正仿宋_GBK" w:hAnsi="仿宋" w:eastAsia="方正仿宋_GBK" w:cs="方正仿宋_GBK"/>
          <w:b w:val="0"/>
          <w:bCs w:val="0"/>
          <w:spacing w:val="-4"/>
          <w:sz w:val="32"/>
          <w:szCs w:val="32"/>
        </w:rPr>
        <w:t>项目基本性质、用途：与上级地震监测工作要求相一致，结合本地区实际，合理安排，主要用于以下几个方面：</w:t>
      </w:r>
    </w:p>
    <w:p>
      <w:pPr>
        <w:spacing w:line="540" w:lineRule="exact"/>
        <w:rPr>
          <w:rStyle w:val="19"/>
          <w:rFonts w:ascii="方正仿宋_GBK" w:hAnsi="仿宋" w:eastAsia="方正仿宋_GBK"/>
          <w:b w:val="0"/>
          <w:bCs w:val="0"/>
          <w:spacing w:val="-4"/>
          <w:sz w:val="32"/>
          <w:szCs w:val="32"/>
        </w:rPr>
      </w:pPr>
      <w:r>
        <w:rPr>
          <w:rStyle w:val="19"/>
          <w:rFonts w:ascii="方正仿宋_GBK" w:hAnsi="仿宋" w:eastAsia="方正仿宋_GBK" w:cs="方正仿宋_GBK"/>
          <w:b w:val="0"/>
          <w:bCs w:val="0"/>
          <w:spacing w:val="-4"/>
          <w:sz w:val="32"/>
          <w:szCs w:val="32"/>
        </w:rPr>
        <w:t>1</w:t>
      </w:r>
      <w:r>
        <w:rPr>
          <w:rStyle w:val="19"/>
          <w:rFonts w:hint="eastAsia" w:ascii="方正仿宋_GBK" w:hAnsi="仿宋" w:eastAsia="方正仿宋_GBK" w:cs="方正仿宋_GBK"/>
          <w:b w:val="0"/>
          <w:bCs w:val="0"/>
          <w:spacing w:val="-4"/>
          <w:sz w:val="32"/>
          <w:szCs w:val="32"/>
        </w:rPr>
        <w:t>、水、电、网络费；</w:t>
      </w:r>
      <w:r>
        <w:rPr>
          <w:rStyle w:val="19"/>
          <w:rFonts w:ascii="方正仿宋_GBK" w:hAnsi="仿宋" w:eastAsia="方正仿宋_GBK" w:cs="方正仿宋_GBK"/>
          <w:b w:val="0"/>
          <w:bCs w:val="0"/>
          <w:spacing w:val="-4"/>
          <w:sz w:val="32"/>
          <w:szCs w:val="32"/>
        </w:rPr>
        <w:t>2</w:t>
      </w:r>
      <w:r>
        <w:rPr>
          <w:rStyle w:val="19"/>
          <w:rFonts w:hint="eastAsia" w:ascii="方正仿宋_GBK" w:hAnsi="仿宋" w:eastAsia="方正仿宋_GBK" w:cs="方正仿宋_GBK"/>
          <w:b w:val="0"/>
          <w:bCs w:val="0"/>
          <w:spacing w:val="-4"/>
          <w:sz w:val="32"/>
          <w:szCs w:val="32"/>
        </w:rPr>
        <w:t>、车辆运行费</w:t>
      </w:r>
      <w:r>
        <w:rPr>
          <w:rStyle w:val="19"/>
          <w:rFonts w:ascii="方正仿宋_GBK" w:hAnsi="仿宋" w:eastAsia="方正仿宋_GBK" w:cs="方正仿宋_GBK"/>
          <w:b w:val="0"/>
          <w:bCs w:val="0"/>
          <w:spacing w:val="-4"/>
          <w:sz w:val="32"/>
          <w:szCs w:val="32"/>
        </w:rPr>
        <w:t>3</w:t>
      </w:r>
      <w:r>
        <w:rPr>
          <w:rStyle w:val="19"/>
          <w:rFonts w:hint="eastAsia" w:ascii="方正仿宋_GBK" w:hAnsi="仿宋" w:eastAsia="方正仿宋_GBK" w:cs="方正仿宋_GBK"/>
          <w:b w:val="0"/>
          <w:bCs w:val="0"/>
          <w:spacing w:val="-4"/>
          <w:sz w:val="32"/>
          <w:szCs w:val="32"/>
        </w:rPr>
        <w:t>、差旅费；</w:t>
      </w:r>
      <w:r>
        <w:rPr>
          <w:rStyle w:val="19"/>
          <w:rFonts w:ascii="方正仿宋_GBK" w:hAnsi="仿宋" w:eastAsia="方正仿宋_GBK" w:cs="方正仿宋_GBK"/>
          <w:b w:val="0"/>
          <w:bCs w:val="0"/>
          <w:spacing w:val="-4"/>
          <w:sz w:val="32"/>
          <w:szCs w:val="32"/>
        </w:rPr>
        <w:t>4</w:t>
      </w:r>
      <w:r>
        <w:rPr>
          <w:rStyle w:val="19"/>
          <w:rFonts w:hint="eastAsia" w:ascii="方正仿宋_GBK" w:hAnsi="仿宋" w:eastAsia="方正仿宋_GBK" w:cs="方正仿宋_GBK"/>
          <w:b w:val="0"/>
          <w:bCs w:val="0"/>
          <w:spacing w:val="-4"/>
          <w:sz w:val="32"/>
          <w:szCs w:val="32"/>
        </w:rPr>
        <w:t>、会议、会务、培训费；</w:t>
      </w:r>
      <w:r>
        <w:rPr>
          <w:rStyle w:val="19"/>
          <w:rFonts w:ascii="方正仿宋_GBK" w:hAnsi="仿宋" w:eastAsia="方正仿宋_GBK" w:cs="方正仿宋_GBK"/>
          <w:b w:val="0"/>
          <w:bCs w:val="0"/>
          <w:spacing w:val="-4"/>
          <w:sz w:val="32"/>
          <w:szCs w:val="32"/>
        </w:rPr>
        <w:t>5</w:t>
      </w:r>
      <w:r>
        <w:rPr>
          <w:rStyle w:val="19"/>
          <w:rFonts w:hint="eastAsia" w:ascii="方正仿宋_GBK" w:hAnsi="仿宋" w:eastAsia="方正仿宋_GBK" w:cs="方正仿宋_GBK"/>
          <w:b w:val="0"/>
          <w:bCs w:val="0"/>
          <w:spacing w:val="-4"/>
          <w:sz w:val="32"/>
          <w:szCs w:val="32"/>
        </w:rPr>
        <w:t>、监测台站环境保护；</w:t>
      </w:r>
      <w:r>
        <w:rPr>
          <w:rStyle w:val="19"/>
          <w:rFonts w:ascii="方正仿宋_GBK" w:hAnsi="仿宋" w:eastAsia="方正仿宋_GBK" w:cs="方正仿宋_GBK"/>
          <w:b w:val="0"/>
          <w:bCs w:val="0"/>
          <w:spacing w:val="-4"/>
          <w:sz w:val="32"/>
          <w:szCs w:val="32"/>
        </w:rPr>
        <w:t>6</w:t>
      </w:r>
      <w:r>
        <w:rPr>
          <w:rStyle w:val="19"/>
          <w:rFonts w:hint="eastAsia" w:ascii="方正仿宋_GBK" w:hAnsi="仿宋" w:eastAsia="方正仿宋_GBK" w:cs="方正仿宋_GBK"/>
          <w:b w:val="0"/>
          <w:bCs w:val="0"/>
          <w:spacing w:val="-4"/>
          <w:sz w:val="32"/>
          <w:szCs w:val="32"/>
        </w:rPr>
        <w:t>、设备更新维护费。</w:t>
      </w:r>
    </w:p>
    <w:p>
      <w:pPr>
        <w:spacing w:line="540" w:lineRule="exact"/>
        <w:ind w:firstLine="624" w:firstLineChars="200"/>
        <w:rPr>
          <w:rStyle w:val="19"/>
          <w:rFonts w:ascii="方正仿宋_GBK" w:hAnsi="仿宋" w:eastAsia="方正仿宋_GBK"/>
          <w:b w:val="0"/>
          <w:bCs w:val="0"/>
          <w:spacing w:val="-4"/>
          <w:sz w:val="32"/>
          <w:szCs w:val="32"/>
        </w:rPr>
      </w:pPr>
      <w:r>
        <w:rPr>
          <w:rStyle w:val="19"/>
          <w:rFonts w:hint="eastAsia" w:ascii="方正仿宋_GBK" w:hAnsi="仿宋" w:eastAsia="方正仿宋_GBK" w:cs="方正仿宋_GBK"/>
          <w:b w:val="0"/>
          <w:bCs w:val="0"/>
          <w:spacing w:val="-4"/>
          <w:sz w:val="32"/>
          <w:szCs w:val="32"/>
        </w:rPr>
        <w:t>主要内容、涉及范围：针对新疆地域广且地震多发的特点，巴州占地广、地震形势严峻，提高本地区的地震监测水平刻不容缓，以有效利用现有</w:t>
      </w:r>
      <w:r>
        <w:rPr>
          <w:rStyle w:val="19"/>
          <w:rFonts w:ascii="方正仿宋_GBK" w:hAnsi="仿宋" w:eastAsia="方正仿宋_GBK" w:cs="方正仿宋_GBK"/>
          <w:b w:val="0"/>
          <w:bCs w:val="0"/>
          <w:spacing w:val="-4"/>
          <w:sz w:val="32"/>
          <w:szCs w:val="32"/>
        </w:rPr>
        <w:t>6</w:t>
      </w:r>
      <w:r>
        <w:rPr>
          <w:rStyle w:val="19"/>
          <w:rFonts w:hint="eastAsia" w:ascii="方正仿宋_GBK" w:hAnsi="仿宋" w:eastAsia="方正仿宋_GBK" w:cs="方正仿宋_GBK"/>
          <w:b w:val="0"/>
          <w:bCs w:val="0"/>
          <w:spacing w:val="-4"/>
          <w:sz w:val="32"/>
          <w:szCs w:val="32"/>
        </w:rPr>
        <w:t>个台站的监测手段，逐步增加地震监测台站数量为基础，以提高巴州地震监测水平为目标，以最大限度减轻地震灾害带来的损失为根本目的，全面做好巴州境内八县一市的地震监测工作。</w:t>
      </w:r>
    </w:p>
    <w:p>
      <w:pPr>
        <w:spacing w:line="540" w:lineRule="exact"/>
        <w:ind w:firstLine="640"/>
        <w:rPr>
          <w:rStyle w:val="19"/>
          <w:rFonts w:ascii="黑体" w:hAnsi="黑体" w:eastAsia="黑体"/>
          <w:b w:val="0"/>
          <w:bCs w:val="0"/>
          <w:spacing w:val="-4"/>
          <w:sz w:val="32"/>
          <w:szCs w:val="32"/>
        </w:rPr>
      </w:pPr>
      <w:r>
        <w:rPr>
          <w:rStyle w:val="19"/>
          <w:rFonts w:hint="eastAsia" w:ascii="黑体" w:hAnsi="黑体" w:eastAsia="黑体" w:cs="黑体"/>
          <w:b w:val="0"/>
          <w:bCs w:val="0"/>
          <w:spacing w:val="-4"/>
          <w:sz w:val="32"/>
          <w:szCs w:val="32"/>
        </w:rPr>
        <w:t>二、项目资金使用及管理情况</w:t>
      </w:r>
    </w:p>
    <w:p>
      <w:pPr>
        <w:spacing w:line="540" w:lineRule="exact"/>
        <w:ind w:firstLine="567" w:firstLineChars="181"/>
        <w:rPr>
          <w:rStyle w:val="19"/>
          <w:rFonts w:ascii="方正仿宋_GBK" w:hAnsi="楷体" w:eastAsia="方正仿宋_GBK"/>
          <w:spacing w:val="-4"/>
          <w:sz w:val="32"/>
          <w:szCs w:val="32"/>
        </w:rPr>
      </w:pPr>
      <w:r>
        <w:rPr>
          <w:rStyle w:val="19"/>
          <w:rFonts w:hint="eastAsia" w:ascii="方正仿宋_GBK" w:hAnsi="楷体" w:eastAsia="方正仿宋_GBK" w:cs="方正仿宋_GBK"/>
          <w:spacing w:val="-4"/>
          <w:sz w:val="32"/>
          <w:szCs w:val="32"/>
        </w:rPr>
        <w:t>（一）项目资金安排落实、总投入等情况分析</w:t>
      </w:r>
    </w:p>
    <w:p>
      <w:pPr>
        <w:spacing w:line="540" w:lineRule="exact"/>
        <w:ind w:firstLine="624" w:firstLineChars="200"/>
        <w:rPr>
          <w:rFonts w:ascii="方正仿宋_GBK" w:hAnsi="仿宋" w:eastAsia="方正仿宋_GBK"/>
          <w:spacing w:val="-4"/>
          <w:sz w:val="32"/>
          <w:szCs w:val="32"/>
        </w:rPr>
      </w:pPr>
      <w:r>
        <w:rPr>
          <w:rFonts w:hint="eastAsia" w:ascii="方正仿宋_GBK" w:hAnsi="仿宋" w:eastAsia="方正仿宋_GBK" w:cs="方正仿宋_GBK"/>
          <w:spacing w:val="-4"/>
          <w:sz w:val="32"/>
          <w:szCs w:val="32"/>
        </w:rPr>
        <w:t>项目资金全部来自财政资金，项目补助资金本着“合理、合法、合情”和取得最大效益的原则进行分配。资金分配与项目实施方案相一致，资金的管理推行政府采购制度，资金拨付后，严格按照年度计划确定的用途和建设内容使用资金，专款专用，无挤占、挪用、串用财政资金的现象，严格按照国家的专项资金使用要求进行支出，无弄虚作假、虚列支出的情况，充分发挥了林业项目资金的作用。</w:t>
      </w:r>
    </w:p>
    <w:p>
      <w:pPr>
        <w:spacing w:line="540" w:lineRule="exact"/>
        <w:ind w:firstLine="624" w:firstLineChars="200"/>
        <w:rPr>
          <w:rFonts w:ascii="方正仿宋_GBK" w:hAnsi="仿宋" w:eastAsia="方正仿宋_GBK"/>
          <w:spacing w:val="-4"/>
          <w:sz w:val="32"/>
          <w:szCs w:val="32"/>
        </w:rPr>
      </w:pPr>
      <w:r>
        <w:rPr>
          <w:rFonts w:hint="eastAsia" w:ascii="方正仿宋_GBK" w:hAnsi="仿宋" w:eastAsia="方正仿宋_GBK" w:cs="方正仿宋_GBK"/>
          <w:spacing w:val="-4"/>
          <w:sz w:val="32"/>
          <w:szCs w:val="32"/>
        </w:rPr>
        <w:t>项目按照上级下达的项目资金进行计划、使用和管理。项目实行法人领导责任制，项目参加人员按照项目实施方案组织实施，分工明确，操作性强。</w:t>
      </w:r>
    </w:p>
    <w:p>
      <w:pPr>
        <w:spacing w:line="540" w:lineRule="exact"/>
        <w:ind w:firstLine="624" w:firstLineChars="200"/>
        <w:rPr>
          <w:rFonts w:ascii="方正仿宋_GBK" w:hAnsi="仿宋" w:eastAsia="方正仿宋_GBK"/>
          <w:spacing w:val="-4"/>
          <w:sz w:val="32"/>
          <w:szCs w:val="32"/>
        </w:rPr>
      </w:pPr>
      <w:r>
        <w:rPr>
          <w:rFonts w:hint="eastAsia" w:ascii="方正仿宋_GBK" w:hAnsi="仿宋" w:eastAsia="方正仿宋_GBK" w:cs="方正仿宋_GBK"/>
          <w:spacing w:val="-4"/>
          <w:sz w:val="32"/>
          <w:szCs w:val="32"/>
        </w:rPr>
        <w:t>在资金的管理和使用上，严格执行财务管理制度，报账资金拨付实行转账结算；做到专款专用，严格控制现金支出，确保项目资金使用效率。全年没有出现项目资金使用财务违纪违规现象。</w:t>
      </w:r>
    </w:p>
    <w:p>
      <w:pPr>
        <w:spacing w:line="540" w:lineRule="exact"/>
        <w:ind w:firstLine="627" w:firstLineChars="200"/>
        <w:rPr>
          <w:rStyle w:val="19"/>
          <w:rFonts w:ascii="方正仿宋_GBK" w:hAnsi="楷体" w:eastAsia="方正仿宋_GBK"/>
          <w:spacing w:val="-4"/>
          <w:sz w:val="32"/>
          <w:szCs w:val="32"/>
        </w:rPr>
      </w:pPr>
      <w:r>
        <w:rPr>
          <w:rStyle w:val="19"/>
          <w:rFonts w:hint="eastAsia" w:ascii="方正仿宋_GBK" w:hAnsi="楷体" w:eastAsia="方正仿宋_GBK" w:cs="方正仿宋_GBK"/>
          <w:spacing w:val="-4"/>
          <w:sz w:val="32"/>
          <w:szCs w:val="32"/>
        </w:rPr>
        <w:t>（二）项目资金实际使用情况分析</w:t>
      </w:r>
    </w:p>
    <w:p>
      <w:pPr>
        <w:spacing w:line="540" w:lineRule="exact"/>
        <w:ind w:firstLine="624" w:firstLineChars="200"/>
        <w:rPr>
          <w:rStyle w:val="19"/>
          <w:rFonts w:ascii="方正仿宋_GBK" w:hAnsi="仿宋" w:eastAsia="方正仿宋_GBK"/>
          <w:b w:val="0"/>
          <w:bCs w:val="0"/>
          <w:spacing w:val="-4"/>
          <w:sz w:val="32"/>
          <w:szCs w:val="32"/>
        </w:rPr>
      </w:pPr>
      <w:r>
        <w:rPr>
          <w:rStyle w:val="19"/>
          <w:rFonts w:ascii="方正仿宋_GBK" w:hAnsi="仿宋" w:eastAsia="方正仿宋_GBK" w:cs="方正仿宋_GBK"/>
          <w:b w:val="0"/>
          <w:bCs w:val="0"/>
          <w:spacing w:val="-4"/>
          <w:sz w:val="32"/>
          <w:szCs w:val="32"/>
        </w:rPr>
        <w:t>2018</w:t>
      </w:r>
      <w:r>
        <w:rPr>
          <w:rStyle w:val="19"/>
          <w:rFonts w:hint="eastAsia" w:ascii="方正仿宋_GBK" w:hAnsi="仿宋" w:eastAsia="方正仿宋_GBK" w:cs="方正仿宋_GBK"/>
          <w:b w:val="0"/>
          <w:bCs w:val="0"/>
          <w:spacing w:val="-4"/>
          <w:sz w:val="32"/>
          <w:szCs w:val="32"/>
        </w:rPr>
        <w:t>年地震监测项目资金共计支出</w:t>
      </w:r>
      <w:r>
        <w:rPr>
          <w:rStyle w:val="19"/>
          <w:rFonts w:ascii="方正仿宋_GBK" w:hAnsi="仿宋" w:eastAsia="方正仿宋_GBK" w:cs="方正仿宋_GBK"/>
          <w:b w:val="0"/>
          <w:bCs w:val="0"/>
          <w:spacing w:val="-4"/>
          <w:sz w:val="32"/>
          <w:szCs w:val="32"/>
        </w:rPr>
        <w:t>274045.06</w:t>
      </w:r>
      <w:r>
        <w:rPr>
          <w:rStyle w:val="19"/>
          <w:rFonts w:hint="eastAsia" w:ascii="方正仿宋_GBK" w:hAnsi="仿宋" w:eastAsia="方正仿宋_GBK" w:cs="方正仿宋_GBK"/>
          <w:b w:val="0"/>
          <w:bCs w:val="0"/>
          <w:spacing w:val="-4"/>
          <w:sz w:val="32"/>
          <w:szCs w:val="32"/>
        </w:rPr>
        <w:t>元，主要用于办公费</w:t>
      </w:r>
      <w:r>
        <w:rPr>
          <w:rStyle w:val="19"/>
          <w:rFonts w:ascii="方正仿宋_GBK" w:hAnsi="仿宋" w:eastAsia="方正仿宋_GBK" w:cs="方正仿宋_GBK"/>
          <w:b w:val="0"/>
          <w:bCs w:val="0"/>
          <w:spacing w:val="-4"/>
          <w:sz w:val="32"/>
          <w:szCs w:val="32"/>
        </w:rPr>
        <w:t>27000</w:t>
      </w:r>
      <w:r>
        <w:rPr>
          <w:rStyle w:val="19"/>
          <w:rFonts w:hint="eastAsia" w:ascii="方正仿宋_GBK" w:hAnsi="仿宋" w:eastAsia="方正仿宋_GBK" w:cs="方正仿宋_GBK"/>
          <w:b w:val="0"/>
          <w:bCs w:val="0"/>
          <w:spacing w:val="-4"/>
          <w:sz w:val="32"/>
          <w:szCs w:val="32"/>
        </w:rPr>
        <w:t>元，咨询费</w:t>
      </w:r>
      <w:r>
        <w:rPr>
          <w:rStyle w:val="19"/>
          <w:rFonts w:ascii="方正仿宋_GBK" w:hAnsi="仿宋" w:eastAsia="方正仿宋_GBK" w:cs="方正仿宋_GBK"/>
          <w:b w:val="0"/>
          <w:bCs w:val="0"/>
          <w:spacing w:val="-4"/>
          <w:sz w:val="32"/>
          <w:szCs w:val="32"/>
        </w:rPr>
        <w:t>800</w:t>
      </w:r>
      <w:r>
        <w:rPr>
          <w:rStyle w:val="19"/>
          <w:rFonts w:hint="eastAsia" w:ascii="方正仿宋_GBK" w:hAnsi="仿宋" w:eastAsia="方正仿宋_GBK" w:cs="方正仿宋_GBK"/>
          <w:b w:val="0"/>
          <w:bCs w:val="0"/>
          <w:spacing w:val="-4"/>
          <w:sz w:val="32"/>
          <w:szCs w:val="32"/>
        </w:rPr>
        <w:t>元，邮电费</w:t>
      </w:r>
      <w:r>
        <w:rPr>
          <w:rStyle w:val="19"/>
          <w:rFonts w:ascii="方正仿宋_GBK" w:hAnsi="仿宋" w:eastAsia="方正仿宋_GBK" w:cs="方正仿宋_GBK"/>
          <w:b w:val="0"/>
          <w:bCs w:val="0"/>
          <w:spacing w:val="-4"/>
          <w:sz w:val="32"/>
          <w:szCs w:val="32"/>
        </w:rPr>
        <w:t>27000</w:t>
      </w:r>
      <w:r>
        <w:rPr>
          <w:rStyle w:val="19"/>
          <w:rFonts w:hint="eastAsia" w:ascii="方正仿宋_GBK" w:hAnsi="仿宋" w:eastAsia="方正仿宋_GBK" w:cs="方正仿宋_GBK"/>
          <w:b w:val="0"/>
          <w:bCs w:val="0"/>
          <w:spacing w:val="-4"/>
          <w:sz w:val="32"/>
          <w:szCs w:val="32"/>
        </w:rPr>
        <w:t>元，差旅费</w:t>
      </w:r>
      <w:r>
        <w:rPr>
          <w:rStyle w:val="19"/>
          <w:rFonts w:ascii="方正仿宋_GBK" w:hAnsi="仿宋" w:eastAsia="方正仿宋_GBK" w:cs="方正仿宋_GBK"/>
          <w:b w:val="0"/>
          <w:bCs w:val="0"/>
          <w:spacing w:val="-4"/>
          <w:sz w:val="32"/>
          <w:szCs w:val="32"/>
        </w:rPr>
        <w:t>42310</w:t>
      </w:r>
      <w:r>
        <w:rPr>
          <w:rStyle w:val="19"/>
          <w:rFonts w:hint="eastAsia" w:ascii="方正仿宋_GBK" w:hAnsi="仿宋" w:eastAsia="方正仿宋_GBK" w:cs="方正仿宋_GBK"/>
          <w:b w:val="0"/>
          <w:bCs w:val="0"/>
          <w:spacing w:val="-4"/>
          <w:sz w:val="32"/>
          <w:szCs w:val="32"/>
        </w:rPr>
        <w:t>元，维修费</w:t>
      </w:r>
      <w:r>
        <w:rPr>
          <w:rStyle w:val="19"/>
          <w:rFonts w:ascii="方正仿宋_GBK" w:hAnsi="仿宋" w:eastAsia="方正仿宋_GBK" w:cs="方正仿宋_GBK"/>
          <w:b w:val="0"/>
          <w:bCs w:val="0"/>
          <w:spacing w:val="-4"/>
          <w:sz w:val="32"/>
          <w:szCs w:val="32"/>
        </w:rPr>
        <w:t>90230</w:t>
      </w:r>
      <w:r>
        <w:rPr>
          <w:rStyle w:val="19"/>
          <w:rFonts w:hint="eastAsia" w:ascii="方正仿宋_GBK" w:hAnsi="仿宋" w:eastAsia="方正仿宋_GBK" w:cs="方正仿宋_GBK"/>
          <w:b w:val="0"/>
          <w:bCs w:val="0"/>
          <w:spacing w:val="-4"/>
          <w:sz w:val="32"/>
          <w:szCs w:val="32"/>
        </w:rPr>
        <w:t>元，会议费</w:t>
      </w:r>
      <w:r>
        <w:rPr>
          <w:rStyle w:val="19"/>
          <w:rFonts w:ascii="方正仿宋_GBK" w:hAnsi="仿宋" w:eastAsia="方正仿宋_GBK" w:cs="方正仿宋_GBK"/>
          <w:b w:val="0"/>
          <w:bCs w:val="0"/>
          <w:spacing w:val="-4"/>
          <w:sz w:val="32"/>
          <w:szCs w:val="32"/>
        </w:rPr>
        <w:t>2595</w:t>
      </w:r>
      <w:r>
        <w:rPr>
          <w:rStyle w:val="19"/>
          <w:rFonts w:hint="eastAsia" w:ascii="方正仿宋_GBK" w:hAnsi="仿宋" w:eastAsia="方正仿宋_GBK" w:cs="方正仿宋_GBK"/>
          <w:b w:val="0"/>
          <w:bCs w:val="0"/>
          <w:spacing w:val="-4"/>
          <w:sz w:val="32"/>
          <w:szCs w:val="32"/>
        </w:rPr>
        <w:t>元，业务委托费</w:t>
      </w:r>
      <w:r>
        <w:rPr>
          <w:rStyle w:val="19"/>
          <w:rFonts w:ascii="方正仿宋_GBK" w:hAnsi="仿宋" w:eastAsia="方正仿宋_GBK" w:cs="方正仿宋_GBK"/>
          <w:b w:val="0"/>
          <w:bCs w:val="0"/>
          <w:spacing w:val="-4"/>
          <w:sz w:val="32"/>
          <w:szCs w:val="32"/>
        </w:rPr>
        <w:t>51600</w:t>
      </w:r>
      <w:r>
        <w:rPr>
          <w:rStyle w:val="19"/>
          <w:rFonts w:hint="eastAsia" w:ascii="方正仿宋_GBK" w:hAnsi="仿宋" w:eastAsia="方正仿宋_GBK" w:cs="方正仿宋_GBK"/>
          <w:b w:val="0"/>
          <w:bCs w:val="0"/>
          <w:spacing w:val="-4"/>
          <w:sz w:val="32"/>
          <w:szCs w:val="32"/>
        </w:rPr>
        <w:t>元，公务用车运行费</w:t>
      </w:r>
      <w:r>
        <w:rPr>
          <w:rStyle w:val="19"/>
          <w:rFonts w:ascii="方正仿宋_GBK" w:hAnsi="仿宋" w:eastAsia="方正仿宋_GBK" w:cs="方正仿宋_GBK"/>
          <w:b w:val="0"/>
          <w:bCs w:val="0"/>
          <w:spacing w:val="-4"/>
          <w:sz w:val="32"/>
          <w:szCs w:val="32"/>
        </w:rPr>
        <w:t>25000</w:t>
      </w:r>
      <w:r>
        <w:rPr>
          <w:rStyle w:val="19"/>
          <w:rFonts w:hint="eastAsia" w:ascii="方正仿宋_GBK" w:hAnsi="仿宋" w:eastAsia="方正仿宋_GBK" w:cs="方正仿宋_GBK"/>
          <w:b w:val="0"/>
          <w:bCs w:val="0"/>
          <w:spacing w:val="-4"/>
          <w:sz w:val="32"/>
          <w:szCs w:val="32"/>
        </w:rPr>
        <w:t>元，其他交通费</w:t>
      </w:r>
      <w:r>
        <w:rPr>
          <w:rStyle w:val="19"/>
          <w:rFonts w:ascii="方正仿宋_GBK" w:hAnsi="仿宋" w:eastAsia="方正仿宋_GBK" w:cs="方正仿宋_GBK"/>
          <w:b w:val="0"/>
          <w:bCs w:val="0"/>
          <w:spacing w:val="-4"/>
          <w:sz w:val="32"/>
          <w:szCs w:val="32"/>
        </w:rPr>
        <w:t>7510.06</w:t>
      </w:r>
      <w:r>
        <w:rPr>
          <w:rStyle w:val="19"/>
          <w:rFonts w:hint="eastAsia" w:ascii="方正仿宋_GBK" w:hAnsi="仿宋" w:eastAsia="方正仿宋_GBK" w:cs="方正仿宋_GBK"/>
          <w:b w:val="0"/>
          <w:bCs w:val="0"/>
          <w:spacing w:val="-4"/>
          <w:sz w:val="32"/>
          <w:szCs w:val="32"/>
        </w:rPr>
        <w:t>元。</w:t>
      </w:r>
    </w:p>
    <w:p>
      <w:pPr>
        <w:spacing w:line="540" w:lineRule="exact"/>
        <w:ind w:firstLine="567" w:firstLineChars="181"/>
        <w:rPr>
          <w:rStyle w:val="19"/>
          <w:rFonts w:ascii="方正仿宋_GBK" w:hAnsi="楷体" w:eastAsia="方正仿宋_GBK"/>
          <w:spacing w:val="-4"/>
          <w:sz w:val="32"/>
          <w:szCs w:val="32"/>
        </w:rPr>
      </w:pPr>
      <w:r>
        <w:rPr>
          <w:rStyle w:val="19"/>
          <w:rFonts w:hint="eastAsia" w:ascii="方正仿宋_GBK" w:hAnsi="楷体" w:eastAsia="方正仿宋_GBK" w:cs="方正仿宋_GBK"/>
          <w:spacing w:val="-4"/>
          <w:sz w:val="32"/>
          <w:szCs w:val="32"/>
        </w:rPr>
        <w:t>（三）项目资金管理情况分析</w:t>
      </w:r>
    </w:p>
    <w:p>
      <w:pPr>
        <w:spacing w:line="540" w:lineRule="exact"/>
        <w:ind w:firstLine="640"/>
        <w:rPr>
          <w:rFonts w:ascii="方正仿宋_GBK" w:hAnsi="仿宋" w:eastAsia="方正仿宋_GBK"/>
          <w:spacing w:val="-4"/>
          <w:sz w:val="32"/>
          <w:szCs w:val="32"/>
        </w:rPr>
      </w:pPr>
      <w:r>
        <w:rPr>
          <w:rFonts w:hint="eastAsia" w:ascii="方正仿宋_GBK" w:hAnsi="仿宋" w:eastAsia="方正仿宋_GBK" w:cs="方正仿宋_GBK"/>
          <w:spacing w:val="-4"/>
          <w:sz w:val="32"/>
          <w:szCs w:val="32"/>
        </w:rPr>
        <w:t>项目资金管理实行严格的定额管理，专款专用。资金分配与项目预算相一致，资金拨付后，严格按照年度投资计划确定的用途和建设内容使用资金，专款专用，无挤占、挪用、串用财政资金的现象，严格按照资金使用要求进行支出，无弄虚作假、虚列支出的情况，充分发挥了项目资金的作用。</w:t>
      </w:r>
    </w:p>
    <w:p>
      <w:pPr>
        <w:spacing w:line="540" w:lineRule="exact"/>
        <w:ind w:firstLine="640"/>
        <w:rPr>
          <w:rStyle w:val="19"/>
          <w:rFonts w:ascii="黑体" w:hAnsi="黑体" w:eastAsia="黑体"/>
          <w:b w:val="0"/>
          <w:bCs w:val="0"/>
          <w:spacing w:val="-4"/>
          <w:sz w:val="32"/>
          <w:szCs w:val="32"/>
        </w:rPr>
      </w:pPr>
      <w:r>
        <w:rPr>
          <w:rStyle w:val="19"/>
          <w:rFonts w:hint="eastAsia" w:ascii="黑体" w:hAnsi="黑体" w:eastAsia="黑体" w:cs="黑体"/>
          <w:b w:val="0"/>
          <w:bCs w:val="0"/>
          <w:spacing w:val="-4"/>
          <w:sz w:val="32"/>
          <w:szCs w:val="32"/>
        </w:rPr>
        <w:t>三、项目组织实施情况</w:t>
      </w:r>
    </w:p>
    <w:p>
      <w:pPr>
        <w:spacing w:line="540" w:lineRule="exact"/>
        <w:ind w:firstLine="567" w:firstLineChars="181"/>
        <w:rPr>
          <w:rStyle w:val="19"/>
          <w:rFonts w:ascii="方正仿宋_GBK" w:hAnsi="楷体" w:eastAsia="方正仿宋_GBK"/>
          <w:spacing w:val="-4"/>
          <w:sz w:val="32"/>
          <w:szCs w:val="32"/>
        </w:rPr>
      </w:pPr>
      <w:r>
        <w:rPr>
          <w:rStyle w:val="19"/>
          <w:rFonts w:hint="eastAsia" w:ascii="方正仿宋_GBK" w:hAnsi="楷体" w:eastAsia="方正仿宋_GBK" w:cs="方正仿宋_GBK"/>
          <w:spacing w:val="-4"/>
          <w:sz w:val="32"/>
          <w:szCs w:val="32"/>
        </w:rPr>
        <w:t>（一）项目组织情况分析</w:t>
      </w:r>
    </w:p>
    <w:p>
      <w:pPr>
        <w:spacing w:line="540" w:lineRule="exact"/>
        <w:ind w:firstLine="624" w:firstLineChars="200"/>
        <w:rPr>
          <w:rStyle w:val="19"/>
          <w:rFonts w:ascii="方正仿宋_GBK" w:hAnsi="仿宋" w:eastAsia="方正仿宋_GBK"/>
          <w:b w:val="0"/>
          <w:bCs w:val="0"/>
          <w:spacing w:val="-4"/>
          <w:sz w:val="32"/>
          <w:szCs w:val="32"/>
        </w:rPr>
      </w:pPr>
      <w:r>
        <w:rPr>
          <w:rStyle w:val="19"/>
          <w:rFonts w:hint="eastAsia" w:ascii="方正仿宋_GBK" w:hAnsi="仿宋" w:eastAsia="方正仿宋_GBK" w:cs="方正仿宋_GBK"/>
          <w:b w:val="0"/>
          <w:bCs w:val="0"/>
          <w:spacing w:val="-4"/>
          <w:sz w:val="32"/>
          <w:szCs w:val="32"/>
        </w:rPr>
        <w:t>资金的实际支出与计划规定的用途一致，资金收支平衡，对项目资金实行“三专”管理。报账资金拨付实行转账结算，严格控制现金支出，没有违纪违规问题。财务制度健全，财务信息真实完整。</w:t>
      </w:r>
    </w:p>
    <w:p>
      <w:pPr>
        <w:spacing w:line="540" w:lineRule="exact"/>
        <w:ind w:firstLine="567" w:firstLineChars="181"/>
        <w:rPr>
          <w:rStyle w:val="19"/>
          <w:rFonts w:ascii="方正仿宋_GBK" w:hAnsi="楷体" w:eastAsia="方正仿宋_GBK"/>
          <w:spacing w:val="-4"/>
          <w:sz w:val="32"/>
          <w:szCs w:val="32"/>
        </w:rPr>
      </w:pPr>
      <w:r>
        <w:rPr>
          <w:rStyle w:val="19"/>
          <w:rFonts w:hint="eastAsia" w:ascii="方正仿宋_GBK" w:hAnsi="楷体" w:eastAsia="方正仿宋_GBK" w:cs="方正仿宋_GBK"/>
          <w:spacing w:val="-4"/>
          <w:sz w:val="32"/>
          <w:szCs w:val="32"/>
        </w:rPr>
        <w:t>（二）项目管理情况分析</w:t>
      </w:r>
    </w:p>
    <w:p>
      <w:pPr>
        <w:spacing w:line="540" w:lineRule="exact"/>
        <w:ind w:firstLine="624" w:firstLineChars="200"/>
        <w:rPr>
          <w:rStyle w:val="19"/>
          <w:rFonts w:ascii="方正仿宋_GBK" w:hAnsi="仿宋" w:eastAsia="方正仿宋_GBK"/>
          <w:b w:val="0"/>
          <w:bCs w:val="0"/>
          <w:spacing w:val="-4"/>
          <w:sz w:val="32"/>
          <w:szCs w:val="32"/>
        </w:rPr>
      </w:pPr>
      <w:r>
        <w:rPr>
          <w:rStyle w:val="19"/>
          <w:rFonts w:hint="eastAsia" w:ascii="方正仿宋_GBK" w:hAnsi="仿宋" w:eastAsia="方正仿宋_GBK" w:cs="方正仿宋_GBK"/>
          <w:b w:val="0"/>
          <w:bCs w:val="0"/>
          <w:spacing w:val="-4"/>
          <w:sz w:val="32"/>
          <w:szCs w:val="32"/>
        </w:rPr>
        <w:t>为确保项目顺利实施，由巴州地震局党组副书记、局长郑少华副总则，解决协调人员、资金等方面问题，定期或不定期召开项目实施情况汇报会，及时解决项目实施过程中存在的问题和困难，确保项目顺利开展。资金拨付后，严格按照财政预算、年度投资计划确定的用途和建设内容使用资金，专户储存，专款专用。切实保证了项目的顺利实施。</w:t>
      </w:r>
    </w:p>
    <w:p>
      <w:pPr>
        <w:spacing w:line="540" w:lineRule="exact"/>
        <w:ind w:firstLine="640"/>
        <w:rPr>
          <w:rStyle w:val="19"/>
          <w:rFonts w:ascii="黑体" w:hAnsi="黑体" w:eastAsia="黑体"/>
          <w:sz w:val="32"/>
          <w:szCs w:val="32"/>
        </w:rPr>
      </w:pPr>
      <w:r>
        <w:rPr>
          <w:rStyle w:val="19"/>
          <w:rFonts w:hint="eastAsia" w:ascii="黑体" w:hAnsi="黑体" w:eastAsia="黑体" w:cs="黑体"/>
          <w:b w:val="0"/>
          <w:bCs w:val="0"/>
          <w:spacing w:val="-4"/>
          <w:sz w:val="32"/>
          <w:szCs w:val="32"/>
        </w:rPr>
        <w:t>四、项目绩效情况</w:t>
      </w:r>
    </w:p>
    <w:p>
      <w:pPr>
        <w:spacing w:line="540" w:lineRule="exact"/>
        <w:ind w:firstLine="567" w:firstLineChars="181"/>
        <w:rPr>
          <w:rFonts w:ascii="方正仿宋_GBK" w:hAnsi="楷体" w:eastAsia="方正仿宋_GBK"/>
          <w:b/>
          <w:bCs/>
          <w:spacing w:val="-4"/>
          <w:sz w:val="32"/>
          <w:szCs w:val="32"/>
        </w:rPr>
      </w:pPr>
      <w:r>
        <w:rPr>
          <w:rFonts w:hint="eastAsia" w:ascii="方正仿宋_GBK" w:hAnsi="楷体" w:eastAsia="方正仿宋_GBK" w:cs="方正仿宋_GBK"/>
          <w:b/>
          <w:bCs/>
          <w:spacing w:val="-4"/>
          <w:sz w:val="32"/>
          <w:szCs w:val="32"/>
        </w:rPr>
        <w:t>（一）项目绩效目标完成情况分析</w:t>
      </w:r>
    </w:p>
    <w:p>
      <w:pPr>
        <w:spacing w:line="540" w:lineRule="exact"/>
        <w:ind w:firstLine="564" w:firstLineChars="181"/>
        <w:rPr>
          <w:rStyle w:val="19"/>
          <w:rFonts w:ascii="方正仿宋_GBK" w:hAnsi="仿宋" w:eastAsia="方正仿宋_GBK"/>
          <w:b w:val="0"/>
          <w:bCs w:val="0"/>
          <w:spacing w:val="-4"/>
          <w:sz w:val="32"/>
          <w:szCs w:val="32"/>
        </w:rPr>
      </w:pPr>
      <w:r>
        <w:rPr>
          <w:rStyle w:val="19"/>
          <w:rFonts w:hint="eastAsia" w:ascii="方正仿宋_GBK" w:hAnsi="仿宋" w:eastAsia="方正仿宋_GBK" w:cs="方正仿宋_GBK"/>
          <w:b w:val="0"/>
          <w:bCs w:val="0"/>
          <w:spacing w:val="-4"/>
          <w:sz w:val="32"/>
          <w:szCs w:val="32"/>
        </w:rPr>
        <w:t>完成</w:t>
      </w:r>
      <w:r>
        <w:rPr>
          <w:rStyle w:val="19"/>
          <w:rFonts w:ascii="方正仿宋_GBK" w:hAnsi="仿宋" w:eastAsia="方正仿宋_GBK" w:cs="方正仿宋_GBK"/>
          <w:b w:val="0"/>
          <w:bCs w:val="0"/>
          <w:spacing w:val="-4"/>
          <w:sz w:val="32"/>
          <w:szCs w:val="32"/>
        </w:rPr>
        <w:t>2018</w:t>
      </w:r>
      <w:r>
        <w:rPr>
          <w:rStyle w:val="19"/>
          <w:rFonts w:hint="eastAsia" w:ascii="方正仿宋_GBK" w:hAnsi="仿宋" w:eastAsia="方正仿宋_GBK" w:cs="方正仿宋_GBK"/>
          <w:b w:val="0"/>
          <w:bCs w:val="0"/>
          <w:spacing w:val="-4"/>
          <w:sz w:val="32"/>
          <w:szCs w:val="32"/>
        </w:rPr>
        <w:t>年度既定目标，达到了预期的效果。</w:t>
      </w:r>
    </w:p>
    <w:p>
      <w:pPr>
        <w:spacing w:line="540" w:lineRule="exact"/>
        <w:ind w:firstLine="564" w:firstLineChars="181"/>
        <w:rPr>
          <w:rStyle w:val="19"/>
          <w:rFonts w:ascii="方正仿宋_GBK" w:hAnsi="仿宋" w:eastAsia="方正仿宋_GBK"/>
          <w:b w:val="0"/>
          <w:bCs w:val="0"/>
          <w:spacing w:val="-4"/>
          <w:sz w:val="32"/>
          <w:szCs w:val="32"/>
        </w:rPr>
      </w:pPr>
      <w:r>
        <w:rPr>
          <w:rStyle w:val="19"/>
          <w:rFonts w:hint="eastAsia" w:ascii="方正仿宋_GBK" w:hAnsi="仿宋" w:eastAsia="方正仿宋_GBK" w:cs="方正仿宋_GBK"/>
          <w:b w:val="0"/>
          <w:bCs w:val="0"/>
          <w:spacing w:val="-4"/>
          <w:sz w:val="32"/>
          <w:szCs w:val="32"/>
        </w:rPr>
        <w:t>项目的经济性：最大程度的减少地震灾害造成的经济损失；</w:t>
      </w:r>
    </w:p>
    <w:p>
      <w:pPr>
        <w:spacing w:line="540" w:lineRule="exact"/>
        <w:ind w:firstLine="564" w:firstLineChars="181"/>
        <w:rPr>
          <w:rStyle w:val="19"/>
          <w:rFonts w:ascii="方正仿宋_GBK" w:hAnsi="仿宋" w:eastAsia="方正仿宋_GBK"/>
          <w:b w:val="0"/>
          <w:bCs w:val="0"/>
          <w:spacing w:val="-4"/>
          <w:sz w:val="32"/>
          <w:szCs w:val="32"/>
        </w:rPr>
      </w:pPr>
      <w:r>
        <w:rPr>
          <w:rStyle w:val="19"/>
          <w:rFonts w:hint="eastAsia" w:ascii="方正仿宋_GBK" w:hAnsi="仿宋" w:eastAsia="方正仿宋_GBK" w:cs="方正仿宋_GBK"/>
          <w:b w:val="0"/>
          <w:bCs w:val="0"/>
          <w:spacing w:val="-4"/>
          <w:sz w:val="32"/>
          <w:szCs w:val="32"/>
        </w:rPr>
        <w:t>项目的效率型：每天持续开展，保证数据不中断；</w:t>
      </w:r>
    </w:p>
    <w:p>
      <w:pPr>
        <w:spacing w:line="540" w:lineRule="exact"/>
        <w:ind w:firstLine="564" w:firstLineChars="181"/>
        <w:rPr>
          <w:rStyle w:val="19"/>
          <w:rFonts w:ascii="方正仿宋_GBK" w:hAnsi="仿宋" w:eastAsia="方正仿宋_GBK"/>
          <w:b w:val="0"/>
          <w:bCs w:val="0"/>
          <w:spacing w:val="-4"/>
          <w:sz w:val="32"/>
          <w:szCs w:val="32"/>
        </w:rPr>
      </w:pPr>
      <w:r>
        <w:rPr>
          <w:rStyle w:val="19"/>
          <w:rFonts w:hint="eastAsia" w:ascii="方正仿宋_GBK" w:hAnsi="仿宋" w:eastAsia="方正仿宋_GBK" w:cs="方正仿宋_GBK"/>
          <w:b w:val="0"/>
          <w:bCs w:val="0"/>
          <w:spacing w:val="-4"/>
          <w:sz w:val="32"/>
          <w:szCs w:val="32"/>
        </w:rPr>
        <w:t>项目的有益性：将地震监测结果进行有效利用，为提升巴州地震监测水平奠定基础，为不同地区抗震设防要求提供可靠依据；</w:t>
      </w:r>
    </w:p>
    <w:p>
      <w:pPr>
        <w:spacing w:line="540" w:lineRule="exact"/>
        <w:ind w:firstLine="564" w:firstLineChars="181"/>
        <w:rPr>
          <w:rStyle w:val="19"/>
          <w:rFonts w:ascii="方正仿宋_GBK" w:hAnsi="仿宋" w:eastAsia="方正仿宋_GBK"/>
          <w:b w:val="0"/>
          <w:bCs w:val="0"/>
          <w:spacing w:val="-4"/>
          <w:sz w:val="32"/>
          <w:szCs w:val="32"/>
        </w:rPr>
      </w:pPr>
      <w:r>
        <w:rPr>
          <w:rStyle w:val="19"/>
          <w:rFonts w:hint="eastAsia" w:ascii="方正仿宋_GBK" w:hAnsi="仿宋" w:eastAsia="方正仿宋_GBK" w:cs="方正仿宋_GBK"/>
          <w:b w:val="0"/>
          <w:bCs w:val="0"/>
          <w:spacing w:val="-4"/>
          <w:sz w:val="32"/>
          <w:szCs w:val="32"/>
        </w:rPr>
        <w:t>项目的可持续性：为巴州地震研究分析预测提供可靠持续的历史数据。</w:t>
      </w:r>
    </w:p>
    <w:p>
      <w:pPr>
        <w:spacing w:line="540" w:lineRule="exact"/>
        <w:ind w:firstLine="567" w:firstLineChars="181"/>
        <w:rPr>
          <w:rFonts w:ascii="方正仿宋_GBK" w:hAnsi="楷体" w:eastAsia="方正仿宋_GBK"/>
          <w:b/>
          <w:bCs/>
          <w:spacing w:val="-4"/>
          <w:sz w:val="32"/>
          <w:szCs w:val="32"/>
        </w:rPr>
      </w:pPr>
      <w:r>
        <w:rPr>
          <w:rFonts w:hint="eastAsia" w:ascii="方正仿宋_GBK" w:hAnsi="楷体" w:eastAsia="方正仿宋_GBK" w:cs="方正仿宋_GBK"/>
          <w:b/>
          <w:bCs/>
          <w:spacing w:val="-4"/>
          <w:sz w:val="32"/>
          <w:szCs w:val="32"/>
        </w:rPr>
        <w:t>（二）项目绩效目标未完成原因分析</w:t>
      </w:r>
    </w:p>
    <w:p>
      <w:pPr>
        <w:spacing w:line="540" w:lineRule="exact"/>
        <w:ind w:firstLine="564" w:firstLineChars="181"/>
        <w:rPr>
          <w:rFonts w:ascii="方正仿宋_GBK" w:hAnsi="仿宋" w:eastAsia="方正仿宋_GBK"/>
          <w:spacing w:val="-4"/>
          <w:sz w:val="32"/>
          <w:szCs w:val="32"/>
        </w:rPr>
      </w:pPr>
      <w:r>
        <w:rPr>
          <w:rFonts w:hint="eastAsia" w:ascii="方正仿宋_GBK" w:hAnsi="仿宋" w:eastAsia="方正仿宋_GBK" w:cs="方正仿宋_GBK"/>
          <w:spacing w:val="-4"/>
          <w:sz w:val="32"/>
          <w:szCs w:val="32"/>
        </w:rPr>
        <w:t>无</w:t>
      </w:r>
    </w:p>
    <w:p>
      <w:pPr>
        <w:spacing w:line="540" w:lineRule="exact"/>
        <w:ind w:firstLine="640"/>
        <w:rPr>
          <w:rStyle w:val="19"/>
          <w:rFonts w:ascii="黑体" w:hAnsi="黑体" w:eastAsia="黑体"/>
          <w:b w:val="0"/>
          <w:bCs w:val="0"/>
          <w:spacing w:val="-4"/>
          <w:sz w:val="32"/>
          <w:szCs w:val="32"/>
        </w:rPr>
      </w:pPr>
      <w:r>
        <w:rPr>
          <w:rStyle w:val="19"/>
          <w:rFonts w:hint="eastAsia" w:ascii="黑体" w:hAnsi="黑体" w:eastAsia="黑体" w:cs="黑体"/>
          <w:b w:val="0"/>
          <w:bCs w:val="0"/>
          <w:spacing w:val="-4"/>
          <w:sz w:val="32"/>
          <w:szCs w:val="32"/>
        </w:rPr>
        <w:t>五、其他需要说明的问题</w:t>
      </w:r>
    </w:p>
    <w:p>
      <w:pPr>
        <w:spacing w:line="540" w:lineRule="exact"/>
        <w:ind w:firstLine="567" w:firstLineChars="181"/>
        <w:rPr>
          <w:rFonts w:ascii="方正仿宋_GBK" w:hAnsi="楷体" w:eastAsia="方正仿宋_GBK"/>
          <w:b/>
          <w:bCs/>
          <w:spacing w:val="-4"/>
          <w:sz w:val="32"/>
          <w:szCs w:val="32"/>
        </w:rPr>
      </w:pPr>
      <w:r>
        <w:rPr>
          <w:rFonts w:hint="eastAsia" w:ascii="方正仿宋_GBK" w:hAnsi="楷体" w:eastAsia="方正仿宋_GBK" w:cs="方正仿宋_GBK"/>
          <w:b/>
          <w:bCs/>
          <w:spacing w:val="-4"/>
          <w:sz w:val="32"/>
          <w:szCs w:val="32"/>
        </w:rPr>
        <w:t>（一）后续工作计划</w:t>
      </w:r>
    </w:p>
    <w:p>
      <w:pPr>
        <w:spacing w:line="540" w:lineRule="exact"/>
        <w:ind w:firstLine="564" w:firstLineChars="181"/>
        <w:rPr>
          <w:rFonts w:ascii="方正仿宋_GBK" w:hAnsi="仿宋" w:eastAsia="方正仿宋_GBK"/>
          <w:spacing w:val="-4"/>
          <w:sz w:val="32"/>
          <w:szCs w:val="32"/>
        </w:rPr>
      </w:pPr>
      <w:r>
        <w:rPr>
          <w:rFonts w:hint="eastAsia" w:ascii="方正仿宋_GBK" w:hAnsi="仿宋" w:eastAsia="方正仿宋_GBK" w:cs="方正仿宋_GBK"/>
          <w:spacing w:val="-4"/>
          <w:sz w:val="32"/>
          <w:szCs w:val="32"/>
        </w:rPr>
        <w:t>目前巴州仅有</w:t>
      </w:r>
      <w:r>
        <w:rPr>
          <w:rFonts w:ascii="方正仿宋_GBK" w:hAnsi="仿宋" w:eastAsia="方正仿宋_GBK" w:cs="方正仿宋_GBK"/>
          <w:spacing w:val="-4"/>
          <w:sz w:val="32"/>
          <w:szCs w:val="32"/>
        </w:rPr>
        <w:t>6</w:t>
      </w:r>
      <w:r>
        <w:rPr>
          <w:rFonts w:hint="eastAsia" w:ascii="方正仿宋_GBK" w:hAnsi="仿宋" w:eastAsia="方正仿宋_GBK" w:cs="方正仿宋_GBK"/>
          <w:spacing w:val="-4"/>
          <w:sz w:val="32"/>
          <w:szCs w:val="32"/>
        </w:rPr>
        <w:t>个地震监测台站，争取早日达到一县（市）一台站的目标。</w:t>
      </w:r>
    </w:p>
    <w:p>
      <w:pPr>
        <w:spacing w:line="540" w:lineRule="exact"/>
        <w:ind w:firstLine="567" w:firstLineChars="181"/>
        <w:rPr>
          <w:rFonts w:ascii="方正仿宋_GBK" w:hAnsi="楷体" w:eastAsia="方正仿宋_GBK"/>
          <w:b/>
          <w:bCs/>
          <w:spacing w:val="-4"/>
          <w:sz w:val="32"/>
          <w:szCs w:val="32"/>
        </w:rPr>
      </w:pPr>
      <w:r>
        <w:rPr>
          <w:rFonts w:hint="eastAsia" w:ascii="方正仿宋_GBK" w:hAnsi="楷体" w:eastAsia="方正仿宋_GBK" w:cs="方正仿宋_GBK"/>
          <w:b/>
          <w:bCs/>
          <w:spacing w:val="-4"/>
          <w:sz w:val="32"/>
          <w:szCs w:val="32"/>
        </w:rPr>
        <w:t>（二）主要经验及做法、存在问题和建议</w:t>
      </w:r>
    </w:p>
    <w:p>
      <w:pPr>
        <w:spacing w:line="540" w:lineRule="exact"/>
        <w:ind w:firstLine="579" w:firstLineChars="181"/>
        <w:rPr>
          <w:rFonts w:ascii="方正仿宋_GBK" w:hAnsi="仿宋" w:eastAsia="方正仿宋_GBK"/>
          <w:sz w:val="32"/>
          <w:szCs w:val="32"/>
        </w:rPr>
      </w:pPr>
      <w:r>
        <w:rPr>
          <w:rFonts w:ascii="方正仿宋_GBK" w:hAnsi="仿宋" w:eastAsia="方正仿宋_GBK" w:cs="方正仿宋_GBK"/>
          <w:sz w:val="32"/>
          <w:szCs w:val="32"/>
        </w:rPr>
        <w:t>1</w:t>
      </w:r>
      <w:r>
        <w:rPr>
          <w:rFonts w:hint="eastAsia" w:ascii="方正仿宋_GBK" w:hAnsi="仿宋" w:eastAsia="方正仿宋_GBK" w:cs="方正仿宋_GBK"/>
          <w:sz w:val="32"/>
          <w:szCs w:val="32"/>
        </w:rPr>
        <w:t>、对完善预算管理机制的建议</w:t>
      </w:r>
    </w:p>
    <w:p>
      <w:pPr>
        <w:spacing w:line="540" w:lineRule="exact"/>
        <w:ind w:firstLine="579" w:firstLineChars="181"/>
        <w:rPr>
          <w:rFonts w:ascii="方正仿宋_GBK" w:hAnsi="仿宋" w:eastAsia="方正仿宋_GBK"/>
          <w:sz w:val="32"/>
          <w:szCs w:val="32"/>
        </w:rPr>
      </w:pPr>
      <w:r>
        <w:rPr>
          <w:rFonts w:ascii="方正仿宋_GBK" w:hAnsi="仿宋" w:eastAsia="方正仿宋_GBK"/>
          <w:sz w:val="32"/>
          <w:szCs w:val="32"/>
        </w:rPr>
        <w:tab/>
      </w:r>
      <w:r>
        <w:rPr>
          <w:rFonts w:hint="eastAsia" w:ascii="方正仿宋_GBK" w:hAnsi="仿宋" w:eastAsia="方正仿宋_GBK" w:cs="方正仿宋_GBK"/>
          <w:sz w:val="32"/>
          <w:szCs w:val="32"/>
        </w:rPr>
        <w:t>加强绩效目标管理，后续每年制定项目绩效目标，使预算编制和绩效目标相匹配，提高资金安排科学性。</w:t>
      </w:r>
    </w:p>
    <w:p>
      <w:pPr>
        <w:spacing w:line="540" w:lineRule="exact"/>
        <w:ind w:firstLine="579" w:firstLineChars="181"/>
        <w:rPr>
          <w:rFonts w:ascii="方正仿宋_GBK" w:hAnsi="仿宋" w:eastAsia="方正仿宋_GBK"/>
          <w:sz w:val="32"/>
          <w:szCs w:val="32"/>
        </w:rPr>
      </w:pPr>
      <w:r>
        <w:rPr>
          <w:rFonts w:ascii="方正仿宋_GBK" w:hAnsi="仿宋" w:eastAsia="方正仿宋_GBK" w:cs="方正仿宋_GBK"/>
          <w:sz w:val="32"/>
          <w:szCs w:val="32"/>
        </w:rPr>
        <w:t>2</w:t>
      </w:r>
      <w:r>
        <w:rPr>
          <w:rFonts w:hint="eastAsia" w:ascii="方正仿宋_GBK" w:hAnsi="仿宋" w:eastAsia="方正仿宋_GBK" w:cs="方正仿宋_GBK"/>
          <w:sz w:val="32"/>
          <w:szCs w:val="32"/>
        </w:rPr>
        <w:t>、对完善制度保障的建议</w:t>
      </w:r>
    </w:p>
    <w:p>
      <w:pPr>
        <w:spacing w:line="540" w:lineRule="exact"/>
        <w:ind w:firstLine="579" w:firstLineChars="181"/>
        <w:rPr>
          <w:rFonts w:ascii="方正仿宋_GBK" w:hAnsi="仿宋" w:eastAsia="方正仿宋_GBK"/>
          <w:sz w:val="32"/>
          <w:szCs w:val="32"/>
        </w:rPr>
      </w:pPr>
      <w:r>
        <w:rPr>
          <w:rFonts w:hint="eastAsia" w:ascii="方正仿宋_GBK" w:hAnsi="仿宋" w:eastAsia="方正仿宋_GBK" w:cs="方正仿宋_GBK"/>
          <w:sz w:val="32"/>
          <w:szCs w:val="32"/>
        </w:rPr>
        <w:t>需要大力加强制度建设，从制度层面保障项目有效开展，避免风险。建立财务监控机制，防止财务风险。建立项目管理制度，完善项目管理程序。建立项目长效管理机制，为项目延续性发展提供保障。</w:t>
      </w:r>
    </w:p>
    <w:p>
      <w:pPr>
        <w:spacing w:line="540" w:lineRule="exact"/>
        <w:ind w:firstLine="567" w:firstLineChars="181"/>
        <w:rPr>
          <w:rFonts w:ascii="方正仿宋_GBK" w:hAnsi="楷体" w:eastAsia="方正仿宋_GBK"/>
          <w:b/>
          <w:bCs/>
          <w:spacing w:val="-4"/>
          <w:sz w:val="32"/>
          <w:szCs w:val="32"/>
        </w:rPr>
      </w:pPr>
      <w:r>
        <w:rPr>
          <w:rFonts w:hint="eastAsia" w:ascii="方正仿宋_GBK" w:hAnsi="楷体" w:eastAsia="方正仿宋_GBK" w:cs="方正仿宋_GBK"/>
          <w:b/>
          <w:bCs/>
          <w:spacing w:val="-4"/>
          <w:sz w:val="32"/>
          <w:szCs w:val="32"/>
        </w:rPr>
        <w:t>（三）其他</w:t>
      </w:r>
    </w:p>
    <w:p>
      <w:pPr>
        <w:spacing w:line="540" w:lineRule="exact"/>
        <w:ind w:firstLine="564" w:firstLineChars="181"/>
        <w:rPr>
          <w:rFonts w:ascii="方正仿宋_GBK" w:hAnsi="仿宋" w:eastAsia="方正仿宋_GBK"/>
          <w:spacing w:val="-4"/>
          <w:sz w:val="32"/>
          <w:szCs w:val="32"/>
        </w:rPr>
      </w:pPr>
      <w:r>
        <w:rPr>
          <w:rFonts w:hint="eastAsia" w:ascii="方正仿宋_GBK" w:hAnsi="仿宋" w:eastAsia="方正仿宋_GBK" w:cs="方正仿宋_GBK"/>
          <w:spacing w:val="-4"/>
          <w:sz w:val="32"/>
          <w:szCs w:val="32"/>
        </w:rPr>
        <w:t>无</w:t>
      </w:r>
    </w:p>
    <w:p>
      <w:pPr>
        <w:spacing w:line="540" w:lineRule="exact"/>
        <w:ind w:firstLine="640"/>
        <w:rPr>
          <w:rStyle w:val="19"/>
          <w:rFonts w:ascii="黑体" w:hAnsi="黑体" w:eastAsia="黑体"/>
          <w:b w:val="0"/>
          <w:bCs w:val="0"/>
          <w:spacing w:val="-4"/>
          <w:sz w:val="32"/>
          <w:szCs w:val="32"/>
        </w:rPr>
      </w:pPr>
      <w:r>
        <w:rPr>
          <w:rStyle w:val="19"/>
          <w:rFonts w:hint="eastAsia" w:ascii="黑体" w:hAnsi="黑体" w:eastAsia="黑体" w:cs="黑体"/>
          <w:b w:val="0"/>
          <w:bCs w:val="0"/>
          <w:spacing w:val="-4"/>
          <w:sz w:val="32"/>
          <w:szCs w:val="32"/>
        </w:rPr>
        <w:t>六、项目评价工作情况</w:t>
      </w:r>
    </w:p>
    <w:p>
      <w:pPr>
        <w:ind w:firstLine="627" w:firstLineChars="196"/>
        <w:rPr>
          <w:rFonts w:ascii="方正仿宋_GBK" w:hAnsi="仿宋" w:eastAsia="方正仿宋_GBK"/>
          <w:kern w:val="0"/>
          <w:sz w:val="32"/>
          <w:szCs w:val="32"/>
        </w:rPr>
      </w:pPr>
      <w:r>
        <w:rPr>
          <w:rFonts w:hint="eastAsia" w:ascii="方正仿宋_GBK" w:hAnsi="仿宋" w:eastAsia="方正仿宋_GBK" w:cs="方正仿宋_GBK"/>
          <w:kern w:val="0"/>
          <w:sz w:val="32"/>
          <w:szCs w:val="32"/>
        </w:rPr>
        <w:t>一是加强组织领导，努力推动县市基层防震减灾工作。</w:t>
      </w:r>
      <w:r>
        <w:rPr>
          <w:rFonts w:ascii="方正仿宋_GBK" w:hAnsi="仿宋" w:eastAsia="方正仿宋_GBK" w:cs="方正仿宋_GBK"/>
          <w:kern w:val="0"/>
          <w:sz w:val="32"/>
          <w:szCs w:val="32"/>
        </w:rPr>
        <w:t xml:space="preserve"> </w:t>
      </w:r>
      <w:r>
        <w:rPr>
          <w:rFonts w:hint="eastAsia" w:ascii="方正仿宋_GBK" w:hAnsi="仿宋" w:eastAsia="方正仿宋_GBK" w:cs="方正仿宋_GBK"/>
          <w:kern w:val="0"/>
          <w:sz w:val="32"/>
          <w:szCs w:val="32"/>
        </w:rPr>
        <w:t>一是</w:t>
      </w:r>
      <w:r>
        <w:rPr>
          <w:rFonts w:ascii="方正仿宋_GBK" w:hAnsi="仿宋" w:eastAsia="方正仿宋_GBK" w:cs="方正仿宋_GBK"/>
          <w:kern w:val="0"/>
          <w:sz w:val="32"/>
          <w:szCs w:val="32"/>
        </w:rPr>
        <w:t>1</w:t>
      </w:r>
      <w:r>
        <w:rPr>
          <w:rFonts w:hint="eastAsia" w:ascii="方正仿宋_GBK" w:hAnsi="仿宋" w:eastAsia="方正仿宋_GBK" w:cs="方正仿宋_GBK"/>
          <w:kern w:val="0"/>
          <w:sz w:val="32"/>
          <w:szCs w:val="32"/>
        </w:rPr>
        <w:t>月</w:t>
      </w:r>
      <w:r>
        <w:rPr>
          <w:rFonts w:ascii="方正仿宋_GBK" w:hAnsi="仿宋" w:eastAsia="方正仿宋_GBK" w:cs="方正仿宋_GBK"/>
          <w:kern w:val="0"/>
          <w:sz w:val="32"/>
          <w:szCs w:val="32"/>
        </w:rPr>
        <w:t>12</w:t>
      </w:r>
      <w:r>
        <w:rPr>
          <w:rFonts w:hint="eastAsia" w:ascii="方正仿宋_GBK" w:hAnsi="仿宋" w:eastAsia="方正仿宋_GBK" w:cs="方正仿宋_GBK"/>
          <w:kern w:val="0"/>
          <w:sz w:val="32"/>
          <w:szCs w:val="32"/>
        </w:rPr>
        <w:t>日，召开县市地震局业务工作会议，各县市地震局交流工作情况，州地震局解读《自治州防震减灾</w:t>
      </w:r>
      <w:r>
        <w:rPr>
          <w:rFonts w:hint="eastAsia" w:ascii="方正仿宋_GBK" w:hAnsi="仿宋" w:eastAsia="方正仿宋_GBK" w:cs="方正仿宋_GBK"/>
          <w:kern w:val="0"/>
          <w:sz w:val="32"/>
          <w:szCs w:val="32"/>
          <w:lang w:eastAsia="zh-CN"/>
        </w:rPr>
        <w:t>“十三五”规划</w:t>
      </w:r>
      <w:bookmarkStart w:id="0" w:name="_GoBack"/>
      <w:bookmarkEnd w:id="0"/>
      <w:r>
        <w:rPr>
          <w:rFonts w:hint="eastAsia" w:ascii="方正仿宋_GBK" w:hAnsi="仿宋" w:eastAsia="方正仿宋_GBK" w:cs="方正仿宋_GBK"/>
          <w:kern w:val="0"/>
          <w:sz w:val="32"/>
          <w:szCs w:val="32"/>
        </w:rPr>
        <w:t>》和《自治州防震减灾应急预案》。二是</w:t>
      </w:r>
      <w:r>
        <w:rPr>
          <w:rFonts w:ascii="方正仿宋_GBK" w:hAnsi="仿宋" w:eastAsia="方正仿宋_GBK" w:cs="方正仿宋_GBK"/>
          <w:kern w:val="0"/>
          <w:sz w:val="32"/>
          <w:szCs w:val="32"/>
        </w:rPr>
        <w:t>4</w:t>
      </w:r>
      <w:r>
        <w:rPr>
          <w:rFonts w:hint="eastAsia" w:ascii="方正仿宋_GBK" w:hAnsi="仿宋" w:eastAsia="方正仿宋_GBK" w:cs="方正仿宋_GBK"/>
          <w:kern w:val="0"/>
          <w:sz w:val="32"/>
          <w:szCs w:val="32"/>
        </w:rPr>
        <w:t>月</w:t>
      </w:r>
      <w:r>
        <w:rPr>
          <w:rFonts w:ascii="方正仿宋_GBK" w:hAnsi="仿宋" w:eastAsia="方正仿宋_GBK" w:cs="方正仿宋_GBK"/>
          <w:kern w:val="0"/>
          <w:sz w:val="32"/>
          <w:szCs w:val="32"/>
        </w:rPr>
        <w:t>4</w:t>
      </w:r>
      <w:r>
        <w:rPr>
          <w:rFonts w:hint="eastAsia" w:ascii="方正仿宋_GBK" w:hAnsi="仿宋" w:eastAsia="方正仿宋_GBK" w:cs="方正仿宋_GBK"/>
          <w:kern w:val="0"/>
          <w:sz w:val="32"/>
          <w:szCs w:val="32"/>
        </w:rPr>
        <w:t>日，召开</w:t>
      </w:r>
      <w:r>
        <w:rPr>
          <w:rFonts w:ascii="方正仿宋_GBK" w:hAnsi="仿宋" w:eastAsia="方正仿宋_GBK" w:cs="方正仿宋_GBK"/>
          <w:kern w:val="0"/>
          <w:sz w:val="32"/>
          <w:szCs w:val="32"/>
        </w:rPr>
        <w:t>2018</w:t>
      </w:r>
      <w:r>
        <w:rPr>
          <w:rFonts w:hint="eastAsia" w:ascii="方正仿宋_GBK" w:hAnsi="仿宋" w:eastAsia="方正仿宋_GBK" w:cs="方正仿宋_GBK"/>
          <w:kern w:val="0"/>
          <w:sz w:val="32"/>
          <w:szCs w:val="32"/>
        </w:rPr>
        <w:t>年度自治州防震减灾工作会议，贯彻</w:t>
      </w:r>
      <w:r>
        <w:rPr>
          <w:rFonts w:ascii="方正仿宋_GBK" w:hAnsi="仿宋" w:eastAsia="方正仿宋_GBK" w:cs="方正仿宋_GBK"/>
          <w:kern w:val="0"/>
          <w:sz w:val="32"/>
          <w:szCs w:val="32"/>
        </w:rPr>
        <w:t>2018</w:t>
      </w:r>
      <w:r>
        <w:rPr>
          <w:rFonts w:hint="eastAsia" w:ascii="方正仿宋_GBK" w:hAnsi="仿宋" w:eastAsia="方正仿宋_GBK" w:cs="方正仿宋_GBK"/>
          <w:kern w:val="0"/>
          <w:sz w:val="32"/>
          <w:szCs w:val="32"/>
        </w:rPr>
        <w:t>年自治区防震减灾工作会议精神，总结</w:t>
      </w:r>
      <w:r>
        <w:rPr>
          <w:rFonts w:ascii="方正仿宋_GBK" w:hAnsi="仿宋" w:eastAsia="方正仿宋_GBK" w:cs="方正仿宋_GBK"/>
          <w:kern w:val="0"/>
          <w:sz w:val="32"/>
          <w:szCs w:val="32"/>
        </w:rPr>
        <w:t>2017</w:t>
      </w:r>
      <w:r>
        <w:rPr>
          <w:rFonts w:hint="eastAsia" w:ascii="方正仿宋_GBK" w:hAnsi="仿宋" w:eastAsia="方正仿宋_GBK" w:cs="方正仿宋_GBK"/>
          <w:kern w:val="0"/>
          <w:sz w:val="32"/>
          <w:szCs w:val="32"/>
        </w:rPr>
        <w:t>年工作，安排部署</w:t>
      </w:r>
      <w:r>
        <w:rPr>
          <w:rFonts w:ascii="方正仿宋_GBK" w:hAnsi="仿宋" w:eastAsia="方正仿宋_GBK" w:cs="方正仿宋_GBK"/>
          <w:kern w:val="0"/>
          <w:sz w:val="32"/>
          <w:szCs w:val="32"/>
        </w:rPr>
        <w:t xml:space="preserve"> 2018</w:t>
      </w:r>
      <w:r>
        <w:rPr>
          <w:rFonts w:hint="eastAsia" w:ascii="方正仿宋_GBK" w:hAnsi="仿宋" w:eastAsia="方正仿宋_GBK" w:cs="方正仿宋_GBK"/>
          <w:kern w:val="0"/>
          <w:sz w:val="32"/>
          <w:szCs w:val="32"/>
        </w:rPr>
        <w:t>年重点工作任务。会上，州人民政府与县市政府签定了责任书，明确了考核细则，加强了业务培训。三是落实</w:t>
      </w:r>
      <w:r>
        <w:rPr>
          <w:rFonts w:ascii="方正仿宋_GBK" w:hAnsi="仿宋" w:eastAsia="方正仿宋_GBK" w:cs="方正仿宋_GBK"/>
          <w:kern w:val="0"/>
          <w:sz w:val="32"/>
          <w:szCs w:val="32"/>
        </w:rPr>
        <w:t>9</w:t>
      </w:r>
      <w:r>
        <w:rPr>
          <w:rFonts w:hint="eastAsia" w:ascii="方正仿宋_GBK" w:hAnsi="仿宋" w:eastAsia="方正仿宋_GBK" w:cs="方正仿宋_GBK"/>
          <w:kern w:val="0"/>
          <w:sz w:val="32"/>
          <w:szCs w:val="32"/>
        </w:rPr>
        <w:t>月</w:t>
      </w:r>
      <w:r>
        <w:rPr>
          <w:rFonts w:ascii="方正仿宋_GBK" w:hAnsi="仿宋" w:eastAsia="方正仿宋_GBK" w:cs="方正仿宋_GBK"/>
          <w:kern w:val="0"/>
          <w:sz w:val="32"/>
          <w:szCs w:val="32"/>
        </w:rPr>
        <w:t>9</w:t>
      </w:r>
      <w:r>
        <w:rPr>
          <w:rFonts w:hint="eastAsia" w:ascii="方正仿宋_GBK" w:hAnsi="仿宋" w:eastAsia="方正仿宋_GBK" w:cs="方正仿宋_GBK"/>
          <w:kern w:val="0"/>
          <w:sz w:val="32"/>
          <w:szCs w:val="32"/>
        </w:rPr>
        <w:t>日自治区防震减灾工作电视电话会议精神，州防震减灾领导小组成员单位及各县市政府按照要求，坚持问题导向，边整边改，有关情况及时上报州政府。</w:t>
      </w:r>
    </w:p>
    <w:p>
      <w:pPr>
        <w:ind w:firstLine="640" w:firstLineChars="200"/>
        <w:rPr>
          <w:rFonts w:ascii="方正仿宋_GBK" w:hAnsi="仿宋" w:eastAsia="方正仿宋_GBK"/>
          <w:kern w:val="0"/>
          <w:sz w:val="32"/>
          <w:szCs w:val="32"/>
        </w:rPr>
      </w:pPr>
      <w:r>
        <w:rPr>
          <w:rFonts w:hint="eastAsia" w:ascii="方正仿宋_GBK" w:hAnsi="仿宋" w:eastAsia="方正仿宋_GBK" w:cs="方正仿宋_GBK"/>
          <w:kern w:val="0"/>
          <w:sz w:val="32"/>
          <w:szCs w:val="32"/>
        </w:rPr>
        <w:t>二是以“防”为主，切实抓好地震防范应急准备工作。今年以来，我州共组织开展了各级地震应急防范准备工作督查</w:t>
      </w:r>
      <w:r>
        <w:rPr>
          <w:rFonts w:ascii="方正仿宋_GBK" w:hAnsi="仿宋" w:eastAsia="方正仿宋_GBK" w:cs="方正仿宋_GBK"/>
          <w:kern w:val="0"/>
          <w:sz w:val="32"/>
          <w:szCs w:val="32"/>
        </w:rPr>
        <w:t>5</w:t>
      </w:r>
      <w:r>
        <w:rPr>
          <w:rFonts w:hint="eastAsia" w:ascii="方正仿宋_GBK" w:hAnsi="仿宋" w:eastAsia="方正仿宋_GBK" w:cs="方正仿宋_GBK"/>
          <w:kern w:val="0"/>
          <w:sz w:val="32"/>
          <w:szCs w:val="32"/>
        </w:rPr>
        <w:t>次。一是</w:t>
      </w:r>
      <w:r>
        <w:rPr>
          <w:rFonts w:ascii="方正仿宋_GBK" w:hAnsi="仿宋" w:eastAsia="方正仿宋_GBK" w:cs="方正仿宋_GBK"/>
          <w:kern w:val="0"/>
          <w:sz w:val="32"/>
          <w:szCs w:val="32"/>
        </w:rPr>
        <w:t>2</w:t>
      </w:r>
      <w:r>
        <w:rPr>
          <w:rFonts w:hint="eastAsia" w:ascii="方正仿宋_GBK" w:hAnsi="仿宋" w:eastAsia="方正仿宋_GBK" w:cs="方正仿宋_GBK"/>
          <w:kern w:val="0"/>
          <w:sz w:val="32"/>
          <w:szCs w:val="32"/>
        </w:rPr>
        <w:t>月</w:t>
      </w:r>
      <w:r>
        <w:rPr>
          <w:rFonts w:ascii="方正仿宋_GBK" w:hAnsi="仿宋" w:eastAsia="方正仿宋_GBK" w:cs="方正仿宋_GBK"/>
          <w:kern w:val="0"/>
          <w:sz w:val="32"/>
          <w:szCs w:val="32"/>
        </w:rPr>
        <w:t>23</w:t>
      </w:r>
      <w:r>
        <w:rPr>
          <w:rFonts w:hint="eastAsia" w:ascii="方正仿宋_GBK" w:hAnsi="仿宋" w:eastAsia="方正仿宋_GBK" w:cs="方正仿宋_GBK"/>
          <w:kern w:val="0"/>
          <w:sz w:val="32"/>
          <w:szCs w:val="32"/>
        </w:rPr>
        <w:t>日～</w:t>
      </w:r>
      <w:r>
        <w:rPr>
          <w:rFonts w:ascii="方正仿宋_GBK" w:hAnsi="仿宋" w:eastAsia="方正仿宋_GBK" w:cs="方正仿宋_GBK"/>
          <w:kern w:val="0"/>
          <w:sz w:val="32"/>
          <w:szCs w:val="32"/>
        </w:rPr>
        <w:t>26</w:t>
      </w:r>
      <w:r>
        <w:rPr>
          <w:rFonts w:hint="eastAsia" w:ascii="方正仿宋_GBK" w:hAnsi="仿宋" w:eastAsia="方正仿宋_GBK" w:cs="方正仿宋_GBK"/>
          <w:kern w:val="0"/>
          <w:sz w:val="32"/>
          <w:szCs w:val="32"/>
        </w:rPr>
        <w:t>日，由州地震局牵头，会同州应急、民政、消防、安监、国土资源等部门，组成联合检查组，对库尔勒市、轮台县、焉耆县、和静县</w:t>
      </w:r>
      <w:r>
        <w:rPr>
          <w:rFonts w:ascii="方正仿宋_GBK" w:hAnsi="仿宋" w:eastAsia="方正仿宋_GBK" w:cs="方正仿宋_GBK"/>
          <w:kern w:val="0"/>
          <w:sz w:val="32"/>
          <w:szCs w:val="32"/>
        </w:rPr>
        <w:t>4</w:t>
      </w:r>
      <w:r>
        <w:rPr>
          <w:rFonts w:hint="eastAsia" w:ascii="方正仿宋_GBK" w:hAnsi="仿宋" w:eastAsia="方正仿宋_GBK" w:cs="方正仿宋_GBK"/>
          <w:kern w:val="0"/>
          <w:sz w:val="32"/>
          <w:szCs w:val="32"/>
        </w:rPr>
        <w:t>个县市地震应急准备工作进行检查，拟定《自治州</w:t>
      </w:r>
      <w:r>
        <w:rPr>
          <w:rFonts w:ascii="方正仿宋_GBK" w:hAnsi="仿宋" w:eastAsia="方正仿宋_GBK" w:cs="方正仿宋_GBK"/>
          <w:kern w:val="0"/>
          <w:sz w:val="32"/>
          <w:szCs w:val="32"/>
        </w:rPr>
        <w:t>2018</w:t>
      </w:r>
      <w:r>
        <w:rPr>
          <w:rFonts w:hint="eastAsia" w:ascii="方正仿宋_GBK" w:hAnsi="仿宋" w:eastAsia="方正仿宋_GBK" w:cs="方正仿宋_GBK"/>
          <w:kern w:val="0"/>
          <w:sz w:val="32"/>
          <w:szCs w:val="32"/>
        </w:rPr>
        <w:t>抗震救灾应对工作方案》，</w:t>
      </w:r>
      <w:r>
        <w:rPr>
          <w:rFonts w:ascii="方正仿宋_GBK" w:hAnsi="仿宋" w:eastAsia="方正仿宋_GBK" w:cs="方正仿宋_GBK"/>
          <w:kern w:val="0"/>
          <w:sz w:val="32"/>
          <w:szCs w:val="32"/>
        </w:rPr>
        <w:t>3</w:t>
      </w:r>
      <w:r>
        <w:rPr>
          <w:rFonts w:hint="eastAsia" w:ascii="方正仿宋_GBK" w:hAnsi="仿宋" w:eastAsia="方正仿宋_GBK" w:cs="方正仿宋_GBK"/>
          <w:kern w:val="0"/>
          <w:sz w:val="32"/>
          <w:szCs w:val="32"/>
        </w:rPr>
        <w:t>月</w:t>
      </w:r>
      <w:r>
        <w:rPr>
          <w:rFonts w:ascii="方正仿宋_GBK" w:hAnsi="仿宋" w:eastAsia="方正仿宋_GBK" w:cs="方正仿宋_GBK"/>
          <w:kern w:val="0"/>
          <w:sz w:val="32"/>
          <w:szCs w:val="32"/>
        </w:rPr>
        <w:t>28</w:t>
      </w:r>
      <w:r>
        <w:rPr>
          <w:rFonts w:hint="eastAsia" w:ascii="方正仿宋_GBK" w:hAnsi="仿宋" w:eastAsia="方正仿宋_GBK" w:cs="方正仿宋_GBK"/>
          <w:kern w:val="0"/>
          <w:sz w:val="32"/>
          <w:szCs w:val="32"/>
        </w:rPr>
        <w:t>日，州人民政府以巴政办发〔</w:t>
      </w:r>
      <w:r>
        <w:rPr>
          <w:rFonts w:ascii="方正仿宋_GBK" w:hAnsi="仿宋" w:eastAsia="方正仿宋_GBK" w:cs="方正仿宋_GBK"/>
          <w:kern w:val="0"/>
          <w:sz w:val="32"/>
          <w:szCs w:val="32"/>
        </w:rPr>
        <w:t>2018</w:t>
      </w:r>
      <w:r>
        <w:rPr>
          <w:rFonts w:hint="eastAsia" w:ascii="方正仿宋_GBK" w:hAnsi="仿宋" w:eastAsia="方正仿宋_GBK" w:cs="方正仿宋_GBK"/>
          <w:kern w:val="0"/>
          <w:sz w:val="32"/>
          <w:szCs w:val="32"/>
        </w:rPr>
        <w:t>〕</w:t>
      </w:r>
      <w:r>
        <w:rPr>
          <w:rFonts w:ascii="方正仿宋_GBK" w:hAnsi="仿宋" w:eastAsia="方正仿宋_GBK" w:cs="方正仿宋_GBK"/>
          <w:kern w:val="0"/>
          <w:sz w:val="32"/>
          <w:szCs w:val="32"/>
        </w:rPr>
        <w:t>19</w:t>
      </w:r>
      <w:r>
        <w:rPr>
          <w:rFonts w:hint="eastAsia" w:ascii="方正仿宋_GBK" w:hAnsi="仿宋" w:eastAsia="方正仿宋_GBK" w:cs="方正仿宋_GBK"/>
          <w:kern w:val="0"/>
          <w:sz w:val="32"/>
          <w:szCs w:val="32"/>
        </w:rPr>
        <w:t>号文件下发。二是</w:t>
      </w:r>
      <w:r>
        <w:rPr>
          <w:rFonts w:ascii="方正仿宋_GBK" w:hAnsi="仿宋" w:eastAsia="方正仿宋_GBK" w:cs="方正仿宋_GBK"/>
          <w:kern w:val="0"/>
          <w:sz w:val="32"/>
          <w:szCs w:val="32"/>
        </w:rPr>
        <w:t>3</w:t>
      </w:r>
      <w:r>
        <w:rPr>
          <w:rFonts w:hint="eastAsia" w:ascii="方正仿宋_GBK" w:hAnsi="仿宋" w:eastAsia="方正仿宋_GBK" w:cs="方正仿宋_GBK"/>
          <w:kern w:val="0"/>
          <w:sz w:val="32"/>
          <w:szCs w:val="32"/>
        </w:rPr>
        <w:t>月</w:t>
      </w:r>
      <w:r>
        <w:rPr>
          <w:rFonts w:ascii="方正仿宋_GBK" w:hAnsi="仿宋" w:eastAsia="方正仿宋_GBK" w:cs="方正仿宋_GBK"/>
          <w:kern w:val="0"/>
          <w:sz w:val="32"/>
          <w:szCs w:val="32"/>
        </w:rPr>
        <w:t>5</w:t>
      </w:r>
      <w:r>
        <w:rPr>
          <w:rFonts w:hint="eastAsia" w:ascii="方正仿宋_GBK" w:hAnsi="仿宋" w:eastAsia="方正仿宋_GBK" w:cs="方正仿宋_GBK"/>
          <w:kern w:val="0"/>
          <w:sz w:val="32"/>
          <w:szCs w:val="32"/>
        </w:rPr>
        <w:t>日～</w:t>
      </w:r>
      <w:r>
        <w:rPr>
          <w:rFonts w:ascii="方正仿宋_GBK" w:hAnsi="仿宋" w:eastAsia="方正仿宋_GBK" w:cs="方正仿宋_GBK"/>
          <w:kern w:val="0"/>
          <w:sz w:val="32"/>
          <w:szCs w:val="32"/>
        </w:rPr>
        <w:t>6</w:t>
      </w:r>
      <w:r>
        <w:rPr>
          <w:rFonts w:hint="eastAsia" w:ascii="方正仿宋_GBK" w:hAnsi="仿宋" w:eastAsia="方正仿宋_GBK" w:cs="方正仿宋_GBK"/>
          <w:kern w:val="0"/>
          <w:sz w:val="32"/>
          <w:szCs w:val="32"/>
        </w:rPr>
        <w:t>日，自治区防震减灾工作督导检查组督查。先后对我州和静县、轮台县应急救队伍建设、富民安居工程建设、地震科普与应急避险知识宣传情况，公路桥梁、水利枢纽、电力设施、地质灾害等风险隐患排查和治理情况进行了督导检查。三是</w:t>
      </w:r>
      <w:r>
        <w:rPr>
          <w:rFonts w:ascii="方正仿宋_GBK" w:hAnsi="仿宋" w:eastAsia="方正仿宋_GBK" w:cs="方正仿宋_GBK"/>
          <w:kern w:val="0"/>
          <w:sz w:val="32"/>
          <w:szCs w:val="32"/>
        </w:rPr>
        <w:t>8</w:t>
      </w:r>
      <w:r>
        <w:rPr>
          <w:rFonts w:hint="eastAsia" w:ascii="方正仿宋_GBK" w:hAnsi="仿宋" w:eastAsia="方正仿宋_GBK" w:cs="方正仿宋_GBK"/>
          <w:kern w:val="0"/>
          <w:sz w:val="32"/>
          <w:szCs w:val="32"/>
        </w:rPr>
        <w:t>月</w:t>
      </w:r>
      <w:r>
        <w:rPr>
          <w:rFonts w:ascii="方正仿宋_GBK" w:hAnsi="仿宋" w:eastAsia="方正仿宋_GBK" w:cs="方正仿宋_GBK"/>
          <w:kern w:val="0"/>
          <w:sz w:val="32"/>
          <w:szCs w:val="32"/>
        </w:rPr>
        <w:t>13</w:t>
      </w:r>
      <w:r>
        <w:rPr>
          <w:rFonts w:hint="eastAsia" w:ascii="方正仿宋_GBK" w:hAnsi="仿宋" w:eastAsia="方正仿宋_GBK" w:cs="方正仿宋_GBK"/>
          <w:kern w:val="0"/>
          <w:sz w:val="32"/>
          <w:szCs w:val="32"/>
        </w:rPr>
        <w:t>日～</w:t>
      </w:r>
      <w:r>
        <w:rPr>
          <w:rFonts w:ascii="方正仿宋_GBK" w:hAnsi="仿宋" w:eastAsia="方正仿宋_GBK" w:cs="方正仿宋_GBK"/>
          <w:kern w:val="0"/>
          <w:sz w:val="32"/>
          <w:szCs w:val="32"/>
        </w:rPr>
        <w:t>17</w:t>
      </w:r>
      <w:r>
        <w:rPr>
          <w:rFonts w:hint="eastAsia" w:ascii="方正仿宋_GBK" w:hAnsi="仿宋" w:eastAsia="方正仿宋_GBK" w:cs="方正仿宋_GBK"/>
          <w:kern w:val="0"/>
          <w:sz w:val="32"/>
          <w:szCs w:val="32"/>
        </w:rPr>
        <w:t>日，自治州组织的联合督查。由州地震局牵头，会同州应急、住建等</w:t>
      </w:r>
      <w:r>
        <w:rPr>
          <w:rFonts w:ascii="方正仿宋_GBK" w:hAnsi="仿宋" w:eastAsia="方正仿宋_GBK" w:cs="方正仿宋_GBK"/>
          <w:kern w:val="0"/>
          <w:sz w:val="32"/>
          <w:szCs w:val="32"/>
        </w:rPr>
        <w:t>11</w:t>
      </w:r>
      <w:r>
        <w:rPr>
          <w:rFonts w:hint="eastAsia" w:ascii="方正仿宋_GBK" w:hAnsi="仿宋" w:eastAsia="方正仿宋_GBK" w:cs="方正仿宋_GBK"/>
          <w:kern w:val="0"/>
          <w:sz w:val="32"/>
          <w:szCs w:val="32"/>
        </w:rPr>
        <w:t>个部门单位，按照</w:t>
      </w:r>
      <w:r>
        <w:rPr>
          <w:rFonts w:ascii="方正仿宋_GBK" w:hAnsi="仿宋" w:eastAsia="方正仿宋_GBK" w:cs="方正仿宋_GBK"/>
          <w:kern w:val="0"/>
          <w:sz w:val="32"/>
          <w:szCs w:val="32"/>
        </w:rPr>
        <w:t>2018</w:t>
      </w:r>
      <w:r>
        <w:rPr>
          <w:rFonts w:hint="eastAsia" w:ascii="方正仿宋_GBK" w:hAnsi="仿宋" w:eastAsia="方正仿宋_GBK" w:cs="方正仿宋_GBK"/>
          <w:kern w:val="0"/>
          <w:sz w:val="32"/>
          <w:szCs w:val="32"/>
        </w:rPr>
        <w:t>年工作方案，对库尔勒市、轮台、和静、和硕、焉耆、博湖、尉犁等</w:t>
      </w:r>
      <w:r>
        <w:rPr>
          <w:rFonts w:ascii="方正仿宋_GBK" w:hAnsi="仿宋" w:eastAsia="方正仿宋_GBK" w:cs="方正仿宋_GBK"/>
          <w:kern w:val="0"/>
          <w:sz w:val="32"/>
          <w:szCs w:val="32"/>
        </w:rPr>
        <w:t>7</w:t>
      </w:r>
      <w:r>
        <w:rPr>
          <w:rFonts w:hint="eastAsia" w:ascii="方正仿宋_GBK" w:hAnsi="仿宋" w:eastAsia="方正仿宋_GBK" w:cs="方正仿宋_GBK"/>
          <w:kern w:val="0"/>
          <w:sz w:val="32"/>
          <w:szCs w:val="32"/>
        </w:rPr>
        <w:t>个县市，开展地震应急准备工作督查，对每个县市提出问题清单，同时形成督查工作情况报告，上报州人民政府。州人民政府下发了督查通报，针对具体问题对各县市提出了整改时限和要求。四是</w:t>
      </w:r>
      <w:r>
        <w:rPr>
          <w:rFonts w:ascii="方正仿宋_GBK" w:hAnsi="仿宋" w:eastAsia="方正仿宋_GBK" w:cs="方正仿宋_GBK"/>
          <w:kern w:val="0"/>
          <w:sz w:val="32"/>
          <w:szCs w:val="32"/>
        </w:rPr>
        <w:t>10</w:t>
      </w:r>
      <w:r>
        <w:rPr>
          <w:rFonts w:hint="eastAsia" w:ascii="方正仿宋_GBK" w:hAnsi="仿宋" w:eastAsia="方正仿宋_GBK" w:cs="方正仿宋_GBK"/>
          <w:kern w:val="0"/>
          <w:sz w:val="32"/>
          <w:szCs w:val="32"/>
        </w:rPr>
        <w:t>月</w:t>
      </w:r>
      <w:r>
        <w:rPr>
          <w:rFonts w:ascii="方正仿宋_GBK" w:hAnsi="仿宋" w:eastAsia="方正仿宋_GBK" w:cs="方正仿宋_GBK"/>
          <w:kern w:val="0"/>
          <w:sz w:val="32"/>
          <w:szCs w:val="32"/>
        </w:rPr>
        <w:t>31</w:t>
      </w:r>
      <w:r>
        <w:rPr>
          <w:rFonts w:hint="eastAsia" w:ascii="方正仿宋_GBK" w:hAnsi="仿宋" w:eastAsia="方正仿宋_GBK" w:cs="方正仿宋_GBK"/>
          <w:kern w:val="0"/>
          <w:sz w:val="32"/>
          <w:szCs w:val="32"/>
        </w:rPr>
        <w:t>日～</w:t>
      </w:r>
      <w:r>
        <w:rPr>
          <w:rFonts w:ascii="方正仿宋_GBK" w:hAnsi="仿宋" w:eastAsia="方正仿宋_GBK" w:cs="方正仿宋_GBK"/>
          <w:kern w:val="0"/>
          <w:sz w:val="32"/>
          <w:szCs w:val="32"/>
        </w:rPr>
        <w:t>11</w:t>
      </w:r>
      <w:r>
        <w:rPr>
          <w:rFonts w:hint="eastAsia" w:ascii="方正仿宋_GBK" w:hAnsi="仿宋" w:eastAsia="方正仿宋_GBK" w:cs="方正仿宋_GBK"/>
          <w:kern w:val="0"/>
          <w:sz w:val="32"/>
          <w:szCs w:val="32"/>
        </w:rPr>
        <w:t>月</w:t>
      </w:r>
      <w:r>
        <w:rPr>
          <w:rFonts w:ascii="方正仿宋_GBK" w:hAnsi="仿宋" w:eastAsia="方正仿宋_GBK" w:cs="方正仿宋_GBK"/>
          <w:kern w:val="0"/>
          <w:sz w:val="32"/>
          <w:szCs w:val="32"/>
        </w:rPr>
        <w:t>2</w:t>
      </w:r>
      <w:r>
        <w:rPr>
          <w:rFonts w:hint="eastAsia" w:ascii="方正仿宋_GBK" w:hAnsi="仿宋" w:eastAsia="方正仿宋_GBK" w:cs="方正仿宋_GBK"/>
          <w:kern w:val="0"/>
          <w:sz w:val="32"/>
          <w:szCs w:val="32"/>
        </w:rPr>
        <w:t>日，自治州督查组，对轮台县、和静县、库尔勒市进行督查。根据自治区文件要求，从八个方面进行重点督查，要求做好地震应急防范准备工作。五是</w:t>
      </w:r>
      <w:r>
        <w:rPr>
          <w:rFonts w:ascii="方正仿宋_GBK" w:hAnsi="仿宋" w:eastAsia="方正仿宋_GBK" w:cs="方正仿宋_GBK"/>
          <w:kern w:val="0"/>
          <w:sz w:val="32"/>
          <w:szCs w:val="32"/>
        </w:rPr>
        <w:t>11</w:t>
      </w:r>
      <w:r>
        <w:rPr>
          <w:rFonts w:hint="eastAsia" w:ascii="方正仿宋_GBK" w:hAnsi="仿宋" w:eastAsia="方正仿宋_GBK" w:cs="方正仿宋_GBK"/>
          <w:kern w:val="0"/>
          <w:sz w:val="32"/>
          <w:szCs w:val="32"/>
        </w:rPr>
        <w:t>月</w:t>
      </w:r>
      <w:r>
        <w:rPr>
          <w:rFonts w:ascii="方正仿宋_GBK" w:hAnsi="仿宋" w:eastAsia="方正仿宋_GBK" w:cs="方正仿宋_GBK"/>
          <w:kern w:val="0"/>
          <w:sz w:val="32"/>
          <w:szCs w:val="32"/>
        </w:rPr>
        <w:t>4</w:t>
      </w:r>
      <w:r>
        <w:rPr>
          <w:rFonts w:hint="eastAsia" w:ascii="方正仿宋_GBK" w:hAnsi="仿宋" w:eastAsia="方正仿宋_GBK" w:cs="方正仿宋_GBK"/>
          <w:kern w:val="0"/>
          <w:sz w:val="32"/>
          <w:szCs w:val="32"/>
        </w:rPr>
        <w:t>日～</w:t>
      </w:r>
      <w:r>
        <w:rPr>
          <w:rFonts w:ascii="方正仿宋_GBK" w:hAnsi="仿宋" w:eastAsia="方正仿宋_GBK" w:cs="方正仿宋_GBK"/>
          <w:kern w:val="0"/>
          <w:sz w:val="32"/>
          <w:szCs w:val="32"/>
        </w:rPr>
        <w:t>5</w:t>
      </w:r>
      <w:r>
        <w:rPr>
          <w:rFonts w:hint="eastAsia" w:ascii="方正仿宋_GBK" w:hAnsi="仿宋" w:eastAsia="方正仿宋_GBK" w:cs="方正仿宋_GBK"/>
          <w:kern w:val="0"/>
          <w:sz w:val="32"/>
          <w:szCs w:val="32"/>
        </w:rPr>
        <w:t>日，自治区组成工作组，对我州轮台县、和静县、和硕县、库尔勒市地震防范应急准备工作进行督查。通过督查，为我州做好应对大震巨灾准备工作打牢了坚实基础。</w:t>
      </w:r>
    </w:p>
    <w:p>
      <w:pPr>
        <w:ind w:firstLine="640" w:firstLineChars="200"/>
        <w:rPr>
          <w:rFonts w:ascii="方正仿宋_GBK" w:hAnsi="仿宋" w:eastAsia="方正仿宋_GBK"/>
          <w:kern w:val="0"/>
          <w:sz w:val="32"/>
          <w:szCs w:val="32"/>
        </w:rPr>
      </w:pPr>
      <w:r>
        <w:rPr>
          <w:rFonts w:hint="eastAsia" w:ascii="方正仿宋_GBK" w:hAnsi="仿宋" w:eastAsia="方正仿宋_GBK" w:cs="方正仿宋_GBK"/>
          <w:kern w:val="0"/>
          <w:sz w:val="32"/>
          <w:szCs w:val="32"/>
        </w:rPr>
        <w:t>三是抢抓机遇，促进《防震减灾法》在我州贯彻落实。今年</w:t>
      </w:r>
      <w:r>
        <w:rPr>
          <w:rFonts w:ascii="方正仿宋_GBK" w:hAnsi="仿宋" w:eastAsia="方正仿宋_GBK" w:cs="方正仿宋_GBK"/>
          <w:kern w:val="0"/>
          <w:sz w:val="32"/>
          <w:szCs w:val="32"/>
        </w:rPr>
        <w:t>8</w:t>
      </w:r>
      <w:r>
        <w:rPr>
          <w:rFonts w:hint="eastAsia" w:ascii="方正仿宋_GBK" w:hAnsi="仿宋" w:eastAsia="方正仿宋_GBK" w:cs="方正仿宋_GBK"/>
          <w:kern w:val="0"/>
          <w:sz w:val="32"/>
          <w:szCs w:val="32"/>
        </w:rPr>
        <w:t>月，全国人大常委会组成执法检查组，对新疆贯彻落实《中华人民共和国防震减灾法》情况开展执法检查。</w:t>
      </w:r>
      <w:r>
        <w:rPr>
          <w:rFonts w:ascii="方正仿宋_GBK" w:hAnsi="仿宋" w:eastAsia="方正仿宋_GBK" w:cs="方正仿宋_GBK"/>
          <w:kern w:val="0"/>
          <w:sz w:val="32"/>
          <w:szCs w:val="32"/>
        </w:rPr>
        <w:t>8</w:t>
      </w:r>
      <w:r>
        <w:rPr>
          <w:rFonts w:hint="eastAsia" w:ascii="方正仿宋_GBK" w:hAnsi="仿宋" w:eastAsia="方正仿宋_GBK" w:cs="方正仿宋_GBK"/>
          <w:kern w:val="0"/>
          <w:sz w:val="32"/>
          <w:szCs w:val="32"/>
        </w:rPr>
        <w:t>月初，我局完成自治州贯彻落实《防震减灾法》情况报告，上报州人民政府审核后上报自治区。</w:t>
      </w:r>
      <w:r>
        <w:rPr>
          <w:rFonts w:ascii="方正仿宋_GBK" w:hAnsi="仿宋" w:eastAsia="方正仿宋_GBK" w:cs="方正仿宋_GBK"/>
          <w:kern w:val="0"/>
          <w:sz w:val="32"/>
          <w:szCs w:val="32"/>
        </w:rPr>
        <w:t>9</w:t>
      </w:r>
      <w:r>
        <w:rPr>
          <w:rFonts w:hint="eastAsia" w:ascii="方正仿宋_GBK" w:hAnsi="仿宋" w:eastAsia="方正仿宋_GBK" w:cs="方正仿宋_GBK"/>
          <w:kern w:val="0"/>
          <w:sz w:val="32"/>
          <w:szCs w:val="32"/>
        </w:rPr>
        <w:t>月初，我局完成《自治州贯彻落实﹤防震减灾法﹥进一步加强防震减灾工作整改意见》，经州人民政府审核上报自治区。</w:t>
      </w:r>
      <w:r>
        <w:rPr>
          <w:rFonts w:ascii="方正仿宋_GBK" w:hAnsi="仿宋" w:eastAsia="方正仿宋_GBK" w:cs="方正仿宋_GBK"/>
          <w:kern w:val="0"/>
          <w:sz w:val="32"/>
          <w:szCs w:val="32"/>
        </w:rPr>
        <w:t>9</w:t>
      </w:r>
      <w:r>
        <w:rPr>
          <w:rFonts w:hint="eastAsia" w:ascii="方正仿宋_GBK" w:hAnsi="仿宋" w:eastAsia="方正仿宋_GBK" w:cs="方正仿宋_GBK"/>
          <w:kern w:val="0"/>
          <w:sz w:val="32"/>
          <w:szCs w:val="32"/>
        </w:rPr>
        <w:t>月</w:t>
      </w:r>
      <w:r>
        <w:rPr>
          <w:rFonts w:ascii="方正仿宋_GBK" w:hAnsi="仿宋" w:eastAsia="方正仿宋_GBK" w:cs="方正仿宋_GBK"/>
          <w:kern w:val="0"/>
          <w:sz w:val="32"/>
          <w:szCs w:val="32"/>
        </w:rPr>
        <w:t>9</w:t>
      </w:r>
      <w:r>
        <w:rPr>
          <w:rFonts w:hint="eastAsia" w:ascii="方正仿宋_GBK" w:hAnsi="仿宋" w:eastAsia="方正仿宋_GBK" w:cs="方正仿宋_GBK"/>
          <w:kern w:val="0"/>
          <w:sz w:val="32"/>
          <w:szCs w:val="32"/>
        </w:rPr>
        <w:t>日，自治区召开防震减灾工作电视电话会议。我局完成州防震减灾工作领导小组成员单位贯彻落实自治区会议精神的情况报告，上报州人民政府。</w:t>
      </w:r>
    </w:p>
    <w:p>
      <w:pPr>
        <w:ind w:firstLine="640" w:firstLineChars="200"/>
        <w:rPr>
          <w:rFonts w:ascii="方正仿宋_GBK" w:hAnsi="仿宋" w:eastAsia="方正仿宋_GBK"/>
          <w:kern w:val="0"/>
          <w:sz w:val="32"/>
          <w:szCs w:val="32"/>
        </w:rPr>
      </w:pPr>
      <w:r>
        <w:rPr>
          <w:rFonts w:hint="eastAsia" w:ascii="方正仿宋_GBK" w:hAnsi="仿宋" w:eastAsia="方正仿宋_GBK" w:cs="方正仿宋_GBK"/>
          <w:kern w:val="0"/>
          <w:sz w:val="32"/>
          <w:szCs w:val="32"/>
        </w:rPr>
        <w:t>四是加强地震监测观测工作。一是注重加强对所属台站设施设备检修。坚持定期提取连续、真实、可靠的地震监测数据。二是落实震情跟踪工作。制定和细化震情跟踪方案，对重点危险区加强观测和震情研判。坚持与库尔勒地震台联合进行周会商和月会商，按规定及时处理前兆资料，出现异常后，及时落实并上报自治区地震局。</w:t>
      </w:r>
      <w:r>
        <w:rPr>
          <w:rFonts w:ascii="方正仿宋_GBK" w:hAnsi="仿宋" w:eastAsia="方正仿宋_GBK" w:cs="方正仿宋_GBK"/>
          <w:kern w:val="0"/>
          <w:sz w:val="32"/>
          <w:szCs w:val="32"/>
        </w:rPr>
        <w:t>2018</w:t>
      </w:r>
      <w:r>
        <w:rPr>
          <w:rFonts w:hint="eastAsia" w:ascii="方正仿宋_GBK" w:hAnsi="仿宋" w:eastAsia="方正仿宋_GBK" w:cs="方正仿宋_GBK"/>
          <w:kern w:val="0"/>
          <w:sz w:val="32"/>
          <w:szCs w:val="32"/>
        </w:rPr>
        <w:t>年，全州宏观观测点上报震情灾情短信</w:t>
      </w:r>
      <w:r>
        <w:rPr>
          <w:rFonts w:ascii="方正仿宋_GBK" w:hAnsi="仿宋" w:eastAsia="方正仿宋_GBK" w:cs="方正仿宋_GBK"/>
          <w:kern w:val="0"/>
          <w:sz w:val="32"/>
          <w:szCs w:val="32"/>
        </w:rPr>
        <w:t>11</w:t>
      </w:r>
      <w:r>
        <w:rPr>
          <w:rFonts w:hint="eastAsia" w:ascii="方正仿宋_GBK" w:hAnsi="仿宋" w:eastAsia="方正仿宋_GBK" w:cs="方正仿宋_GBK"/>
          <w:kern w:val="0"/>
          <w:sz w:val="32"/>
          <w:szCs w:val="32"/>
        </w:rPr>
        <w:t>条</w:t>
      </w:r>
      <w:r>
        <w:rPr>
          <w:rFonts w:ascii="方正仿宋_GBK" w:hAnsi="仿宋" w:eastAsia="方正仿宋_GBK" w:cs="方正仿宋_GBK"/>
          <w:kern w:val="0"/>
          <w:sz w:val="32"/>
          <w:szCs w:val="32"/>
        </w:rPr>
        <w:t>,</w:t>
      </w:r>
      <w:r>
        <w:rPr>
          <w:rFonts w:hint="eastAsia" w:ascii="方正仿宋_GBK" w:hAnsi="仿宋" w:eastAsia="方正仿宋_GBK" w:cs="方正仿宋_GBK"/>
          <w:kern w:val="0"/>
          <w:sz w:val="32"/>
          <w:szCs w:val="32"/>
        </w:rPr>
        <w:t>我局上报异常落实报告</w:t>
      </w:r>
      <w:r>
        <w:rPr>
          <w:rFonts w:ascii="方正仿宋_GBK" w:hAnsi="仿宋" w:eastAsia="方正仿宋_GBK" w:cs="方正仿宋_GBK"/>
          <w:kern w:val="0"/>
          <w:sz w:val="32"/>
          <w:szCs w:val="32"/>
        </w:rPr>
        <w:t>2</w:t>
      </w:r>
      <w:r>
        <w:rPr>
          <w:rFonts w:hint="eastAsia" w:ascii="方正仿宋_GBK" w:hAnsi="仿宋" w:eastAsia="方正仿宋_GBK" w:cs="方正仿宋_GBK"/>
          <w:kern w:val="0"/>
          <w:sz w:val="32"/>
          <w:szCs w:val="32"/>
        </w:rPr>
        <w:t>篇。三是及时做好地震信息速报。今年以来，巴州共发生</w:t>
      </w:r>
      <w:r>
        <w:rPr>
          <w:rFonts w:ascii="方正仿宋_GBK" w:hAnsi="仿宋" w:eastAsia="方正仿宋_GBK" w:cs="方正仿宋_GBK"/>
          <w:kern w:val="0"/>
          <w:sz w:val="32"/>
          <w:szCs w:val="32"/>
        </w:rPr>
        <w:t>3</w:t>
      </w:r>
      <w:r>
        <w:rPr>
          <w:rFonts w:hint="eastAsia" w:ascii="方正仿宋_GBK" w:hAnsi="仿宋" w:eastAsia="方正仿宋_GBK" w:cs="方正仿宋_GBK"/>
          <w:kern w:val="0"/>
          <w:sz w:val="32"/>
          <w:szCs w:val="32"/>
        </w:rPr>
        <w:t>级以上地震</w:t>
      </w:r>
      <w:r>
        <w:rPr>
          <w:rFonts w:ascii="方正仿宋_GBK" w:hAnsi="仿宋" w:eastAsia="方正仿宋_GBK" w:cs="方正仿宋_GBK"/>
          <w:kern w:val="0"/>
          <w:sz w:val="32"/>
          <w:szCs w:val="32"/>
        </w:rPr>
        <w:t xml:space="preserve"> 16</w:t>
      </w:r>
      <w:r>
        <w:rPr>
          <w:rFonts w:hint="eastAsia" w:ascii="方正仿宋_GBK" w:hAnsi="仿宋" w:eastAsia="方正仿宋_GBK" w:cs="方正仿宋_GBK"/>
          <w:kern w:val="0"/>
          <w:sz w:val="32"/>
          <w:szCs w:val="32"/>
        </w:rPr>
        <w:t>次，上报震情简报</w:t>
      </w:r>
      <w:r>
        <w:rPr>
          <w:rFonts w:ascii="方正仿宋_GBK" w:hAnsi="仿宋" w:eastAsia="方正仿宋_GBK" w:cs="方正仿宋_GBK"/>
          <w:kern w:val="0"/>
          <w:sz w:val="32"/>
          <w:szCs w:val="32"/>
        </w:rPr>
        <w:t>16</w:t>
      </w:r>
      <w:r>
        <w:rPr>
          <w:rFonts w:hint="eastAsia" w:ascii="方正仿宋_GBK" w:hAnsi="仿宋" w:eastAsia="方正仿宋_GBK" w:cs="方正仿宋_GBK"/>
          <w:kern w:val="0"/>
          <w:sz w:val="32"/>
          <w:szCs w:val="32"/>
        </w:rPr>
        <w:t>篇。</w:t>
      </w:r>
    </w:p>
    <w:p>
      <w:pPr>
        <w:ind w:firstLine="640" w:firstLineChars="200"/>
        <w:rPr>
          <w:rFonts w:ascii="方正仿宋_GBK" w:hAnsi="仿宋" w:eastAsia="方正仿宋_GBK"/>
          <w:kern w:val="0"/>
          <w:sz w:val="32"/>
          <w:szCs w:val="32"/>
        </w:rPr>
      </w:pPr>
      <w:r>
        <w:rPr>
          <w:rFonts w:hint="eastAsia" w:ascii="方正仿宋_GBK" w:hAnsi="仿宋" w:eastAsia="方正仿宋_GBK" w:cs="方正仿宋_GBK"/>
          <w:kern w:val="0"/>
          <w:sz w:val="32"/>
          <w:szCs w:val="32"/>
        </w:rPr>
        <w:t>五是配合做好国家地震烈度速报和预警工程建设。国家地震烈度速报与预警工程是我国地震预警体系建设的重要组成部分。该工程将在全国建设包括新疆天山中部地震预警区在内的共四个重点地震预警区。全疆共有</w:t>
      </w:r>
      <w:r>
        <w:rPr>
          <w:rFonts w:ascii="方正仿宋_GBK" w:hAnsi="仿宋" w:eastAsia="方正仿宋_GBK" w:cs="方正仿宋_GBK"/>
          <w:kern w:val="0"/>
          <w:sz w:val="32"/>
          <w:szCs w:val="32"/>
        </w:rPr>
        <w:t>283</w:t>
      </w:r>
      <w:r>
        <w:rPr>
          <w:rFonts w:hint="eastAsia" w:ascii="方正仿宋_GBK" w:hAnsi="仿宋" w:eastAsia="方正仿宋_GBK" w:cs="方正仿宋_GBK"/>
          <w:kern w:val="0"/>
          <w:sz w:val="32"/>
          <w:szCs w:val="32"/>
        </w:rPr>
        <w:t>个基站建设，其中，涉及我州共</w:t>
      </w:r>
      <w:r>
        <w:rPr>
          <w:rFonts w:ascii="方正仿宋_GBK" w:hAnsi="仿宋" w:eastAsia="方正仿宋_GBK" w:cs="方正仿宋_GBK"/>
          <w:kern w:val="0"/>
          <w:sz w:val="32"/>
          <w:szCs w:val="32"/>
        </w:rPr>
        <w:t>46</w:t>
      </w:r>
      <w:r>
        <w:rPr>
          <w:rFonts w:hint="eastAsia" w:ascii="方正仿宋_GBK" w:hAnsi="仿宋" w:eastAsia="方正仿宋_GBK" w:cs="方正仿宋_GBK"/>
          <w:kern w:val="0"/>
          <w:sz w:val="32"/>
          <w:szCs w:val="32"/>
        </w:rPr>
        <w:t>个基站，其中基准站</w:t>
      </w:r>
      <w:r>
        <w:rPr>
          <w:rFonts w:ascii="方正仿宋_GBK" w:hAnsi="仿宋" w:eastAsia="方正仿宋_GBK" w:cs="方正仿宋_GBK"/>
          <w:kern w:val="0"/>
          <w:sz w:val="32"/>
          <w:szCs w:val="32"/>
        </w:rPr>
        <w:t>25</w:t>
      </w:r>
      <w:r>
        <w:rPr>
          <w:rFonts w:hint="eastAsia" w:ascii="方正仿宋_GBK" w:hAnsi="仿宋" w:eastAsia="方正仿宋_GBK" w:cs="方正仿宋_GBK"/>
          <w:kern w:val="0"/>
          <w:sz w:val="32"/>
          <w:szCs w:val="32"/>
        </w:rPr>
        <w:t>个、基本站</w:t>
      </w:r>
      <w:r>
        <w:rPr>
          <w:rFonts w:ascii="方正仿宋_GBK" w:hAnsi="仿宋" w:eastAsia="方正仿宋_GBK" w:cs="方正仿宋_GBK"/>
          <w:kern w:val="0"/>
          <w:sz w:val="32"/>
          <w:szCs w:val="32"/>
        </w:rPr>
        <w:t>21</w:t>
      </w:r>
      <w:r>
        <w:rPr>
          <w:rFonts w:hint="eastAsia" w:ascii="方正仿宋_GBK" w:hAnsi="仿宋" w:eastAsia="方正仿宋_GBK" w:cs="方正仿宋_GBK"/>
          <w:kern w:val="0"/>
          <w:sz w:val="32"/>
          <w:szCs w:val="32"/>
        </w:rPr>
        <w:t>个。目前，该项目在我州已协调完成复查确认及大部分基本站用地协议工作。</w:t>
      </w:r>
    </w:p>
    <w:p>
      <w:pPr>
        <w:spacing w:line="540" w:lineRule="exact"/>
        <w:ind w:firstLine="640"/>
        <w:rPr>
          <w:rFonts w:ascii="方正仿宋_GBK" w:eastAsia="方正仿宋_GBK"/>
          <w:spacing w:val="-4"/>
          <w:sz w:val="32"/>
          <w:szCs w:val="32"/>
        </w:rPr>
      </w:pPr>
    </w:p>
    <w:p>
      <w:pPr>
        <w:spacing w:line="540" w:lineRule="exact"/>
        <w:ind w:firstLine="640"/>
        <w:rPr>
          <w:rStyle w:val="19"/>
          <w:rFonts w:ascii="黑体" w:hAnsi="黑体" w:eastAsia="黑体"/>
          <w:b w:val="0"/>
          <w:bCs w:val="0"/>
          <w:spacing w:val="-4"/>
          <w:sz w:val="32"/>
          <w:szCs w:val="32"/>
        </w:rPr>
      </w:pPr>
      <w:r>
        <w:rPr>
          <w:rStyle w:val="19"/>
          <w:rFonts w:hint="eastAsia" w:ascii="黑体" w:hAnsi="黑体" w:eastAsia="黑体" w:cs="黑体"/>
          <w:b w:val="0"/>
          <w:bCs w:val="0"/>
          <w:spacing w:val="-4"/>
          <w:sz w:val="32"/>
          <w:szCs w:val="32"/>
        </w:rPr>
        <w:t>七、附表</w:t>
      </w:r>
    </w:p>
    <w:p>
      <w:pPr>
        <w:spacing w:line="540" w:lineRule="exact"/>
        <w:ind w:firstLine="567"/>
        <w:rPr>
          <w:rStyle w:val="19"/>
          <w:rFonts w:ascii="仿宋" w:hAnsi="仿宋" w:eastAsia="仿宋"/>
          <w:b w:val="0"/>
          <w:bCs w:val="0"/>
          <w:spacing w:val="-4"/>
          <w:sz w:val="32"/>
          <w:szCs w:val="32"/>
        </w:rPr>
      </w:pPr>
    </w:p>
    <w:p>
      <w:pPr>
        <w:spacing w:line="540" w:lineRule="exact"/>
        <w:ind w:firstLine="567"/>
        <w:rPr>
          <w:rStyle w:val="19"/>
          <w:rFonts w:ascii="仿宋" w:hAnsi="仿宋" w:eastAsia="仿宋"/>
          <w:b w:val="0"/>
          <w:bCs w:val="0"/>
          <w:spacing w:val="-4"/>
          <w:sz w:val="32"/>
          <w:szCs w:val="32"/>
        </w:rPr>
      </w:pPr>
    </w:p>
    <w:p>
      <w:pPr>
        <w:spacing w:line="540" w:lineRule="exact"/>
        <w:ind w:firstLine="567"/>
        <w:rPr>
          <w:rStyle w:val="19"/>
          <w:rFonts w:ascii="仿宋" w:hAnsi="仿宋" w:eastAsia="仿宋"/>
          <w:b w:val="0"/>
          <w:bCs w:val="0"/>
          <w:spacing w:val="-4"/>
          <w:sz w:val="32"/>
          <w:szCs w:val="32"/>
        </w:rPr>
      </w:pPr>
    </w:p>
    <w:p>
      <w:pPr>
        <w:spacing w:line="540" w:lineRule="exact"/>
        <w:ind w:firstLine="567"/>
        <w:rPr>
          <w:rStyle w:val="19"/>
          <w:rFonts w:ascii="仿宋" w:hAnsi="仿宋" w:eastAsia="仿宋"/>
          <w:b w:val="0"/>
          <w:bCs w:val="0"/>
          <w:spacing w:val="-4"/>
          <w:sz w:val="32"/>
          <w:szCs w:val="32"/>
        </w:rPr>
      </w:pPr>
    </w:p>
    <w:p>
      <w:pPr>
        <w:spacing w:line="540" w:lineRule="exact"/>
        <w:ind w:firstLine="567"/>
        <w:rPr>
          <w:rStyle w:val="19"/>
          <w:rFonts w:ascii="仿宋" w:hAnsi="仿宋" w:eastAsia="仿宋"/>
          <w:b w:val="0"/>
          <w:bCs w:val="0"/>
          <w:spacing w:val="-4"/>
          <w:sz w:val="32"/>
          <w:szCs w:val="32"/>
        </w:rPr>
      </w:pPr>
    </w:p>
    <w:tbl>
      <w:tblPr>
        <w:tblStyle w:val="17"/>
        <w:tblW w:w="9020" w:type="dxa"/>
        <w:tblInd w:w="-106" w:type="dxa"/>
        <w:tblLayout w:type="autofit"/>
        <w:tblCellMar>
          <w:top w:w="0" w:type="dxa"/>
          <w:left w:w="108" w:type="dxa"/>
          <w:bottom w:w="0" w:type="dxa"/>
          <w:right w:w="108" w:type="dxa"/>
        </w:tblCellMar>
      </w:tblPr>
      <w:tblGrid>
        <w:gridCol w:w="720"/>
        <w:gridCol w:w="1140"/>
        <w:gridCol w:w="1360"/>
        <w:gridCol w:w="1080"/>
        <w:gridCol w:w="880"/>
        <w:gridCol w:w="2060"/>
        <w:gridCol w:w="1780"/>
      </w:tblGrid>
      <w:tr>
        <w:tblPrEx>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vAlign w:val="center"/>
          </w:tcPr>
          <w:p>
            <w:pPr>
              <w:widowControl/>
              <w:jc w:val="center"/>
              <w:rPr>
                <w:rFonts w:ascii="宋体"/>
                <w:b/>
                <w:bCs/>
                <w:kern w:val="0"/>
                <w:sz w:val="32"/>
                <w:szCs w:val="32"/>
              </w:rPr>
            </w:pPr>
            <w:r>
              <w:rPr>
                <w:rFonts w:hint="eastAsia" w:ascii="宋体" w:hAnsi="宋体" w:cs="宋体"/>
                <w:b/>
                <w:bCs/>
                <w:kern w:val="0"/>
                <w:sz w:val="32"/>
                <w:szCs w:val="32"/>
                <w:u w:val="single"/>
              </w:rPr>
              <w:t>巴州地区</w:t>
            </w:r>
            <w:r>
              <w:rPr>
                <w:rFonts w:hint="eastAsia" w:ascii="宋体" w:hAnsi="宋体" w:cs="宋体"/>
                <w:b/>
                <w:bCs/>
                <w:kern w:val="0"/>
                <w:sz w:val="32"/>
                <w:szCs w:val="32"/>
              </w:rPr>
              <w:t>财政项目支出绩效自评表</w:t>
            </w:r>
          </w:p>
        </w:tc>
      </w:tr>
      <w:tr>
        <w:tblPrEx>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vAlign w:val="center"/>
          </w:tcPr>
          <w:p>
            <w:pPr>
              <w:widowControl/>
              <w:jc w:val="center"/>
              <w:rPr>
                <w:rFonts w:ascii="宋体"/>
                <w:kern w:val="0"/>
                <w:sz w:val="24"/>
                <w:szCs w:val="24"/>
              </w:rPr>
            </w:pPr>
            <w:r>
              <w:rPr>
                <w:rFonts w:hint="eastAsia" w:ascii="宋体" w:hAnsi="宋体" w:cs="宋体"/>
                <w:kern w:val="0"/>
                <w:sz w:val="24"/>
                <w:szCs w:val="24"/>
              </w:rPr>
              <w:t>（</w:t>
            </w:r>
            <w:r>
              <w:rPr>
                <w:rFonts w:ascii="宋体" w:hAnsi="宋体" w:cs="宋体"/>
                <w:kern w:val="0"/>
                <w:sz w:val="24"/>
                <w:szCs w:val="24"/>
              </w:rPr>
              <w:t>2018</w:t>
            </w:r>
            <w:r>
              <w:rPr>
                <w:rFonts w:hint="eastAsia" w:ascii="宋体" w:hAnsi="宋体" w:cs="宋体"/>
                <w:kern w:val="0"/>
                <w:sz w:val="24"/>
                <w:szCs w:val="24"/>
              </w:rPr>
              <w:t>年度）</w:t>
            </w:r>
          </w:p>
        </w:tc>
      </w:tr>
      <w:tr>
        <w:tblPrEx>
          <w:tblCellMar>
            <w:top w:w="0" w:type="dxa"/>
            <w:left w:w="108" w:type="dxa"/>
            <w:bottom w:w="0" w:type="dxa"/>
            <w:right w:w="108" w:type="dxa"/>
          </w:tblCellMar>
        </w:tblPrEx>
        <w:trPr>
          <w:trHeight w:val="285" w:hRule="atLeast"/>
        </w:trPr>
        <w:tc>
          <w:tcPr>
            <w:tcW w:w="720" w:type="dxa"/>
            <w:tcBorders>
              <w:top w:val="nil"/>
              <w:left w:val="nil"/>
              <w:bottom w:val="nil"/>
              <w:right w:val="nil"/>
            </w:tcBorders>
            <w:vAlign w:val="center"/>
          </w:tcPr>
          <w:p>
            <w:pPr>
              <w:widowControl/>
              <w:jc w:val="center"/>
              <w:rPr>
                <w:rFonts w:ascii="宋体"/>
                <w:kern w:val="0"/>
                <w:sz w:val="24"/>
                <w:szCs w:val="24"/>
              </w:rPr>
            </w:pPr>
          </w:p>
        </w:tc>
        <w:tc>
          <w:tcPr>
            <w:tcW w:w="1140" w:type="dxa"/>
            <w:tcBorders>
              <w:top w:val="nil"/>
              <w:left w:val="nil"/>
              <w:bottom w:val="nil"/>
              <w:right w:val="nil"/>
            </w:tcBorders>
            <w:vAlign w:val="center"/>
          </w:tcPr>
          <w:p>
            <w:pPr>
              <w:widowControl/>
              <w:jc w:val="center"/>
              <w:rPr>
                <w:rFonts w:ascii="宋体"/>
                <w:kern w:val="0"/>
                <w:sz w:val="24"/>
                <w:szCs w:val="24"/>
              </w:rPr>
            </w:pPr>
          </w:p>
        </w:tc>
        <w:tc>
          <w:tcPr>
            <w:tcW w:w="1360" w:type="dxa"/>
            <w:tcBorders>
              <w:top w:val="nil"/>
              <w:left w:val="nil"/>
              <w:bottom w:val="nil"/>
              <w:right w:val="nil"/>
            </w:tcBorders>
            <w:vAlign w:val="center"/>
          </w:tcPr>
          <w:p>
            <w:pPr>
              <w:widowControl/>
              <w:jc w:val="center"/>
              <w:rPr>
                <w:rFonts w:ascii="宋体"/>
                <w:kern w:val="0"/>
                <w:sz w:val="24"/>
                <w:szCs w:val="24"/>
              </w:rPr>
            </w:pPr>
          </w:p>
        </w:tc>
        <w:tc>
          <w:tcPr>
            <w:tcW w:w="1080" w:type="dxa"/>
            <w:tcBorders>
              <w:top w:val="nil"/>
              <w:left w:val="nil"/>
              <w:bottom w:val="nil"/>
              <w:right w:val="nil"/>
            </w:tcBorders>
            <w:vAlign w:val="center"/>
          </w:tcPr>
          <w:p>
            <w:pPr>
              <w:widowControl/>
              <w:jc w:val="center"/>
              <w:rPr>
                <w:rFonts w:ascii="宋体"/>
                <w:kern w:val="0"/>
                <w:sz w:val="24"/>
                <w:szCs w:val="24"/>
              </w:rPr>
            </w:pPr>
          </w:p>
        </w:tc>
        <w:tc>
          <w:tcPr>
            <w:tcW w:w="880" w:type="dxa"/>
            <w:tcBorders>
              <w:top w:val="nil"/>
              <w:left w:val="nil"/>
              <w:bottom w:val="nil"/>
              <w:right w:val="nil"/>
            </w:tcBorders>
            <w:vAlign w:val="center"/>
          </w:tcPr>
          <w:p>
            <w:pPr>
              <w:widowControl/>
              <w:jc w:val="center"/>
              <w:rPr>
                <w:rFonts w:ascii="宋体"/>
                <w:kern w:val="0"/>
                <w:sz w:val="24"/>
                <w:szCs w:val="24"/>
              </w:rPr>
            </w:pPr>
          </w:p>
        </w:tc>
        <w:tc>
          <w:tcPr>
            <w:tcW w:w="2060" w:type="dxa"/>
            <w:tcBorders>
              <w:top w:val="nil"/>
              <w:left w:val="nil"/>
              <w:bottom w:val="nil"/>
              <w:right w:val="nil"/>
            </w:tcBorders>
            <w:vAlign w:val="center"/>
          </w:tcPr>
          <w:p>
            <w:pPr>
              <w:widowControl/>
              <w:jc w:val="center"/>
              <w:rPr>
                <w:rFonts w:ascii="宋体"/>
                <w:kern w:val="0"/>
                <w:sz w:val="24"/>
                <w:szCs w:val="24"/>
              </w:rPr>
            </w:pPr>
          </w:p>
        </w:tc>
        <w:tc>
          <w:tcPr>
            <w:tcW w:w="1780" w:type="dxa"/>
            <w:tcBorders>
              <w:top w:val="nil"/>
              <w:left w:val="nil"/>
              <w:bottom w:val="nil"/>
              <w:right w:val="nil"/>
            </w:tcBorders>
            <w:vAlign w:val="center"/>
          </w:tcPr>
          <w:p>
            <w:pPr>
              <w:widowControl/>
              <w:jc w:val="center"/>
              <w:rPr>
                <w:rFonts w:ascii="宋体"/>
                <w:kern w:val="0"/>
                <w:sz w:val="24"/>
                <w:szCs w:val="24"/>
              </w:rPr>
            </w:pPr>
          </w:p>
        </w:tc>
      </w:tr>
      <w:tr>
        <w:tblPrEx>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项目名称</w:t>
            </w:r>
          </w:p>
        </w:tc>
        <w:tc>
          <w:tcPr>
            <w:tcW w:w="5800" w:type="dxa"/>
            <w:gridSpan w:val="4"/>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地震监测预报预测　</w:t>
            </w:r>
          </w:p>
        </w:tc>
      </w:tr>
      <w:tr>
        <w:tblPrEx>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巴州地震局　</w:t>
            </w:r>
          </w:p>
        </w:tc>
      </w:tr>
      <w:tr>
        <w:tblPrEx>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预算</w:t>
            </w:r>
            <w:r>
              <w:rPr>
                <w:rFonts w:ascii="宋体"/>
                <w:kern w:val="0"/>
                <w:sz w:val="20"/>
                <w:szCs w:val="20"/>
              </w:rPr>
              <w:br w:type="textWrapping"/>
            </w:r>
            <w:r>
              <w:rPr>
                <w:rFonts w:hint="eastAsia" w:ascii="宋体" w:hAnsi="宋体" w:cs="宋体"/>
                <w:kern w:val="0"/>
                <w:sz w:val="20"/>
                <w:szCs w:val="20"/>
              </w:rPr>
              <w:t>执行</w:t>
            </w:r>
            <w:r>
              <w:rPr>
                <w:rFonts w:ascii="宋体"/>
                <w:kern w:val="0"/>
                <w:sz w:val="20"/>
                <w:szCs w:val="20"/>
              </w:rPr>
              <w:br w:type="textWrapping"/>
            </w:r>
            <w:r>
              <w:rPr>
                <w:rFonts w:hint="eastAsia" w:ascii="宋体" w:hAnsi="宋体" w:cs="宋体"/>
                <w:kern w:val="0"/>
                <w:sz w:val="20"/>
                <w:szCs w:val="20"/>
              </w:rPr>
              <w:t>情况</w:t>
            </w:r>
            <w:r>
              <w:rPr>
                <w:rFonts w:ascii="宋体"/>
                <w:kern w:val="0"/>
                <w:sz w:val="20"/>
                <w:szCs w:val="20"/>
              </w:rPr>
              <w:br w:type="textWrapping"/>
            </w:r>
            <w:r>
              <w:rPr>
                <w:rFonts w:hint="eastAsia" w:ascii="宋体" w:hAnsi="宋体" w:cs="宋体"/>
                <w:kern w:val="0"/>
                <w:sz w:val="20"/>
                <w:szCs w:val="20"/>
              </w:rPr>
              <w:t>（万元）</w:t>
            </w:r>
          </w:p>
        </w:tc>
        <w:tc>
          <w:tcPr>
            <w:tcW w:w="250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22</w:t>
            </w:r>
            <w:r>
              <w:rPr>
                <w:rFonts w:hint="eastAsia" w:ascii="宋体" w:hAnsi="宋体" w:cs="宋体"/>
                <w:kern w:val="0"/>
                <w:sz w:val="20"/>
                <w:szCs w:val="20"/>
              </w:rPr>
              <w:t>万元</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780" w:type="dxa"/>
            <w:tcBorders>
              <w:top w:val="nil"/>
              <w:left w:val="nil"/>
              <w:bottom w:val="single" w:color="auto" w:sz="4" w:space="0"/>
              <w:right w:val="single" w:color="auto" w:sz="4" w:space="0"/>
            </w:tcBorders>
            <w:vAlign w:val="center"/>
          </w:tcPr>
          <w:p>
            <w:pPr>
              <w:widowControl/>
              <w:jc w:val="right"/>
              <w:rPr>
                <w:rFonts w:ascii="宋体"/>
                <w:kern w:val="0"/>
                <w:sz w:val="20"/>
                <w:szCs w:val="20"/>
              </w:rPr>
            </w:pPr>
            <w:r>
              <w:rPr>
                <w:rFonts w:ascii="宋体" w:hAnsi="宋体" w:cs="宋体"/>
                <w:kern w:val="0"/>
                <w:sz w:val="20"/>
                <w:szCs w:val="20"/>
              </w:rPr>
              <w:t>27.4</w:t>
            </w:r>
            <w:r>
              <w:rPr>
                <w:rFonts w:hint="eastAsia" w:ascii="宋体" w:hAnsi="宋体" w:cs="宋体"/>
                <w:kern w:val="0"/>
                <w:sz w:val="20"/>
                <w:szCs w:val="20"/>
              </w:rPr>
              <w:t>万元　</w:t>
            </w:r>
          </w:p>
        </w:tc>
      </w:tr>
      <w:tr>
        <w:tblPrEx>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ascii="宋体" w:hAnsi="宋体" w:cs="宋体"/>
                <w:kern w:val="0"/>
                <w:sz w:val="20"/>
                <w:szCs w:val="20"/>
              </w:rPr>
              <w:t>22</w:t>
            </w:r>
            <w:r>
              <w:rPr>
                <w:rFonts w:hint="eastAsia" w:ascii="宋体" w:hAnsi="宋体" w:cs="宋体"/>
                <w:kern w:val="0"/>
                <w:sz w:val="20"/>
                <w:szCs w:val="20"/>
              </w:rPr>
              <w:t>万元</w:t>
            </w:r>
          </w:p>
        </w:tc>
        <w:tc>
          <w:tcPr>
            <w:tcW w:w="2060" w:type="dxa"/>
            <w:tcBorders>
              <w:top w:val="nil"/>
              <w:left w:val="nil"/>
              <w:bottom w:val="nil"/>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其中：财政拨款</w:t>
            </w:r>
          </w:p>
        </w:tc>
        <w:tc>
          <w:tcPr>
            <w:tcW w:w="1780" w:type="dxa"/>
            <w:tcBorders>
              <w:top w:val="nil"/>
              <w:left w:val="nil"/>
              <w:bottom w:val="single" w:color="auto" w:sz="4" w:space="0"/>
              <w:right w:val="single" w:color="auto" w:sz="4" w:space="0"/>
            </w:tcBorders>
            <w:vAlign w:val="center"/>
          </w:tcPr>
          <w:p>
            <w:pPr>
              <w:widowControl/>
              <w:jc w:val="right"/>
              <w:rPr>
                <w:rFonts w:ascii="宋体"/>
                <w:kern w:val="0"/>
                <w:sz w:val="20"/>
                <w:szCs w:val="20"/>
              </w:rPr>
            </w:pPr>
            <w:r>
              <w:rPr>
                <w:rFonts w:ascii="宋体" w:hAnsi="宋体" w:cs="宋体"/>
                <w:kern w:val="0"/>
                <w:sz w:val="20"/>
                <w:szCs w:val="20"/>
              </w:rPr>
              <w:t>27.4</w:t>
            </w:r>
            <w:r>
              <w:rPr>
                <w:rFonts w:hint="eastAsia" w:ascii="宋体" w:hAnsi="宋体" w:cs="宋体"/>
                <w:kern w:val="0"/>
                <w:sz w:val="20"/>
                <w:szCs w:val="20"/>
              </w:rPr>
              <w:t>万元　</w:t>
            </w:r>
          </w:p>
        </w:tc>
      </w:tr>
      <w:tr>
        <w:tblPrEx>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500" w:type="dxa"/>
            <w:gridSpan w:val="2"/>
            <w:tcBorders>
              <w:top w:val="single" w:color="auto" w:sz="4" w:space="0"/>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2060" w:type="dxa"/>
            <w:tcBorders>
              <w:top w:val="single" w:color="auto" w:sz="4" w:space="0"/>
              <w:left w:val="nil"/>
              <w:bottom w:val="nil"/>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其他资金</w:t>
            </w:r>
          </w:p>
        </w:tc>
        <w:tc>
          <w:tcPr>
            <w:tcW w:w="1780" w:type="dxa"/>
            <w:tcBorders>
              <w:top w:val="nil"/>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目标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4460" w:type="dxa"/>
            <w:gridSpan w:val="4"/>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预期目标</w:t>
            </w:r>
          </w:p>
        </w:tc>
        <w:tc>
          <w:tcPr>
            <w:tcW w:w="3840"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实际完成目标</w:t>
            </w:r>
          </w:p>
        </w:tc>
      </w:tr>
      <w:tr>
        <w:tblPrEx>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4460" w:type="dxa"/>
            <w:gridSpan w:val="4"/>
            <w:tcBorders>
              <w:top w:val="single" w:color="auto" w:sz="4" w:space="0"/>
              <w:left w:val="nil"/>
              <w:bottom w:val="single" w:color="auto" w:sz="4" w:space="0"/>
              <w:right w:val="single" w:color="000000" w:sz="4" w:space="0"/>
            </w:tcBorders>
          </w:tcPr>
          <w:p>
            <w:pPr>
              <w:widowControl/>
              <w:jc w:val="left"/>
              <w:rPr>
                <w:rFonts w:ascii="宋体"/>
                <w:kern w:val="0"/>
                <w:sz w:val="20"/>
                <w:szCs w:val="20"/>
              </w:rPr>
            </w:pPr>
            <w:r>
              <w:rPr>
                <w:rFonts w:hint="eastAsia" w:ascii="宋体" w:hAnsi="宋体" w:cs="宋体"/>
                <w:kern w:val="0"/>
                <w:sz w:val="20"/>
                <w:szCs w:val="20"/>
              </w:rPr>
              <w:t>　做好巴州区域内地震监测相关工作</w:t>
            </w:r>
          </w:p>
        </w:tc>
        <w:tc>
          <w:tcPr>
            <w:tcW w:w="3840" w:type="dxa"/>
            <w:gridSpan w:val="2"/>
            <w:tcBorders>
              <w:top w:val="single" w:color="auto" w:sz="4" w:space="0"/>
              <w:left w:val="nil"/>
              <w:bottom w:val="single" w:color="auto" w:sz="4" w:space="0"/>
              <w:right w:val="single" w:color="000000" w:sz="4" w:space="0"/>
            </w:tcBorders>
          </w:tcPr>
          <w:p>
            <w:pPr>
              <w:widowControl/>
              <w:jc w:val="left"/>
              <w:rPr>
                <w:rFonts w:ascii="宋体"/>
                <w:kern w:val="0"/>
                <w:sz w:val="20"/>
                <w:szCs w:val="20"/>
              </w:rPr>
            </w:pPr>
            <w:r>
              <w:rPr>
                <w:rFonts w:hint="eastAsia" w:ascii="宋体" w:cs="宋体"/>
                <w:kern w:val="0"/>
                <w:sz w:val="20"/>
                <w:szCs w:val="20"/>
              </w:rPr>
              <w:t>做好巴州区域内地震监测相关工作</w:t>
            </w:r>
          </w:p>
        </w:tc>
      </w:tr>
      <w:tr>
        <w:tblPrEx>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绩效</w:t>
            </w:r>
            <w:r>
              <w:rPr>
                <w:rFonts w:ascii="宋体"/>
                <w:kern w:val="0"/>
                <w:sz w:val="20"/>
                <w:szCs w:val="20"/>
              </w:rPr>
              <w:br w:type="textWrapping"/>
            </w:r>
            <w:r>
              <w:rPr>
                <w:rFonts w:hint="eastAsia" w:ascii="宋体" w:hAnsi="宋体" w:cs="宋体"/>
                <w:kern w:val="0"/>
                <w:sz w:val="20"/>
                <w:szCs w:val="20"/>
              </w:rPr>
              <w:t>指标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1140" w:type="dxa"/>
            <w:tcBorders>
              <w:top w:val="nil"/>
              <w:left w:val="nil"/>
              <w:bottom w:val="nil"/>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一级指标</w:t>
            </w:r>
          </w:p>
        </w:tc>
        <w:tc>
          <w:tcPr>
            <w:tcW w:w="13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二级指标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三级指标</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预期指标值（包含数字及文字描述）</w:t>
            </w:r>
          </w:p>
        </w:tc>
        <w:tc>
          <w:tcPr>
            <w:tcW w:w="178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实际完成指标值（包含数字及文字描述）</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数量指标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地震监测台站运维</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对州域内</w:t>
            </w:r>
            <w:r>
              <w:rPr>
                <w:rFonts w:ascii="宋体" w:hAnsi="宋体" w:cs="宋体"/>
                <w:kern w:val="0"/>
                <w:sz w:val="20"/>
                <w:szCs w:val="20"/>
              </w:rPr>
              <w:t>6</w:t>
            </w:r>
            <w:r>
              <w:rPr>
                <w:rFonts w:hint="eastAsia" w:ascii="宋体" w:hAnsi="宋体" w:cs="宋体"/>
                <w:kern w:val="0"/>
                <w:sz w:val="20"/>
                <w:szCs w:val="20"/>
              </w:rPr>
              <w:t>个地震监测台站的运行、管理、维护，保证数据真实、连续、可靠</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防震减灾督导检查</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全年对八县一市地震监测工作、应急准备工作进行共计</w:t>
            </w:r>
            <w:r>
              <w:rPr>
                <w:rFonts w:ascii="宋体" w:hAnsi="宋体" w:cs="宋体"/>
                <w:kern w:val="0"/>
                <w:sz w:val="20"/>
                <w:szCs w:val="20"/>
              </w:rPr>
              <w:t>5</w:t>
            </w:r>
            <w:r>
              <w:rPr>
                <w:rFonts w:hint="eastAsia" w:ascii="宋体" w:hAnsi="宋体" w:cs="宋体"/>
                <w:kern w:val="0"/>
                <w:sz w:val="20"/>
                <w:szCs w:val="20"/>
              </w:rPr>
              <w:t>次的督导检查</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指标</w:t>
            </w:r>
            <w:r>
              <w:rPr>
                <w:rFonts w:ascii="宋体" w:hAnsi="宋体" w:cs="宋体"/>
                <w:kern w:val="0"/>
                <w:sz w:val="20"/>
                <w:szCs w:val="20"/>
              </w:rPr>
              <w:t>3</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年度地震会议、培训</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对八县一市地震分管领导、负责人、工作人员、宏观观测员进行</w:t>
            </w:r>
            <w:r>
              <w:rPr>
                <w:rFonts w:ascii="宋体" w:hAnsi="宋体" w:cs="宋体"/>
                <w:kern w:val="0"/>
                <w:sz w:val="20"/>
                <w:szCs w:val="20"/>
              </w:rPr>
              <w:t>1-2</w:t>
            </w:r>
            <w:r>
              <w:rPr>
                <w:rFonts w:hint="eastAsia" w:ascii="宋体" w:hAnsi="宋体" w:cs="宋体"/>
                <w:kern w:val="0"/>
                <w:sz w:val="20"/>
                <w:szCs w:val="20"/>
              </w:rPr>
              <w:t>次集中培训（以会代训）</w:t>
            </w:r>
          </w:p>
        </w:tc>
      </w:tr>
      <w:tr>
        <w:tblPrEx>
          <w:tblCellMar>
            <w:top w:w="0" w:type="dxa"/>
            <w:left w:w="108" w:type="dxa"/>
            <w:bottom w:w="0" w:type="dxa"/>
            <w:right w:w="108" w:type="dxa"/>
          </w:tblCellMar>
        </w:tblPrEx>
        <w:trPr>
          <w:trHeight w:val="191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质量指标</w:t>
            </w:r>
          </w:p>
        </w:tc>
        <w:tc>
          <w:tcPr>
            <w:tcW w:w="1960" w:type="dxa"/>
            <w:gridSpan w:val="2"/>
            <w:tcBorders>
              <w:top w:val="single" w:color="auto" w:sz="4" w:space="0"/>
              <w:left w:val="nil"/>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与上级地震监测工作要求相一致</w:t>
            </w:r>
          </w:p>
          <w:p>
            <w:pPr>
              <w:widowControl/>
              <w:jc w:val="left"/>
              <w:rPr>
                <w:rFonts w:ascii="宋体"/>
                <w:kern w:val="0"/>
                <w:sz w:val="20"/>
                <w:szCs w:val="20"/>
              </w:rPr>
            </w:pPr>
            <w:r>
              <w:rPr>
                <w:rFonts w:hint="eastAsia" w:ascii="宋体" w:hAnsi="宋体" w:cs="宋体"/>
                <w:kern w:val="0"/>
                <w:sz w:val="20"/>
                <w:szCs w:val="20"/>
              </w:rPr>
              <w:t>　</w:t>
            </w:r>
          </w:p>
          <w:p>
            <w:pPr>
              <w:jc w:val="left"/>
              <w:rPr>
                <w:rFonts w:ascii="宋体"/>
                <w:kern w:val="0"/>
                <w:sz w:val="20"/>
                <w:szCs w:val="20"/>
              </w:rPr>
            </w:pPr>
            <w:r>
              <w:rPr>
                <w:rFonts w:hint="eastAsia" w:ascii="宋体" w:hAnsi="宋体" w:cs="宋体"/>
                <w:kern w:val="0"/>
                <w:sz w:val="20"/>
                <w:szCs w:val="20"/>
              </w:rPr>
              <w:t>　</w:t>
            </w:r>
          </w:p>
        </w:tc>
        <w:tc>
          <w:tcPr>
            <w:tcW w:w="1780" w:type="dxa"/>
            <w:tcBorders>
              <w:top w:val="nil"/>
              <w:left w:val="nil"/>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与上级地震监测工作要求相一致</w:t>
            </w:r>
          </w:p>
          <w:p>
            <w:pPr>
              <w:widowControl/>
              <w:jc w:val="left"/>
              <w:rPr>
                <w:rFonts w:ascii="宋体"/>
                <w:kern w:val="0"/>
                <w:sz w:val="20"/>
                <w:szCs w:val="20"/>
              </w:rPr>
            </w:pPr>
            <w:r>
              <w:rPr>
                <w:rFonts w:hint="eastAsia" w:ascii="宋体" w:hAnsi="宋体" w:cs="宋体"/>
                <w:kern w:val="0"/>
                <w:sz w:val="20"/>
                <w:szCs w:val="20"/>
              </w:rPr>
              <w:t>　</w:t>
            </w:r>
          </w:p>
          <w:p>
            <w:pPr>
              <w:jc w:val="left"/>
              <w:rPr>
                <w:rFonts w:ascii="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61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时效指标</w:t>
            </w:r>
          </w:p>
        </w:tc>
        <w:tc>
          <w:tcPr>
            <w:tcW w:w="1960" w:type="dxa"/>
            <w:gridSpan w:val="2"/>
            <w:tcBorders>
              <w:top w:val="single" w:color="auto" w:sz="4" w:space="0"/>
              <w:left w:val="nil"/>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p>
            <w:pPr>
              <w:jc w:val="left"/>
              <w:rPr>
                <w:rFonts w:ascii="宋体"/>
                <w:kern w:val="0"/>
                <w:sz w:val="20"/>
                <w:szCs w:val="20"/>
              </w:rPr>
            </w:pPr>
            <w:r>
              <w:rPr>
                <w:rFonts w:ascii="宋体" w:hAnsi="宋体" w:cs="宋体"/>
                <w:kern w:val="0"/>
                <w:sz w:val="20"/>
                <w:szCs w:val="20"/>
              </w:rPr>
              <w:t xml:space="preserve"> </w:t>
            </w:r>
          </w:p>
        </w:tc>
        <w:tc>
          <w:tcPr>
            <w:tcW w:w="2060" w:type="dxa"/>
            <w:tcBorders>
              <w:top w:val="nil"/>
              <w:left w:val="nil"/>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完成时间</w:t>
            </w:r>
          </w:p>
          <w:p>
            <w:pPr>
              <w:widowControl/>
              <w:jc w:val="left"/>
              <w:rPr>
                <w:rFonts w:ascii="宋体"/>
                <w:kern w:val="0"/>
                <w:sz w:val="20"/>
                <w:szCs w:val="20"/>
              </w:rPr>
            </w:pPr>
            <w:r>
              <w:rPr>
                <w:rFonts w:hint="eastAsia" w:ascii="宋体" w:hAnsi="宋体" w:cs="宋体"/>
                <w:kern w:val="0"/>
                <w:sz w:val="20"/>
                <w:szCs w:val="20"/>
              </w:rPr>
              <w:t>　</w:t>
            </w:r>
          </w:p>
          <w:p>
            <w:pPr>
              <w:jc w:val="left"/>
              <w:rPr>
                <w:rFonts w:ascii="宋体"/>
                <w:kern w:val="0"/>
                <w:sz w:val="20"/>
                <w:szCs w:val="20"/>
              </w:rPr>
            </w:pPr>
            <w:r>
              <w:rPr>
                <w:rFonts w:hint="eastAsia" w:ascii="宋体" w:hAnsi="宋体" w:cs="宋体"/>
                <w:kern w:val="0"/>
                <w:sz w:val="20"/>
                <w:szCs w:val="20"/>
              </w:rPr>
              <w:t>　</w:t>
            </w:r>
          </w:p>
        </w:tc>
        <w:tc>
          <w:tcPr>
            <w:tcW w:w="1780" w:type="dxa"/>
            <w:tcBorders>
              <w:top w:val="nil"/>
              <w:left w:val="nil"/>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r>
              <w:rPr>
                <w:rFonts w:ascii="宋体" w:hAnsi="宋体" w:cs="宋体"/>
                <w:kern w:val="0"/>
                <w:sz w:val="20"/>
                <w:szCs w:val="20"/>
              </w:rPr>
              <w:t>1</w:t>
            </w:r>
            <w:r>
              <w:rPr>
                <w:rFonts w:hint="eastAsia" w:ascii="宋体" w:hAnsi="宋体" w:cs="宋体"/>
                <w:kern w:val="0"/>
                <w:sz w:val="20"/>
                <w:szCs w:val="20"/>
              </w:rPr>
              <w:t>月</w:t>
            </w:r>
            <w:r>
              <w:rPr>
                <w:rFonts w:ascii="宋体" w:hAnsi="宋体" w:cs="宋体"/>
                <w:kern w:val="0"/>
                <w:sz w:val="20"/>
                <w:szCs w:val="20"/>
              </w:rPr>
              <w:t>1</w:t>
            </w:r>
            <w:r>
              <w:rPr>
                <w:rFonts w:hint="eastAsia" w:ascii="宋体" w:hAnsi="宋体" w:cs="宋体"/>
                <w:kern w:val="0"/>
                <w:sz w:val="20"/>
                <w:szCs w:val="20"/>
              </w:rPr>
              <w:t>日</w:t>
            </w:r>
            <w:r>
              <w:rPr>
                <w:rFonts w:ascii="宋体" w:hAnsi="宋体" w:cs="宋体"/>
                <w:kern w:val="0"/>
                <w:sz w:val="20"/>
                <w:szCs w:val="20"/>
              </w:rPr>
              <w:t>—12</w:t>
            </w:r>
            <w:r>
              <w:rPr>
                <w:rFonts w:hint="eastAsia" w:ascii="宋体" w:hAnsi="宋体" w:cs="宋体"/>
                <w:kern w:val="0"/>
                <w:sz w:val="20"/>
                <w:szCs w:val="20"/>
              </w:rPr>
              <w:t>月</w:t>
            </w:r>
            <w:r>
              <w:rPr>
                <w:rFonts w:ascii="宋体" w:hAnsi="宋体" w:cs="宋体"/>
                <w:kern w:val="0"/>
                <w:sz w:val="20"/>
                <w:szCs w:val="20"/>
              </w:rPr>
              <w:t>31</w:t>
            </w:r>
            <w:r>
              <w:rPr>
                <w:rFonts w:hint="eastAsia" w:ascii="宋体" w:hAnsi="宋体" w:cs="宋体"/>
                <w:kern w:val="0"/>
                <w:sz w:val="20"/>
                <w:szCs w:val="20"/>
              </w:rPr>
              <w:t>日</w:t>
            </w:r>
          </w:p>
          <w:p>
            <w:pPr>
              <w:widowControl/>
              <w:jc w:val="left"/>
              <w:rPr>
                <w:rFonts w:ascii="宋体"/>
                <w:kern w:val="0"/>
                <w:sz w:val="20"/>
                <w:szCs w:val="20"/>
              </w:rPr>
            </w:pPr>
            <w:r>
              <w:rPr>
                <w:rFonts w:hint="eastAsia" w:ascii="宋体" w:hAnsi="宋体" w:cs="宋体"/>
                <w:kern w:val="0"/>
                <w:sz w:val="20"/>
                <w:szCs w:val="20"/>
              </w:rPr>
              <w:t>　</w:t>
            </w:r>
          </w:p>
          <w:p>
            <w:pPr>
              <w:jc w:val="left"/>
              <w:rPr>
                <w:rFonts w:ascii="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成本指标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rPr>
                <w:rFonts w:ascii="宋体"/>
                <w:color w:val="000000"/>
                <w:sz w:val="24"/>
                <w:szCs w:val="24"/>
              </w:rPr>
            </w:pPr>
            <w:r>
              <w:rPr>
                <w:rFonts w:hint="eastAsia" w:cs="宋体"/>
                <w:color w:val="000000"/>
              </w:rPr>
              <w:t>水、电、网络费用</w:t>
            </w:r>
          </w:p>
        </w:tc>
        <w:tc>
          <w:tcPr>
            <w:tcW w:w="1780" w:type="dxa"/>
            <w:tcBorders>
              <w:top w:val="nil"/>
              <w:left w:val="nil"/>
              <w:bottom w:val="single" w:color="auto" w:sz="4" w:space="0"/>
              <w:right w:val="single" w:color="auto" w:sz="4" w:space="0"/>
            </w:tcBorders>
            <w:vAlign w:val="center"/>
          </w:tcPr>
          <w:p>
            <w:pPr>
              <w:jc w:val="center"/>
              <w:rPr>
                <w:rFonts w:ascii="宋体"/>
                <w:color w:val="000000"/>
                <w:sz w:val="24"/>
                <w:szCs w:val="24"/>
              </w:rPr>
            </w:pPr>
            <w:r>
              <w:rPr>
                <w:color w:val="000000"/>
              </w:rPr>
              <w:t>3</w:t>
            </w:r>
            <w:r>
              <w:rPr>
                <w:rFonts w:hint="eastAsia" w:cs="宋体"/>
                <w:color w:val="000000"/>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rPr>
                <w:rFonts w:ascii="宋体"/>
                <w:color w:val="000000"/>
                <w:sz w:val="24"/>
                <w:szCs w:val="24"/>
              </w:rPr>
            </w:pPr>
            <w:r>
              <w:rPr>
                <w:rFonts w:hint="eastAsia" w:cs="宋体"/>
                <w:color w:val="000000"/>
              </w:rPr>
              <w:t>车辆运行费</w:t>
            </w:r>
          </w:p>
        </w:tc>
        <w:tc>
          <w:tcPr>
            <w:tcW w:w="1780" w:type="dxa"/>
            <w:tcBorders>
              <w:top w:val="nil"/>
              <w:left w:val="nil"/>
              <w:bottom w:val="single" w:color="auto" w:sz="4" w:space="0"/>
              <w:right w:val="single" w:color="auto" w:sz="4" w:space="0"/>
            </w:tcBorders>
            <w:vAlign w:val="center"/>
          </w:tcPr>
          <w:p>
            <w:pPr>
              <w:jc w:val="center"/>
              <w:rPr>
                <w:rFonts w:ascii="宋体"/>
                <w:color w:val="000000"/>
                <w:sz w:val="24"/>
                <w:szCs w:val="24"/>
              </w:rPr>
            </w:pPr>
            <w:r>
              <w:rPr>
                <w:color w:val="000000"/>
              </w:rPr>
              <w:t>4</w:t>
            </w:r>
            <w:r>
              <w:rPr>
                <w:rFonts w:hint="eastAsia" w:cs="宋体"/>
                <w:color w:val="000000"/>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left w:val="single" w:color="auto"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指标</w:t>
            </w:r>
            <w:r>
              <w:rPr>
                <w:rFonts w:ascii="宋体" w:hAnsi="宋体" w:cs="宋体"/>
                <w:kern w:val="0"/>
                <w:sz w:val="20"/>
                <w:szCs w:val="20"/>
              </w:rPr>
              <w:t>3</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rPr>
                <w:rFonts w:ascii="宋体"/>
                <w:color w:val="000000"/>
                <w:sz w:val="24"/>
                <w:szCs w:val="24"/>
              </w:rPr>
            </w:pPr>
            <w:r>
              <w:rPr>
                <w:rFonts w:hint="eastAsia" w:cs="宋体"/>
                <w:color w:val="000000"/>
              </w:rPr>
              <w:t>差旅费</w:t>
            </w:r>
          </w:p>
        </w:tc>
        <w:tc>
          <w:tcPr>
            <w:tcW w:w="1780" w:type="dxa"/>
            <w:tcBorders>
              <w:top w:val="nil"/>
              <w:left w:val="nil"/>
              <w:bottom w:val="single" w:color="auto" w:sz="4" w:space="0"/>
              <w:right w:val="single" w:color="auto" w:sz="4" w:space="0"/>
            </w:tcBorders>
            <w:vAlign w:val="center"/>
          </w:tcPr>
          <w:p>
            <w:pPr>
              <w:jc w:val="center"/>
              <w:rPr>
                <w:rFonts w:ascii="宋体"/>
                <w:color w:val="000000"/>
                <w:sz w:val="24"/>
                <w:szCs w:val="24"/>
              </w:rPr>
            </w:pPr>
            <w:r>
              <w:rPr>
                <w:color w:val="000000"/>
              </w:rPr>
              <w:t>6</w:t>
            </w:r>
            <w:r>
              <w:rPr>
                <w:rFonts w:hint="eastAsia" w:cs="宋体"/>
                <w:color w:val="000000"/>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left w:val="single" w:color="auto" w:sz="4" w:space="0"/>
              <w:right w:val="single" w:color="auto" w:sz="4" w:space="0"/>
            </w:tcBorders>
            <w:vAlign w:val="center"/>
          </w:tcPr>
          <w:p>
            <w:pPr>
              <w:widowControl/>
              <w:jc w:val="center"/>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指标</w:t>
            </w:r>
            <w:r>
              <w:rPr>
                <w:rFonts w:ascii="宋体" w:hAnsi="宋体" w:cs="宋体"/>
                <w:kern w:val="0"/>
                <w:sz w:val="20"/>
                <w:szCs w:val="20"/>
              </w:rPr>
              <w:t>4</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rPr>
                <w:rFonts w:ascii="宋体"/>
                <w:color w:val="000000"/>
                <w:sz w:val="24"/>
                <w:szCs w:val="24"/>
              </w:rPr>
            </w:pPr>
            <w:r>
              <w:rPr>
                <w:rFonts w:hint="eastAsia" w:cs="宋体"/>
                <w:color w:val="000000"/>
              </w:rPr>
              <w:t>会议、会务、培训费</w:t>
            </w:r>
          </w:p>
        </w:tc>
        <w:tc>
          <w:tcPr>
            <w:tcW w:w="1780" w:type="dxa"/>
            <w:tcBorders>
              <w:top w:val="nil"/>
              <w:left w:val="nil"/>
              <w:bottom w:val="single" w:color="auto" w:sz="4" w:space="0"/>
              <w:right w:val="single" w:color="auto" w:sz="4" w:space="0"/>
            </w:tcBorders>
            <w:vAlign w:val="center"/>
          </w:tcPr>
          <w:p>
            <w:pPr>
              <w:jc w:val="center"/>
              <w:rPr>
                <w:rFonts w:ascii="宋体"/>
                <w:color w:val="000000"/>
                <w:sz w:val="24"/>
                <w:szCs w:val="24"/>
              </w:rPr>
            </w:pPr>
            <w:r>
              <w:rPr>
                <w:color w:val="000000"/>
              </w:rPr>
              <w:t>4</w:t>
            </w:r>
            <w:r>
              <w:rPr>
                <w:rFonts w:hint="eastAsia" w:cs="宋体"/>
                <w:color w:val="000000"/>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left w:val="single" w:color="auto" w:sz="4" w:space="0"/>
              <w:right w:val="single" w:color="auto" w:sz="4" w:space="0"/>
            </w:tcBorders>
            <w:vAlign w:val="center"/>
          </w:tcPr>
          <w:p>
            <w:pPr>
              <w:widowControl/>
              <w:jc w:val="center"/>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指标</w:t>
            </w:r>
            <w:r>
              <w:rPr>
                <w:rFonts w:ascii="宋体" w:hAnsi="宋体" w:cs="宋体"/>
                <w:kern w:val="0"/>
                <w:sz w:val="20"/>
                <w:szCs w:val="20"/>
              </w:rPr>
              <w:t>5</w:t>
            </w:r>
          </w:p>
        </w:tc>
        <w:tc>
          <w:tcPr>
            <w:tcW w:w="2060" w:type="dxa"/>
            <w:tcBorders>
              <w:top w:val="nil"/>
              <w:left w:val="nil"/>
              <w:bottom w:val="single" w:color="auto" w:sz="4" w:space="0"/>
              <w:right w:val="single" w:color="auto" w:sz="4" w:space="0"/>
            </w:tcBorders>
            <w:vAlign w:val="center"/>
          </w:tcPr>
          <w:p>
            <w:pPr>
              <w:rPr>
                <w:rFonts w:ascii="宋体"/>
                <w:color w:val="000000"/>
                <w:sz w:val="24"/>
                <w:szCs w:val="24"/>
              </w:rPr>
            </w:pPr>
            <w:r>
              <w:rPr>
                <w:rFonts w:hint="eastAsia" w:cs="宋体"/>
                <w:color w:val="000000"/>
              </w:rPr>
              <w:t>监测台站环境保护</w:t>
            </w:r>
          </w:p>
        </w:tc>
        <w:tc>
          <w:tcPr>
            <w:tcW w:w="1780" w:type="dxa"/>
            <w:tcBorders>
              <w:top w:val="nil"/>
              <w:left w:val="nil"/>
              <w:bottom w:val="single" w:color="auto" w:sz="4" w:space="0"/>
              <w:right w:val="single" w:color="auto" w:sz="4" w:space="0"/>
            </w:tcBorders>
            <w:vAlign w:val="center"/>
          </w:tcPr>
          <w:p>
            <w:pPr>
              <w:jc w:val="center"/>
              <w:rPr>
                <w:rFonts w:ascii="宋体"/>
                <w:color w:val="000000"/>
                <w:sz w:val="24"/>
                <w:szCs w:val="24"/>
              </w:rPr>
            </w:pPr>
            <w:r>
              <w:rPr>
                <w:color w:val="000000"/>
              </w:rPr>
              <w:t>1</w:t>
            </w:r>
            <w:r>
              <w:rPr>
                <w:rFonts w:hint="eastAsia" w:cs="宋体"/>
                <w:color w:val="000000"/>
              </w:rPr>
              <w:t>万元</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left w:val="single" w:color="auto" w:sz="4" w:space="0"/>
              <w:bottom w:val="single" w:color="auto" w:sz="4" w:space="0"/>
              <w:right w:val="single" w:color="auto" w:sz="4" w:space="0"/>
            </w:tcBorders>
            <w:vAlign w:val="center"/>
          </w:tcPr>
          <w:p>
            <w:pPr>
              <w:widowControl/>
              <w:jc w:val="center"/>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指标</w:t>
            </w:r>
            <w:r>
              <w:rPr>
                <w:rFonts w:ascii="宋体" w:hAnsi="宋体" w:cs="宋体"/>
                <w:kern w:val="0"/>
                <w:sz w:val="20"/>
                <w:szCs w:val="20"/>
              </w:rPr>
              <w:t>6</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rPr>
                <w:rFonts w:ascii="宋体"/>
                <w:color w:val="000000"/>
                <w:sz w:val="24"/>
                <w:szCs w:val="24"/>
              </w:rPr>
            </w:pPr>
            <w:r>
              <w:rPr>
                <w:rFonts w:hint="eastAsia" w:cs="宋体"/>
                <w:color w:val="000000"/>
              </w:rPr>
              <w:t>设备更新、维护费</w:t>
            </w:r>
          </w:p>
        </w:tc>
        <w:tc>
          <w:tcPr>
            <w:tcW w:w="1780" w:type="dxa"/>
            <w:tcBorders>
              <w:top w:val="nil"/>
              <w:left w:val="nil"/>
              <w:bottom w:val="single" w:color="auto" w:sz="4" w:space="0"/>
              <w:right w:val="single" w:color="auto" w:sz="4" w:space="0"/>
            </w:tcBorders>
            <w:vAlign w:val="center"/>
          </w:tcPr>
          <w:p>
            <w:pPr>
              <w:jc w:val="center"/>
              <w:rPr>
                <w:rFonts w:ascii="宋体"/>
                <w:color w:val="000000"/>
                <w:sz w:val="24"/>
                <w:szCs w:val="24"/>
              </w:rPr>
            </w:pPr>
            <w:r>
              <w:rPr>
                <w:color w:val="000000"/>
              </w:rPr>
              <w:t>4</w:t>
            </w:r>
            <w:r>
              <w:rPr>
                <w:rFonts w:hint="eastAsia" w:cs="宋体"/>
                <w:color w:val="000000"/>
              </w:rPr>
              <w:t>万元</w:t>
            </w:r>
          </w:p>
        </w:tc>
      </w:tr>
      <w:tr>
        <w:tblPrEx>
          <w:tblCellMar>
            <w:top w:w="0" w:type="dxa"/>
            <w:left w:w="108" w:type="dxa"/>
            <w:bottom w:w="0" w:type="dxa"/>
            <w:right w:w="108" w:type="dxa"/>
          </w:tblCellMar>
        </w:tblPrEx>
        <w:trPr>
          <w:trHeight w:val="155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项目效果指标</w:t>
            </w: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经济效益</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最大程度的减少地震灾害造成的经济损失</w:t>
            </w:r>
          </w:p>
          <w:p>
            <w:pPr>
              <w:widowControl/>
              <w:jc w:val="left"/>
              <w:rPr>
                <w:rFonts w:ascii="宋体"/>
                <w:kern w:val="0"/>
                <w:sz w:val="20"/>
                <w:szCs w:val="20"/>
              </w:rPr>
            </w:pPr>
            <w:r>
              <w:rPr>
                <w:rFonts w:hint="eastAsia" w:ascii="宋体" w:hAnsi="宋体" w:cs="宋体"/>
                <w:kern w:val="0"/>
                <w:sz w:val="20"/>
                <w:szCs w:val="20"/>
              </w:rPr>
              <w:t>　</w:t>
            </w:r>
          </w:p>
          <w:p>
            <w:pPr>
              <w:jc w:val="left"/>
              <w:rPr>
                <w:rFonts w:ascii="宋体"/>
                <w:kern w:val="0"/>
                <w:sz w:val="20"/>
                <w:szCs w:val="20"/>
              </w:rPr>
            </w:pPr>
            <w:r>
              <w:rPr>
                <w:rFonts w:hint="eastAsia" w:ascii="宋体" w:hAnsi="宋体" w:cs="宋体"/>
                <w:kern w:val="0"/>
                <w:sz w:val="20"/>
                <w:szCs w:val="20"/>
              </w:rPr>
              <w:t>　</w:t>
            </w:r>
          </w:p>
        </w:tc>
        <w:tc>
          <w:tcPr>
            <w:tcW w:w="1780" w:type="dxa"/>
            <w:tcBorders>
              <w:top w:val="nil"/>
              <w:left w:val="nil"/>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上级评估</w:t>
            </w:r>
          </w:p>
          <w:p>
            <w:pPr>
              <w:widowControl/>
              <w:jc w:val="left"/>
              <w:rPr>
                <w:rFonts w:ascii="宋体"/>
                <w:kern w:val="0"/>
                <w:sz w:val="20"/>
                <w:szCs w:val="20"/>
              </w:rPr>
            </w:pPr>
            <w:r>
              <w:rPr>
                <w:rFonts w:hint="eastAsia" w:ascii="宋体" w:hAnsi="宋体" w:cs="宋体"/>
                <w:kern w:val="0"/>
                <w:sz w:val="20"/>
                <w:szCs w:val="20"/>
              </w:rPr>
              <w:t>　</w:t>
            </w:r>
          </w:p>
          <w:p>
            <w:pPr>
              <w:jc w:val="left"/>
              <w:rPr>
                <w:rFonts w:ascii="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91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社会效益</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p>
            <w:pPr>
              <w:jc w:val="left"/>
              <w:rPr>
                <w:rFonts w:ascii="宋体"/>
                <w:kern w:val="0"/>
                <w:sz w:val="20"/>
                <w:szCs w:val="20"/>
              </w:rPr>
            </w:pPr>
            <w:r>
              <w:rPr>
                <w:rFonts w:ascii="宋体" w:hAnsi="宋体" w:cs="宋体"/>
                <w:kern w:val="0"/>
                <w:sz w:val="20"/>
                <w:szCs w:val="20"/>
              </w:rPr>
              <w:t xml:space="preserve"> </w:t>
            </w:r>
          </w:p>
        </w:tc>
        <w:tc>
          <w:tcPr>
            <w:tcW w:w="2060" w:type="dxa"/>
            <w:tcBorders>
              <w:top w:val="nil"/>
              <w:left w:val="nil"/>
              <w:right w:val="single" w:color="auto" w:sz="4" w:space="0"/>
            </w:tcBorders>
            <w:vAlign w:val="center"/>
          </w:tcPr>
          <w:p>
            <w:pPr>
              <w:rPr>
                <w:rFonts w:ascii="宋体"/>
                <w:color w:val="000000"/>
                <w:sz w:val="24"/>
                <w:szCs w:val="24"/>
              </w:rPr>
            </w:pPr>
            <w:r>
              <w:rPr>
                <w:rFonts w:hint="eastAsia" w:cs="宋体"/>
                <w:color w:val="000000"/>
              </w:rPr>
              <w:t>将地震监测结果进行有效利用</w:t>
            </w:r>
          </w:p>
          <w:p>
            <w:pPr>
              <w:widowControl/>
              <w:jc w:val="left"/>
              <w:rPr>
                <w:rFonts w:ascii="宋体"/>
                <w:kern w:val="0"/>
                <w:sz w:val="20"/>
                <w:szCs w:val="20"/>
              </w:rPr>
            </w:pPr>
            <w:r>
              <w:rPr>
                <w:rFonts w:hint="eastAsia" w:ascii="宋体" w:hAnsi="宋体" w:cs="宋体"/>
                <w:kern w:val="0"/>
                <w:sz w:val="20"/>
                <w:szCs w:val="20"/>
              </w:rPr>
              <w:t>　</w:t>
            </w:r>
          </w:p>
          <w:p>
            <w:pPr>
              <w:jc w:val="left"/>
              <w:rPr>
                <w:rFonts w:ascii="宋体"/>
                <w:color w:val="000000"/>
                <w:sz w:val="24"/>
                <w:szCs w:val="24"/>
              </w:rPr>
            </w:pPr>
            <w:r>
              <w:rPr>
                <w:rFonts w:hint="eastAsia" w:ascii="宋体" w:hAnsi="宋体" w:cs="宋体"/>
                <w:kern w:val="0"/>
                <w:sz w:val="20"/>
                <w:szCs w:val="20"/>
              </w:rPr>
              <w:t>　</w:t>
            </w:r>
          </w:p>
        </w:tc>
        <w:tc>
          <w:tcPr>
            <w:tcW w:w="1780" w:type="dxa"/>
            <w:tcBorders>
              <w:top w:val="nil"/>
              <w:left w:val="nil"/>
              <w:right w:val="single" w:color="auto" w:sz="4" w:space="0"/>
            </w:tcBorders>
            <w:vAlign w:val="center"/>
          </w:tcPr>
          <w:p>
            <w:pPr>
              <w:jc w:val="center"/>
              <w:rPr>
                <w:rFonts w:ascii="宋体"/>
                <w:color w:val="000000"/>
                <w:sz w:val="24"/>
                <w:szCs w:val="24"/>
              </w:rPr>
            </w:pPr>
            <w:r>
              <w:rPr>
                <w:rFonts w:hint="eastAsia" w:cs="宋体"/>
                <w:color w:val="000000"/>
              </w:rPr>
              <w:t>对不同区域抗震设防要求提出可靠依据</w:t>
            </w:r>
          </w:p>
          <w:p>
            <w:pPr>
              <w:widowControl/>
              <w:jc w:val="left"/>
              <w:rPr>
                <w:rFonts w:ascii="宋体"/>
                <w:kern w:val="0"/>
                <w:sz w:val="20"/>
                <w:szCs w:val="20"/>
              </w:rPr>
            </w:pPr>
            <w:r>
              <w:rPr>
                <w:rFonts w:hint="eastAsia" w:ascii="宋体" w:hAnsi="宋体" w:cs="宋体"/>
                <w:kern w:val="0"/>
                <w:sz w:val="20"/>
                <w:szCs w:val="20"/>
              </w:rPr>
              <w:t>　</w:t>
            </w:r>
          </w:p>
          <w:p>
            <w:pPr>
              <w:jc w:val="left"/>
              <w:rPr>
                <w:rFonts w:ascii="宋体"/>
                <w:color w:val="000000"/>
                <w:sz w:val="24"/>
                <w:szCs w:val="24"/>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生态效益</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61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可持续影响</w:t>
            </w:r>
            <w:r>
              <w:rPr>
                <w:rFonts w:ascii="宋体"/>
                <w:kern w:val="0"/>
                <w:sz w:val="20"/>
                <w:szCs w:val="20"/>
              </w:rPr>
              <w:br w:type="textWrapping"/>
            </w:r>
            <w:r>
              <w:rPr>
                <w:rFonts w:hint="eastAsia" w:ascii="宋体" w:hAnsi="宋体" w:cs="宋体"/>
                <w:kern w:val="0"/>
                <w:sz w:val="20"/>
                <w:szCs w:val="20"/>
              </w:rPr>
              <w:t>指标</w:t>
            </w:r>
          </w:p>
        </w:tc>
        <w:tc>
          <w:tcPr>
            <w:tcW w:w="1960" w:type="dxa"/>
            <w:gridSpan w:val="2"/>
            <w:tcBorders>
              <w:top w:val="single" w:color="auto" w:sz="4" w:space="0"/>
              <w:left w:val="nil"/>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p>
            <w:pPr>
              <w:widowControl/>
              <w:jc w:val="left"/>
              <w:rPr>
                <w:rFonts w:ascii="宋体"/>
                <w:kern w:val="0"/>
                <w:sz w:val="20"/>
                <w:szCs w:val="20"/>
              </w:rPr>
            </w:pPr>
            <w:r>
              <w:rPr>
                <w:rFonts w:ascii="宋体" w:hAnsi="宋体" w:cs="宋体"/>
                <w:kern w:val="0"/>
                <w:sz w:val="20"/>
                <w:szCs w:val="20"/>
              </w:rPr>
              <w:t xml:space="preserve"> </w:t>
            </w:r>
          </w:p>
          <w:p>
            <w:pPr>
              <w:jc w:val="left"/>
              <w:rPr>
                <w:rFonts w:ascii="宋体"/>
                <w:kern w:val="0"/>
                <w:sz w:val="20"/>
                <w:szCs w:val="20"/>
              </w:rPr>
            </w:pPr>
            <w:r>
              <w:rPr>
                <w:rFonts w:ascii="宋体" w:hAnsi="宋体" w:cs="宋体"/>
                <w:kern w:val="0"/>
                <w:sz w:val="20"/>
                <w:szCs w:val="20"/>
              </w:rPr>
              <w:t xml:space="preserve"> </w:t>
            </w:r>
          </w:p>
        </w:tc>
        <w:tc>
          <w:tcPr>
            <w:tcW w:w="2060" w:type="dxa"/>
            <w:tcBorders>
              <w:top w:val="nil"/>
              <w:left w:val="nil"/>
              <w:right w:val="single" w:color="auto" w:sz="4" w:space="0"/>
            </w:tcBorders>
            <w:vAlign w:val="center"/>
          </w:tcPr>
          <w:p>
            <w:pPr>
              <w:rPr>
                <w:rFonts w:ascii="宋体"/>
                <w:color w:val="000000"/>
                <w:sz w:val="24"/>
                <w:szCs w:val="24"/>
              </w:rPr>
            </w:pPr>
            <w:r>
              <w:rPr>
                <w:rFonts w:hint="eastAsia" w:cs="宋体"/>
                <w:color w:val="000000"/>
              </w:rPr>
              <w:t>为巴州地震研究分析预测提供可靠持续的历史数据</w:t>
            </w:r>
          </w:p>
          <w:p>
            <w:pPr>
              <w:widowControl/>
              <w:jc w:val="left"/>
              <w:rPr>
                <w:rFonts w:ascii="宋体"/>
                <w:kern w:val="0"/>
                <w:sz w:val="20"/>
                <w:szCs w:val="20"/>
              </w:rPr>
            </w:pPr>
            <w:r>
              <w:rPr>
                <w:rFonts w:hint="eastAsia" w:ascii="宋体" w:hAnsi="宋体" w:cs="宋体"/>
                <w:kern w:val="0"/>
                <w:sz w:val="20"/>
                <w:szCs w:val="20"/>
              </w:rPr>
              <w:t>　</w:t>
            </w:r>
          </w:p>
          <w:p>
            <w:pPr>
              <w:jc w:val="left"/>
              <w:rPr>
                <w:rFonts w:ascii="宋体"/>
                <w:color w:val="000000"/>
                <w:sz w:val="24"/>
                <w:szCs w:val="24"/>
              </w:rPr>
            </w:pPr>
            <w:r>
              <w:rPr>
                <w:rFonts w:hint="eastAsia" w:ascii="宋体" w:hAnsi="宋体" w:cs="宋体"/>
                <w:kern w:val="0"/>
                <w:sz w:val="20"/>
                <w:szCs w:val="20"/>
              </w:rPr>
              <w:t>　</w:t>
            </w:r>
          </w:p>
        </w:tc>
        <w:tc>
          <w:tcPr>
            <w:tcW w:w="1780" w:type="dxa"/>
            <w:tcBorders>
              <w:top w:val="nil"/>
              <w:left w:val="nil"/>
              <w:right w:val="single" w:color="auto" w:sz="4" w:space="0"/>
            </w:tcBorders>
            <w:vAlign w:val="center"/>
          </w:tcPr>
          <w:p>
            <w:pPr>
              <w:jc w:val="center"/>
              <w:rPr>
                <w:rFonts w:ascii="宋体"/>
                <w:color w:val="000000"/>
                <w:sz w:val="24"/>
                <w:szCs w:val="24"/>
              </w:rPr>
            </w:pPr>
            <w:r>
              <w:rPr>
                <w:rFonts w:hint="eastAsia" w:cs="宋体"/>
                <w:color w:val="000000"/>
              </w:rPr>
              <w:t>数据真实、连续、可靠</w:t>
            </w:r>
          </w:p>
          <w:p>
            <w:pPr>
              <w:widowControl/>
              <w:jc w:val="left"/>
              <w:rPr>
                <w:rFonts w:ascii="宋体"/>
                <w:kern w:val="0"/>
                <w:sz w:val="20"/>
                <w:szCs w:val="20"/>
              </w:rPr>
            </w:pPr>
            <w:r>
              <w:rPr>
                <w:rFonts w:hint="eastAsia" w:ascii="宋体" w:hAnsi="宋体" w:cs="宋体"/>
                <w:kern w:val="0"/>
                <w:sz w:val="20"/>
                <w:szCs w:val="20"/>
              </w:rPr>
              <w:t>　</w:t>
            </w:r>
          </w:p>
          <w:p>
            <w:pPr>
              <w:jc w:val="left"/>
              <w:rPr>
                <w:rFonts w:ascii="宋体"/>
                <w:color w:val="000000"/>
                <w:sz w:val="24"/>
                <w:szCs w:val="24"/>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满意度</w:t>
            </w:r>
            <w:r>
              <w:rPr>
                <w:rFonts w:ascii="宋体"/>
                <w:kern w:val="0"/>
                <w:sz w:val="20"/>
                <w:szCs w:val="20"/>
              </w:rPr>
              <w:br w:type="textWrapping"/>
            </w:r>
            <w:r>
              <w:rPr>
                <w:rFonts w:hint="eastAsia" w:ascii="宋体" w:hAnsi="宋体" w:cs="宋体"/>
                <w:kern w:val="0"/>
                <w:sz w:val="20"/>
                <w:szCs w:val="20"/>
              </w:rPr>
              <w:t>指标</w:t>
            </w:r>
          </w:p>
        </w:tc>
        <w:tc>
          <w:tcPr>
            <w:tcW w:w="136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rPr>
                <w:rFonts w:ascii="宋体"/>
                <w:color w:val="000000"/>
                <w:sz w:val="24"/>
                <w:szCs w:val="24"/>
              </w:rPr>
            </w:pPr>
            <w:r>
              <w:rPr>
                <w:rFonts w:hint="eastAsia" w:cs="宋体"/>
                <w:color w:val="000000"/>
              </w:rPr>
              <w:t>提高巴州地震监测水平</w:t>
            </w:r>
          </w:p>
        </w:tc>
        <w:tc>
          <w:tcPr>
            <w:tcW w:w="1780" w:type="dxa"/>
            <w:tcBorders>
              <w:top w:val="nil"/>
              <w:left w:val="nil"/>
              <w:bottom w:val="single" w:color="auto" w:sz="4" w:space="0"/>
              <w:right w:val="single" w:color="auto" w:sz="4" w:space="0"/>
            </w:tcBorders>
            <w:vAlign w:val="center"/>
          </w:tcPr>
          <w:p>
            <w:pPr>
              <w:jc w:val="center"/>
              <w:rPr>
                <w:rFonts w:ascii="Arial" w:hAnsi="Arial" w:cs="Arial"/>
                <w:color w:val="000000"/>
                <w:sz w:val="24"/>
                <w:szCs w:val="24"/>
              </w:rPr>
            </w:pPr>
            <w:r>
              <w:rPr>
                <w:rFonts w:ascii="Arial" w:hAnsi="Arial" w:cs="Arial"/>
                <w:color w:val="000000"/>
              </w:rPr>
              <w:t>95%</w:t>
            </w:r>
            <w:r>
              <w:rPr>
                <w:rFonts w:hint="eastAsia" w:cs="宋体"/>
                <w:color w:val="000000"/>
              </w:rPr>
              <w:t>≧</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1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3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w:t>
            </w:r>
          </w:p>
        </w:tc>
        <w:tc>
          <w:tcPr>
            <w:tcW w:w="1960" w:type="dxa"/>
            <w:gridSpan w:val="2"/>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c>
          <w:tcPr>
            <w:tcW w:w="2060"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　</w:t>
            </w:r>
          </w:p>
        </w:tc>
        <w:tc>
          <w:tcPr>
            <w:tcW w:w="1780"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　</w:t>
            </w:r>
          </w:p>
        </w:tc>
      </w:tr>
    </w:tbl>
    <w:p>
      <w:pPr>
        <w:spacing w:line="540" w:lineRule="exact"/>
        <w:rPr>
          <w:rStyle w:val="19"/>
          <w:rFonts w:ascii="仿宋" w:hAnsi="仿宋" w:eastAsia="仿宋"/>
          <w:b w:val="0"/>
          <w:bCs w:val="0"/>
          <w:spacing w:val="-4"/>
          <w:sz w:val="32"/>
          <w:szCs w:val="32"/>
        </w:rPr>
      </w:pPr>
    </w:p>
    <w:sectPr>
      <w:headerReference r:id="rId3" w:type="default"/>
      <w:footerReference r:id="rId4"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ED6056D-E852-42F8-8DDC-5390E5486F2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2E79874-2703-45A2-8711-1FAFDB0E366A}"/>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B0102C3-63B6-403E-8327-D4F27525F3A3}"/>
  </w:font>
  <w:font w:name="华文中宋">
    <w:panose1 w:val="02010600040101010101"/>
    <w:charset w:val="86"/>
    <w:family w:val="auto"/>
    <w:pitch w:val="default"/>
    <w:sig w:usb0="00000287" w:usb1="080F0000" w:usb2="00000000" w:usb3="00000000" w:csb0="0004009F" w:csb1="DFD70000"/>
    <w:embedRegular r:id="rId4" w:fontKey="{B37CBDB8-E730-4786-928C-A663C45B67D8}"/>
  </w:font>
  <w:font w:name="方正小标宋_GBK">
    <w:panose1 w:val="02000000000000000000"/>
    <w:charset w:val="86"/>
    <w:family w:val="script"/>
    <w:pitch w:val="default"/>
    <w:sig w:usb0="A00002BF" w:usb1="38CF7CFA" w:usb2="00082016" w:usb3="00000000" w:csb0="00040001" w:csb1="00000000"/>
    <w:embedRegular r:id="rId5" w:fontKey="{09563A46-A731-493F-8FE9-D0032F2CADF5}"/>
  </w:font>
  <w:font w:name="仿宋_GB2312">
    <w:altName w:val="仿宋"/>
    <w:panose1 w:val="02010609030101010101"/>
    <w:charset w:val="86"/>
    <w:family w:val="modern"/>
    <w:pitch w:val="default"/>
    <w:sig w:usb0="00000000" w:usb1="00000000" w:usb2="00000010" w:usb3="00000000" w:csb0="00040000" w:csb1="00000000"/>
    <w:embedRegular r:id="rId6" w:fontKey="{2062CF1B-2DBD-4EB0-BC8E-DDEF0643EF2D}"/>
  </w:font>
  <w:font w:name="方正仿宋_GBK">
    <w:panose1 w:val="02000000000000000000"/>
    <w:charset w:val="86"/>
    <w:family w:val="script"/>
    <w:pitch w:val="default"/>
    <w:sig w:usb0="A00002BF" w:usb1="38CF7CFA" w:usb2="00082016" w:usb3="00000000" w:csb0="00040001" w:csb1="00000000"/>
    <w:embedRegular r:id="rId7" w:fontKey="{718D0528-25F2-4661-BE6D-ECE7E089CBD1}"/>
  </w:font>
  <w:font w:name="楷体">
    <w:panose1 w:val="02010609060101010101"/>
    <w:charset w:val="86"/>
    <w:family w:val="modern"/>
    <w:pitch w:val="default"/>
    <w:sig w:usb0="800002BF" w:usb1="38CF7CFA" w:usb2="00000016" w:usb3="00000000" w:csb0="00040001" w:csb1="00000000"/>
    <w:embedRegular r:id="rId8" w:fontKey="{B370D0A1-6591-4E09-8AF3-304BC756D4E2}"/>
  </w:font>
  <w:font w:name="Arial">
    <w:panose1 w:val="020B0604020202020204"/>
    <w:charset w:val="00"/>
    <w:family w:val="swiss"/>
    <w:pitch w:val="default"/>
    <w:sig w:usb0="E0002EFF" w:usb1="C000785B" w:usb2="00000009" w:usb3="00000000" w:csb0="400001FF" w:csb1="FFFF0000"/>
    <w:embedRegular r:id="rId9" w:fontKey="{89F3D4CA-29AD-4A06-B46B-5C637EBB1E5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cs="Times New Roman"/>
      </w:rPr>
    </w:pPr>
    <w:r>
      <w:fldChar w:fldCharType="begin"/>
    </w:r>
    <w:r>
      <w:instrText xml:space="preserve">PAGE   \* MERGEFORMAT</w:instrText>
    </w:r>
    <w:r>
      <w:fldChar w:fldCharType="separate"/>
    </w:r>
    <w:r>
      <w:rPr>
        <w:lang w:val="zh-CN"/>
      </w:rPr>
      <w:t>8</w:t>
    </w:r>
    <w:r>
      <w:rPr>
        <w:lang w:val="zh-CN"/>
      </w:rPr>
      <w:fldChar w:fldCharType="end"/>
    </w:r>
  </w:p>
  <w:p>
    <w:pPr>
      <w:pStyle w:val="13"/>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hiMzgzMWJiNDVmMjc4YmZhYzYxZmZlMGEwZTI0MDIifQ=="/>
  </w:docVars>
  <w:rsids>
    <w:rsidRoot w:val="00CA6457"/>
    <w:rsid w:val="0002686B"/>
    <w:rsid w:val="00046CE4"/>
    <w:rsid w:val="00056465"/>
    <w:rsid w:val="000D6B9C"/>
    <w:rsid w:val="001038E6"/>
    <w:rsid w:val="00121AE4"/>
    <w:rsid w:val="00146AAD"/>
    <w:rsid w:val="00155018"/>
    <w:rsid w:val="001B3A40"/>
    <w:rsid w:val="001C66C5"/>
    <w:rsid w:val="001F02E9"/>
    <w:rsid w:val="00237B4A"/>
    <w:rsid w:val="002574E5"/>
    <w:rsid w:val="00283E0B"/>
    <w:rsid w:val="002D32E4"/>
    <w:rsid w:val="003535F5"/>
    <w:rsid w:val="003718CB"/>
    <w:rsid w:val="003908B7"/>
    <w:rsid w:val="00390DA8"/>
    <w:rsid w:val="003D6C0C"/>
    <w:rsid w:val="003E2026"/>
    <w:rsid w:val="003F1FE1"/>
    <w:rsid w:val="003F307B"/>
    <w:rsid w:val="004124C5"/>
    <w:rsid w:val="004366A8"/>
    <w:rsid w:val="004531D0"/>
    <w:rsid w:val="00462A94"/>
    <w:rsid w:val="00464615"/>
    <w:rsid w:val="004A5A0D"/>
    <w:rsid w:val="00502BA7"/>
    <w:rsid w:val="005162F1"/>
    <w:rsid w:val="0052497D"/>
    <w:rsid w:val="00535153"/>
    <w:rsid w:val="00554F82"/>
    <w:rsid w:val="00556EDE"/>
    <w:rsid w:val="0056390D"/>
    <w:rsid w:val="005719B0"/>
    <w:rsid w:val="005D10D6"/>
    <w:rsid w:val="00677AC8"/>
    <w:rsid w:val="006C12D2"/>
    <w:rsid w:val="006C13B4"/>
    <w:rsid w:val="006E6BB4"/>
    <w:rsid w:val="007531CB"/>
    <w:rsid w:val="00855E3A"/>
    <w:rsid w:val="008D7D1D"/>
    <w:rsid w:val="00922CB9"/>
    <w:rsid w:val="009327B6"/>
    <w:rsid w:val="009E5CD9"/>
    <w:rsid w:val="009F104C"/>
    <w:rsid w:val="00A03FC2"/>
    <w:rsid w:val="00A26421"/>
    <w:rsid w:val="00A4293B"/>
    <w:rsid w:val="00A523F3"/>
    <w:rsid w:val="00A67D50"/>
    <w:rsid w:val="00A8691A"/>
    <w:rsid w:val="00AB6767"/>
    <w:rsid w:val="00AC1946"/>
    <w:rsid w:val="00B36898"/>
    <w:rsid w:val="00B40063"/>
    <w:rsid w:val="00B41F61"/>
    <w:rsid w:val="00B43B0F"/>
    <w:rsid w:val="00BA46E6"/>
    <w:rsid w:val="00BB778F"/>
    <w:rsid w:val="00C56C72"/>
    <w:rsid w:val="00C75C3E"/>
    <w:rsid w:val="00C931E7"/>
    <w:rsid w:val="00C95B1F"/>
    <w:rsid w:val="00CA0E9C"/>
    <w:rsid w:val="00CA6457"/>
    <w:rsid w:val="00CA65AB"/>
    <w:rsid w:val="00CC4DD0"/>
    <w:rsid w:val="00D17F2E"/>
    <w:rsid w:val="00D30354"/>
    <w:rsid w:val="00D314CA"/>
    <w:rsid w:val="00D75E6D"/>
    <w:rsid w:val="00DD76C6"/>
    <w:rsid w:val="00DF42A0"/>
    <w:rsid w:val="00DF45B3"/>
    <w:rsid w:val="00E0647E"/>
    <w:rsid w:val="00E06CB6"/>
    <w:rsid w:val="00E07A61"/>
    <w:rsid w:val="00E769FE"/>
    <w:rsid w:val="00EA2CBE"/>
    <w:rsid w:val="00EF07F0"/>
    <w:rsid w:val="00F23E5C"/>
    <w:rsid w:val="00F32FEE"/>
    <w:rsid w:val="00F97415"/>
    <w:rsid w:val="00FB10BB"/>
    <w:rsid w:val="00FC1BCF"/>
    <w:rsid w:val="00FC4D82"/>
    <w:rsid w:val="7CA0745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nhideWhenUsed="0" w:uiPriority="99" w:name="Document Map"/>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cs="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cs="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cs="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cs="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cs="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cs="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cs="Calibri"/>
      <w:kern w:val="0"/>
      <w:sz w:val="24"/>
      <w:szCs w:val="24"/>
    </w:rPr>
  </w:style>
  <w:style w:type="paragraph" w:styleId="9">
    <w:name w:val="heading 8"/>
    <w:basedOn w:val="1"/>
    <w:next w:val="1"/>
    <w:link w:val="28"/>
    <w:qFormat/>
    <w:uiPriority w:val="99"/>
    <w:pPr>
      <w:widowControl/>
      <w:spacing w:before="240" w:after="60"/>
      <w:jc w:val="left"/>
      <w:outlineLvl w:val="7"/>
    </w:pPr>
    <w:rPr>
      <w:rFonts w:ascii="Calibri" w:hAnsi="Calibri" w:cs="Calibri"/>
      <w:i/>
      <w:iCs/>
      <w:kern w:val="0"/>
      <w:sz w:val="24"/>
      <w:szCs w:val="24"/>
    </w:rPr>
  </w:style>
  <w:style w:type="paragraph" w:styleId="10">
    <w:name w:val="heading 9"/>
    <w:basedOn w:val="1"/>
    <w:next w:val="1"/>
    <w:link w:val="29"/>
    <w:qFormat/>
    <w:uiPriority w:val="99"/>
    <w:pPr>
      <w:widowControl/>
      <w:spacing w:before="240" w:after="60"/>
      <w:jc w:val="left"/>
      <w:outlineLvl w:val="8"/>
    </w:pPr>
    <w:rPr>
      <w:rFonts w:ascii="Cambria" w:hAnsi="Cambria" w:cs="Cambr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Document Map"/>
    <w:basedOn w:val="1"/>
    <w:link w:val="48"/>
    <w:semiHidden/>
    <w:uiPriority w:val="99"/>
    <w:pPr>
      <w:shd w:val="clear" w:color="auto" w:fill="000080"/>
    </w:pPr>
  </w:style>
  <w:style w:type="paragraph" w:styleId="12">
    <w:name w:val="Balloon Text"/>
    <w:basedOn w:val="1"/>
    <w:link w:val="46"/>
    <w:semiHidden/>
    <w:uiPriority w:val="99"/>
    <w:rPr>
      <w:sz w:val="18"/>
      <w:szCs w:val="18"/>
    </w:rPr>
  </w:style>
  <w:style w:type="paragraph" w:styleId="13">
    <w:name w:val="footer"/>
    <w:basedOn w:val="1"/>
    <w:link w:val="45"/>
    <w:uiPriority w:val="99"/>
    <w:pPr>
      <w:tabs>
        <w:tab w:val="center" w:pos="4153"/>
        <w:tab w:val="right" w:pos="8306"/>
      </w:tabs>
      <w:snapToGrid w:val="0"/>
      <w:jc w:val="left"/>
    </w:pPr>
    <w:rPr>
      <w:rFonts w:ascii="Calibri" w:hAnsi="Calibri" w:cs="Calibri"/>
      <w:sz w:val="18"/>
      <w:szCs w:val="18"/>
    </w:rPr>
  </w:style>
  <w:style w:type="paragraph" w:styleId="14">
    <w:name w:val="header"/>
    <w:basedOn w:val="1"/>
    <w:link w:val="44"/>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15">
    <w:name w:val="Subtitle"/>
    <w:basedOn w:val="1"/>
    <w:next w:val="1"/>
    <w:link w:val="31"/>
    <w:qFormat/>
    <w:uiPriority w:val="99"/>
    <w:pPr>
      <w:widowControl/>
      <w:spacing w:after="60"/>
      <w:jc w:val="center"/>
      <w:outlineLvl w:val="1"/>
    </w:pPr>
    <w:rPr>
      <w:rFonts w:ascii="Cambria" w:hAnsi="Cambria" w:cs="Cambria"/>
      <w:kern w:val="0"/>
      <w:sz w:val="24"/>
      <w:szCs w:val="24"/>
    </w:rPr>
  </w:style>
  <w:style w:type="paragraph" w:styleId="16">
    <w:name w:val="Title"/>
    <w:basedOn w:val="1"/>
    <w:next w:val="1"/>
    <w:link w:val="30"/>
    <w:qFormat/>
    <w:uiPriority w:val="99"/>
    <w:pPr>
      <w:widowControl/>
      <w:spacing w:before="240" w:after="60"/>
      <w:jc w:val="center"/>
      <w:outlineLvl w:val="0"/>
    </w:pPr>
    <w:rPr>
      <w:rFonts w:ascii="Cambria" w:hAnsi="Cambria" w:cs="Cambria"/>
      <w:b/>
      <w:bCs/>
      <w:kern w:val="28"/>
      <w:sz w:val="32"/>
      <w:szCs w:val="32"/>
    </w:rPr>
  </w:style>
  <w:style w:type="character" w:styleId="19">
    <w:name w:val="Strong"/>
    <w:basedOn w:val="18"/>
    <w:qFormat/>
    <w:uiPriority w:val="99"/>
    <w:rPr>
      <w:b/>
      <w:bCs/>
    </w:rPr>
  </w:style>
  <w:style w:type="character" w:styleId="20">
    <w:name w:val="Emphasis"/>
    <w:basedOn w:val="18"/>
    <w:qFormat/>
    <w:uiPriority w:val="99"/>
    <w:rPr>
      <w:rFonts w:ascii="Calibri" w:hAnsi="Calibri" w:cs="Calibri"/>
      <w:b/>
      <w:bCs/>
      <w:i/>
      <w:iCs/>
    </w:rPr>
  </w:style>
  <w:style w:type="character" w:customStyle="1" w:styleId="21">
    <w:name w:val="标题 1 Char"/>
    <w:basedOn w:val="18"/>
    <w:link w:val="2"/>
    <w:qFormat/>
    <w:locked/>
    <w:uiPriority w:val="99"/>
    <w:rPr>
      <w:rFonts w:ascii="Cambria" w:hAnsi="Cambria" w:eastAsia="宋体" w:cs="Cambria"/>
      <w:b/>
      <w:bCs/>
      <w:kern w:val="32"/>
      <w:sz w:val="32"/>
      <w:szCs w:val="32"/>
    </w:rPr>
  </w:style>
  <w:style w:type="character" w:customStyle="1" w:styleId="22">
    <w:name w:val="标题 2 Char"/>
    <w:basedOn w:val="18"/>
    <w:link w:val="3"/>
    <w:semiHidden/>
    <w:locked/>
    <w:uiPriority w:val="99"/>
    <w:rPr>
      <w:rFonts w:ascii="Cambria" w:hAnsi="Cambria" w:eastAsia="宋体" w:cs="Cambria"/>
      <w:b/>
      <w:bCs/>
      <w:i/>
      <w:iCs/>
      <w:sz w:val="28"/>
      <w:szCs w:val="28"/>
    </w:rPr>
  </w:style>
  <w:style w:type="character" w:customStyle="1" w:styleId="23">
    <w:name w:val="标题 3 Char"/>
    <w:basedOn w:val="18"/>
    <w:link w:val="4"/>
    <w:semiHidden/>
    <w:locked/>
    <w:uiPriority w:val="99"/>
    <w:rPr>
      <w:rFonts w:ascii="Cambria" w:hAnsi="Cambria" w:eastAsia="宋体" w:cs="Cambria"/>
      <w:b/>
      <w:bCs/>
      <w:sz w:val="26"/>
      <w:szCs w:val="26"/>
    </w:rPr>
  </w:style>
  <w:style w:type="character" w:customStyle="1" w:styleId="24">
    <w:name w:val="标题 4 Char"/>
    <w:basedOn w:val="18"/>
    <w:link w:val="5"/>
    <w:semiHidden/>
    <w:locked/>
    <w:uiPriority w:val="99"/>
    <w:rPr>
      <w:b/>
      <w:bCs/>
      <w:sz w:val="28"/>
      <w:szCs w:val="28"/>
    </w:rPr>
  </w:style>
  <w:style w:type="character" w:customStyle="1" w:styleId="25">
    <w:name w:val="标题 5 Char"/>
    <w:basedOn w:val="18"/>
    <w:link w:val="6"/>
    <w:semiHidden/>
    <w:locked/>
    <w:uiPriority w:val="99"/>
    <w:rPr>
      <w:b/>
      <w:bCs/>
      <w:i/>
      <w:iCs/>
      <w:sz w:val="26"/>
      <w:szCs w:val="26"/>
    </w:rPr>
  </w:style>
  <w:style w:type="character" w:customStyle="1" w:styleId="26">
    <w:name w:val="标题 6 Char"/>
    <w:basedOn w:val="18"/>
    <w:link w:val="7"/>
    <w:semiHidden/>
    <w:locked/>
    <w:uiPriority w:val="99"/>
    <w:rPr>
      <w:b/>
      <w:bCs/>
    </w:rPr>
  </w:style>
  <w:style w:type="character" w:customStyle="1" w:styleId="27">
    <w:name w:val="标题 7 Char"/>
    <w:basedOn w:val="18"/>
    <w:link w:val="8"/>
    <w:semiHidden/>
    <w:locked/>
    <w:uiPriority w:val="99"/>
    <w:rPr>
      <w:sz w:val="24"/>
      <w:szCs w:val="24"/>
    </w:rPr>
  </w:style>
  <w:style w:type="character" w:customStyle="1" w:styleId="28">
    <w:name w:val="标题 8 Char"/>
    <w:basedOn w:val="18"/>
    <w:link w:val="9"/>
    <w:semiHidden/>
    <w:locked/>
    <w:uiPriority w:val="99"/>
    <w:rPr>
      <w:i/>
      <w:iCs/>
      <w:sz w:val="24"/>
      <w:szCs w:val="24"/>
    </w:rPr>
  </w:style>
  <w:style w:type="character" w:customStyle="1" w:styleId="29">
    <w:name w:val="标题 9 Char"/>
    <w:basedOn w:val="18"/>
    <w:link w:val="10"/>
    <w:semiHidden/>
    <w:locked/>
    <w:uiPriority w:val="99"/>
    <w:rPr>
      <w:rFonts w:ascii="Cambria" w:hAnsi="Cambria" w:eastAsia="宋体" w:cs="Cambria"/>
    </w:rPr>
  </w:style>
  <w:style w:type="character" w:customStyle="1" w:styleId="30">
    <w:name w:val="标题 Char"/>
    <w:basedOn w:val="18"/>
    <w:link w:val="16"/>
    <w:locked/>
    <w:uiPriority w:val="99"/>
    <w:rPr>
      <w:rFonts w:ascii="Cambria" w:hAnsi="Cambria" w:eastAsia="宋体" w:cs="Cambria"/>
      <w:b/>
      <w:bCs/>
      <w:kern w:val="28"/>
      <w:sz w:val="32"/>
      <w:szCs w:val="32"/>
    </w:rPr>
  </w:style>
  <w:style w:type="character" w:customStyle="1" w:styleId="31">
    <w:name w:val="副标题 Char"/>
    <w:basedOn w:val="18"/>
    <w:link w:val="15"/>
    <w:locked/>
    <w:uiPriority w:val="99"/>
    <w:rPr>
      <w:rFonts w:ascii="Cambria" w:hAnsi="Cambria" w:eastAsia="宋体" w:cs="Cambria"/>
      <w:sz w:val="24"/>
      <w:szCs w:val="24"/>
    </w:rPr>
  </w:style>
  <w:style w:type="paragraph" w:styleId="32">
    <w:name w:val="No Spacing"/>
    <w:basedOn w:val="1"/>
    <w:qFormat/>
    <w:uiPriority w:val="99"/>
    <w:pPr>
      <w:widowControl/>
      <w:jc w:val="left"/>
    </w:pPr>
    <w:rPr>
      <w:rFonts w:ascii="Calibri" w:hAnsi="Calibri" w:cs="Calibri"/>
      <w:kern w:val="0"/>
      <w:sz w:val="24"/>
      <w:szCs w:val="24"/>
      <w:lang w:eastAsia="en-US"/>
    </w:rPr>
  </w:style>
  <w:style w:type="paragraph" w:styleId="33">
    <w:name w:val="List Paragraph"/>
    <w:basedOn w:val="1"/>
    <w:qFormat/>
    <w:uiPriority w:val="99"/>
    <w:pPr>
      <w:widowControl/>
      <w:ind w:left="720"/>
      <w:jc w:val="left"/>
    </w:pPr>
    <w:rPr>
      <w:rFonts w:ascii="Calibri" w:hAnsi="Calibri" w:cs="Calibri"/>
      <w:kern w:val="0"/>
      <w:sz w:val="24"/>
      <w:szCs w:val="24"/>
      <w:lang w:eastAsia="en-US"/>
    </w:rPr>
  </w:style>
  <w:style w:type="paragraph" w:styleId="34">
    <w:name w:val="Quote"/>
    <w:basedOn w:val="1"/>
    <w:next w:val="1"/>
    <w:link w:val="35"/>
    <w:qFormat/>
    <w:uiPriority w:val="99"/>
    <w:pPr>
      <w:widowControl/>
      <w:jc w:val="left"/>
    </w:pPr>
    <w:rPr>
      <w:rFonts w:ascii="Calibri" w:hAnsi="Calibri" w:cs="Calibri"/>
      <w:i/>
      <w:iCs/>
      <w:kern w:val="0"/>
      <w:sz w:val="24"/>
      <w:szCs w:val="24"/>
    </w:rPr>
  </w:style>
  <w:style w:type="character" w:customStyle="1" w:styleId="35">
    <w:name w:val="引用 Char"/>
    <w:basedOn w:val="18"/>
    <w:link w:val="34"/>
    <w:locked/>
    <w:uiPriority w:val="99"/>
    <w:rPr>
      <w:i/>
      <w:iCs/>
      <w:sz w:val="24"/>
      <w:szCs w:val="24"/>
    </w:rPr>
  </w:style>
  <w:style w:type="paragraph" w:styleId="36">
    <w:name w:val="Intense Quote"/>
    <w:basedOn w:val="1"/>
    <w:next w:val="1"/>
    <w:link w:val="37"/>
    <w:qFormat/>
    <w:uiPriority w:val="99"/>
    <w:pPr>
      <w:widowControl/>
      <w:ind w:left="720" w:right="720"/>
      <w:jc w:val="left"/>
    </w:pPr>
    <w:rPr>
      <w:rFonts w:ascii="Calibri" w:hAnsi="Calibri" w:cs="Calibri"/>
      <w:b/>
      <w:bCs/>
      <w:i/>
      <w:iCs/>
      <w:kern w:val="0"/>
      <w:sz w:val="24"/>
      <w:szCs w:val="24"/>
    </w:rPr>
  </w:style>
  <w:style w:type="character" w:customStyle="1" w:styleId="37">
    <w:name w:val="明显引用 Char"/>
    <w:basedOn w:val="18"/>
    <w:link w:val="36"/>
    <w:locked/>
    <w:uiPriority w:val="99"/>
    <w:rPr>
      <w:b/>
      <w:bCs/>
      <w:i/>
      <w:iCs/>
      <w:sz w:val="24"/>
      <w:szCs w:val="24"/>
    </w:rPr>
  </w:style>
  <w:style w:type="character" w:customStyle="1" w:styleId="38">
    <w:name w:val="Subtle Emphasis"/>
    <w:basedOn w:val="18"/>
    <w:qFormat/>
    <w:uiPriority w:val="99"/>
    <w:rPr>
      <w:i/>
      <w:iCs/>
      <w:color w:val="auto"/>
    </w:rPr>
  </w:style>
  <w:style w:type="character" w:customStyle="1" w:styleId="39">
    <w:name w:val="Intense Emphasis"/>
    <w:basedOn w:val="18"/>
    <w:qFormat/>
    <w:uiPriority w:val="99"/>
    <w:rPr>
      <w:b/>
      <w:bCs/>
      <w:i/>
      <w:iCs/>
      <w:sz w:val="24"/>
      <w:szCs w:val="24"/>
      <w:u w:val="single"/>
    </w:rPr>
  </w:style>
  <w:style w:type="character" w:customStyle="1" w:styleId="40">
    <w:name w:val="Subtle Reference"/>
    <w:basedOn w:val="18"/>
    <w:qFormat/>
    <w:uiPriority w:val="99"/>
    <w:rPr>
      <w:sz w:val="24"/>
      <w:szCs w:val="24"/>
      <w:u w:val="single"/>
    </w:rPr>
  </w:style>
  <w:style w:type="character" w:customStyle="1" w:styleId="41">
    <w:name w:val="Intense Reference"/>
    <w:basedOn w:val="18"/>
    <w:qFormat/>
    <w:uiPriority w:val="99"/>
    <w:rPr>
      <w:b/>
      <w:bCs/>
      <w:sz w:val="24"/>
      <w:szCs w:val="24"/>
      <w:u w:val="single"/>
    </w:rPr>
  </w:style>
  <w:style w:type="character" w:customStyle="1" w:styleId="42">
    <w:name w:val="Book Title"/>
    <w:basedOn w:val="18"/>
    <w:qFormat/>
    <w:uiPriority w:val="99"/>
    <w:rPr>
      <w:rFonts w:ascii="Cambria" w:hAnsi="Cambria" w:eastAsia="宋体" w:cs="Cambria"/>
      <w:b/>
      <w:bCs/>
      <w:i/>
      <w:iCs/>
      <w:sz w:val="24"/>
      <w:szCs w:val="24"/>
    </w:rPr>
  </w:style>
  <w:style w:type="paragraph" w:customStyle="1" w:styleId="43">
    <w:name w:val="TOC Heading"/>
    <w:basedOn w:val="2"/>
    <w:next w:val="1"/>
    <w:qFormat/>
    <w:uiPriority w:val="99"/>
    <w:pPr>
      <w:outlineLvl w:val="9"/>
    </w:pPr>
    <w:rPr>
      <w:lang w:eastAsia="en-US"/>
    </w:rPr>
  </w:style>
  <w:style w:type="character" w:customStyle="1" w:styleId="44">
    <w:name w:val="页眉 Char"/>
    <w:basedOn w:val="18"/>
    <w:link w:val="14"/>
    <w:locked/>
    <w:uiPriority w:val="99"/>
    <w:rPr>
      <w:rFonts w:ascii="Calibri" w:hAnsi="Calibri" w:eastAsia="宋体" w:cs="Calibri"/>
      <w:kern w:val="2"/>
      <w:sz w:val="18"/>
      <w:szCs w:val="18"/>
    </w:rPr>
  </w:style>
  <w:style w:type="character" w:customStyle="1" w:styleId="45">
    <w:name w:val="页脚 Char"/>
    <w:basedOn w:val="18"/>
    <w:link w:val="13"/>
    <w:locked/>
    <w:uiPriority w:val="99"/>
    <w:rPr>
      <w:rFonts w:ascii="Calibri" w:hAnsi="Calibri" w:eastAsia="宋体" w:cs="Calibri"/>
      <w:kern w:val="2"/>
      <w:sz w:val="18"/>
      <w:szCs w:val="18"/>
    </w:rPr>
  </w:style>
  <w:style w:type="character" w:customStyle="1" w:styleId="46">
    <w:name w:val="批注框文本 Char"/>
    <w:basedOn w:val="18"/>
    <w:link w:val="12"/>
    <w:semiHidden/>
    <w:locked/>
    <w:uiPriority w:val="99"/>
    <w:rPr>
      <w:rFonts w:ascii="Times New Roman" w:hAnsi="Times New Roman" w:eastAsia="宋体" w:cs="Times New Roman"/>
      <w:kern w:val="2"/>
      <w:sz w:val="18"/>
      <w:szCs w:val="18"/>
    </w:rPr>
  </w:style>
  <w:style w:type="paragraph" w:customStyle="1" w:styleId="47">
    <w:name w:val="Char Char1 Char Char Char Char Char1 Char Char Char Char"/>
    <w:basedOn w:val="11"/>
    <w:uiPriority w:val="99"/>
  </w:style>
  <w:style w:type="character" w:customStyle="1" w:styleId="48">
    <w:name w:val="文档结构图 Char"/>
    <w:basedOn w:val="18"/>
    <w:link w:val="11"/>
    <w:semiHidden/>
    <w:locked/>
    <w:uiPriority w:val="99"/>
    <w:rPr>
      <w:rFonts w:ascii="Times New Roman" w:hAnsi="Times New Roman" w:cs="Times New Roman"/>
      <w:sz w:val="2"/>
      <w:szCs w:val="2"/>
    </w:rPr>
  </w:style>
  <w:style w:type="paragraph" w:customStyle="1" w:styleId="49">
    <w:name w:val="p15"/>
    <w:basedOn w:val="1"/>
    <w:uiPriority w:val="99"/>
    <w:pPr>
      <w:widowControl/>
    </w:pPr>
    <w:rPr>
      <w:rFonts w:ascii="宋体" w:hAnsi="宋体" w:cs="宋体"/>
      <w:kern w:val="0"/>
      <w:sz w:val="28"/>
      <w:szCs w:val="28"/>
    </w:rPr>
  </w:style>
  <w:style w:type="paragraph" w:customStyle="1" w:styleId="50">
    <w:name w:val="p0"/>
    <w:basedOn w:val="1"/>
    <w:uiPriority w:val="99"/>
    <w:pPr>
      <w:widowControl/>
      <w:jc w:val="left"/>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11</Pages>
  <Words>718</Words>
  <Characters>4097</Characters>
  <Lines>34</Lines>
  <Paragraphs>9</Paragraphs>
  <TotalTime>13</TotalTime>
  <ScaleCrop>false</ScaleCrop>
  <LinksUpToDate>false</LinksUpToDate>
  <CharactersWithSpaces>4806</CharactersWithSpaces>
  <Application>WPS Office_12.1.0.15324_F1E327BC-269C-435d-A152-05C5408002CA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2019-01-15T17:23:00Z</dcterms:created>
  <dc:creator>赵 恺（预算处）</dc:creator>
  <cp:lastModifiedBy>Qxb</cp:lastModifiedBy>
  <cp:lastPrinted>2018-12-31T10:56:00Z</cp:lastPrinted>
  <dcterms:modified xsi:type="dcterms:W3CDTF">2023-08-14T10:08:30Z</dcterms:modified>
  <dc:title>附件2：</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2052-12.1.0.15324</vt:lpwstr>
  </property>
  <property fmtid="{D5CDD505-2E9C-101B-9397-08002B2CF9AE}" pid="3" name="ICV">
    <vt:lpwstr>26AD8C930BD44E66A0CE7C64CA346DAD_12</vt:lpwstr>
  </property>
</Properties>
</file>