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A7E" w:rsidRDefault="00A66A7E">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A66A7E" w:rsidRDefault="00A66A7E">
      <w:pPr>
        <w:spacing w:line="540" w:lineRule="exact"/>
        <w:jc w:val="center"/>
        <w:rPr>
          <w:rFonts w:ascii="仿宋_GB2312" w:eastAsia="仿宋_GB2312" w:hAnsi="华文中宋" w:cs="宋体"/>
          <w:b/>
          <w:kern w:val="0"/>
          <w:sz w:val="52"/>
          <w:szCs w:val="52"/>
        </w:rPr>
      </w:pPr>
    </w:p>
    <w:p w:rsidR="00A66A7E" w:rsidRDefault="00A66A7E">
      <w:pPr>
        <w:spacing w:line="540" w:lineRule="exact"/>
        <w:jc w:val="center"/>
        <w:rPr>
          <w:rFonts w:ascii="仿宋_GB2312" w:eastAsia="仿宋_GB2312" w:hAnsi="华文中宋" w:cs="宋体"/>
          <w:b/>
          <w:kern w:val="0"/>
          <w:sz w:val="52"/>
          <w:szCs w:val="52"/>
        </w:rPr>
      </w:pPr>
    </w:p>
    <w:p w:rsidR="00A66A7E" w:rsidRDefault="00A66A7E">
      <w:pPr>
        <w:spacing w:line="540" w:lineRule="exact"/>
        <w:jc w:val="center"/>
        <w:rPr>
          <w:rFonts w:ascii="仿宋_GB2312" w:eastAsia="仿宋_GB2312" w:hAnsi="华文中宋" w:cs="宋体"/>
          <w:b/>
          <w:kern w:val="0"/>
          <w:sz w:val="52"/>
          <w:szCs w:val="52"/>
        </w:rPr>
      </w:pPr>
    </w:p>
    <w:p w:rsidR="00A66A7E" w:rsidRDefault="00A66A7E">
      <w:pPr>
        <w:spacing w:line="540" w:lineRule="exact"/>
        <w:jc w:val="center"/>
        <w:rPr>
          <w:rFonts w:ascii="仿宋_GB2312" w:eastAsia="仿宋_GB2312" w:hAnsi="华文中宋" w:cs="宋体"/>
          <w:b/>
          <w:kern w:val="0"/>
          <w:sz w:val="52"/>
          <w:szCs w:val="52"/>
        </w:rPr>
      </w:pPr>
    </w:p>
    <w:p w:rsidR="00A66A7E" w:rsidRDefault="00A66A7E">
      <w:pPr>
        <w:spacing w:line="540" w:lineRule="exact"/>
        <w:jc w:val="center"/>
        <w:rPr>
          <w:rFonts w:ascii="仿宋_GB2312" w:eastAsia="仿宋_GB2312" w:hAnsi="华文中宋" w:cs="宋体"/>
          <w:b/>
          <w:kern w:val="0"/>
          <w:sz w:val="52"/>
          <w:szCs w:val="52"/>
        </w:rPr>
      </w:pPr>
    </w:p>
    <w:p w:rsidR="00A66A7E" w:rsidRDefault="00A66A7E">
      <w:pPr>
        <w:spacing w:line="540" w:lineRule="exact"/>
        <w:jc w:val="center"/>
        <w:rPr>
          <w:rFonts w:ascii="仿宋_GB2312" w:eastAsia="仿宋_GB2312" w:hAnsi="华文中宋" w:cs="宋体"/>
          <w:b/>
          <w:kern w:val="0"/>
          <w:sz w:val="52"/>
          <w:szCs w:val="52"/>
        </w:rPr>
      </w:pPr>
    </w:p>
    <w:p w:rsidR="00A66A7E" w:rsidRDefault="00A66A7E">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巴州第一中学铁艺围栏建设项目支出绩效自评报告</w:t>
      </w:r>
    </w:p>
    <w:p w:rsidR="00A66A7E" w:rsidRDefault="00A66A7E">
      <w:pPr>
        <w:spacing w:line="540" w:lineRule="exact"/>
        <w:jc w:val="center"/>
        <w:rPr>
          <w:rFonts w:ascii="仿宋_GB2312" w:eastAsia="仿宋_GB2312" w:hAnsi="华文中宋" w:cs="宋体"/>
          <w:b/>
          <w:kern w:val="0"/>
          <w:sz w:val="52"/>
          <w:szCs w:val="52"/>
        </w:rPr>
      </w:pPr>
    </w:p>
    <w:p w:rsidR="00A66A7E" w:rsidRDefault="00A66A7E">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2018</w:t>
      </w:r>
      <w:r>
        <w:rPr>
          <w:rFonts w:ascii="仿宋_GB2312" w:eastAsia="仿宋_GB2312" w:hAnsi="宋体" w:cs="宋体" w:hint="eastAsia"/>
          <w:kern w:val="0"/>
          <w:sz w:val="36"/>
          <w:szCs w:val="36"/>
        </w:rPr>
        <w:t>年度）</w:t>
      </w:r>
    </w:p>
    <w:p w:rsidR="00A66A7E" w:rsidRDefault="00A66A7E">
      <w:pPr>
        <w:spacing w:line="540" w:lineRule="exact"/>
        <w:jc w:val="center"/>
        <w:rPr>
          <w:rFonts w:ascii="仿宋_GB2312" w:eastAsia="仿宋_GB2312" w:hAnsi="宋体" w:cs="宋体"/>
          <w:kern w:val="0"/>
          <w:sz w:val="30"/>
          <w:szCs w:val="30"/>
        </w:rPr>
      </w:pPr>
    </w:p>
    <w:p w:rsidR="00A66A7E" w:rsidRDefault="00A66A7E">
      <w:pPr>
        <w:spacing w:line="540" w:lineRule="exact"/>
        <w:jc w:val="center"/>
        <w:rPr>
          <w:rFonts w:ascii="仿宋_GB2312" w:eastAsia="仿宋_GB2312" w:hAnsi="宋体" w:cs="宋体"/>
          <w:kern w:val="0"/>
          <w:sz w:val="30"/>
          <w:szCs w:val="30"/>
        </w:rPr>
      </w:pPr>
    </w:p>
    <w:p w:rsidR="00A66A7E" w:rsidRDefault="00A66A7E">
      <w:pPr>
        <w:spacing w:line="540" w:lineRule="exact"/>
        <w:jc w:val="center"/>
        <w:rPr>
          <w:rFonts w:ascii="仿宋_GB2312" w:eastAsia="仿宋_GB2312" w:hAnsi="宋体" w:cs="宋体"/>
          <w:kern w:val="0"/>
          <w:sz w:val="30"/>
          <w:szCs w:val="30"/>
        </w:rPr>
      </w:pPr>
    </w:p>
    <w:p w:rsidR="00A66A7E" w:rsidRDefault="00A66A7E">
      <w:pPr>
        <w:spacing w:line="540" w:lineRule="exact"/>
        <w:jc w:val="center"/>
        <w:rPr>
          <w:rFonts w:ascii="仿宋_GB2312" w:eastAsia="仿宋_GB2312" w:hAnsi="宋体" w:cs="宋体"/>
          <w:kern w:val="0"/>
          <w:sz w:val="30"/>
          <w:szCs w:val="30"/>
        </w:rPr>
      </w:pPr>
    </w:p>
    <w:p w:rsidR="00A66A7E" w:rsidRDefault="00A66A7E">
      <w:pPr>
        <w:spacing w:line="540" w:lineRule="exact"/>
        <w:jc w:val="center"/>
        <w:rPr>
          <w:rFonts w:ascii="仿宋_GB2312" w:eastAsia="仿宋_GB2312" w:hAnsi="宋体" w:cs="宋体"/>
          <w:kern w:val="0"/>
          <w:sz w:val="30"/>
          <w:szCs w:val="30"/>
        </w:rPr>
      </w:pPr>
    </w:p>
    <w:p w:rsidR="00A66A7E" w:rsidRDefault="00A66A7E">
      <w:pPr>
        <w:spacing w:line="540" w:lineRule="exact"/>
        <w:rPr>
          <w:rFonts w:ascii="仿宋_GB2312" w:eastAsia="仿宋_GB2312" w:hAnsi="宋体" w:cs="宋体"/>
          <w:kern w:val="0"/>
          <w:sz w:val="30"/>
          <w:szCs w:val="30"/>
        </w:rPr>
      </w:pPr>
    </w:p>
    <w:p w:rsidR="00A66A7E" w:rsidRDefault="00A66A7E" w:rsidP="00A65557">
      <w:pPr>
        <w:spacing w:line="700" w:lineRule="exact"/>
        <w:ind w:firstLineChars="250"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项目名称：铁艺围栏建设</w:t>
      </w:r>
    </w:p>
    <w:p w:rsidR="00A66A7E" w:rsidRDefault="00A66A7E" w:rsidP="00A65557">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实施单位（公章）：巴州第一中学</w:t>
      </w:r>
    </w:p>
    <w:p w:rsidR="00A66A7E" w:rsidRDefault="00A66A7E" w:rsidP="00A65557">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主管部门（公章）：巴州教育局</w:t>
      </w:r>
    </w:p>
    <w:p w:rsidR="00A66A7E" w:rsidRDefault="00A66A7E" w:rsidP="00A65557">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项目负责人（签章）：汉林</w:t>
      </w:r>
    </w:p>
    <w:p w:rsidR="00A66A7E" w:rsidRDefault="00A66A7E" w:rsidP="00A65557">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smartTag w:uri="urn:schemas-microsoft-com:office:smarttags" w:element="chsdate">
        <w:smartTagPr>
          <w:attr w:name="IsROCDate" w:val="False"/>
          <w:attr w:name="IsLunarDate" w:val="False"/>
          <w:attr w:name="Day" w:val="16"/>
          <w:attr w:name="Month" w:val="1"/>
          <w:attr w:name="Year" w:val="2018"/>
        </w:smartTagPr>
        <w:r>
          <w:rPr>
            <w:rFonts w:ascii="仿宋_GB2312" w:eastAsia="仿宋_GB2312" w:hAnsi="宋体" w:cs="宋体"/>
            <w:kern w:val="0"/>
            <w:sz w:val="36"/>
            <w:szCs w:val="36"/>
          </w:rPr>
          <w:t>2018</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16</w:t>
        </w:r>
        <w:r>
          <w:rPr>
            <w:rFonts w:ascii="仿宋_GB2312" w:eastAsia="仿宋_GB2312" w:hAnsi="宋体" w:cs="宋体" w:hint="eastAsia"/>
            <w:kern w:val="0"/>
            <w:sz w:val="36"/>
            <w:szCs w:val="36"/>
          </w:rPr>
          <w:t>日</w:t>
        </w:r>
      </w:smartTag>
    </w:p>
    <w:p w:rsidR="00A66A7E" w:rsidRDefault="00A66A7E">
      <w:pPr>
        <w:spacing w:line="540" w:lineRule="exact"/>
        <w:jc w:val="center"/>
        <w:rPr>
          <w:rFonts w:ascii="仿宋_GB2312" w:eastAsia="仿宋_GB2312" w:hAnsi="宋体" w:cs="宋体"/>
          <w:kern w:val="0"/>
          <w:sz w:val="30"/>
          <w:szCs w:val="30"/>
        </w:rPr>
      </w:pPr>
    </w:p>
    <w:p w:rsidR="00A66A7E" w:rsidRDefault="00A66A7E">
      <w:pPr>
        <w:spacing w:line="540" w:lineRule="exact"/>
        <w:rPr>
          <w:rStyle w:val="Strong"/>
          <w:rFonts w:ascii="仿宋_GB2312" w:eastAsia="仿宋_GB2312" w:hAnsi="黑体"/>
          <w:b w:val="0"/>
          <w:spacing w:val="-4"/>
          <w:sz w:val="32"/>
          <w:szCs w:val="32"/>
        </w:rPr>
      </w:pPr>
    </w:p>
    <w:p w:rsidR="00A66A7E" w:rsidRDefault="00A66A7E">
      <w:pPr>
        <w:spacing w:line="540" w:lineRule="exact"/>
        <w:ind w:firstLine="64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一、项目概况</w:t>
      </w:r>
    </w:p>
    <w:p w:rsidR="00A66A7E" w:rsidRDefault="00A66A7E">
      <w:pPr>
        <w:spacing w:line="54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（一）项目单位基本情况</w:t>
      </w:r>
    </w:p>
    <w:p w:rsidR="00A66A7E" w:rsidRDefault="00A66A7E">
      <w:pPr>
        <w:spacing w:line="54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巴州第一中学是自治州最大的一所民汉合校学校，分为南北两个校区，是一所以高中教育为主体，兼有初中义务阶段教育的自治州级重点中学，主要从事国语教育，促进基础教育发展、英语示范教育及社会相关服务。</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（二）项目预算绩效目标设定情况</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该项目</w:t>
      </w:r>
      <w:r>
        <w:rPr>
          <w:rStyle w:val="Strong"/>
          <w:rFonts w:ascii="仿宋_GB2312" w:eastAsia="仿宋_GB2312" w:hAnsi="仿宋"/>
          <w:b w:val="0"/>
          <w:spacing w:val="-4"/>
          <w:sz w:val="32"/>
          <w:szCs w:val="32"/>
        </w:rPr>
        <w:t>2018</w:t>
      </w:r>
      <w:r>
        <w:rPr>
          <w:rStyle w:val="Strong"/>
          <w:rFonts w:ascii="仿宋_GB2312" w:eastAsia="仿宋_GB2312" w:hAnsi="仿宋" w:hint="eastAsia"/>
          <w:b w:val="0"/>
          <w:spacing w:val="-4"/>
          <w:sz w:val="32"/>
          <w:szCs w:val="32"/>
        </w:rPr>
        <w:t>年财政拨付资金</w:t>
      </w:r>
      <w:r>
        <w:rPr>
          <w:rStyle w:val="Strong"/>
          <w:rFonts w:ascii="仿宋_GB2312" w:eastAsia="仿宋_GB2312" w:hAnsi="仿宋"/>
          <w:b w:val="0"/>
          <w:spacing w:val="-4"/>
          <w:sz w:val="32"/>
          <w:szCs w:val="32"/>
        </w:rPr>
        <w:t>39,000.00</w:t>
      </w:r>
      <w:r>
        <w:rPr>
          <w:rStyle w:val="Strong"/>
          <w:rFonts w:ascii="仿宋_GB2312" w:eastAsia="仿宋_GB2312" w:hAnsi="仿宋" w:hint="eastAsia"/>
          <w:b w:val="0"/>
          <w:spacing w:val="-4"/>
          <w:sz w:val="32"/>
          <w:szCs w:val="32"/>
        </w:rPr>
        <w:t>元，到年底已经全部支出完毕，由于学校在教育、公安、消防联合检查中提出学校的铁艺电子围栏较低，学校存在安全隐患，需要整改。按照要求，学校对校园的铁艺电子围栏进行了增高改造，达到了整改要求，也进一步提高的学校安全措施，保障了校园安全，为师生员工提供了安全的教书育人的环境。。</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二、项目资金使用及管理情况</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（一）项目资金安排落实、总投入等情况分析</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该项目使用财政资金，投入</w:t>
      </w:r>
      <w:r>
        <w:rPr>
          <w:rStyle w:val="Strong"/>
          <w:rFonts w:ascii="仿宋_GB2312" w:eastAsia="仿宋_GB2312" w:hAnsi="仿宋"/>
          <w:b w:val="0"/>
          <w:spacing w:val="-4"/>
          <w:sz w:val="32"/>
          <w:szCs w:val="32"/>
        </w:rPr>
        <w:t>39,000.00</w:t>
      </w:r>
      <w:r>
        <w:rPr>
          <w:rStyle w:val="Strong"/>
          <w:rFonts w:ascii="仿宋_GB2312" w:eastAsia="仿宋_GB2312" w:hAnsi="仿宋" w:hint="eastAsia"/>
          <w:b w:val="0"/>
          <w:spacing w:val="-4"/>
          <w:sz w:val="32"/>
          <w:szCs w:val="32"/>
        </w:rPr>
        <w:t>元</w:t>
      </w:r>
      <w:r>
        <w:rPr>
          <w:rStyle w:val="Strong"/>
          <w:rFonts w:ascii="仿宋_GB2312" w:eastAsia="仿宋_GB2312" w:hAnsi="仿宋"/>
          <w:b w:val="0"/>
          <w:spacing w:val="-4"/>
          <w:sz w:val="32"/>
          <w:szCs w:val="32"/>
        </w:rPr>
        <w:t>,</w:t>
      </w:r>
      <w:r>
        <w:rPr>
          <w:rStyle w:val="Strong"/>
          <w:rFonts w:ascii="仿宋_GB2312" w:eastAsia="仿宋_GB2312" w:hAnsi="仿宋" w:hint="eastAsia"/>
          <w:b w:val="0"/>
          <w:spacing w:val="-4"/>
          <w:sz w:val="32"/>
          <w:szCs w:val="32"/>
        </w:rPr>
        <w:t>按照项目要求进度严格项目管理，该项目实施完毕后，支付资金</w:t>
      </w:r>
      <w:r>
        <w:rPr>
          <w:rStyle w:val="Strong"/>
          <w:rFonts w:ascii="仿宋_GB2312" w:eastAsia="仿宋_GB2312" w:hAnsi="仿宋"/>
          <w:b w:val="0"/>
          <w:spacing w:val="-4"/>
          <w:sz w:val="32"/>
          <w:szCs w:val="32"/>
        </w:rPr>
        <w:t>39,000.00</w:t>
      </w:r>
      <w:r>
        <w:rPr>
          <w:rStyle w:val="Strong"/>
          <w:rFonts w:ascii="仿宋_GB2312" w:eastAsia="仿宋_GB2312" w:hAnsi="仿宋" w:hint="eastAsia"/>
          <w:b w:val="0"/>
          <w:spacing w:val="-4"/>
          <w:sz w:val="32"/>
          <w:szCs w:val="32"/>
        </w:rPr>
        <w:t>元。</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（二）项目资金实际使用情况分析</w:t>
      </w:r>
    </w:p>
    <w:p w:rsidR="00A66A7E" w:rsidRDefault="00A66A7E" w:rsidP="00A65557">
      <w:pPr>
        <w:spacing w:line="540" w:lineRule="exact"/>
        <w:ind w:firstLineChars="200"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按照学校保卫部门提出需要购置安装的铁艺电子围栏设备，有学校招投标采购领导小组和校领导进行审批后，实施采购，严格按照该项目的资金使用情况进行审批，对投入的</w:t>
      </w:r>
      <w:r>
        <w:rPr>
          <w:rStyle w:val="Strong"/>
          <w:rFonts w:ascii="仿宋_GB2312" w:eastAsia="仿宋_GB2312" w:hAnsi="仿宋"/>
          <w:b w:val="0"/>
          <w:spacing w:val="-4"/>
          <w:sz w:val="32"/>
          <w:szCs w:val="32"/>
        </w:rPr>
        <w:t>39,000.00</w:t>
      </w:r>
      <w:r>
        <w:rPr>
          <w:rStyle w:val="Strong"/>
          <w:rFonts w:ascii="仿宋_GB2312" w:eastAsia="仿宋_GB2312" w:hAnsi="仿宋" w:hint="eastAsia"/>
          <w:b w:val="0"/>
          <w:spacing w:val="-4"/>
          <w:sz w:val="32"/>
          <w:szCs w:val="32"/>
        </w:rPr>
        <w:t>元安防资金，按照校园安防所需分批实施采购。</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（三）项目资金管理情况分析</w:t>
      </w:r>
    </w:p>
    <w:p w:rsidR="00A66A7E" w:rsidRDefault="00A66A7E" w:rsidP="00A65557">
      <w:pPr>
        <w:spacing w:line="540" w:lineRule="exact"/>
        <w:ind w:firstLineChars="200"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该项目通过州采购办同意后分散采购，该项目资金的使用符合国家财经法规和财务管理制度以及有关专项资金管理办法的规定，资金的拨付有完整的审批程序和手续。</w:t>
      </w:r>
    </w:p>
    <w:p w:rsidR="00A66A7E" w:rsidRDefault="00A66A7E">
      <w:pPr>
        <w:spacing w:line="540" w:lineRule="exact"/>
        <w:ind w:firstLine="64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三、项目组织实施情况</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（一）项目组织情况分析</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学校招投标采购领导小组和校领导进行审批后，实施采购，采购完毕后，南北区保卫科及相关人员进行验收合格后，在进行支付采购款。</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（二）项目管理情况分析</w:t>
      </w:r>
    </w:p>
    <w:p w:rsidR="00A66A7E" w:rsidRDefault="00A66A7E" w:rsidP="00A65557">
      <w:pPr>
        <w:spacing w:line="540" w:lineRule="exact"/>
        <w:ind w:firstLineChars="200"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该项目的实施，从审批到采购到安装以及运行调试和验收，按照谁使用、谁负责的原则，安排专人负责管理。</w:t>
      </w:r>
    </w:p>
    <w:p w:rsidR="00A66A7E" w:rsidRDefault="00A66A7E">
      <w:pPr>
        <w:spacing w:line="540" w:lineRule="exact"/>
        <w:ind w:firstLine="64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四、项目绩效情况</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（一）项目绩效目标完成情况分析</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该项目的实施极大的改善了我校校园的安全稳定，为学生和教师提供了一个良好的学习和办公的安全环境，得到社会和家长的好评。</w:t>
      </w:r>
    </w:p>
    <w:p w:rsidR="00A66A7E" w:rsidRDefault="00A66A7E">
      <w:pPr>
        <w:spacing w:line="540" w:lineRule="exact"/>
        <w:ind w:firstLine="64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五、其他需要说明的问题</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（一）后续工作计划</w:t>
      </w:r>
    </w:p>
    <w:p w:rsidR="00A66A7E" w:rsidRDefault="00A66A7E" w:rsidP="00A65557">
      <w:pPr>
        <w:spacing w:line="540" w:lineRule="exact"/>
        <w:ind w:firstLineChars="181" w:firstLine="3168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按照上级部门要求，安全工作是重中之重，时刻不能放松，为了确保校园安全稳定，学校制定了一系列维护校园安全稳定的计划，确保学校安全稳定工作万无一失。</w:t>
      </w:r>
    </w:p>
    <w:p w:rsidR="00A66A7E" w:rsidRDefault="00A66A7E">
      <w:pPr>
        <w:spacing w:line="540" w:lineRule="exact"/>
        <w:ind w:firstLine="64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六、项目评价工作情况</w:t>
      </w:r>
    </w:p>
    <w:p w:rsidR="00A66A7E" w:rsidRDefault="00A66A7E">
      <w:pPr>
        <w:spacing w:line="540" w:lineRule="exact"/>
        <w:ind w:firstLine="64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该项目实施完毕后，学校组织财务、保卫、总务相关业务科室负责人对该项目的实施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A66A7E" w:rsidRDefault="00A66A7E">
      <w:pPr>
        <w:spacing w:line="540" w:lineRule="exact"/>
        <w:ind w:firstLine="640"/>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七、附表</w:t>
      </w:r>
    </w:p>
    <w:p w:rsidR="00A66A7E" w:rsidRDefault="00A66A7E">
      <w:pPr>
        <w:spacing w:line="54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《巴州第一中学项目支出绩效自评表》</w:t>
      </w:r>
    </w:p>
    <w:p w:rsidR="00A66A7E" w:rsidRDefault="00A66A7E">
      <w:pPr>
        <w:spacing w:line="540" w:lineRule="exact"/>
        <w:ind w:firstLine="567"/>
        <w:rPr>
          <w:rStyle w:val="Strong"/>
          <w:rFonts w:ascii="仿宋_GB2312" w:eastAsia="仿宋_GB2312" w:hAnsi="仿宋"/>
          <w:b w:val="0"/>
          <w:spacing w:val="-4"/>
          <w:sz w:val="32"/>
          <w:szCs w:val="32"/>
        </w:rPr>
      </w:pPr>
    </w:p>
    <w:p w:rsidR="00A66A7E" w:rsidRDefault="00A66A7E">
      <w:pPr>
        <w:spacing w:line="540" w:lineRule="exact"/>
        <w:ind w:firstLine="567"/>
        <w:rPr>
          <w:rStyle w:val="Strong"/>
          <w:rFonts w:ascii="仿宋_GB2312" w:eastAsia="仿宋_GB2312" w:hAnsi="仿宋"/>
          <w:b w:val="0"/>
          <w:spacing w:val="-4"/>
          <w:sz w:val="32"/>
          <w:szCs w:val="32"/>
        </w:rPr>
      </w:pPr>
    </w:p>
    <w:p w:rsidR="00A66A7E" w:rsidRDefault="00A66A7E">
      <w:pPr>
        <w:spacing w:line="540" w:lineRule="exact"/>
        <w:ind w:firstLine="567"/>
        <w:rPr>
          <w:rStyle w:val="Strong"/>
          <w:rFonts w:ascii="仿宋_GB2312" w:eastAsia="仿宋_GB2312" w:hAnsi="仿宋"/>
          <w:b w:val="0"/>
          <w:spacing w:val="-4"/>
          <w:sz w:val="32"/>
          <w:szCs w:val="32"/>
        </w:rPr>
      </w:pPr>
    </w:p>
    <w:tbl>
      <w:tblPr>
        <w:tblW w:w="9020" w:type="dxa"/>
        <w:tblInd w:w="93" w:type="dxa"/>
        <w:tblLayout w:type="fixed"/>
        <w:tblLook w:val="00A0"/>
      </w:tblPr>
      <w:tblGrid>
        <w:gridCol w:w="720"/>
        <w:gridCol w:w="1140"/>
        <w:gridCol w:w="1360"/>
        <w:gridCol w:w="1080"/>
        <w:gridCol w:w="880"/>
        <w:gridCol w:w="2060"/>
        <w:gridCol w:w="1780"/>
      </w:tblGrid>
      <w:tr w:rsidR="00A66A7E">
        <w:trPr>
          <w:trHeight w:val="405"/>
        </w:trPr>
        <w:tc>
          <w:tcPr>
            <w:tcW w:w="9020" w:type="dxa"/>
            <w:gridSpan w:val="7"/>
            <w:tcBorders>
              <w:top w:val="nil"/>
              <w:left w:val="nil"/>
              <w:bottom w:val="nil"/>
              <w:right w:val="nil"/>
            </w:tcBorders>
            <w:vAlign w:val="center"/>
          </w:tcPr>
          <w:p w:rsidR="00A66A7E" w:rsidRDefault="00A66A7E">
            <w:pPr>
              <w:widowControl/>
              <w:jc w:val="center"/>
              <w:rPr>
                <w:rFonts w:ascii="仿宋_GB2312" w:eastAsia="仿宋_GB2312" w:cs="宋体"/>
                <w:b/>
                <w:bCs/>
                <w:kern w:val="0"/>
                <w:sz w:val="32"/>
                <w:szCs w:val="32"/>
              </w:rPr>
            </w:pPr>
            <w:r>
              <w:rPr>
                <w:rFonts w:ascii="仿宋_GB2312" w:eastAsia="仿宋_GB2312" w:hAnsi="宋体" w:cs="宋体" w:hint="eastAsia"/>
                <w:b/>
                <w:bCs/>
                <w:kern w:val="0"/>
                <w:sz w:val="32"/>
                <w:szCs w:val="32"/>
                <w:u w:val="single"/>
              </w:rPr>
              <w:t>巴州第一中学</w:t>
            </w:r>
            <w:r>
              <w:rPr>
                <w:rFonts w:ascii="仿宋_GB2312" w:eastAsia="仿宋_GB2312" w:hAnsi="宋体" w:cs="宋体" w:hint="eastAsia"/>
                <w:b/>
                <w:bCs/>
                <w:kern w:val="0"/>
                <w:sz w:val="32"/>
                <w:szCs w:val="32"/>
              </w:rPr>
              <w:t>项目支出绩效自评表</w:t>
            </w:r>
          </w:p>
        </w:tc>
      </w:tr>
      <w:tr w:rsidR="00A66A7E">
        <w:trPr>
          <w:trHeight w:val="285"/>
        </w:trPr>
        <w:tc>
          <w:tcPr>
            <w:tcW w:w="9020" w:type="dxa"/>
            <w:gridSpan w:val="7"/>
            <w:tcBorders>
              <w:top w:val="nil"/>
              <w:left w:val="nil"/>
              <w:bottom w:val="nil"/>
              <w:right w:val="nil"/>
            </w:tcBorders>
            <w:vAlign w:val="center"/>
          </w:tcPr>
          <w:p w:rsidR="00A66A7E" w:rsidRDefault="00A66A7E">
            <w:pPr>
              <w:widowControl/>
              <w:jc w:val="center"/>
              <w:rPr>
                <w:rFonts w:ascii="仿宋_GB2312" w:eastAsia="仿宋_GB2312" w:cs="宋体"/>
                <w:kern w:val="0"/>
                <w:sz w:val="24"/>
              </w:rPr>
            </w:pPr>
            <w:r>
              <w:rPr>
                <w:rFonts w:ascii="仿宋_GB2312" w:eastAsia="仿宋_GB2312" w:hAnsi="宋体" w:cs="宋体" w:hint="eastAsia"/>
                <w:kern w:val="0"/>
                <w:sz w:val="24"/>
              </w:rPr>
              <w:t>（</w:t>
            </w:r>
            <w:r>
              <w:rPr>
                <w:rFonts w:ascii="仿宋_GB2312" w:eastAsia="仿宋_GB2312" w:hAnsi="宋体" w:cs="宋体"/>
                <w:kern w:val="0"/>
                <w:sz w:val="24"/>
              </w:rPr>
              <w:t>2018</w:t>
            </w:r>
            <w:r>
              <w:rPr>
                <w:rFonts w:ascii="仿宋_GB2312" w:eastAsia="仿宋_GB2312" w:hAnsi="宋体" w:cs="宋体" w:hint="eastAsia"/>
                <w:kern w:val="0"/>
                <w:sz w:val="24"/>
              </w:rPr>
              <w:t>年度）</w:t>
            </w:r>
          </w:p>
        </w:tc>
      </w:tr>
      <w:tr w:rsidR="00A66A7E">
        <w:trPr>
          <w:trHeight w:val="285"/>
        </w:trPr>
        <w:tc>
          <w:tcPr>
            <w:tcW w:w="720" w:type="dxa"/>
            <w:tcBorders>
              <w:top w:val="nil"/>
              <w:left w:val="nil"/>
              <w:bottom w:val="nil"/>
              <w:right w:val="nil"/>
            </w:tcBorders>
            <w:vAlign w:val="center"/>
          </w:tcPr>
          <w:p w:rsidR="00A66A7E" w:rsidRDefault="00A66A7E">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rsidR="00A66A7E" w:rsidRDefault="00A66A7E">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rsidR="00A66A7E" w:rsidRDefault="00A66A7E">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rsidR="00A66A7E" w:rsidRDefault="00A66A7E">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rsidR="00A66A7E" w:rsidRDefault="00A66A7E">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rsidR="00A66A7E" w:rsidRDefault="00A66A7E">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rsidR="00A66A7E" w:rsidRDefault="00A66A7E">
            <w:pPr>
              <w:widowControl/>
              <w:jc w:val="center"/>
              <w:rPr>
                <w:rFonts w:ascii="仿宋_GB2312" w:eastAsia="仿宋_GB2312" w:cs="宋体"/>
                <w:kern w:val="0"/>
                <w:sz w:val="24"/>
              </w:rPr>
            </w:pPr>
          </w:p>
        </w:tc>
      </w:tr>
      <w:tr w:rsidR="00A66A7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sidRPr="009924BA">
              <w:rPr>
                <w:rFonts w:ascii="仿宋_GB2312" w:eastAsia="仿宋_GB2312" w:hAnsi="宋体" w:cs="宋体" w:hint="eastAsia"/>
                <w:kern w:val="0"/>
                <w:sz w:val="20"/>
                <w:szCs w:val="20"/>
              </w:rPr>
              <w:t>铁艺围栏建设</w:t>
            </w:r>
            <w:r>
              <w:rPr>
                <w:rFonts w:ascii="仿宋_GB2312" w:eastAsia="仿宋_GB2312" w:hAnsi="宋体" w:cs="宋体" w:hint="eastAsia"/>
                <w:kern w:val="0"/>
                <w:sz w:val="20"/>
                <w:szCs w:val="20"/>
              </w:rPr>
              <w:t xml:space="preserve">　</w:t>
            </w:r>
          </w:p>
        </w:tc>
      </w:tr>
      <w:tr w:rsidR="00A66A7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巴州第一中学　</w:t>
            </w:r>
          </w:p>
        </w:tc>
      </w:tr>
      <w:tr w:rsidR="00A66A7E">
        <w:trPr>
          <w:trHeight w:val="465"/>
        </w:trPr>
        <w:tc>
          <w:tcPr>
            <w:tcW w:w="720" w:type="dxa"/>
            <w:vMerge w:val="restart"/>
            <w:tcBorders>
              <w:top w:val="nil"/>
              <w:left w:val="single" w:sz="4" w:space="0" w:color="auto"/>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预算</w:t>
            </w:r>
            <w:r>
              <w:rPr>
                <w:rFonts w:ascii="仿宋_GB2312" w:eastAsia="仿宋_GB2312" w:cs="宋体"/>
                <w:kern w:val="0"/>
                <w:sz w:val="20"/>
                <w:szCs w:val="20"/>
              </w:rPr>
              <w:br/>
            </w:r>
            <w:r>
              <w:rPr>
                <w:rFonts w:ascii="仿宋_GB2312" w:eastAsia="仿宋_GB2312" w:hAnsi="宋体" w:cs="宋体" w:hint="eastAsia"/>
                <w:kern w:val="0"/>
                <w:sz w:val="20"/>
                <w:szCs w:val="20"/>
              </w:rPr>
              <w:t>执行</w:t>
            </w:r>
            <w:r>
              <w:rPr>
                <w:rFonts w:ascii="仿宋_GB2312" w:eastAsia="仿宋_GB2312" w:cs="宋体"/>
                <w:kern w:val="0"/>
                <w:sz w:val="20"/>
                <w:szCs w:val="20"/>
              </w:rPr>
              <w:br/>
            </w:r>
            <w:r>
              <w:rPr>
                <w:rFonts w:ascii="仿宋_GB2312" w:eastAsia="仿宋_GB2312" w:hAnsi="宋体" w:cs="宋体" w:hint="eastAsia"/>
                <w:kern w:val="0"/>
                <w:sz w:val="20"/>
                <w:szCs w:val="20"/>
              </w:rPr>
              <w:t>情况</w:t>
            </w:r>
            <w:r>
              <w:rPr>
                <w:rFonts w:ascii="仿宋_GB2312" w:eastAsia="仿宋_GB2312" w:cs="宋体"/>
                <w:kern w:val="0"/>
                <w:sz w:val="20"/>
                <w:szCs w:val="20"/>
              </w:rPr>
              <w:br/>
            </w:r>
            <w:r>
              <w:rPr>
                <w:rFonts w:ascii="仿宋_GB2312" w:eastAsia="仿宋_GB2312"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A66A7E" w:rsidRDefault="00A66A7E">
            <w:pPr>
              <w:widowControl/>
              <w:jc w:val="center"/>
              <w:rPr>
                <w:rFonts w:ascii="仿宋_GB2312" w:eastAsia="仿宋_GB2312" w:cs="宋体"/>
                <w:kern w:val="0"/>
                <w:sz w:val="22"/>
                <w:szCs w:val="22"/>
              </w:rPr>
            </w:pPr>
            <w:r>
              <w:rPr>
                <w:rFonts w:hAnsi="宋体" w:cs="宋体"/>
                <w:kern w:val="0"/>
                <w:sz w:val="22"/>
                <w:szCs w:val="22"/>
              </w:rPr>
              <w:t>3.9</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A66A7E" w:rsidRDefault="00A66A7E">
            <w:pPr>
              <w:widowControl/>
              <w:jc w:val="right"/>
              <w:rPr>
                <w:rFonts w:ascii="仿宋_GB2312" w:eastAsia="仿宋_GB2312" w:cs="宋体"/>
                <w:kern w:val="0"/>
                <w:sz w:val="20"/>
                <w:szCs w:val="20"/>
              </w:rPr>
            </w:pPr>
            <w:r>
              <w:rPr>
                <w:rFonts w:hAnsi="宋体" w:cs="宋体"/>
                <w:kern w:val="0"/>
                <w:sz w:val="22"/>
                <w:szCs w:val="22"/>
              </w:rPr>
              <w:t>3.9</w:t>
            </w:r>
            <w:r>
              <w:rPr>
                <w:rFonts w:ascii="仿宋_GB2312" w:eastAsia="仿宋_GB2312" w:hAnsi="宋体" w:cs="宋体" w:hint="eastAsia"/>
                <w:kern w:val="0"/>
                <w:sz w:val="20"/>
                <w:szCs w:val="20"/>
              </w:rPr>
              <w:t xml:space="preserve">　</w:t>
            </w:r>
          </w:p>
        </w:tc>
      </w:tr>
      <w:tr w:rsidR="00A66A7E">
        <w:trPr>
          <w:trHeight w:val="509"/>
        </w:trPr>
        <w:tc>
          <w:tcPr>
            <w:tcW w:w="72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A66A7E" w:rsidRDefault="00A66A7E">
            <w:pPr>
              <w:widowControl/>
              <w:jc w:val="center"/>
              <w:rPr>
                <w:rFonts w:ascii="仿宋_GB2312" w:eastAsia="仿宋_GB2312" w:cs="宋体"/>
                <w:kern w:val="0"/>
                <w:sz w:val="20"/>
                <w:szCs w:val="20"/>
              </w:rPr>
            </w:pPr>
            <w:r>
              <w:rPr>
                <w:rFonts w:hAnsi="宋体" w:cs="宋体"/>
                <w:kern w:val="0"/>
                <w:sz w:val="22"/>
                <w:szCs w:val="22"/>
              </w:rPr>
              <w:t>3.9</w:t>
            </w:r>
          </w:p>
        </w:tc>
        <w:tc>
          <w:tcPr>
            <w:tcW w:w="2060" w:type="dxa"/>
            <w:tcBorders>
              <w:top w:val="nil"/>
              <w:left w:val="nil"/>
              <w:bottom w:val="nil"/>
              <w:right w:val="single" w:sz="4" w:space="0" w:color="auto"/>
            </w:tcBorders>
            <w:vAlign w:val="center"/>
          </w:tcPr>
          <w:p w:rsidR="00A66A7E" w:rsidRDefault="00A66A7E">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66A7E" w:rsidRDefault="00A66A7E">
            <w:pPr>
              <w:widowControl/>
              <w:jc w:val="right"/>
              <w:rPr>
                <w:rFonts w:ascii="仿宋_GB2312" w:eastAsia="仿宋_GB2312" w:cs="宋体"/>
                <w:kern w:val="0"/>
                <w:sz w:val="20"/>
                <w:szCs w:val="20"/>
              </w:rPr>
            </w:pPr>
            <w:r>
              <w:rPr>
                <w:rFonts w:hAnsi="宋体" w:cs="宋体"/>
                <w:kern w:val="0"/>
                <w:sz w:val="22"/>
                <w:szCs w:val="22"/>
              </w:rPr>
              <w:t>3.9</w:t>
            </w:r>
            <w:r>
              <w:rPr>
                <w:rFonts w:ascii="仿宋_GB2312" w:eastAsia="仿宋_GB2312" w:hAnsi="宋体" w:cs="宋体" w:hint="eastAsia"/>
                <w:kern w:val="0"/>
                <w:sz w:val="20"/>
                <w:szCs w:val="20"/>
              </w:rPr>
              <w:t xml:space="preserve">　</w:t>
            </w:r>
          </w:p>
        </w:tc>
      </w:tr>
      <w:tr w:rsidR="00A66A7E">
        <w:trPr>
          <w:trHeight w:val="433"/>
        </w:trPr>
        <w:tc>
          <w:tcPr>
            <w:tcW w:w="72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A66A7E" w:rsidRDefault="00A66A7E">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66A7E" w:rsidRDefault="00A66A7E">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50"/>
        </w:trPr>
        <w:tc>
          <w:tcPr>
            <w:tcW w:w="720" w:type="dxa"/>
            <w:vMerge w:val="restart"/>
            <w:tcBorders>
              <w:top w:val="nil"/>
              <w:left w:val="single" w:sz="4" w:space="0" w:color="auto"/>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目标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实际完成目标</w:t>
            </w:r>
          </w:p>
        </w:tc>
      </w:tr>
      <w:tr w:rsidR="00A66A7E">
        <w:trPr>
          <w:trHeight w:val="1425"/>
        </w:trPr>
        <w:tc>
          <w:tcPr>
            <w:tcW w:w="72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该项目的实施要确保学校的维稳安全工作有进一步的提高，给学校的学生和教师提供一个安全稳定的学习和工作的环境。</w:t>
            </w:r>
          </w:p>
        </w:tc>
        <w:tc>
          <w:tcPr>
            <w:tcW w:w="3840" w:type="dxa"/>
            <w:gridSpan w:val="2"/>
            <w:tcBorders>
              <w:top w:val="single" w:sz="4" w:space="0" w:color="auto"/>
              <w:left w:val="nil"/>
              <w:bottom w:val="single" w:sz="4" w:space="0" w:color="auto"/>
              <w:right w:val="single" w:sz="4" w:space="0" w:color="000000"/>
            </w:tcBorders>
          </w:tcPr>
          <w:p w:rsidR="00A66A7E" w:rsidRDefault="00A66A7E">
            <w:pPr>
              <w:widowControl/>
              <w:jc w:val="left"/>
              <w:rPr>
                <w:rFonts w:ascii="仿宋_GB2312" w:eastAsia="仿宋_GB2312" w:cs="宋体"/>
                <w:kern w:val="0"/>
                <w:sz w:val="20"/>
                <w:szCs w:val="20"/>
              </w:rPr>
            </w:pPr>
            <w:r>
              <w:rPr>
                <w:rFonts w:ascii="仿宋_GB2312" w:eastAsia="仿宋_GB2312" w:cs="宋体" w:hint="eastAsia"/>
                <w:kern w:val="0"/>
                <w:sz w:val="20"/>
                <w:szCs w:val="20"/>
              </w:rPr>
              <w:t>通过该项目的实施，极大的提升了学校的安全稳定，确保学校的学生和师生有了一个学习和工作的安全环境，得到师生和学生家长的好评。</w:t>
            </w:r>
          </w:p>
        </w:tc>
      </w:tr>
      <w:tr w:rsidR="00A66A7E">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绩效</w:t>
            </w:r>
            <w:r>
              <w:rPr>
                <w:rFonts w:ascii="仿宋_GB2312" w:eastAsia="仿宋_GB2312" w:cs="宋体"/>
                <w:kern w:val="0"/>
                <w:sz w:val="20"/>
                <w:szCs w:val="20"/>
              </w:rPr>
              <w:br/>
            </w:r>
            <w:r>
              <w:rPr>
                <w:rFonts w:ascii="仿宋_GB2312" w:eastAsia="仿宋_GB2312" w:hAnsi="宋体" w:cs="宋体" w:hint="eastAsia"/>
                <w:kern w:val="0"/>
                <w:sz w:val="20"/>
                <w:szCs w:val="20"/>
              </w:rPr>
              <w:t>指标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1140" w:type="dxa"/>
            <w:tcBorders>
              <w:top w:val="nil"/>
              <w:left w:val="nil"/>
              <w:bottom w:val="nil"/>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实际完成指标值（包含数字及文字描述）</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铁艺电子围栏长度</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smartTag w:uri="urn:schemas-microsoft-com:office:smarttags" w:element="chmetcnv">
              <w:smartTagPr>
                <w:attr w:name="TCSC" w:val="0"/>
                <w:attr w:name="NumberType" w:val="1"/>
                <w:attr w:name="Negative" w:val="False"/>
                <w:attr w:name="HasSpace" w:val="False"/>
                <w:attr w:name="SourceValue" w:val="1500"/>
                <w:attr w:name="UnitName" w:val="米"/>
              </w:smartTagPr>
              <w:r>
                <w:rPr>
                  <w:rFonts w:ascii="仿宋_GB2312" w:eastAsia="仿宋_GB2312" w:cs="宋体"/>
                  <w:kern w:val="0"/>
                  <w:sz w:val="20"/>
                  <w:szCs w:val="20"/>
                </w:rPr>
                <w:t>1500</w:t>
              </w:r>
              <w:r>
                <w:rPr>
                  <w:rFonts w:ascii="仿宋_GB2312" w:eastAsia="仿宋_GB2312" w:cs="宋体" w:hint="eastAsia"/>
                  <w:kern w:val="0"/>
                  <w:sz w:val="20"/>
                  <w:szCs w:val="20"/>
                </w:rPr>
                <w:t>米</w:t>
              </w:r>
            </w:smartTag>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：验收合格率</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：按期完成率</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：电子围栏成本</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kern w:val="0"/>
                <w:sz w:val="20"/>
                <w:szCs w:val="20"/>
              </w:rPr>
              <w:t>3.9</w:t>
            </w:r>
            <w:r>
              <w:rPr>
                <w:rFonts w:ascii="仿宋_GB2312" w:eastAsia="仿宋_GB2312" w:hAnsi="宋体" w:cs="宋体" w:hint="eastAsia"/>
                <w:kern w:val="0"/>
                <w:sz w:val="20"/>
                <w:szCs w:val="20"/>
              </w:rPr>
              <w:t>万元</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kern w:val="0"/>
                <w:sz w:val="20"/>
                <w:szCs w:val="20"/>
              </w:rPr>
              <w:t>3.9</w:t>
            </w:r>
            <w:r>
              <w:rPr>
                <w:rFonts w:ascii="仿宋_GB2312" w:eastAsia="仿宋_GB2312" w:hAnsi="宋体" w:cs="宋体" w:hint="eastAsia"/>
                <w:kern w:val="0"/>
                <w:sz w:val="20"/>
                <w:szCs w:val="20"/>
              </w:rPr>
              <w:t>万元</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经济效益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社会效益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生态效益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可持续影响</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：提升校园安全</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有所提升</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有所提升</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：学生教职工满意率</w:t>
            </w:r>
          </w:p>
        </w:tc>
        <w:tc>
          <w:tcPr>
            <w:tcW w:w="2060" w:type="dxa"/>
            <w:tcBorders>
              <w:top w:val="nil"/>
              <w:left w:val="nil"/>
              <w:bottom w:val="single" w:sz="4" w:space="0" w:color="auto"/>
              <w:right w:val="single" w:sz="4" w:space="0" w:color="auto"/>
            </w:tcBorders>
            <w:vAlign w:val="center"/>
          </w:tcPr>
          <w:p w:rsidR="00A66A7E" w:rsidRDefault="00A66A7E">
            <w:pPr>
              <w:widowControl/>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r>
              <w:rPr>
                <w:rFonts w:ascii="仿宋_GB2312" w:eastAsia="仿宋_GB2312" w:hAnsi="宋体" w:cs="宋体" w:hint="eastAsia"/>
                <w:kern w:val="0"/>
                <w:sz w:val="20"/>
                <w:szCs w:val="20"/>
              </w:rPr>
              <w:t xml:space="preserve">　</w:t>
            </w:r>
            <w:bookmarkStart w:id="0" w:name="_GoBack"/>
            <w:bookmarkEnd w:id="0"/>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b/>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A66A7E">
        <w:trPr>
          <w:trHeight w:val="480"/>
        </w:trPr>
        <w:tc>
          <w:tcPr>
            <w:tcW w:w="72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A66A7E" w:rsidRDefault="00A66A7E">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A66A7E" w:rsidRDefault="00A66A7E">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A66A7E" w:rsidRDefault="00A66A7E">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bl>
    <w:p w:rsidR="00A66A7E" w:rsidRDefault="00A66A7E">
      <w:pPr>
        <w:spacing w:line="540" w:lineRule="exact"/>
        <w:ind w:firstLine="567"/>
        <w:rPr>
          <w:rStyle w:val="Strong"/>
          <w:rFonts w:ascii="仿宋_GB2312" w:eastAsia="仿宋_GB2312" w:hAnsi="仿宋"/>
          <w:b w:val="0"/>
          <w:spacing w:val="-4"/>
          <w:sz w:val="32"/>
          <w:szCs w:val="32"/>
        </w:rPr>
      </w:pPr>
    </w:p>
    <w:sectPr w:rsidR="00A66A7E" w:rsidSect="00B94F61">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A7E" w:rsidRDefault="00A66A7E" w:rsidP="00B94F61">
      <w:r>
        <w:separator/>
      </w:r>
    </w:p>
  </w:endnote>
  <w:endnote w:type="continuationSeparator" w:id="1">
    <w:p w:rsidR="00A66A7E" w:rsidRDefault="00A66A7E" w:rsidP="00B94F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panose1 w:val="00000000000000000000"/>
    <w:charset w:val="86"/>
    <w:family w:val="auto"/>
    <w:notTrueType/>
    <w:pitch w:val="default"/>
    <w:sig w:usb0="00000001" w:usb1="080E0000" w:usb2="00000010" w:usb3="00000000" w:csb0="00040000" w:csb1="00000000"/>
  </w:font>
  <w:font w:name="华文中宋">
    <w:panose1 w:val="00000000000000000000"/>
    <w:charset w:val="86"/>
    <w:family w:val="auto"/>
    <w:notTrueType/>
    <w:pitch w:val="variable"/>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A7E" w:rsidRDefault="00A66A7E">
    <w:pPr>
      <w:pStyle w:val="Footer"/>
      <w:jc w:val="center"/>
    </w:pPr>
    <w:fldSimple w:instr="PAGE   \* MERGEFORMAT">
      <w:r w:rsidRPr="00A65557">
        <w:rPr>
          <w:noProof/>
          <w:lang w:val="zh-CN"/>
        </w:rPr>
        <w:t>4</w:t>
      </w:r>
    </w:fldSimple>
  </w:p>
  <w:p w:rsidR="00A66A7E" w:rsidRDefault="00A66A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A7E" w:rsidRDefault="00A66A7E" w:rsidP="00B94F61">
      <w:r>
        <w:separator/>
      </w:r>
    </w:p>
  </w:footnote>
  <w:footnote w:type="continuationSeparator" w:id="1">
    <w:p w:rsidR="00A66A7E" w:rsidRDefault="00A66A7E" w:rsidP="00B94F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07081D"/>
    <w:rsid w:val="000C2993"/>
    <w:rsid w:val="000D4C3C"/>
    <w:rsid w:val="0010212E"/>
    <w:rsid w:val="00121AE4"/>
    <w:rsid w:val="00146AAD"/>
    <w:rsid w:val="001674F4"/>
    <w:rsid w:val="001B3A40"/>
    <w:rsid w:val="00212799"/>
    <w:rsid w:val="002574E5"/>
    <w:rsid w:val="00263CBA"/>
    <w:rsid w:val="002B117A"/>
    <w:rsid w:val="002E661B"/>
    <w:rsid w:val="00312BFF"/>
    <w:rsid w:val="00340C01"/>
    <w:rsid w:val="003538E3"/>
    <w:rsid w:val="00371028"/>
    <w:rsid w:val="003908B7"/>
    <w:rsid w:val="003C39B9"/>
    <w:rsid w:val="003C5EF0"/>
    <w:rsid w:val="003E65EC"/>
    <w:rsid w:val="004366A8"/>
    <w:rsid w:val="0044038C"/>
    <w:rsid w:val="004A5E7D"/>
    <w:rsid w:val="00502BA7"/>
    <w:rsid w:val="005048A9"/>
    <w:rsid w:val="00505053"/>
    <w:rsid w:val="005162F1"/>
    <w:rsid w:val="00535153"/>
    <w:rsid w:val="00554F82"/>
    <w:rsid w:val="0056390D"/>
    <w:rsid w:val="005647BD"/>
    <w:rsid w:val="005719B0"/>
    <w:rsid w:val="00574E69"/>
    <w:rsid w:val="005D10D6"/>
    <w:rsid w:val="005E3D69"/>
    <w:rsid w:val="005E6823"/>
    <w:rsid w:val="005F0936"/>
    <w:rsid w:val="0062421D"/>
    <w:rsid w:val="006B07A0"/>
    <w:rsid w:val="006E6BB4"/>
    <w:rsid w:val="006F1C58"/>
    <w:rsid w:val="00776307"/>
    <w:rsid w:val="007B2507"/>
    <w:rsid w:val="007C1DCB"/>
    <w:rsid w:val="007E3DF6"/>
    <w:rsid w:val="00855E3A"/>
    <w:rsid w:val="00922CB9"/>
    <w:rsid w:val="00941738"/>
    <w:rsid w:val="009924BA"/>
    <w:rsid w:val="009A45A7"/>
    <w:rsid w:val="009E5CD9"/>
    <w:rsid w:val="009F7B9B"/>
    <w:rsid w:val="00A26421"/>
    <w:rsid w:val="00A4293B"/>
    <w:rsid w:val="00A46EB4"/>
    <w:rsid w:val="00A65557"/>
    <w:rsid w:val="00A66A7E"/>
    <w:rsid w:val="00A67D50"/>
    <w:rsid w:val="00A8691A"/>
    <w:rsid w:val="00AC1946"/>
    <w:rsid w:val="00AE59C4"/>
    <w:rsid w:val="00B31B98"/>
    <w:rsid w:val="00B40063"/>
    <w:rsid w:val="00B403D4"/>
    <w:rsid w:val="00B41F61"/>
    <w:rsid w:val="00B92449"/>
    <w:rsid w:val="00B94F61"/>
    <w:rsid w:val="00B95815"/>
    <w:rsid w:val="00BA46E6"/>
    <w:rsid w:val="00C0457D"/>
    <w:rsid w:val="00C0555D"/>
    <w:rsid w:val="00C56C72"/>
    <w:rsid w:val="00CA6457"/>
    <w:rsid w:val="00D17F2E"/>
    <w:rsid w:val="00D30354"/>
    <w:rsid w:val="00D66043"/>
    <w:rsid w:val="00D950A8"/>
    <w:rsid w:val="00DF42A0"/>
    <w:rsid w:val="00E149F4"/>
    <w:rsid w:val="00E769FE"/>
    <w:rsid w:val="00EA2CBE"/>
    <w:rsid w:val="00EE5396"/>
    <w:rsid w:val="00EF497B"/>
    <w:rsid w:val="00F32FEE"/>
    <w:rsid w:val="00F44603"/>
    <w:rsid w:val="00FB10BB"/>
    <w:rsid w:val="00FF1DF2"/>
    <w:rsid w:val="27B22AEA"/>
    <w:rsid w:val="3798469F"/>
    <w:rsid w:val="4C9C0C68"/>
    <w:rsid w:val="508A31C2"/>
    <w:rsid w:val="669E2559"/>
    <w:rsid w:val="7F4241A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94F61"/>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B94F61"/>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B94F61"/>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B94F61"/>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B94F61"/>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B94F61"/>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B94F61"/>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B94F61"/>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B94F61"/>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B94F61"/>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4F61"/>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B94F61"/>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B94F61"/>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B94F61"/>
    <w:rPr>
      <w:rFonts w:cs="Times New Roman"/>
      <w:b/>
      <w:bCs/>
      <w:sz w:val="28"/>
      <w:szCs w:val="28"/>
    </w:rPr>
  </w:style>
  <w:style w:type="character" w:customStyle="1" w:styleId="Heading5Char">
    <w:name w:val="Heading 5 Char"/>
    <w:basedOn w:val="DefaultParagraphFont"/>
    <w:link w:val="Heading5"/>
    <w:uiPriority w:val="99"/>
    <w:semiHidden/>
    <w:locked/>
    <w:rsid w:val="00B94F61"/>
    <w:rPr>
      <w:rFonts w:cs="Times New Roman"/>
      <w:b/>
      <w:bCs/>
      <w:i/>
      <w:iCs/>
      <w:sz w:val="26"/>
      <w:szCs w:val="26"/>
    </w:rPr>
  </w:style>
  <w:style w:type="character" w:customStyle="1" w:styleId="Heading6Char">
    <w:name w:val="Heading 6 Char"/>
    <w:basedOn w:val="DefaultParagraphFont"/>
    <w:link w:val="Heading6"/>
    <w:uiPriority w:val="99"/>
    <w:semiHidden/>
    <w:locked/>
    <w:rsid w:val="00B94F61"/>
    <w:rPr>
      <w:rFonts w:cs="Times New Roman"/>
      <w:b/>
      <w:bCs/>
    </w:rPr>
  </w:style>
  <w:style w:type="character" w:customStyle="1" w:styleId="Heading7Char">
    <w:name w:val="Heading 7 Char"/>
    <w:basedOn w:val="DefaultParagraphFont"/>
    <w:link w:val="Heading7"/>
    <w:uiPriority w:val="99"/>
    <w:semiHidden/>
    <w:locked/>
    <w:rsid w:val="00B94F61"/>
    <w:rPr>
      <w:rFonts w:cs="Times New Roman"/>
      <w:sz w:val="24"/>
      <w:szCs w:val="24"/>
    </w:rPr>
  </w:style>
  <w:style w:type="character" w:customStyle="1" w:styleId="Heading8Char">
    <w:name w:val="Heading 8 Char"/>
    <w:basedOn w:val="DefaultParagraphFont"/>
    <w:link w:val="Heading8"/>
    <w:uiPriority w:val="99"/>
    <w:semiHidden/>
    <w:locked/>
    <w:rsid w:val="00B94F61"/>
    <w:rPr>
      <w:rFonts w:cs="Times New Roman"/>
      <w:i/>
      <w:iCs/>
      <w:sz w:val="24"/>
      <w:szCs w:val="24"/>
    </w:rPr>
  </w:style>
  <w:style w:type="character" w:customStyle="1" w:styleId="Heading9Char">
    <w:name w:val="Heading 9 Char"/>
    <w:basedOn w:val="DefaultParagraphFont"/>
    <w:link w:val="Heading9"/>
    <w:uiPriority w:val="99"/>
    <w:semiHidden/>
    <w:locked/>
    <w:rsid w:val="00B94F61"/>
    <w:rPr>
      <w:rFonts w:ascii="Cambria" w:eastAsia="宋体" w:hAnsi="Cambria" w:cs="Times New Roman"/>
    </w:rPr>
  </w:style>
  <w:style w:type="paragraph" w:styleId="BalloonText">
    <w:name w:val="Balloon Text"/>
    <w:basedOn w:val="Normal"/>
    <w:link w:val="BalloonTextChar"/>
    <w:uiPriority w:val="99"/>
    <w:semiHidden/>
    <w:rsid w:val="00B94F61"/>
    <w:rPr>
      <w:sz w:val="18"/>
      <w:szCs w:val="18"/>
    </w:rPr>
  </w:style>
  <w:style w:type="character" w:customStyle="1" w:styleId="BalloonTextChar">
    <w:name w:val="Balloon Text Char"/>
    <w:basedOn w:val="DefaultParagraphFont"/>
    <w:link w:val="BalloonText"/>
    <w:uiPriority w:val="99"/>
    <w:semiHidden/>
    <w:locked/>
    <w:rsid w:val="00B94F61"/>
    <w:rPr>
      <w:rFonts w:ascii="Times New Roman" w:eastAsia="宋体" w:hAnsi="Times New Roman" w:cs="Times New Roman"/>
      <w:kern w:val="2"/>
      <w:sz w:val="18"/>
      <w:szCs w:val="18"/>
    </w:rPr>
  </w:style>
  <w:style w:type="paragraph" w:styleId="Footer">
    <w:name w:val="footer"/>
    <w:basedOn w:val="Normal"/>
    <w:link w:val="FooterChar"/>
    <w:uiPriority w:val="99"/>
    <w:rsid w:val="00B94F61"/>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B94F61"/>
    <w:rPr>
      <w:rFonts w:ascii="Calibri" w:eastAsia="宋体" w:hAnsi="Calibri" w:cs="Times New Roman"/>
      <w:kern w:val="2"/>
      <w:sz w:val="18"/>
      <w:szCs w:val="18"/>
    </w:rPr>
  </w:style>
  <w:style w:type="paragraph" w:styleId="Header">
    <w:name w:val="header"/>
    <w:basedOn w:val="Normal"/>
    <w:link w:val="HeaderChar"/>
    <w:uiPriority w:val="99"/>
    <w:rsid w:val="00B94F61"/>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B94F61"/>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B94F61"/>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B94F61"/>
    <w:rPr>
      <w:rFonts w:ascii="Cambria" w:eastAsia="宋体" w:hAnsi="Cambria" w:cs="Times New Roman"/>
      <w:sz w:val="24"/>
      <w:szCs w:val="24"/>
    </w:rPr>
  </w:style>
  <w:style w:type="paragraph" w:styleId="Title">
    <w:name w:val="Title"/>
    <w:basedOn w:val="Normal"/>
    <w:next w:val="Normal"/>
    <w:link w:val="TitleChar"/>
    <w:uiPriority w:val="99"/>
    <w:qFormat/>
    <w:rsid w:val="00B94F61"/>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B94F61"/>
    <w:rPr>
      <w:rFonts w:ascii="Cambria" w:eastAsia="宋体" w:hAnsi="Cambria" w:cs="Times New Roman"/>
      <w:b/>
      <w:bCs/>
      <w:kern w:val="28"/>
      <w:sz w:val="32"/>
      <w:szCs w:val="32"/>
    </w:rPr>
  </w:style>
  <w:style w:type="character" w:styleId="Strong">
    <w:name w:val="Strong"/>
    <w:basedOn w:val="DefaultParagraphFont"/>
    <w:uiPriority w:val="99"/>
    <w:qFormat/>
    <w:rsid w:val="00B94F61"/>
    <w:rPr>
      <w:rFonts w:cs="Times New Roman"/>
      <w:b/>
      <w:bCs/>
    </w:rPr>
  </w:style>
  <w:style w:type="character" w:styleId="Emphasis">
    <w:name w:val="Emphasis"/>
    <w:basedOn w:val="DefaultParagraphFont"/>
    <w:uiPriority w:val="99"/>
    <w:qFormat/>
    <w:rsid w:val="00B94F61"/>
    <w:rPr>
      <w:rFonts w:ascii="Calibri" w:hAnsi="Calibri" w:cs="Times New Roman"/>
      <w:b/>
      <w:i/>
      <w:iCs/>
    </w:rPr>
  </w:style>
  <w:style w:type="paragraph" w:styleId="NoSpacing">
    <w:name w:val="No Spacing"/>
    <w:basedOn w:val="Normal"/>
    <w:uiPriority w:val="99"/>
    <w:qFormat/>
    <w:rsid w:val="00B94F61"/>
    <w:pPr>
      <w:widowControl/>
      <w:jc w:val="left"/>
    </w:pPr>
    <w:rPr>
      <w:rFonts w:ascii="Calibri" w:hAnsi="Calibri"/>
      <w:kern w:val="0"/>
      <w:sz w:val="24"/>
      <w:szCs w:val="32"/>
      <w:lang w:eastAsia="en-US"/>
    </w:rPr>
  </w:style>
  <w:style w:type="paragraph" w:styleId="ListParagraph">
    <w:name w:val="List Paragraph"/>
    <w:basedOn w:val="Normal"/>
    <w:uiPriority w:val="99"/>
    <w:qFormat/>
    <w:rsid w:val="00B94F61"/>
    <w:pPr>
      <w:widowControl/>
      <w:ind w:left="720"/>
      <w:contextualSpacing/>
      <w:jc w:val="left"/>
    </w:pPr>
    <w:rPr>
      <w:rFonts w:ascii="Calibri" w:hAnsi="Calibri"/>
      <w:kern w:val="0"/>
      <w:sz w:val="24"/>
      <w:lang w:eastAsia="en-US"/>
    </w:rPr>
  </w:style>
  <w:style w:type="paragraph" w:styleId="Quote">
    <w:name w:val="Quote"/>
    <w:basedOn w:val="Normal"/>
    <w:next w:val="Normal"/>
    <w:link w:val="QuoteChar"/>
    <w:uiPriority w:val="99"/>
    <w:qFormat/>
    <w:rsid w:val="00B94F61"/>
    <w:pPr>
      <w:widowControl/>
      <w:jc w:val="left"/>
    </w:pPr>
    <w:rPr>
      <w:rFonts w:ascii="Calibri" w:hAnsi="Calibri"/>
      <w:i/>
      <w:kern w:val="0"/>
      <w:sz w:val="24"/>
    </w:rPr>
  </w:style>
  <w:style w:type="character" w:customStyle="1" w:styleId="QuoteChar">
    <w:name w:val="Quote Char"/>
    <w:basedOn w:val="DefaultParagraphFont"/>
    <w:link w:val="Quote"/>
    <w:uiPriority w:val="99"/>
    <w:locked/>
    <w:rsid w:val="00B94F61"/>
    <w:rPr>
      <w:rFonts w:cs="Times New Roman"/>
      <w:i/>
      <w:sz w:val="24"/>
      <w:szCs w:val="24"/>
    </w:rPr>
  </w:style>
  <w:style w:type="paragraph" w:styleId="IntenseQuote">
    <w:name w:val="Intense Quote"/>
    <w:basedOn w:val="Normal"/>
    <w:next w:val="Normal"/>
    <w:link w:val="IntenseQuoteChar"/>
    <w:uiPriority w:val="99"/>
    <w:qFormat/>
    <w:rsid w:val="00B94F61"/>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IntenseQuote"/>
    <w:uiPriority w:val="99"/>
    <w:locked/>
    <w:rsid w:val="00B94F61"/>
    <w:rPr>
      <w:rFonts w:cs="Times New Roman"/>
      <w:b/>
      <w:i/>
      <w:sz w:val="24"/>
    </w:rPr>
  </w:style>
  <w:style w:type="character" w:customStyle="1" w:styleId="1">
    <w:name w:val="不明显强调1"/>
    <w:basedOn w:val="DefaultParagraphFont"/>
    <w:uiPriority w:val="99"/>
    <w:rsid w:val="00B94F61"/>
    <w:rPr>
      <w:rFonts w:cs="Times New Roman"/>
      <w:i/>
      <w:color w:val="5A5A5A"/>
    </w:rPr>
  </w:style>
  <w:style w:type="character" w:customStyle="1" w:styleId="10">
    <w:name w:val="明显强调1"/>
    <w:basedOn w:val="DefaultParagraphFont"/>
    <w:uiPriority w:val="99"/>
    <w:rsid w:val="00B94F61"/>
    <w:rPr>
      <w:rFonts w:cs="Times New Roman"/>
      <w:b/>
      <w:i/>
      <w:sz w:val="24"/>
      <w:szCs w:val="24"/>
      <w:u w:val="single"/>
    </w:rPr>
  </w:style>
  <w:style w:type="character" w:customStyle="1" w:styleId="11">
    <w:name w:val="不明显参考1"/>
    <w:basedOn w:val="DefaultParagraphFont"/>
    <w:uiPriority w:val="99"/>
    <w:rsid w:val="00B94F61"/>
    <w:rPr>
      <w:rFonts w:cs="Times New Roman"/>
      <w:sz w:val="24"/>
      <w:szCs w:val="24"/>
      <w:u w:val="single"/>
    </w:rPr>
  </w:style>
  <w:style w:type="character" w:customStyle="1" w:styleId="12">
    <w:name w:val="明显参考1"/>
    <w:basedOn w:val="DefaultParagraphFont"/>
    <w:uiPriority w:val="99"/>
    <w:rsid w:val="00B94F61"/>
    <w:rPr>
      <w:rFonts w:cs="Times New Roman"/>
      <w:b/>
      <w:sz w:val="24"/>
      <w:u w:val="single"/>
    </w:rPr>
  </w:style>
  <w:style w:type="character" w:customStyle="1" w:styleId="13">
    <w:name w:val="书籍标题1"/>
    <w:basedOn w:val="DefaultParagraphFont"/>
    <w:uiPriority w:val="99"/>
    <w:rsid w:val="00B94F61"/>
    <w:rPr>
      <w:rFonts w:ascii="Cambria" w:eastAsia="宋体" w:hAnsi="Cambria" w:cs="Times New Roman"/>
      <w:b/>
      <w:i/>
      <w:sz w:val="24"/>
      <w:szCs w:val="24"/>
    </w:rPr>
  </w:style>
  <w:style w:type="paragraph" w:customStyle="1" w:styleId="TOC1">
    <w:name w:val="TOC 标题1"/>
    <w:basedOn w:val="Heading1"/>
    <w:next w:val="Normal"/>
    <w:uiPriority w:val="99"/>
    <w:rsid w:val="00B94F61"/>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314</Words>
  <Characters>1792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Lenovo User</cp:lastModifiedBy>
  <cp:revision>5</cp:revision>
  <cp:lastPrinted>2018-12-31T10:56:00Z</cp:lastPrinted>
  <dcterms:created xsi:type="dcterms:W3CDTF">2019-01-17T03:37:00Z</dcterms:created>
  <dcterms:modified xsi:type="dcterms:W3CDTF">2020-03-25T05:10:00Z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