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59F" w:rsidRPr="008C161D" w:rsidRDefault="005C5C3D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8C161D"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:rsidR="00DE159F" w:rsidRPr="008C161D" w:rsidRDefault="00DE159F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DE159F" w:rsidRPr="008C161D" w:rsidRDefault="00DE159F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DE159F" w:rsidRPr="008C161D" w:rsidRDefault="00DE159F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DE159F" w:rsidRPr="008C161D" w:rsidRDefault="00DE159F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DE159F" w:rsidRPr="008C161D" w:rsidRDefault="00DE159F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DE159F" w:rsidRPr="008C161D" w:rsidRDefault="00DE159F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DE159F" w:rsidRPr="008C161D" w:rsidRDefault="0019717C" w:rsidP="0019717C">
      <w:pPr>
        <w:spacing w:line="700" w:lineRule="exact"/>
        <w:ind w:left="2"/>
        <w:jc w:val="center"/>
        <w:rPr>
          <w:rFonts w:ascii="仿宋" w:eastAsia="仿宋" w:hAnsi="仿宋" w:cs="宋体"/>
          <w:b/>
          <w:kern w:val="0"/>
          <w:sz w:val="48"/>
          <w:szCs w:val="48"/>
        </w:rPr>
      </w:pPr>
      <w:r w:rsidRPr="008C161D">
        <w:rPr>
          <w:rFonts w:ascii="仿宋" w:eastAsia="仿宋" w:hAnsi="仿宋" w:cs="宋体" w:hint="eastAsia"/>
          <w:b/>
          <w:kern w:val="0"/>
          <w:sz w:val="48"/>
          <w:szCs w:val="48"/>
        </w:rPr>
        <w:t>新疆巴音郭楞蒙古自治州民族宗教事务委员会</w:t>
      </w:r>
      <w:r w:rsidR="005C5C3D" w:rsidRPr="008C161D">
        <w:rPr>
          <w:rFonts w:ascii="仿宋" w:eastAsia="仿宋" w:hAnsi="仿宋" w:cs="宋体" w:hint="eastAsia"/>
          <w:b/>
          <w:kern w:val="0"/>
          <w:sz w:val="48"/>
          <w:szCs w:val="48"/>
        </w:rPr>
        <w:t>项目支出绩效自评报告</w:t>
      </w:r>
    </w:p>
    <w:p w:rsidR="00DE159F" w:rsidRPr="008C161D" w:rsidRDefault="005C5C3D">
      <w:pPr>
        <w:spacing w:line="540" w:lineRule="exact"/>
        <w:jc w:val="center"/>
        <w:rPr>
          <w:rFonts w:ascii="仿宋" w:eastAsia="仿宋" w:hAnsi="仿宋" w:cs="宋体"/>
          <w:kern w:val="0"/>
          <w:sz w:val="36"/>
          <w:szCs w:val="36"/>
        </w:rPr>
      </w:pPr>
      <w:r w:rsidRPr="008C161D">
        <w:rPr>
          <w:rFonts w:ascii="仿宋" w:eastAsia="仿宋" w:hAnsi="仿宋" w:cs="宋体" w:hint="eastAsia"/>
          <w:kern w:val="0"/>
          <w:sz w:val="36"/>
          <w:szCs w:val="36"/>
        </w:rPr>
        <w:t>（2018年度）</w:t>
      </w:r>
    </w:p>
    <w:p w:rsidR="00DE159F" w:rsidRPr="008C161D" w:rsidRDefault="00DE159F">
      <w:pPr>
        <w:spacing w:line="540" w:lineRule="exact"/>
        <w:rPr>
          <w:rFonts w:ascii="仿宋" w:eastAsia="仿宋" w:hAnsi="仿宋" w:cs="宋体"/>
          <w:kern w:val="0"/>
          <w:sz w:val="30"/>
          <w:szCs w:val="30"/>
        </w:rPr>
      </w:pPr>
    </w:p>
    <w:p w:rsidR="00DE159F" w:rsidRPr="008C161D" w:rsidRDefault="005C5C3D">
      <w:pPr>
        <w:spacing w:line="700" w:lineRule="exact"/>
        <w:jc w:val="left"/>
        <w:rPr>
          <w:rFonts w:ascii="仿宋" w:eastAsia="仿宋" w:hAnsi="仿宋" w:cs="宋体"/>
          <w:kern w:val="0"/>
          <w:sz w:val="36"/>
          <w:szCs w:val="36"/>
        </w:rPr>
      </w:pPr>
      <w:r w:rsidRPr="008C161D">
        <w:rPr>
          <w:rFonts w:ascii="仿宋" w:eastAsia="仿宋" w:hAnsi="仿宋" w:cs="宋体" w:hint="eastAsia"/>
          <w:kern w:val="0"/>
          <w:sz w:val="36"/>
          <w:szCs w:val="36"/>
        </w:rPr>
        <w:t>项目名称：宗教工作经费</w:t>
      </w:r>
    </w:p>
    <w:p w:rsidR="00DE159F" w:rsidRPr="008C161D" w:rsidRDefault="005C5C3D">
      <w:pPr>
        <w:spacing w:line="700" w:lineRule="exact"/>
        <w:ind w:left="3157" w:hangingChars="877" w:hanging="3157"/>
        <w:jc w:val="left"/>
        <w:rPr>
          <w:rFonts w:ascii="仿宋" w:eastAsia="仿宋" w:hAnsi="仿宋" w:cs="宋体"/>
          <w:kern w:val="0"/>
          <w:sz w:val="36"/>
          <w:szCs w:val="36"/>
        </w:rPr>
      </w:pPr>
      <w:r w:rsidRPr="008C161D">
        <w:rPr>
          <w:rFonts w:ascii="仿宋" w:eastAsia="仿宋" w:hAnsi="仿宋" w:cs="宋体" w:hint="eastAsia"/>
          <w:kern w:val="0"/>
          <w:sz w:val="36"/>
          <w:szCs w:val="36"/>
        </w:rPr>
        <w:t>实施单位（公章）：新疆巴音郭楞蒙古自治州民族宗教事务委员会</w:t>
      </w:r>
    </w:p>
    <w:p w:rsidR="00DE159F" w:rsidRPr="008C161D" w:rsidRDefault="005C5C3D">
      <w:pPr>
        <w:spacing w:line="700" w:lineRule="exact"/>
        <w:ind w:left="3157" w:hangingChars="877" w:hanging="3157"/>
        <w:jc w:val="left"/>
        <w:rPr>
          <w:rFonts w:ascii="仿宋" w:eastAsia="仿宋" w:hAnsi="仿宋" w:cs="宋体"/>
          <w:kern w:val="0"/>
          <w:sz w:val="36"/>
          <w:szCs w:val="36"/>
        </w:rPr>
      </w:pPr>
      <w:r w:rsidRPr="008C161D">
        <w:rPr>
          <w:rFonts w:ascii="仿宋" w:eastAsia="仿宋" w:hAnsi="仿宋" w:cs="宋体" w:hint="eastAsia"/>
          <w:kern w:val="0"/>
          <w:sz w:val="36"/>
          <w:szCs w:val="36"/>
        </w:rPr>
        <w:t>主管部门（公章）：新疆巴音郭楞蒙古自治州民族宗教事务委员会</w:t>
      </w:r>
    </w:p>
    <w:p w:rsidR="00DE159F" w:rsidRPr="008C161D" w:rsidRDefault="005C5C3D">
      <w:pPr>
        <w:spacing w:line="700" w:lineRule="exact"/>
        <w:jc w:val="left"/>
        <w:rPr>
          <w:rFonts w:ascii="仿宋" w:eastAsia="仿宋" w:hAnsi="仿宋" w:cs="宋体"/>
          <w:kern w:val="0"/>
          <w:sz w:val="36"/>
          <w:szCs w:val="36"/>
        </w:rPr>
      </w:pPr>
      <w:r w:rsidRPr="008C161D">
        <w:rPr>
          <w:rFonts w:ascii="仿宋" w:eastAsia="仿宋" w:hAnsi="仿宋" w:cs="宋体" w:hint="eastAsia"/>
          <w:kern w:val="0"/>
          <w:sz w:val="36"/>
          <w:szCs w:val="36"/>
        </w:rPr>
        <w:t>项目负责人（签章）：陈若生</w:t>
      </w:r>
    </w:p>
    <w:p w:rsidR="00DE159F" w:rsidRPr="008C161D" w:rsidRDefault="005C5C3D">
      <w:pPr>
        <w:spacing w:line="700" w:lineRule="exact"/>
        <w:jc w:val="left"/>
        <w:rPr>
          <w:rFonts w:ascii="仿宋" w:eastAsia="仿宋" w:hAnsi="仿宋" w:cs="宋体"/>
          <w:kern w:val="0"/>
          <w:sz w:val="36"/>
          <w:szCs w:val="36"/>
        </w:rPr>
      </w:pPr>
      <w:r w:rsidRPr="008C161D">
        <w:rPr>
          <w:rFonts w:ascii="仿宋" w:eastAsia="仿宋" w:hAnsi="仿宋" w:cs="宋体" w:hint="eastAsia"/>
          <w:kern w:val="0"/>
          <w:sz w:val="36"/>
          <w:szCs w:val="36"/>
        </w:rPr>
        <w:t>填报时间：</w:t>
      </w:r>
      <w:r w:rsidR="00DD2B6A" w:rsidRPr="008C161D">
        <w:rPr>
          <w:rFonts w:ascii="仿宋" w:eastAsia="仿宋" w:hAnsi="仿宋" w:cs="宋体" w:hint="eastAsia"/>
          <w:kern w:val="0"/>
          <w:sz w:val="36"/>
          <w:szCs w:val="36"/>
        </w:rPr>
        <w:t>2019</w:t>
      </w:r>
      <w:r w:rsidRPr="008C161D">
        <w:rPr>
          <w:rFonts w:ascii="仿宋" w:eastAsia="仿宋" w:hAnsi="仿宋" w:cs="宋体" w:hint="eastAsia"/>
          <w:kern w:val="0"/>
          <w:sz w:val="36"/>
          <w:szCs w:val="36"/>
        </w:rPr>
        <w:t>年</w:t>
      </w:r>
      <w:r w:rsidR="00DD2B6A" w:rsidRPr="008C161D">
        <w:rPr>
          <w:rFonts w:ascii="仿宋" w:eastAsia="仿宋" w:hAnsi="仿宋" w:cs="宋体" w:hint="eastAsia"/>
          <w:kern w:val="0"/>
          <w:sz w:val="36"/>
          <w:szCs w:val="36"/>
        </w:rPr>
        <w:t>1</w:t>
      </w:r>
      <w:r w:rsidRPr="008C161D">
        <w:rPr>
          <w:rFonts w:ascii="仿宋" w:eastAsia="仿宋" w:hAnsi="仿宋" w:cs="宋体" w:hint="eastAsia"/>
          <w:kern w:val="0"/>
          <w:sz w:val="36"/>
          <w:szCs w:val="36"/>
        </w:rPr>
        <w:t>月25日</w:t>
      </w:r>
    </w:p>
    <w:p w:rsidR="00DE159F" w:rsidRPr="008C161D" w:rsidRDefault="00DE159F">
      <w:pPr>
        <w:spacing w:line="700" w:lineRule="exact"/>
        <w:ind w:firstLineChars="236" w:firstLine="850"/>
        <w:jc w:val="left"/>
        <w:rPr>
          <w:rFonts w:ascii="仿宋" w:eastAsia="仿宋" w:hAnsi="仿宋" w:cs="宋体"/>
          <w:kern w:val="0"/>
          <w:sz w:val="36"/>
          <w:szCs w:val="36"/>
        </w:rPr>
      </w:pPr>
    </w:p>
    <w:p w:rsidR="00DE159F" w:rsidRPr="008C161D" w:rsidRDefault="00DE159F">
      <w:pPr>
        <w:spacing w:line="540" w:lineRule="exact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:rsidR="00DE159F" w:rsidRPr="008C161D" w:rsidRDefault="00DE159F">
      <w:pPr>
        <w:spacing w:line="540" w:lineRule="exact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</w:p>
    <w:p w:rsidR="008C161D" w:rsidRDefault="008C161D">
      <w:pPr>
        <w:spacing w:line="540" w:lineRule="exact"/>
        <w:ind w:firstLine="640"/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</w:pPr>
    </w:p>
    <w:p w:rsidR="00DE159F" w:rsidRPr="008C161D" w:rsidRDefault="005C5C3D">
      <w:pPr>
        <w:spacing w:line="540" w:lineRule="exact"/>
        <w:ind w:firstLine="640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一、项目概况</w:t>
      </w:r>
    </w:p>
    <w:p w:rsidR="00DE159F" w:rsidRPr="008C161D" w:rsidRDefault="005C5C3D">
      <w:pPr>
        <w:spacing w:line="540" w:lineRule="exact"/>
        <w:ind w:firstLine="567"/>
        <w:rPr>
          <w:rStyle w:val="a7"/>
          <w:rFonts w:ascii="仿宋" w:eastAsia="仿宋" w:hAnsi="仿宋"/>
          <w:spacing w:val="-4"/>
          <w:sz w:val="32"/>
          <w:szCs w:val="32"/>
        </w:rPr>
      </w:pPr>
      <w:r w:rsidRPr="008C161D">
        <w:rPr>
          <w:rStyle w:val="a7"/>
          <w:rFonts w:ascii="仿宋" w:eastAsia="仿宋" w:hAnsi="仿宋" w:hint="eastAsia"/>
          <w:spacing w:val="-4"/>
          <w:sz w:val="32"/>
          <w:szCs w:val="32"/>
        </w:rPr>
        <w:t>（一）项目单位基本情况</w:t>
      </w:r>
    </w:p>
    <w:p w:rsidR="00DE159F" w:rsidRPr="008C161D" w:rsidRDefault="005C5C3D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我委自2002年机构调整后设立以来，主要工作职责是贯彻执行党中央、国务院和自治区党委、人民政府关于民族和宗教工作的方针、政策；组织开展民族宗教理论、民族宗教政策的宣传教育；组织开展民族宗教工作重大问题的调查研究并提出工作建议；研究并提出自治州有关民族、宗教工作的方针、政策，参与起草自治州有关民族宗教事务管理的单行条例，拟订规范性文件，健全自治州民族宗教管理体系。依法履行宗教事务管理职责，依法保护公民宗教信仰自由和正常的宗教活动，维护宗教界权益，促进宗教关系和睦。组织实施国家、自治区的宗教法律、法规和政策，引导、促进宗教在法律、法规和政策范围内活动；负责宗教事务管理方面的行政复议等法律事务。指导宗教团体依法依章开展活动，支持宗教团体加强自身建设；推动宗教团体在宗教界开展爱国主义、社会主义、维护祖国统一和民族团结的自我教育，支持和帮助宗教团体培养教育宗教教职人员，做好爱国宗教人士带培工作；办理宗教团体需由政府解决或协调的事务。负责全州的民族团结进步模范创建工作，对自治州贯彻落实党和国家、自治区有关民族政策、法律法规以及民族团结进步模范创建工作情况进行督导、检查，组织开展民族团结进步模范创建活动的考核、验收和挂牌工作，承办民族团结进步模范表彰活动。贯彻执行国家和自治区关于语言文字工作的方针、政策和法律、法规；负责推广普及国家通用的普通话、规范汉字和规范的少数民族语言文字。承办自治州人民政府交办的其他事项。</w:t>
      </w:r>
    </w:p>
    <w:p w:rsidR="00DE159F" w:rsidRPr="008C161D" w:rsidRDefault="005C5C3D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根据“三定”方案内容，现有办公室、民族事务科、宗教事务科、执法监督检查科、语言文字办公室、古籍办公室（事业编专业技术岗）、民族宗教执法队（事业编管理岗）、州伊斯兰教协会、州佛教协会、等共7个科室、两个社会团体。另外“州民族团结进步创建办公室”、“州民族团结一家亲办公室”也由我委牵头开展工作。</w:t>
      </w:r>
    </w:p>
    <w:p w:rsidR="00DE159F" w:rsidRPr="008C161D" w:rsidRDefault="005C5C3D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我委现有行政编制20人，工勤编2人，其中正县级2人，副县级</w:t>
      </w:r>
      <w:r w:rsidR="00DD2B6A"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6</w:t>
      </w: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人，科级及以下</w:t>
      </w:r>
      <w:r w:rsidR="00DD2B6A"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14</w:t>
      </w: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人；事业编14人，其中专业技术岗4人，管理岗10人。截止年底，我委现实有正县级领导干部2人，副县级领导干部5人，科级及以下</w:t>
      </w:r>
      <w:r w:rsidR="00DD2B6A"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12</w:t>
      </w: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人，事业编</w:t>
      </w:r>
      <w:r w:rsidR="00DD2B6A"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12</w:t>
      </w: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人，共计</w:t>
      </w:r>
      <w:r w:rsidR="00DD2B6A"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28</w:t>
      </w: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人。</w:t>
      </w:r>
    </w:p>
    <w:p w:rsidR="00DE159F" w:rsidRPr="008C161D" w:rsidRDefault="005C5C3D">
      <w:pPr>
        <w:spacing w:line="540" w:lineRule="exact"/>
        <w:ind w:firstLineChars="181" w:firstLine="567"/>
        <w:rPr>
          <w:rStyle w:val="a7"/>
          <w:rFonts w:ascii="仿宋" w:eastAsia="仿宋" w:hAnsi="仿宋"/>
          <w:spacing w:val="-4"/>
          <w:sz w:val="32"/>
          <w:szCs w:val="32"/>
        </w:rPr>
      </w:pPr>
      <w:r w:rsidRPr="008C161D">
        <w:rPr>
          <w:rStyle w:val="a7"/>
          <w:rFonts w:ascii="仿宋" w:eastAsia="仿宋" w:hAnsi="仿宋" w:hint="eastAsia"/>
          <w:spacing w:val="-4"/>
          <w:sz w:val="32"/>
          <w:szCs w:val="32"/>
        </w:rPr>
        <w:t>（二）项目预算</w:t>
      </w:r>
      <w:r w:rsidRPr="008C161D">
        <w:rPr>
          <w:rStyle w:val="a7"/>
          <w:rFonts w:ascii="仿宋" w:eastAsia="仿宋" w:hAnsi="仿宋"/>
          <w:spacing w:val="-4"/>
          <w:sz w:val="32"/>
          <w:szCs w:val="32"/>
        </w:rPr>
        <w:t>绩效目标</w:t>
      </w:r>
      <w:r w:rsidRPr="008C161D">
        <w:rPr>
          <w:rStyle w:val="a7"/>
          <w:rFonts w:ascii="仿宋" w:eastAsia="仿宋" w:hAnsi="仿宋" w:hint="eastAsia"/>
          <w:spacing w:val="-4"/>
          <w:sz w:val="32"/>
          <w:szCs w:val="32"/>
        </w:rPr>
        <w:t>设定情况</w:t>
      </w:r>
    </w:p>
    <w:p w:rsidR="00DE159F" w:rsidRPr="008C161D" w:rsidRDefault="005C5C3D">
      <w:pPr>
        <w:spacing w:line="540" w:lineRule="exact"/>
        <w:ind w:firstLine="640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贯彻执行党和国家关于宗教工作的方针、政策，组织开展民宗教理论、民族宗教政策和民族宗教工作等重大问题的调查研究，提出有关宗教工作的政策建议。依法履行宗教事务管理职责，提高宗教工作质量水平，最大程度地保障宗教工作日常各项办公业务的正常开展。</w:t>
      </w:r>
    </w:p>
    <w:p w:rsidR="00DE159F" w:rsidRPr="008C161D" w:rsidRDefault="005C5C3D">
      <w:pPr>
        <w:spacing w:line="540" w:lineRule="exact"/>
        <w:ind w:firstLine="640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二、项目资金使用及管理情况</w:t>
      </w:r>
    </w:p>
    <w:p w:rsidR="00DE159F" w:rsidRPr="008C161D" w:rsidRDefault="005C5C3D">
      <w:pPr>
        <w:spacing w:line="540" w:lineRule="exact"/>
        <w:ind w:firstLineChars="181" w:firstLine="567"/>
        <w:rPr>
          <w:rStyle w:val="a7"/>
          <w:rFonts w:ascii="仿宋" w:eastAsia="仿宋" w:hAnsi="仿宋"/>
          <w:spacing w:val="-4"/>
          <w:sz w:val="32"/>
          <w:szCs w:val="32"/>
        </w:rPr>
      </w:pPr>
      <w:r w:rsidRPr="008C161D">
        <w:rPr>
          <w:rStyle w:val="a7"/>
          <w:rFonts w:ascii="仿宋" w:eastAsia="仿宋" w:hAnsi="仿宋" w:hint="eastAsia"/>
          <w:spacing w:val="-4"/>
          <w:sz w:val="32"/>
          <w:szCs w:val="32"/>
        </w:rPr>
        <w:t>（一）项目资金安排落实、总投入等情况分析</w:t>
      </w:r>
    </w:p>
    <w:p w:rsidR="00DE159F" w:rsidRPr="008C161D" w:rsidRDefault="005C5C3D" w:rsidP="00DD2B6A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项目计划安排资金</w:t>
      </w:r>
      <w:r w:rsidR="00FA06D6"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32.65</w:t>
      </w: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万元，总投入</w:t>
      </w:r>
      <w:r w:rsidR="00FA06D6"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32.65</w:t>
      </w: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万元，全部为财政资金。</w:t>
      </w:r>
    </w:p>
    <w:p w:rsidR="00DE159F" w:rsidRPr="008C161D" w:rsidRDefault="005C5C3D">
      <w:pPr>
        <w:spacing w:line="540" w:lineRule="exact"/>
        <w:ind w:firstLineChars="181" w:firstLine="567"/>
        <w:rPr>
          <w:rStyle w:val="a7"/>
          <w:rFonts w:ascii="仿宋" w:eastAsia="仿宋" w:hAnsi="仿宋"/>
          <w:spacing w:val="-4"/>
          <w:sz w:val="32"/>
          <w:szCs w:val="32"/>
        </w:rPr>
      </w:pPr>
      <w:r w:rsidRPr="008C161D">
        <w:rPr>
          <w:rStyle w:val="a7"/>
          <w:rFonts w:ascii="仿宋" w:eastAsia="仿宋" w:hAnsi="仿宋" w:hint="eastAsia"/>
          <w:spacing w:val="-4"/>
          <w:sz w:val="32"/>
          <w:szCs w:val="32"/>
        </w:rPr>
        <w:t>（二）项目资金实际使用情况分析</w:t>
      </w:r>
    </w:p>
    <w:p w:rsidR="00DE159F" w:rsidRPr="008C161D" w:rsidRDefault="005C5C3D" w:rsidP="00DD2B6A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项目实际资金安排</w:t>
      </w:r>
      <w:r w:rsidR="00FA06D6"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32.65</w:t>
      </w: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万元，全部为财政资金。</w:t>
      </w:r>
    </w:p>
    <w:p w:rsidR="00DE159F" w:rsidRPr="008C161D" w:rsidRDefault="005C5C3D">
      <w:pPr>
        <w:spacing w:line="540" w:lineRule="exact"/>
        <w:ind w:firstLineChars="181" w:firstLine="567"/>
        <w:rPr>
          <w:rStyle w:val="a7"/>
          <w:rFonts w:ascii="仿宋" w:eastAsia="仿宋" w:hAnsi="仿宋"/>
          <w:spacing w:val="-4"/>
          <w:sz w:val="32"/>
          <w:szCs w:val="32"/>
        </w:rPr>
      </w:pPr>
      <w:r w:rsidRPr="008C161D">
        <w:rPr>
          <w:rStyle w:val="a7"/>
          <w:rFonts w:ascii="仿宋" w:eastAsia="仿宋" w:hAnsi="仿宋" w:hint="eastAsia"/>
          <w:spacing w:val="-4"/>
          <w:sz w:val="32"/>
          <w:szCs w:val="32"/>
        </w:rPr>
        <w:t>（三）项目资金管理情况分析</w:t>
      </w:r>
    </w:p>
    <w:p w:rsidR="00DE159F" w:rsidRPr="008C161D" w:rsidRDefault="005C5C3D">
      <w:pPr>
        <w:spacing w:line="540" w:lineRule="exact"/>
        <w:ind w:firstLine="640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项目实施严格按照相关财务制度执行，严格执行政府采购、</w:t>
      </w: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差旅费制度、公务用车制度等相关财务制度，坚持做好厉行节约，组织实施好项目工作同时加强日常监督，确保项目有效实施。</w:t>
      </w:r>
    </w:p>
    <w:p w:rsidR="00DE159F" w:rsidRPr="008C161D" w:rsidRDefault="005C5C3D">
      <w:pPr>
        <w:spacing w:line="540" w:lineRule="exact"/>
        <w:ind w:firstLine="640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三、项目组织实施情况</w:t>
      </w:r>
    </w:p>
    <w:p w:rsidR="00DE159F" w:rsidRPr="008C161D" w:rsidRDefault="005C5C3D">
      <w:pPr>
        <w:spacing w:line="540" w:lineRule="exact"/>
        <w:ind w:firstLineChars="181" w:firstLine="567"/>
        <w:rPr>
          <w:rStyle w:val="a7"/>
          <w:rFonts w:ascii="仿宋" w:eastAsia="仿宋" w:hAnsi="仿宋"/>
          <w:spacing w:val="-4"/>
          <w:sz w:val="32"/>
          <w:szCs w:val="32"/>
        </w:rPr>
      </w:pPr>
      <w:r w:rsidRPr="008C161D">
        <w:rPr>
          <w:rStyle w:val="a7"/>
          <w:rFonts w:ascii="仿宋" w:eastAsia="仿宋" w:hAnsi="仿宋" w:hint="eastAsia"/>
          <w:spacing w:val="-4"/>
          <w:sz w:val="32"/>
          <w:szCs w:val="32"/>
        </w:rPr>
        <w:t>（一）项目组织情况分析</w:t>
      </w:r>
    </w:p>
    <w:p w:rsidR="00DE159F" w:rsidRPr="008C161D" w:rsidRDefault="005C5C3D" w:rsidP="00DD2B6A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认真落实项目计划，顺利完成项目任务。</w:t>
      </w:r>
    </w:p>
    <w:p w:rsidR="00DE159F" w:rsidRPr="008C161D" w:rsidRDefault="005C5C3D">
      <w:pPr>
        <w:spacing w:line="540" w:lineRule="exact"/>
        <w:ind w:firstLineChars="181" w:firstLine="567"/>
        <w:rPr>
          <w:rStyle w:val="a7"/>
          <w:rFonts w:ascii="仿宋" w:eastAsia="仿宋" w:hAnsi="仿宋"/>
          <w:spacing w:val="-4"/>
          <w:sz w:val="32"/>
          <w:szCs w:val="32"/>
        </w:rPr>
      </w:pPr>
      <w:r w:rsidRPr="008C161D">
        <w:rPr>
          <w:rStyle w:val="a7"/>
          <w:rFonts w:ascii="仿宋" w:eastAsia="仿宋" w:hAnsi="仿宋" w:hint="eastAsia"/>
          <w:spacing w:val="-4"/>
          <w:sz w:val="32"/>
          <w:szCs w:val="32"/>
        </w:rPr>
        <w:t>（二）项目管理情况分析</w:t>
      </w:r>
    </w:p>
    <w:p w:rsidR="00DE159F" w:rsidRPr="008C161D" w:rsidRDefault="005C5C3D">
      <w:pPr>
        <w:spacing w:line="540" w:lineRule="exact"/>
        <w:ind w:firstLine="640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项目实际资金安排</w:t>
      </w:r>
      <w:r w:rsidR="00FA06D6"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32.65</w:t>
      </w: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万元，项目内容包括日常宗教工作政务信息工作管理、斋月期间督导调研、日常调研、举办宗教界“双五好”创建、朝觐出国带队工作、制止零散朝觐工作，慰问爱国宗教人士代表以及宗教人士、宗教活动和宗教场所日常管理工作等。</w:t>
      </w:r>
    </w:p>
    <w:p w:rsidR="00DE159F" w:rsidRPr="008C161D" w:rsidRDefault="005C5C3D">
      <w:pPr>
        <w:spacing w:line="54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指导宗教团体依法依章开展活动，支持宗教团体加强自身建设，推动宗教团体在宗教界开展爱国主义、社会主义、拥护祖国统一和民族团结的自我教育，办理宗教团体需由政府解决或协调的有关事务。项目内容筹办自治州佛教、伊斯兰教协会代表大会和理事会，开展宗教工作调研宣讲，组织宗教人士外出考察学习及日常办公经费。</w:t>
      </w:r>
    </w:p>
    <w:p w:rsidR="00DE159F" w:rsidRPr="008C161D" w:rsidRDefault="00DE159F">
      <w:pPr>
        <w:spacing w:line="540" w:lineRule="exact"/>
        <w:ind w:firstLine="640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</w:p>
    <w:p w:rsidR="00DE159F" w:rsidRPr="008C161D" w:rsidRDefault="005C5C3D">
      <w:pPr>
        <w:spacing w:line="540" w:lineRule="exact"/>
        <w:ind w:firstLine="640"/>
        <w:rPr>
          <w:rStyle w:val="a7"/>
          <w:rFonts w:ascii="仿宋" w:eastAsia="仿宋" w:hAnsi="仿宋"/>
        </w:rPr>
      </w:pP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四、项目绩效情况</w:t>
      </w:r>
    </w:p>
    <w:p w:rsidR="00DE159F" w:rsidRPr="008C161D" w:rsidRDefault="005C5C3D">
      <w:pPr>
        <w:spacing w:line="540" w:lineRule="exact"/>
        <w:ind w:firstLineChars="181" w:firstLine="567"/>
        <w:rPr>
          <w:rFonts w:ascii="仿宋" w:eastAsia="仿宋" w:hAnsi="仿宋"/>
          <w:b/>
          <w:spacing w:val="-4"/>
          <w:sz w:val="32"/>
          <w:szCs w:val="32"/>
        </w:rPr>
      </w:pPr>
      <w:r w:rsidRPr="008C161D">
        <w:rPr>
          <w:rFonts w:ascii="仿宋" w:eastAsia="仿宋" w:hAnsi="仿宋" w:hint="eastAsia"/>
          <w:b/>
          <w:spacing w:val="-4"/>
          <w:sz w:val="32"/>
          <w:szCs w:val="32"/>
        </w:rPr>
        <w:t>（一）项目绩效目标完成情况分析</w:t>
      </w:r>
    </w:p>
    <w:p w:rsidR="00DE159F" w:rsidRPr="008C161D" w:rsidRDefault="005C5C3D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项目绩效目标完成情况汇总有以下及方面：开展《宗教事务条例》宣传教育，组织开展宗教界“双五好”创建活动，开展朝觐出国带队工作，制止零散朝觐，慰问爱国宗教人士代表，开展斋月期间宗教工作专项督导调研，开展宗教人士培训培养。</w:t>
      </w:r>
    </w:p>
    <w:p w:rsidR="00DE159F" w:rsidRPr="008C161D" w:rsidRDefault="005C5C3D" w:rsidP="00DD2B6A">
      <w:pPr>
        <w:spacing w:line="540" w:lineRule="exact"/>
        <w:ind w:firstLineChars="181" w:firstLine="567"/>
        <w:rPr>
          <w:rFonts w:ascii="仿宋" w:eastAsia="仿宋" w:hAnsi="仿宋"/>
          <w:b/>
          <w:spacing w:val="-4"/>
          <w:sz w:val="32"/>
          <w:szCs w:val="32"/>
        </w:rPr>
      </w:pPr>
      <w:r w:rsidRPr="008C161D">
        <w:rPr>
          <w:rFonts w:ascii="仿宋" w:eastAsia="仿宋" w:hAnsi="仿宋" w:hint="eastAsia"/>
          <w:b/>
          <w:spacing w:val="-4"/>
          <w:sz w:val="32"/>
          <w:szCs w:val="32"/>
        </w:rPr>
        <w:lastRenderedPageBreak/>
        <w:t>（二）项目绩效目标未完成原因分析</w:t>
      </w:r>
    </w:p>
    <w:p w:rsidR="00DE159F" w:rsidRPr="008C161D" w:rsidRDefault="005C5C3D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 w:rsidRPr="008C161D">
        <w:rPr>
          <w:rFonts w:ascii="仿宋" w:eastAsia="仿宋" w:hAnsi="仿宋" w:hint="eastAsia"/>
          <w:spacing w:val="-4"/>
          <w:sz w:val="32"/>
          <w:szCs w:val="32"/>
        </w:rPr>
        <w:t>（无）</w:t>
      </w:r>
    </w:p>
    <w:p w:rsidR="00DE159F" w:rsidRPr="008C161D" w:rsidRDefault="005C5C3D">
      <w:pPr>
        <w:spacing w:line="540" w:lineRule="exact"/>
        <w:ind w:firstLine="640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五、其他需要说明的问题</w:t>
      </w:r>
    </w:p>
    <w:p w:rsidR="00DE159F" w:rsidRPr="008C161D" w:rsidRDefault="005C5C3D">
      <w:pPr>
        <w:spacing w:line="540" w:lineRule="exact"/>
        <w:ind w:firstLineChars="181" w:firstLine="567"/>
        <w:rPr>
          <w:rFonts w:ascii="仿宋" w:eastAsia="仿宋" w:hAnsi="仿宋"/>
          <w:b/>
          <w:spacing w:val="-4"/>
          <w:sz w:val="32"/>
          <w:szCs w:val="32"/>
        </w:rPr>
      </w:pPr>
      <w:r w:rsidRPr="008C161D">
        <w:rPr>
          <w:rFonts w:ascii="仿宋" w:eastAsia="仿宋" w:hAnsi="仿宋" w:hint="eastAsia"/>
          <w:b/>
          <w:spacing w:val="-4"/>
          <w:sz w:val="32"/>
          <w:szCs w:val="32"/>
        </w:rPr>
        <w:t>（一）后续工作计划</w:t>
      </w:r>
    </w:p>
    <w:p w:rsidR="00DE159F" w:rsidRPr="008C161D" w:rsidRDefault="005C5C3D" w:rsidP="00DD2B6A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持续开展《宗教事务条例》、《去极端化条例》宣传教育；组织开展宗教界“双五好”创建活动；开展朝觐出国带队工作；制止零散朝觐；慰问爱国宗教人士代表；开展斋月期间宗教工作专项督导调研；开展宗教人士培训培养；筹办自治州佛教协会理事会；筹办自治州佛教协会代表大会；组织召开自治州伊斯兰教协会换届会议；组织召开自治州伊斯兰教协会常委会议。</w:t>
      </w:r>
    </w:p>
    <w:p w:rsidR="00DE159F" w:rsidRPr="008C161D" w:rsidRDefault="005C5C3D">
      <w:pPr>
        <w:spacing w:line="540" w:lineRule="exact"/>
        <w:ind w:firstLineChars="181" w:firstLine="567"/>
        <w:rPr>
          <w:rFonts w:ascii="仿宋" w:eastAsia="仿宋" w:hAnsi="仿宋"/>
          <w:b/>
          <w:spacing w:val="-4"/>
          <w:sz w:val="32"/>
          <w:szCs w:val="32"/>
        </w:rPr>
      </w:pPr>
      <w:r w:rsidRPr="008C161D">
        <w:rPr>
          <w:rFonts w:ascii="仿宋" w:eastAsia="仿宋" w:hAnsi="仿宋" w:hint="eastAsia"/>
          <w:b/>
          <w:spacing w:val="-4"/>
          <w:sz w:val="32"/>
          <w:szCs w:val="32"/>
        </w:rPr>
        <w:t>（二）主要经验及做法、存在问题和建议</w:t>
      </w:r>
    </w:p>
    <w:p w:rsidR="00DE159F" w:rsidRPr="008C161D" w:rsidRDefault="00DE159F" w:rsidP="00DD2B6A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</w:p>
    <w:p w:rsidR="00DE159F" w:rsidRPr="008C161D" w:rsidRDefault="005C5C3D">
      <w:pPr>
        <w:spacing w:line="540" w:lineRule="exact"/>
        <w:ind w:firstLineChars="181" w:firstLine="567"/>
        <w:rPr>
          <w:rFonts w:ascii="仿宋" w:eastAsia="仿宋" w:hAnsi="仿宋"/>
          <w:b/>
          <w:spacing w:val="-4"/>
          <w:sz w:val="32"/>
          <w:szCs w:val="32"/>
        </w:rPr>
      </w:pPr>
      <w:r w:rsidRPr="008C161D">
        <w:rPr>
          <w:rFonts w:ascii="仿宋" w:eastAsia="仿宋" w:hAnsi="仿宋" w:hint="eastAsia"/>
          <w:b/>
          <w:spacing w:val="-4"/>
          <w:sz w:val="32"/>
          <w:szCs w:val="32"/>
        </w:rPr>
        <w:t>（三）其他</w:t>
      </w:r>
    </w:p>
    <w:p w:rsidR="00DE159F" w:rsidRPr="008C161D" w:rsidRDefault="00DE159F">
      <w:pPr>
        <w:spacing w:line="540" w:lineRule="exact"/>
        <w:ind w:firstLineChars="181" w:firstLine="567"/>
        <w:rPr>
          <w:rFonts w:ascii="仿宋" w:eastAsia="仿宋" w:hAnsi="仿宋"/>
          <w:b/>
          <w:spacing w:val="-4"/>
          <w:sz w:val="32"/>
          <w:szCs w:val="32"/>
        </w:rPr>
      </w:pPr>
    </w:p>
    <w:p w:rsidR="00DE159F" w:rsidRPr="008C161D" w:rsidRDefault="005C5C3D">
      <w:pPr>
        <w:spacing w:line="540" w:lineRule="exact"/>
        <w:ind w:firstLine="640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六、项目评价工作情况</w:t>
      </w:r>
    </w:p>
    <w:p w:rsidR="00DE159F" w:rsidRPr="008C161D" w:rsidRDefault="005C5C3D" w:rsidP="00DD2B6A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1、宗教人士队伍建设得到进一步加强。一是重视对宗教人士关心关爱。为体现自治州党委、自治州人民政府对爱国宗教人士的亲切关怀，每逢重大节日都组织开展了关心慰问活动。肉孜节慰问爱国宗教人士</w:t>
      </w:r>
      <w:r w:rsidR="006E201F"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23</w:t>
      </w: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人次，古尔邦节自治州慰问爱国宗教人士</w:t>
      </w:r>
      <w:bookmarkStart w:id="0" w:name="_GoBack"/>
      <w:bookmarkEnd w:id="0"/>
      <w:r w:rsidR="006E201F"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5人</w:t>
      </w: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次，各县市按照实际情况自行组织了慰问活动。全州伊斯兰教教职人员全部享有医疗保险、养老保险、低保、大病保险、人身意外伤害保险。二是重视对宗教人士考察考核。自治州伊斯兰教协会认真落实宗教人士“两年一考核、两年一聘任”的规定，对伊斯兰教教职人员进行了严格考核，对考核合格人员发放了《宗教人士资格证》、《宗教人士聘任证》。三是</w:t>
      </w: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全面清查“两面性”宗教人士。</w:t>
      </w:r>
    </w:p>
    <w:p w:rsidR="00DE159F" w:rsidRPr="008C161D" w:rsidRDefault="005C5C3D" w:rsidP="00DD2B6A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2、宗教活动场所得到进一步完善。一是稳步推进清真寺优化提质工作。制</w:t>
      </w:r>
      <w:r w:rsidR="004A12D6"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定了《自治州清真寺优化提质工作方案》，启动了清真寺优化提质工作。</w:t>
      </w: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二是积极推进清真寺“七进两有”、“十二配备”。截止到今年7月31日，全州正常开放使用的553座清真寺全部完成通水、电、路；完成通讯的清真寺455座，占总数的82.3%；完成通广播电视的清真寺458座，占总数的82.8%；建成文化书屋的清真寺465座，占总数的84.1%；282座主麻清真寺中，完成“两有”建设147座，占主麻寺总数的52.1%；正在“两有”建设的127座，占主麻寺总数的45%；8座主麻寺的“两有”建设正在筹建中，占主麻寺总数的2%。“十二配备”中的“七项配备”完成率达到100%，电子显示屏配备率91.8%，电脑配备率80%，电风扇和空调配备率97%，天然气配备率25.2%，安保设施及安保人员配备率76%。</w:t>
      </w:r>
    </w:p>
    <w:p w:rsidR="00DE159F" w:rsidRPr="008C161D" w:rsidRDefault="005C5C3D" w:rsidP="00DD2B6A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3、宗教活动得到进一步规范。一是坚持“三个五统一”。平时礼拜、主麻日礼拜、斋月礼拜（包括封斋、会礼）实现了“时间、内容、流程、姿势、主持人”的统一，克服了礼拜活动的随意性，杜绝了极端教派“瓦哈比”通过宗教活动渗透蔓延。二是加强“敏感”节点维稳工作。对“敏感”节点维护宗教领域稳定工作做到早安排、早部署、早防范。</w:t>
      </w:r>
      <w:r w:rsidR="006E201F"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2018</w:t>
      </w: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年开斋节、古尔邦节前，分别下发《关于做好节日期间维护宗教领域稳定工作的通知》，根据自治州党委安排，联合统战、民创办（民亲办）、住村管寺办公室、去极端化办公室分组深入县市及乡镇进行明察暗访和督导检查，确保“敏感”节点宗教领域和谐稳定。三是加大打击非法宗教活动力度。制定了《非法宗教活动专项行</w:t>
      </w: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动工作方案》，配合公安部门严厉打击了涉宗教犯罪活动人员，有效遏制了非法宗教活动的发生。四是认真开展对非法宗教类书籍的收缴工作。</w:t>
      </w:r>
    </w:p>
    <w:p w:rsidR="00DE159F" w:rsidRPr="008C161D" w:rsidRDefault="00DE159F">
      <w:pPr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</w:p>
    <w:p w:rsidR="00DE159F" w:rsidRPr="008C161D" w:rsidRDefault="005C5C3D">
      <w:pPr>
        <w:spacing w:line="540" w:lineRule="exact"/>
        <w:ind w:firstLine="640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七、附表</w:t>
      </w:r>
    </w:p>
    <w:p w:rsidR="00DE159F" w:rsidRPr="008C161D" w:rsidRDefault="005C5C3D">
      <w:pPr>
        <w:spacing w:line="540" w:lineRule="exact"/>
        <w:ind w:firstLine="567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8C161D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《巴州地区财政项目支出绩效自评表》</w:t>
      </w:r>
    </w:p>
    <w:p w:rsidR="00DE159F" w:rsidRPr="008C161D" w:rsidRDefault="00DE159F">
      <w:pPr>
        <w:spacing w:line="540" w:lineRule="exact"/>
        <w:ind w:firstLine="567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</w:p>
    <w:p w:rsidR="00DE159F" w:rsidRDefault="00DE159F">
      <w:pPr>
        <w:spacing w:line="540" w:lineRule="exact"/>
        <w:ind w:firstLine="567"/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</w:pPr>
    </w:p>
    <w:p w:rsidR="008C161D" w:rsidRDefault="008C161D">
      <w:pPr>
        <w:spacing w:line="540" w:lineRule="exact"/>
        <w:ind w:firstLine="567"/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</w:pPr>
    </w:p>
    <w:p w:rsidR="008C161D" w:rsidRPr="008C161D" w:rsidRDefault="008C161D">
      <w:pPr>
        <w:spacing w:line="540" w:lineRule="exact"/>
        <w:ind w:firstLine="567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pPr w:leftFromText="180" w:rightFromText="180" w:vertAnchor="text" w:horzAnchor="page" w:tblpX="1885" w:tblpY="2"/>
        <w:tblOverlap w:val="never"/>
        <w:tblW w:w="9226" w:type="dxa"/>
        <w:tblLayout w:type="fixed"/>
        <w:tblLook w:val="0000"/>
      </w:tblPr>
      <w:tblGrid>
        <w:gridCol w:w="720"/>
        <w:gridCol w:w="1140"/>
        <w:gridCol w:w="1360"/>
        <w:gridCol w:w="1080"/>
        <w:gridCol w:w="880"/>
        <w:gridCol w:w="2060"/>
        <w:gridCol w:w="1986"/>
      </w:tblGrid>
      <w:tr w:rsidR="00DE159F" w:rsidRPr="008C161D">
        <w:trPr>
          <w:trHeight w:val="405"/>
        </w:trPr>
        <w:tc>
          <w:tcPr>
            <w:tcW w:w="922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159F" w:rsidRPr="008C161D" w:rsidRDefault="005C5C3D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32"/>
                <w:szCs w:val="32"/>
              </w:rPr>
            </w:pPr>
            <w:r w:rsidRPr="008C161D">
              <w:rPr>
                <w:rFonts w:ascii="仿宋" w:eastAsia="仿宋" w:hAnsi="仿宋" w:cs="宋体" w:hint="eastAsia"/>
                <w:b/>
                <w:bCs/>
                <w:kern w:val="0"/>
                <w:sz w:val="32"/>
                <w:szCs w:val="32"/>
                <w:u w:val="single"/>
              </w:rPr>
              <w:t>巴州民宗委</w:t>
            </w:r>
            <w:r w:rsidRPr="008C161D">
              <w:rPr>
                <w:rFonts w:ascii="仿宋" w:eastAsia="仿宋" w:hAnsi="仿宋" w:cs="宋体" w:hint="eastAsia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 w:rsidR="00DE159F" w:rsidRPr="008C161D">
        <w:trPr>
          <w:trHeight w:val="285"/>
        </w:trPr>
        <w:tc>
          <w:tcPr>
            <w:tcW w:w="922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159F" w:rsidRPr="008C161D" w:rsidRDefault="005C5C3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4"/>
              </w:rPr>
              <w:t>（</w:t>
            </w:r>
            <w:r w:rsidR="00E40EB7" w:rsidRPr="008C161D">
              <w:rPr>
                <w:rFonts w:ascii="仿宋" w:eastAsia="仿宋" w:hAnsi="仿宋" w:cs="宋体" w:hint="eastAsia"/>
                <w:kern w:val="0"/>
                <w:sz w:val="24"/>
              </w:rPr>
              <w:t>2018</w:t>
            </w:r>
            <w:r w:rsidRPr="008C161D">
              <w:rPr>
                <w:rFonts w:ascii="仿宋" w:eastAsia="仿宋" w:hAnsi="仿宋" w:cs="宋体" w:hint="eastAsia"/>
                <w:kern w:val="0"/>
                <w:sz w:val="24"/>
              </w:rPr>
              <w:t>年度）</w:t>
            </w:r>
          </w:p>
        </w:tc>
      </w:tr>
      <w:tr w:rsidR="00DE159F" w:rsidRPr="008C161D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159F" w:rsidRPr="008C161D" w:rsidRDefault="00DE159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159F" w:rsidRPr="008C161D" w:rsidRDefault="00DE159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159F" w:rsidRPr="008C161D" w:rsidRDefault="00DE159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159F" w:rsidRPr="008C161D" w:rsidRDefault="00DE159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159F" w:rsidRPr="008C161D" w:rsidRDefault="00DE159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159F" w:rsidRPr="008C161D" w:rsidRDefault="00DE159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159F" w:rsidRPr="008C161D" w:rsidRDefault="00DE159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DE159F" w:rsidRPr="008C161D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5C5C3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60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664D4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宗教工作经费</w:t>
            </w:r>
          </w:p>
        </w:tc>
      </w:tr>
      <w:tr w:rsidR="00DE159F" w:rsidRPr="008C161D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5C5C3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60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E159F" w:rsidRPr="008C161D" w:rsidRDefault="005C5C3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巴州民宗委</w:t>
            </w:r>
          </w:p>
        </w:tc>
      </w:tr>
      <w:tr w:rsidR="008C161D" w:rsidRPr="008C161D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预算</w:t>
            </w: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执行</w:t>
            </w: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情况</w:t>
            </w: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32.65万元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32.65万元</w:t>
            </w:r>
          </w:p>
        </w:tc>
      </w:tr>
      <w:tr w:rsidR="008C161D" w:rsidRPr="008C161D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righ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32.65万元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righ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32.65万元</w:t>
            </w:r>
          </w:p>
        </w:tc>
      </w:tr>
      <w:tr w:rsidR="00DE159F" w:rsidRPr="008C161D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DE159F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5C5C3D">
            <w:pPr>
              <w:widowControl/>
              <w:jc w:val="righ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E159F" w:rsidRPr="008C161D" w:rsidRDefault="005C5C3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E159F" w:rsidRPr="008C161D" w:rsidRDefault="005C5C3D">
            <w:pPr>
              <w:widowControl/>
              <w:jc w:val="righ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5C5C3D">
            <w:pPr>
              <w:widowControl/>
              <w:jc w:val="righ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0　</w:t>
            </w:r>
          </w:p>
        </w:tc>
      </w:tr>
      <w:tr w:rsidR="00DE159F" w:rsidRPr="008C161D">
        <w:trPr>
          <w:trHeight w:val="43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5C5C3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年度</w:t>
            </w: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目标</w:t>
            </w: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完成</w:t>
            </w: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5C5C3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5C5C3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DE159F" w:rsidRPr="008C161D">
        <w:trPr>
          <w:trHeight w:val="142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DE159F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E159F" w:rsidRPr="008C161D" w:rsidRDefault="005C5C3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/>
                <w:szCs w:val="21"/>
              </w:rPr>
              <w:t>组织实施国家、自治区的宗教法律、法规和政策，引导、促进宗教在法律、法规和政策范围内活动；负责宗教事务管理方面的行政复议等法律事务。指导宗教团体依法依章开展活动，支持宗教团体加强自身建设；推动宗教团体在宗教界开展爱国主义、社会主义、维护祖国统一和民族团结的自我教育，支持和帮助宗教团体培养教育宗教教职人员，做好爱国宗教人士带培工作；办理宗教团体需由政府解决或协调的事务</w:t>
            </w:r>
          </w:p>
        </w:tc>
        <w:tc>
          <w:tcPr>
            <w:tcW w:w="4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E159F" w:rsidRPr="008C161D" w:rsidRDefault="005C5C3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hint="eastAsia"/>
                <w:szCs w:val="21"/>
              </w:rPr>
              <w:t>贯彻执行党和国家关于宗教工作的方针、政策，组织开展民宗教理论、民族宗教政策和民族宗教工作等重大问题的调查研究，提出有关宗教工作的政策建议。依法履行宗教事务管理职责，提高宗教工作质量水平，最大程度地保障宗教工作日常各项办公业务的正常开展。项目内容包括日常宗教工作政务信息工作管理、斋月期间督导调研、日常调研、举办宗教界“双五好”创建、朝觐出国带队工作、制止零散朝觐工作，慰问爱国宗教人士代表以及宗教人士、宗教活动和宗教场所日常管理工作等。</w:t>
            </w:r>
          </w:p>
        </w:tc>
      </w:tr>
      <w:tr w:rsidR="00DE159F" w:rsidRPr="008C161D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159F" w:rsidRPr="008C161D" w:rsidRDefault="005C5C3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lastRenderedPageBreak/>
              <w:t>年度</w:t>
            </w: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绩效</w:t>
            </w: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指标</w:t>
            </w: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完成</w:t>
            </w: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E159F" w:rsidRPr="008C161D" w:rsidRDefault="005C5C3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5C5C3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5C5C3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5C5C3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5C5C3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DE159F" w:rsidRPr="008C161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159F" w:rsidRPr="008C161D" w:rsidRDefault="00DE159F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5C5C3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159F" w:rsidRPr="008C161D" w:rsidRDefault="005C5C3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Cs w:val="21"/>
              </w:rPr>
              <w:t>开展《宗</w:t>
            </w:r>
            <w:r w:rsidR="005C5C3D" w:rsidRPr="008C161D">
              <w:rPr>
                <w:rFonts w:ascii="仿宋" w:eastAsia="仿宋" w:hAnsi="仿宋" w:cs="宋体" w:hint="eastAsia"/>
                <w:kern w:val="0"/>
                <w:szCs w:val="21"/>
              </w:rPr>
              <w:t>教事务条例》宣传教育场次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5C5C3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Cs w:val="21"/>
              </w:rPr>
              <w:t>≥2次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5C5C3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Cs w:val="21"/>
              </w:rPr>
              <w:t>2次</w:t>
            </w:r>
          </w:p>
        </w:tc>
      </w:tr>
      <w:tr w:rsidR="00DE159F" w:rsidRPr="008C161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159F" w:rsidRPr="008C161D" w:rsidRDefault="00DE159F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DE159F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159F" w:rsidRPr="008C161D" w:rsidRDefault="00DE159F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5C5C3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Cs w:val="21"/>
              </w:rPr>
              <w:t>开展朝觐出国带队工作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5C5C3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Cs w:val="21"/>
              </w:rPr>
              <w:t>≥1次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5C5C3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Cs w:val="21"/>
              </w:rPr>
              <w:t>1次</w:t>
            </w:r>
          </w:p>
        </w:tc>
      </w:tr>
      <w:tr w:rsidR="00DE159F" w:rsidRPr="008C161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159F" w:rsidRPr="008C161D" w:rsidRDefault="00DE159F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DE159F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159F" w:rsidRPr="008C161D" w:rsidRDefault="00DE159F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5C5C3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Cs w:val="21"/>
              </w:rPr>
              <w:t>慰问爱国宗教人士代表人次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5C5C3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Cs w:val="21"/>
              </w:rPr>
              <w:t>1次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5C5C3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Cs w:val="21"/>
              </w:rPr>
              <w:t>1次</w:t>
            </w:r>
          </w:p>
        </w:tc>
      </w:tr>
      <w:tr w:rsidR="00DE159F" w:rsidRPr="008C161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159F" w:rsidRPr="008C161D" w:rsidRDefault="00DE159F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DE159F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159F" w:rsidRPr="008C161D" w:rsidRDefault="00DE159F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5C5C3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Cs w:val="21"/>
              </w:rPr>
              <w:t>开展日常宗教工作调研次数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5C5C3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8C161D">
              <w:rPr>
                <w:rFonts w:ascii="仿宋" w:eastAsia="仿宋" w:hAnsi="仿宋" w:cs="宋体"/>
                <w:kern w:val="0"/>
                <w:szCs w:val="21"/>
              </w:rPr>
              <w:t>≥6次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5C5C3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8C161D">
              <w:rPr>
                <w:rFonts w:ascii="仿宋" w:eastAsia="仿宋" w:hAnsi="仿宋" w:cs="宋体"/>
                <w:kern w:val="0"/>
                <w:szCs w:val="21"/>
              </w:rPr>
              <w:t>6次</w:t>
            </w:r>
          </w:p>
        </w:tc>
      </w:tr>
      <w:tr w:rsidR="00DE159F" w:rsidRPr="008C161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159F" w:rsidRPr="008C161D" w:rsidRDefault="00DE159F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DE159F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159F" w:rsidRPr="008C161D" w:rsidRDefault="005C5C3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8C161D">
              <w:rPr>
                <w:rFonts w:ascii="仿宋" w:eastAsia="仿宋" w:hAnsi="仿宋" w:cs="宋体"/>
                <w:kern w:val="0"/>
                <w:szCs w:val="21"/>
              </w:rPr>
              <w:t>经学院学员年度</w:t>
            </w:r>
            <w:r w:rsidRPr="008C161D">
              <w:rPr>
                <w:rFonts w:ascii="仿宋" w:eastAsia="仿宋" w:hAnsi="仿宋" w:cs="宋体"/>
                <w:kern w:val="0"/>
                <w:szCs w:val="21"/>
              </w:rPr>
              <w:br/>
              <w:t>考评合格率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5C5C3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8C161D">
              <w:rPr>
                <w:rFonts w:ascii="仿宋" w:eastAsia="仿宋" w:hAnsi="仿宋" w:cs="宋体"/>
                <w:kern w:val="0"/>
                <w:szCs w:val="21"/>
              </w:rPr>
              <w:t>≥90%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59F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Cs w:val="21"/>
              </w:rPr>
              <w:t>90%</w:t>
            </w:r>
          </w:p>
        </w:tc>
      </w:tr>
      <w:tr w:rsidR="008C161D" w:rsidRPr="008C161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 完成时间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2018年12月31日前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2018年12月31日前</w:t>
            </w:r>
          </w:p>
        </w:tc>
      </w:tr>
      <w:tr w:rsidR="008C161D" w:rsidRPr="008C161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8C161D">
              <w:rPr>
                <w:rFonts w:ascii="仿宋" w:eastAsia="仿宋" w:hAnsi="仿宋" w:hint="eastAsia"/>
                <w:szCs w:val="21"/>
              </w:rPr>
              <w:t>宗教界“双五好”创建</w:t>
            </w:r>
            <w:r w:rsidR="00016C90">
              <w:rPr>
                <w:rFonts w:ascii="仿宋" w:eastAsia="仿宋" w:hAnsi="仿宋" w:hint="eastAsia"/>
                <w:szCs w:val="21"/>
              </w:rPr>
              <w:t>、宗教工作调研</w:t>
            </w:r>
            <w:r w:rsidRPr="008C161D">
              <w:rPr>
                <w:rFonts w:ascii="仿宋" w:eastAsia="仿宋" w:hAnsi="仿宋" w:hint="eastAsia"/>
                <w:szCs w:val="21"/>
              </w:rPr>
              <w:t>经费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016C90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≤16.1万</w:t>
            </w:r>
            <w:r w:rsidRPr="008C161D">
              <w:rPr>
                <w:rFonts w:ascii="仿宋" w:eastAsia="仿宋" w:hAnsi="仿宋" w:cs="宋体" w:hint="eastAsia"/>
                <w:kern w:val="0"/>
                <w:szCs w:val="21"/>
              </w:rPr>
              <w:t>元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016C90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16.1万元</w:t>
            </w:r>
          </w:p>
        </w:tc>
      </w:tr>
      <w:tr w:rsidR="008C161D" w:rsidRPr="008C161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8C161D">
              <w:rPr>
                <w:rFonts w:ascii="仿宋" w:eastAsia="仿宋" w:hAnsi="仿宋" w:hint="eastAsia"/>
                <w:szCs w:val="21"/>
              </w:rPr>
              <w:t>制止零散朝觐工作经费</w:t>
            </w:r>
            <w:r w:rsidR="00016C90">
              <w:rPr>
                <w:rFonts w:ascii="仿宋" w:eastAsia="仿宋" w:hAnsi="仿宋" w:hint="eastAsia"/>
                <w:szCs w:val="21"/>
              </w:rPr>
              <w:t>、</w:t>
            </w:r>
            <w:r w:rsidR="00016C90" w:rsidRPr="008C161D">
              <w:rPr>
                <w:rFonts w:ascii="仿宋" w:eastAsia="仿宋" w:hAnsi="仿宋" w:cs="宋体" w:hint="eastAsia"/>
                <w:kern w:val="0"/>
                <w:szCs w:val="21"/>
              </w:rPr>
              <w:t>慰问爱国宗教人士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016C90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≤9万</w:t>
            </w:r>
            <w:r w:rsidRPr="008C161D">
              <w:rPr>
                <w:rFonts w:ascii="仿宋" w:eastAsia="仿宋" w:hAnsi="仿宋" w:cs="宋体" w:hint="eastAsia"/>
                <w:kern w:val="0"/>
                <w:szCs w:val="21"/>
              </w:rPr>
              <w:t>元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016C90" w:rsidP="00016C90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9万元</w:t>
            </w:r>
          </w:p>
        </w:tc>
      </w:tr>
      <w:tr w:rsidR="008C161D" w:rsidRPr="008C161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8C161D">
              <w:rPr>
                <w:rFonts w:ascii="仿宋" w:eastAsia="仿宋" w:hAnsi="仿宋" w:hint="eastAsia"/>
                <w:szCs w:val="21"/>
              </w:rPr>
              <w:t>朝觐出国带队工作人员经费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016C90" w:rsidP="00016C90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≤</w:t>
            </w:r>
            <w:r w:rsidR="008C161D" w:rsidRPr="008C161D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.</w:t>
            </w:r>
            <w:r w:rsidR="008C161D" w:rsidRPr="008C161D">
              <w:rPr>
                <w:rFonts w:ascii="仿宋" w:eastAsia="仿宋" w:hAnsi="仿宋" w:cs="宋体" w:hint="eastAsia"/>
                <w:kern w:val="0"/>
                <w:szCs w:val="21"/>
              </w:rPr>
              <w:t>67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万</w:t>
            </w:r>
            <w:r w:rsidR="008C161D" w:rsidRPr="008C161D">
              <w:rPr>
                <w:rFonts w:ascii="仿宋" w:eastAsia="仿宋" w:hAnsi="仿宋" w:cs="宋体" w:hint="eastAsia"/>
                <w:kern w:val="0"/>
                <w:szCs w:val="21"/>
              </w:rPr>
              <w:t>元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016C90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1.67万元</w:t>
            </w:r>
          </w:p>
        </w:tc>
      </w:tr>
      <w:tr w:rsidR="008C161D" w:rsidRPr="008C161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8C161D">
              <w:rPr>
                <w:rFonts w:ascii="仿宋" w:eastAsia="仿宋" w:hAnsi="仿宋" w:hint="eastAsia"/>
                <w:szCs w:val="21"/>
              </w:rPr>
              <w:t>宗教人士培训培养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016C90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≤5.88万</w:t>
            </w:r>
            <w:r w:rsidRPr="008C161D">
              <w:rPr>
                <w:rFonts w:ascii="仿宋" w:eastAsia="仿宋" w:hAnsi="仿宋" w:cs="宋体" w:hint="eastAsia"/>
                <w:kern w:val="0"/>
                <w:szCs w:val="21"/>
              </w:rPr>
              <w:t>元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016C90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5.88万元</w:t>
            </w:r>
          </w:p>
        </w:tc>
      </w:tr>
      <w:tr w:rsidR="008C161D" w:rsidRPr="008C161D">
        <w:trPr>
          <w:trHeight w:val="48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经济效益</w:t>
            </w: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8C161D" w:rsidRPr="008C161D">
        <w:trPr>
          <w:trHeight w:val="47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社会效益</w:t>
            </w: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8C161D">
              <w:rPr>
                <w:rFonts w:ascii="仿宋" w:eastAsia="仿宋" w:hAnsi="仿宋" w:hint="eastAsia"/>
                <w:szCs w:val="21"/>
              </w:rPr>
              <w:t>宗教事务信息公开水平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8C161D">
              <w:rPr>
                <w:rFonts w:ascii="仿宋" w:eastAsia="仿宋" w:hAnsi="仿宋" w:hint="eastAsia"/>
                <w:szCs w:val="21"/>
              </w:rPr>
              <w:t>得到提升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8C161D">
              <w:rPr>
                <w:rFonts w:ascii="仿宋" w:eastAsia="仿宋" w:hAnsi="仿宋" w:hint="eastAsia"/>
                <w:szCs w:val="21"/>
              </w:rPr>
              <w:t>得到提升</w:t>
            </w:r>
          </w:p>
        </w:tc>
      </w:tr>
      <w:tr w:rsidR="008C161D" w:rsidRPr="008C161D">
        <w:trPr>
          <w:trHeight w:val="54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Cs w:val="21"/>
              </w:rPr>
              <w:t>各民族团结氛围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8C161D">
              <w:rPr>
                <w:rFonts w:ascii="仿宋" w:eastAsia="仿宋" w:hAnsi="仿宋" w:hint="eastAsia"/>
                <w:szCs w:val="21"/>
              </w:rPr>
              <w:t>得到增强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8C161D">
              <w:rPr>
                <w:rFonts w:ascii="仿宋" w:eastAsia="仿宋" w:hAnsi="仿宋" w:hint="eastAsia"/>
                <w:szCs w:val="21"/>
              </w:rPr>
              <w:t>得到增强</w:t>
            </w:r>
          </w:p>
        </w:tc>
      </w:tr>
      <w:tr w:rsidR="008C161D" w:rsidRPr="008C161D">
        <w:trPr>
          <w:trHeight w:val="53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生态效益</w:t>
            </w: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8C161D" w:rsidRPr="008C161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可持续影响</w:t>
            </w: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autoSpaceDN w:val="0"/>
              <w:jc w:val="center"/>
              <w:textAlignment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8C161D">
              <w:rPr>
                <w:rFonts w:ascii="仿宋" w:eastAsia="仿宋" w:hAnsi="仿宋"/>
                <w:color w:val="000000"/>
                <w:szCs w:val="21"/>
              </w:rPr>
              <w:t>宗教人士短缺的问题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autoSpaceDN w:val="0"/>
              <w:jc w:val="center"/>
              <w:textAlignment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8C161D">
              <w:rPr>
                <w:rFonts w:ascii="仿宋" w:eastAsia="仿宋" w:hAnsi="仿宋"/>
                <w:color w:val="000000"/>
                <w:szCs w:val="21"/>
              </w:rPr>
              <w:t>逐步得到解决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autoSpaceDN w:val="0"/>
              <w:jc w:val="center"/>
              <w:textAlignment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8C161D">
              <w:rPr>
                <w:rFonts w:ascii="仿宋" w:eastAsia="仿宋" w:hAnsi="仿宋"/>
                <w:color w:val="000000"/>
                <w:szCs w:val="21"/>
              </w:rPr>
              <w:t>逐步得到解决</w:t>
            </w:r>
          </w:p>
        </w:tc>
      </w:tr>
      <w:tr w:rsidR="008C161D" w:rsidRPr="008C161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满意度</w:t>
            </w: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8C161D">
              <w:rPr>
                <w:rFonts w:ascii="仿宋" w:eastAsia="仿宋" w:hAnsi="仿宋" w:cs="宋体" w:hint="eastAsia"/>
                <w:kern w:val="0"/>
                <w:szCs w:val="21"/>
              </w:rPr>
              <w:t>群众对民族工作的满意度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8C161D">
              <w:rPr>
                <w:rFonts w:ascii="仿宋" w:eastAsia="仿宋" w:hAnsi="仿宋" w:hint="eastAsia"/>
                <w:szCs w:val="21"/>
              </w:rPr>
              <w:t>≥95%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61D" w:rsidRPr="008C161D" w:rsidRDefault="008C161D" w:rsidP="008C161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8C161D">
              <w:rPr>
                <w:rFonts w:ascii="仿宋" w:eastAsia="仿宋" w:hAnsi="仿宋" w:hint="eastAsia"/>
                <w:szCs w:val="21"/>
              </w:rPr>
              <w:t>95%</w:t>
            </w:r>
          </w:p>
        </w:tc>
      </w:tr>
    </w:tbl>
    <w:p w:rsidR="00DE159F" w:rsidRPr="008C161D" w:rsidRDefault="00DE159F">
      <w:pPr>
        <w:spacing w:line="540" w:lineRule="exact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</w:p>
    <w:sectPr w:rsidR="00DE159F" w:rsidRPr="008C161D" w:rsidSect="00DE159F">
      <w:footerReference w:type="default" r:id="rId8"/>
      <w:pgSz w:w="11906" w:h="16838"/>
      <w:pgMar w:top="1440" w:right="1558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EFE" w:rsidRDefault="00383EFE" w:rsidP="00DE159F">
      <w:r>
        <w:separator/>
      </w:r>
    </w:p>
  </w:endnote>
  <w:endnote w:type="continuationSeparator" w:id="1">
    <w:p w:rsidR="00383EFE" w:rsidRDefault="00383EFE" w:rsidP="00DE15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59F" w:rsidRDefault="007433D5">
    <w:pPr>
      <w:pStyle w:val="a3"/>
      <w:jc w:val="center"/>
    </w:pPr>
    <w:r>
      <w:fldChar w:fldCharType="begin"/>
    </w:r>
    <w:r w:rsidR="005C5C3D">
      <w:instrText>PAGE   \* MERGEFORMAT</w:instrText>
    </w:r>
    <w:r>
      <w:fldChar w:fldCharType="separate"/>
    </w:r>
    <w:r w:rsidR="00016C90">
      <w:rPr>
        <w:noProof/>
      </w:rPr>
      <w:t>8</w:t>
    </w:r>
    <w:r>
      <w:fldChar w:fldCharType="end"/>
    </w:r>
  </w:p>
  <w:p w:rsidR="00DE159F" w:rsidRDefault="00DE159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EFE" w:rsidRDefault="00383EFE" w:rsidP="00DE159F">
      <w:r>
        <w:separator/>
      </w:r>
    </w:p>
  </w:footnote>
  <w:footnote w:type="continuationSeparator" w:id="1">
    <w:p w:rsidR="00383EFE" w:rsidRDefault="00383EFE" w:rsidP="00DE15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159F"/>
    <w:rsid w:val="00016C90"/>
    <w:rsid w:val="000224A8"/>
    <w:rsid w:val="00032393"/>
    <w:rsid w:val="00064366"/>
    <w:rsid w:val="0019717C"/>
    <w:rsid w:val="003647B6"/>
    <w:rsid w:val="00383EFE"/>
    <w:rsid w:val="003B03AF"/>
    <w:rsid w:val="004A12D6"/>
    <w:rsid w:val="005349F6"/>
    <w:rsid w:val="005C5C3D"/>
    <w:rsid w:val="005D34F8"/>
    <w:rsid w:val="00664D46"/>
    <w:rsid w:val="006E201F"/>
    <w:rsid w:val="007433D5"/>
    <w:rsid w:val="008C161D"/>
    <w:rsid w:val="009048C1"/>
    <w:rsid w:val="0091164A"/>
    <w:rsid w:val="009A08D5"/>
    <w:rsid w:val="00DD2B6A"/>
    <w:rsid w:val="00DE159F"/>
    <w:rsid w:val="00E40EB7"/>
    <w:rsid w:val="00F42FBF"/>
    <w:rsid w:val="00FA0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E159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rsid w:val="00DE159F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rsid w:val="00DE159F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rsid w:val="00DE159F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Char"/>
    <w:rsid w:val="00DE159F"/>
    <w:pPr>
      <w:keepNext/>
      <w:widowControl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rsid w:val="00DE159F"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rsid w:val="00DE159F"/>
    <w:pPr>
      <w:widowControl/>
      <w:spacing w:before="240" w:after="60"/>
      <w:jc w:val="left"/>
      <w:outlineLvl w:val="5"/>
    </w:pPr>
    <w:rPr>
      <w:b/>
      <w:bCs/>
    </w:rPr>
  </w:style>
  <w:style w:type="paragraph" w:styleId="7">
    <w:name w:val="heading 7"/>
    <w:basedOn w:val="a"/>
    <w:next w:val="a"/>
    <w:link w:val="7Char"/>
    <w:rsid w:val="00DE159F"/>
    <w:pPr>
      <w:widowControl/>
      <w:spacing w:before="240" w:after="60"/>
      <w:jc w:val="left"/>
      <w:outlineLvl w:val="6"/>
    </w:pPr>
    <w:rPr>
      <w:sz w:val="24"/>
    </w:rPr>
  </w:style>
  <w:style w:type="paragraph" w:styleId="8">
    <w:name w:val="heading 8"/>
    <w:basedOn w:val="a"/>
    <w:next w:val="a"/>
    <w:link w:val="8Char"/>
    <w:rsid w:val="00DE159F"/>
    <w:pPr>
      <w:widowControl/>
      <w:spacing w:before="240" w:after="60"/>
      <w:jc w:val="left"/>
      <w:outlineLvl w:val="7"/>
    </w:pPr>
    <w:rPr>
      <w:i/>
      <w:iCs/>
      <w:sz w:val="24"/>
    </w:rPr>
  </w:style>
  <w:style w:type="paragraph" w:styleId="9">
    <w:name w:val="heading 9"/>
    <w:basedOn w:val="a"/>
    <w:next w:val="a"/>
    <w:link w:val="9Char"/>
    <w:rsid w:val="00DE159F"/>
    <w:pPr>
      <w:widowControl/>
      <w:spacing w:before="240" w:after="60"/>
      <w:jc w:val="left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semiHidden/>
    <w:rsid w:val="00DE159F"/>
    <w:rPr>
      <w:rFonts w:ascii="Cambria" w:eastAsia="宋体" w:hAnsi="Cambria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semiHidden/>
    <w:rsid w:val="00DE159F"/>
    <w:rPr>
      <w:rFonts w:ascii="Cambria" w:eastAsia="宋体" w:hAnsi="Cambria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semiHidden/>
    <w:rsid w:val="00DE159F"/>
    <w:rPr>
      <w:rFonts w:ascii="Cambria" w:eastAsia="宋体" w:hAnsi="Cambria"/>
      <w:b/>
      <w:bCs/>
      <w:sz w:val="26"/>
      <w:szCs w:val="26"/>
    </w:rPr>
  </w:style>
  <w:style w:type="character" w:customStyle="1" w:styleId="4Char">
    <w:name w:val="标题 4 Char"/>
    <w:basedOn w:val="a0"/>
    <w:link w:val="4"/>
    <w:semiHidden/>
    <w:rsid w:val="00DE159F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semiHidden/>
    <w:rsid w:val="00DE159F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semiHidden/>
    <w:rsid w:val="00DE159F"/>
    <w:rPr>
      <w:b/>
      <w:bCs/>
    </w:rPr>
  </w:style>
  <w:style w:type="character" w:customStyle="1" w:styleId="7Char">
    <w:name w:val="标题 7 Char"/>
    <w:basedOn w:val="a0"/>
    <w:link w:val="7"/>
    <w:semiHidden/>
    <w:rsid w:val="00DE159F"/>
    <w:rPr>
      <w:sz w:val="24"/>
      <w:szCs w:val="24"/>
    </w:rPr>
  </w:style>
  <w:style w:type="character" w:customStyle="1" w:styleId="8Char">
    <w:name w:val="标题 8 Char"/>
    <w:basedOn w:val="a0"/>
    <w:link w:val="8"/>
    <w:semiHidden/>
    <w:rsid w:val="00DE159F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semiHidden/>
    <w:rsid w:val="00DE159F"/>
    <w:rPr>
      <w:rFonts w:ascii="Cambria" w:eastAsia="宋体" w:hAnsi="Cambria"/>
    </w:rPr>
  </w:style>
  <w:style w:type="paragraph" w:styleId="a3">
    <w:name w:val="footer"/>
    <w:basedOn w:val="a"/>
    <w:link w:val="Char"/>
    <w:rsid w:val="00DE159F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">
    <w:name w:val="页脚 Char"/>
    <w:basedOn w:val="a0"/>
    <w:link w:val="a3"/>
    <w:semiHidden/>
    <w:rsid w:val="00DE159F"/>
    <w:rPr>
      <w:rFonts w:ascii="Calibri" w:eastAsia="宋体" w:hAnsi="Calibri"/>
      <w:kern w:val="2"/>
      <w:sz w:val="18"/>
      <w:szCs w:val="18"/>
    </w:rPr>
  </w:style>
  <w:style w:type="paragraph" w:styleId="a4">
    <w:name w:val="header"/>
    <w:basedOn w:val="a"/>
    <w:link w:val="Char0"/>
    <w:rsid w:val="00DE15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basedOn w:val="a0"/>
    <w:link w:val="a4"/>
    <w:semiHidden/>
    <w:rsid w:val="00DE159F"/>
    <w:rPr>
      <w:rFonts w:ascii="Calibri" w:eastAsia="宋体" w:hAnsi="Calibri"/>
      <w:kern w:val="2"/>
      <w:sz w:val="18"/>
      <w:szCs w:val="18"/>
    </w:rPr>
  </w:style>
  <w:style w:type="paragraph" w:styleId="a5">
    <w:name w:val="Subtitle"/>
    <w:basedOn w:val="a"/>
    <w:next w:val="a"/>
    <w:link w:val="Char1"/>
    <w:rsid w:val="00DE159F"/>
    <w:pPr>
      <w:widowControl/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Char1">
    <w:name w:val="副标题 Char"/>
    <w:basedOn w:val="a0"/>
    <w:link w:val="a5"/>
    <w:semiHidden/>
    <w:rsid w:val="00DE159F"/>
    <w:rPr>
      <w:rFonts w:ascii="Cambria" w:eastAsia="宋体" w:hAnsi="Cambria"/>
      <w:sz w:val="24"/>
      <w:szCs w:val="24"/>
    </w:rPr>
  </w:style>
  <w:style w:type="paragraph" w:styleId="a6">
    <w:name w:val="Title"/>
    <w:basedOn w:val="a"/>
    <w:next w:val="a"/>
    <w:link w:val="Char2"/>
    <w:rsid w:val="00DE159F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2">
    <w:name w:val="标题 Char"/>
    <w:basedOn w:val="a0"/>
    <w:link w:val="a6"/>
    <w:semiHidden/>
    <w:rsid w:val="00DE159F"/>
    <w:rPr>
      <w:rFonts w:ascii="Cambria" w:eastAsia="宋体" w:hAnsi="Cambria"/>
      <w:b/>
      <w:bCs/>
      <w:kern w:val="28"/>
      <w:sz w:val="32"/>
      <w:szCs w:val="32"/>
    </w:rPr>
  </w:style>
  <w:style w:type="character" w:styleId="a7">
    <w:name w:val="Strong"/>
    <w:basedOn w:val="a0"/>
    <w:rsid w:val="00DE159F"/>
    <w:rPr>
      <w:b/>
      <w:bCs/>
    </w:rPr>
  </w:style>
  <w:style w:type="character" w:styleId="a8">
    <w:name w:val="Emphasis"/>
    <w:basedOn w:val="a0"/>
    <w:rsid w:val="00DE159F"/>
    <w:rPr>
      <w:rFonts w:ascii="Calibri" w:hAnsi="Calibri"/>
      <w:b/>
      <w:i/>
      <w:iCs/>
    </w:rPr>
  </w:style>
  <w:style w:type="paragraph" w:customStyle="1" w:styleId="10">
    <w:name w:val="文本块1"/>
    <w:basedOn w:val="a"/>
    <w:next w:val="a"/>
    <w:link w:val="Char3"/>
    <w:rsid w:val="00DE159F"/>
    <w:pPr>
      <w:widowControl/>
      <w:jc w:val="left"/>
    </w:pPr>
    <w:rPr>
      <w:i/>
      <w:sz w:val="24"/>
    </w:rPr>
  </w:style>
  <w:style w:type="paragraph" w:customStyle="1" w:styleId="CharChar">
    <w:name w:val="批注框文本 Char Char"/>
    <w:basedOn w:val="a"/>
    <w:link w:val="CharCharCharChar"/>
    <w:rsid w:val="00DE159F"/>
    <w:rPr>
      <w:sz w:val="18"/>
      <w:szCs w:val="18"/>
    </w:rPr>
  </w:style>
  <w:style w:type="paragraph" w:customStyle="1" w:styleId="11">
    <w:name w:val="无间隔1"/>
    <w:basedOn w:val="a"/>
    <w:rsid w:val="00DE159F"/>
    <w:pPr>
      <w:widowControl/>
      <w:jc w:val="left"/>
    </w:pPr>
    <w:rPr>
      <w:rFonts w:ascii="Calibri" w:hAnsi="Calibri"/>
      <w:kern w:val="0"/>
      <w:sz w:val="24"/>
      <w:szCs w:val="32"/>
      <w:lang w:eastAsia="en-US" w:bidi="en-US"/>
    </w:rPr>
  </w:style>
  <w:style w:type="paragraph" w:customStyle="1" w:styleId="12">
    <w:name w:val="列出段落1"/>
    <w:basedOn w:val="a"/>
    <w:rsid w:val="00DE159F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paragraph" w:customStyle="1" w:styleId="13">
    <w:name w:val="明显引用1"/>
    <w:basedOn w:val="a"/>
    <w:next w:val="a"/>
    <w:link w:val="Char4"/>
    <w:rsid w:val="00DE159F"/>
    <w:pPr>
      <w:widowControl/>
      <w:ind w:left="720" w:right="720"/>
      <w:jc w:val="left"/>
    </w:pPr>
    <w:rPr>
      <w:b/>
      <w:i/>
      <w:sz w:val="24"/>
    </w:rPr>
  </w:style>
  <w:style w:type="paragraph" w:customStyle="1" w:styleId="TOC1">
    <w:name w:val="TOC 标题1"/>
    <w:basedOn w:val="1"/>
    <w:next w:val="a"/>
    <w:rsid w:val="00DE159F"/>
    <w:pPr>
      <w:outlineLvl w:val="9"/>
    </w:pPr>
    <w:rPr>
      <w:lang w:eastAsia="en-US" w:bidi="en-US"/>
    </w:rPr>
  </w:style>
  <w:style w:type="character" w:customStyle="1" w:styleId="CharCharCharChar">
    <w:name w:val="批注框文本 Char Char Char Char"/>
    <w:basedOn w:val="a0"/>
    <w:link w:val="CharChar"/>
    <w:semiHidden/>
    <w:rsid w:val="00DE159F"/>
    <w:rPr>
      <w:rFonts w:ascii="Times New Roman" w:eastAsia="宋体" w:hAnsi="Times New Roman"/>
      <w:kern w:val="2"/>
      <w:sz w:val="18"/>
      <w:szCs w:val="18"/>
    </w:rPr>
  </w:style>
  <w:style w:type="character" w:customStyle="1" w:styleId="Char3">
    <w:name w:val="引用 Char"/>
    <w:basedOn w:val="a0"/>
    <w:link w:val="10"/>
    <w:semiHidden/>
    <w:rsid w:val="00DE159F"/>
    <w:rPr>
      <w:i/>
      <w:sz w:val="24"/>
      <w:szCs w:val="24"/>
    </w:rPr>
  </w:style>
  <w:style w:type="character" w:customStyle="1" w:styleId="Char4">
    <w:name w:val="明显引用 Char"/>
    <w:basedOn w:val="a0"/>
    <w:link w:val="13"/>
    <w:semiHidden/>
    <w:rsid w:val="00DE159F"/>
    <w:rPr>
      <w:b/>
      <w:i/>
      <w:sz w:val="24"/>
    </w:rPr>
  </w:style>
  <w:style w:type="character" w:customStyle="1" w:styleId="14">
    <w:name w:val="不明显强调1"/>
    <w:rsid w:val="00DE159F"/>
    <w:rPr>
      <w:i/>
      <w:color w:val="595959"/>
    </w:rPr>
  </w:style>
  <w:style w:type="character" w:customStyle="1" w:styleId="15">
    <w:name w:val="明显强调1"/>
    <w:basedOn w:val="a0"/>
    <w:rsid w:val="00DE159F"/>
    <w:rPr>
      <w:b/>
      <w:i/>
      <w:sz w:val="24"/>
      <w:szCs w:val="24"/>
      <w:u w:val="single"/>
    </w:rPr>
  </w:style>
  <w:style w:type="character" w:customStyle="1" w:styleId="16">
    <w:name w:val="不明显参考1"/>
    <w:basedOn w:val="a0"/>
    <w:rsid w:val="00DE159F"/>
    <w:rPr>
      <w:sz w:val="24"/>
      <w:szCs w:val="24"/>
      <w:u w:val="single"/>
    </w:rPr>
  </w:style>
  <w:style w:type="character" w:customStyle="1" w:styleId="17">
    <w:name w:val="明显参考1"/>
    <w:basedOn w:val="a0"/>
    <w:rsid w:val="00DE159F"/>
    <w:rPr>
      <w:b/>
      <w:sz w:val="24"/>
      <w:u w:val="single"/>
    </w:rPr>
  </w:style>
  <w:style w:type="character" w:customStyle="1" w:styleId="18">
    <w:name w:val="书籍标题1"/>
    <w:basedOn w:val="a0"/>
    <w:rsid w:val="00DE159F"/>
    <w:rPr>
      <w:rFonts w:ascii="Cambria" w:eastAsia="宋体" w:hAnsi="Cambria"/>
      <w:b/>
      <w:i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C197E1-8D61-4CDA-9C55-BE7ADC056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639</Words>
  <Characters>3645</Characters>
  <Application>Microsoft Office Word</Application>
  <DocSecurity>0</DocSecurity>
  <Lines>30</Lines>
  <Paragraphs>8</Paragraphs>
  <ScaleCrop>false</ScaleCrop>
  <Company>Company</Company>
  <LinksUpToDate>false</LinksUpToDate>
  <CharactersWithSpaces>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刘春生</dc:title>
  <dc:creator>赵 恺（预算处）</dc:creator>
  <cp:lastModifiedBy>User</cp:lastModifiedBy>
  <cp:revision>12</cp:revision>
  <cp:lastPrinted>2019-01-15T23:04:00Z</cp:lastPrinted>
  <dcterms:created xsi:type="dcterms:W3CDTF">2018-08-15T18:06:00Z</dcterms:created>
  <dcterms:modified xsi:type="dcterms:W3CDTF">2019-10-19T10:16:00Z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