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kern w:val="0"/>
          <w:sz w:val="32"/>
          <w:szCs w:val="32"/>
        </w:rPr>
      </w:pPr>
      <w:r>
        <w:rPr>
          <w:rFonts w:hint="eastAsia" w:ascii="仿宋" w:hAnsi="仿宋" w:eastAsia="仿宋" w:cs="仿宋"/>
          <w:kern w:val="0"/>
          <w:sz w:val="32"/>
          <w:szCs w:val="32"/>
        </w:rPr>
        <w:t>附件</w:t>
      </w:r>
      <w:r>
        <w:rPr>
          <w:rFonts w:ascii="仿宋" w:hAnsi="仿宋" w:eastAsia="仿宋" w:cs="仿宋"/>
          <w:kern w:val="0"/>
          <w:sz w:val="32"/>
          <w:szCs w:val="32"/>
        </w:rPr>
        <w:t>2</w:t>
      </w:r>
      <w:r>
        <w:rPr>
          <w:rFonts w:hint="eastAsia" w:ascii="仿宋" w:hAnsi="仿宋" w:eastAsia="仿宋" w:cs="仿宋"/>
          <w:kern w:val="0"/>
          <w:sz w:val="32"/>
          <w:szCs w:val="32"/>
        </w:rPr>
        <w:t>：</w:t>
      </w:r>
    </w:p>
    <w:p>
      <w:pPr>
        <w:spacing w:line="540" w:lineRule="exact"/>
        <w:jc w:val="center"/>
        <w:rPr>
          <w:rFonts w:ascii="华文中宋" w:hAnsi="华文中宋" w:eastAsia="华文中宋"/>
          <w:b/>
          <w:bCs/>
          <w:kern w:val="0"/>
          <w:sz w:val="52"/>
          <w:szCs w:val="52"/>
        </w:rPr>
      </w:pPr>
    </w:p>
    <w:p>
      <w:pPr>
        <w:spacing w:line="540" w:lineRule="exact"/>
        <w:jc w:val="center"/>
        <w:rPr>
          <w:rFonts w:ascii="华文中宋" w:hAnsi="华文中宋" w:eastAsia="华文中宋"/>
          <w:b/>
          <w:bCs/>
          <w:kern w:val="0"/>
          <w:sz w:val="52"/>
          <w:szCs w:val="52"/>
        </w:rPr>
      </w:pPr>
    </w:p>
    <w:p>
      <w:pPr>
        <w:spacing w:line="540" w:lineRule="exact"/>
        <w:jc w:val="center"/>
        <w:rPr>
          <w:rFonts w:ascii="华文中宋" w:hAnsi="华文中宋" w:eastAsia="华文中宋"/>
          <w:b/>
          <w:bCs/>
          <w:kern w:val="0"/>
          <w:sz w:val="52"/>
          <w:szCs w:val="52"/>
        </w:rPr>
      </w:pPr>
    </w:p>
    <w:p>
      <w:pPr>
        <w:spacing w:line="540" w:lineRule="exact"/>
        <w:jc w:val="center"/>
        <w:rPr>
          <w:rFonts w:ascii="华文中宋" w:hAnsi="华文中宋" w:eastAsia="华文中宋"/>
          <w:b/>
          <w:bCs/>
          <w:kern w:val="0"/>
          <w:sz w:val="52"/>
          <w:szCs w:val="52"/>
        </w:rPr>
      </w:pPr>
    </w:p>
    <w:p>
      <w:pPr>
        <w:spacing w:line="540" w:lineRule="exact"/>
        <w:jc w:val="center"/>
        <w:rPr>
          <w:rFonts w:ascii="华文中宋" w:hAnsi="华文中宋" w:eastAsia="华文中宋"/>
          <w:b/>
          <w:bCs/>
          <w:kern w:val="0"/>
          <w:sz w:val="52"/>
          <w:szCs w:val="52"/>
        </w:rPr>
      </w:pPr>
    </w:p>
    <w:p>
      <w:pPr>
        <w:spacing w:line="540" w:lineRule="exact"/>
        <w:jc w:val="center"/>
        <w:rPr>
          <w:rFonts w:ascii="华文中宋" w:hAnsi="华文中宋" w:eastAsia="华文中宋"/>
          <w:b/>
          <w:bCs/>
          <w:kern w:val="0"/>
          <w:sz w:val="52"/>
          <w:szCs w:val="52"/>
        </w:rPr>
      </w:pPr>
    </w:p>
    <w:p>
      <w:pPr>
        <w:spacing w:line="540" w:lineRule="exact"/>
        <w:jc w:val="center"/>
        <w:rPr>
          <w:rFonts w:ascii="方正小标宋_GBK" w:hAnsi="华文中宋" w:eastAsia="方正小标宋_GBK"/>
          <w:b/>
          <w:bCs/>
          <w:kern w:val="0"/>
          <w:sz w:val="48"/>
          <w:szCs w:val="48"/>
        </w:rPr>
      </w:pPr>
      <w:r>
        <w:rPr>
          <w:rFonts w:hint="eastAsia" w:ascii="方正小标宋_GBK" w:hAnsi="华文中宋" w:eastAsia="方正小标宋_GBK" w:cs="方正小标宋_GBK"/>
          <w:b/>
          <w:bCs/>
          <w:kern w:val="0"/>
          <w:sz w:val="48"/>
          <w:szCs w:val="48"/>
          <w:u w:val="single"/>
        </w:rPr>
        <w:t>巴州总工会</w:t>
      </w:r>
      <w:r>
        <w:rPr>
          <w:rFonts w:hint="eastAsia" w:ascii="方正小标宋_GBK" w:hAnsi="华文中宋" w:eastAsia="方正小标宋_GBK" w:cs="方正小标宋_GBK"/>
          <w:b/>
          <w:bCs/>
          <w:kern w:val="0"/>
          <w:sz w:val="48"/>
          <w:szCs w:val="48"/>
        </w:rPr>
        <w:t>财政项目支出绩效自评报告</w:t>
      </w:r>
    </w:p>
    <w:p>
      <w:pPr>
        <w:spacing w:line="540" w:lineRule="exact"/>
        <w:jc w:val="center"/>
        <w:rPr>
          <w:rFonts w:ascii="华文中宋" w:hAnsi="华文中宋" w:eastAsia="华文中宋"/>
          <w:b/>
          <w:bCs/>
          <w:kern w:val="0"/>
          <w:sz w:val="52"/>
          <w:szCs w:val="52"/>
        </w:rPr>
      </w:pPr>
    </w:p>
    <w:p>
      <w:pPr>
        <w:spacing w:line="540" w:lineRule="exact"/>
        <w:jc w:val="center"/>
        <w:rPr>
          <w:rFonts w:hAnsi="宋体" w:eastAsia="仿宋_GB2312"/>
          <w:kern w:val="0"/>
          <w:sz w:val="36"/>
          <w:szCs w:val="36"/>
        </w:rPr>
      </w:pPr>
      <w:r>
        <w:rPr>
          <w:rFonts w:hint="eastAsia" w:hAnsi="宋体" w:eastAsia="仿宋_GB2312" w:cs="仿宋_GB2312"/>
          <w:kern w:val="0"/>
          <w:sz w:val="36"/>
          <w:szCs w:val="36"/>
        </w:rPr>
        <w:t>（</w:t>
      </w:r>
      <w:r>
        <w:rPr>
          <w:rFonts w:hAnsi="宋体" w:eastAsia="仿宋_GB2312"/>
          <w:kern w:val="0"/>
          <w:sz w:val="36"/>
          <w:szCs w:val="36"/>
        </w:rPr>
        <w:t>2018</w:t>
      </w:r>
      <w:r>
        <w:rPr>
          <w:rFonts w:hint="eastAsia" w:hAnsi="宋体" w:eastAsia="仿宋_GB2312" w:cs="仿宋_GB2312"/>
          <w:kern w:val="0"/>
          <w:sz w:val="36"/>
          <w:szCs w:val="36"/>
        </w:rPr>
        <w:t>年度）</w:t>
      </w:r>
    </w:p>
    <w:p>
      <w:pPr>
        <w:spacing w:line="540" w:lineRule="exact"/>
        <w:jc w:val="center"/>
        <w:rPr>
          <w:rFonts w:hAnsi="宋体" w:eastAsia="仿宋_GB2312"/>
          <w:kern w:val="0"/>
          <w:sz w:val="30"/>
          <w:szCs w:val="30"/>
        </w:rPr>
      </w:pPr>
    </w:p>
    <w:p>
      <w:pPr>
        <w:spacing w:line="540" w:lineRule="exact"/>
        <w:jc w:val="center"/>
        <w:rPr>
          <w:rFonts w:hAnsi="宋体" w:eastAsia="仿宋_GB2312"/>
          <w:kern w:val="0"/>
          <w:sz w:val="30"/>
          <w:szCs w:val="30"/>
        </w:rPr>
      </w:pPr>
    </w:p>
    <w:p>
      <w:pPr>
        <w:spacing w:line="540" w:lineRule="exact"/>
        <w:jc w:val="center"/>
        <w:rPr>
          <w:rFonts w:hAnsi="宋体" w:eastAsia="仿宋_GB2312"/>
          <w:kern w:val="0"/>
          <w:sz w:val="30"/>
          <w:szCs w:val="30"/>
        </w:rPr>
      </w:pPr>
    </w:p>
    <w:p>
      <w:pPr>
        <w:spacing w:line="540" w:lineRule="exact"/>
        <w:jc w:val="center"/>
        <w:rPr>
          <w:rFonts w:hAnsi="宋体" w:eastAsia="仿宋_GB2312"/>
          <w:kern w:val="0"/>
          <w:sz w:val="30"/>
          <w:szCs w:val="30"/>
        </w:rPr>
      </w:pPr>
    </w:p>
    <w:p>
      <w:pPr>
        <w:spacing w:line="540" w:lineRule="exact"/>
        <w:jc w:val="center"/>
        <w:rPr>
          <w:rFonts w:hAnsi="宋体" w:eastAsia="仿宋_GB2312"/>
          <w:kern w:val="0"/>
          <w:sz w:val="30"/>
          <w:szCs w:val="30"/>
        </w:rPr>
      </w:pPr>
    </w:p>
    <w:p>
      <w:pPr>
        <w:spacing w:line="540" w:lineRule="exact"/>
        <w:rPr>
          <w:rFonts w:hAnsi="宋体" w:eastAsia="仿宋_GB2312"/>
          <w:kern w:val="0"/>
          <w:sz w:val="30"/>
          <w:szCs w:val="30"/>
        </w:rPr>
      </w:pPr>
    </w:p>
    <w:p>
      <w:pPr>
        <w:spacing w:line="700" w:lineRule="exact"/>
        <w:jc w:val="left"/>
        <w:rPr>
          <w:rFonts w:hAnsi="宋体" w:eastAsia="仿宋_GB2312"/>
          <w:kern w:val="0"/>
          <w:sz w:val="36"/>
          <w:szCs w:val="36"/>
        </w:rPr>
      </w:pPr>
      <w:r>
        <w:rPr>
          <w:rFonts w:hint="eastAsia" w:hAnsi="宋体" w:eastAsia="仿宋_GB2312" w:cs="仿宋_GB2312"/>
          <w:kern w:val="0"/>
          <w:sz w:val="36"/>
          <w:szCs w:val="36"/>
        </w:rPr>
        <w:t>项目名称：</w:t>
      </w:r>
      <w:r>
        <w:rPr>
          <w:rFonts w:hAnsi="宋体" w:eastAsia="仿宋_GB2312"/>
          <w:kern w:val="0"/>
          <w:sz w:val="36"/>
          <w:szCs w:val="36"/>
        </w:rPr>
        <w:t>2018</w:t>
      </w:r>
      <w:r>
        <w:rPr>
          <w:rFonts w:hint="eastAsia" w:hAnsi="宋体" w:eastAsia="仿宋_GB2312" w:cs="仿宋_GB2312"/>
          <w:kern w:val="0"/>
          <w:sz w:val="36"/>
          <w:szCs w:val="36"/>
        </w:rPr>
        <w:t>年巴州工会第十次代表大会</w:t>
      </w:r>
    </w:p>
    <w:p>
      <w:pPr>
        <w:spacing w:line="700" w:lineRule="exact"/>
        <w:jc w:val="left"/>
        <w:rPr>
          <w:rFonts w:hAnsi="宋体" w:eastAsia="仿宋_GB2312"/>
          <w:kern w:val="0"/>
          <w:sz w:val="36"/>
          <w:szCs w:val="36"/>
        </w:rPr>
      </w:pPr>
      <w:r>
        <w:rPr>
          <w:rFonts w:hAnsi="宋体" w:eastAsia="仿宋_GB2312"/>
          <w:kern w:val="0"/>
          <w:sz w:val="36"/>
          <w:szCs w:val="36"/>
        </w:rPr>
        <w:t xml:space="preserve">     </w:t>
      </w:r>
      <w:r>
        <w:rPr>
          <w:rFonts w:hint="eastAsia" w:hAnsi="宋体" w:eastAsia="仿宋_GB2312" w:cs="仿宋_GB2312"/>
          <w:kern w:val="0"/>
          <w:sz w:val="36"/>
          <w:szCs w:val="36"/>
        </w:rPr>
        <w:t>实施单位（公章）：巴州总工会</w:t>
      </w:r>
    </w:p>
    <w:p>
      <w:pPr>
        <w:spacing w:line="700" w:lineRule="exact"/>
        <w:ind w:firstLine="849" w:firstLineChars="236"/>
        <w:jc w:val="left"/>
        <w:rPr>
          <w:rFonts w:hAnsi="宋体" w:eastAsia="仿宋_GB2312"/>
          <w:kern w:val="0"/>
          <w:sz w:val="36"/>
          <w:szCs w:val="36"/>
        </w:rPr>
      </w:pPr>
      <w:r>
        <w:rPr>
          <w:rFonts w:hint="eastAsia" w:hAnsi="宋体" w:eastAsia="仿宋_GB2312" w:cs="仿宋_GB2312"/>
          <w:kern w:val="0"/>
          <w:sz w:val="36"/>
          <w:szCs w:val="36"/>
        </w:rPr>
        <w:t>主管部门（公章）：巴州党委</w:t>
      </w:r>
    </w:p>
    <w:p>
      <w:pPr>
        <w:spacing w:line="700" w:lineRule="exact"/>
        <w:ind w:firstLine="849" w:firstLineChars="236"/>
        <w:jc w:val="left"/>
        <w:rPr>
          <w:rFonts w:hAnsi="宋体" w:eastAsia="仿宋_GB2312"/>
          <w:kern w:val="0"/>
          <w:sz w:val="36"/>
          <w:szCs w:val="36"/>
        </w:rPr>
      </w:pPr>
      <w:r>
        <w:rPr>
          <w:rFonts w:hint="eastAsia" w:hAnsi="宋体" w:eastAsia="仿宋_GB2312" w:cs="仿宋_GB2312"/>
          <w:kern w:val="0"/>
          <w:sz w:val="36"/>
          <w:szCs w:val="36"/>
        </w:rPr>
        <w:t>项目负责人（签章）：苏凯</w:t>
      </w:r>
    </w:p>
    <w:p>
      <w:pPr>
        <w:spacing w:line="700" w:lineRule="exact"/>
        <w:ind w:firstLine="849" w:firstLineChars="236"/>
        <w:jc w:val="left"/>
        <w:rPr>
          <w:rFonts w:hAnsi="宋体" w:eastAsia="仿宋_GB2312"/>
          <w:kern w:val="0"/>
          <w:sz w:val="36"/>
          <w:szCs w:val="36"/>
        </w:rPr>
      </w:pPr>
      <w:r>
        <w:rPr>
          <w:rFonts w:hint="eastAsia" w:hAnsi="宋体" w:eastAsia="仿宋_GB2312" w:cs="仿宋_GB2312"/>
          <w:kern w:val="0"/>
          <w:sz w:val="36"/>
          <w:szCs w:val="36"/>
        </w:rPr>
        <w:t>填报时间：</w:t>
      </w:r>
      <w:r>
        <w:rPr>
          <w:rFonts w:hAnsi="宋体" w:eastAsia="仿宋_GB2312"/>
          <w:kern w:val="0"/>
          <w:sz w:val="36"/>
          <w:szCs w:val="36"/>
        </w:rPr>
        <w:t>2019</w:t>
      </w:r>
      <w:r>
        <w:rPr>
          <w:rFonts w:hint="eastAsia" w:hAnsi="宋体" w:eastAsia="仿宋_GB2312" w:cs="仿宋_GB2312"/>
          <w:kern w:val="0"/>
          <w:sz w:val="36"/>
          <w:szCs w:val="36"/>
        </w:rPr>
        <w:t>年</w:t>
      </w:r>
      <w:r>
        <w:rPr>
          <w:rFonts w:hAnsi="宋体" w:eastAsia="仿宋_GB2312"/>
          <w:kern w:val="0"/>
          <w:sz w:val="36"/>
          <w:szCs w:val="36"/>
        </w:rPr>
        <w:t>1</w:t>
      </w:r>
      <w:r>
        <w:rPr>
          <w:rFonts w:hint="eastAsia" w:hAnsi="宋体" w:eastAsia="仿宋_GB2312" w:cs="仿宋_GB2312"/>
          <w:kern w:val="0"/>
          <w:sz w:val="36"/>
          <w:szCs w:val="36"/>
        </w:rPr>
        <w:t>月</w:t>
      </w:r>
      <w:r>
        <w:rPr>
          <w:rFonts w:hAnsi="宋体" w:eastAsia="仿宋_GB2312"/>
          <w:kern w:val="0"/>
          <w:sz w:val="36"/>
          <w:szCs w:val="36"/>
        </w:rPr>
        <w:t>21</w:t>
      </w:r>
      <w:r>
        <w:rPr>
          <w:rFonts w:hint="eastAsia" w:hAnsi="宋体" w:eastAsia="仿宋_GB2312" w:cs="仿宋_GB2312"/>
          <w:kern w:val="0"/>
          <w:sz w:val="36"/>
          <w:szCs w:val="36"/>
        </w:rPr>
        <w:t>日</w:t>
      </w:r>
    </w:p>
    <w:p>
      <w:pPr>
        <w:spacing w:line="540" w:lineRule="exact"/>
        <w:rPr>
          <w:rFonts w:hAnsi="宋体" w:eastAsia="仿宋_GB2312"/>
          <w:kern w:val="0"/>
          <w:sz w:val="30"/>
          <w:szCs w:val="30"/>
        </w:rPr>
      </w:pPr>
    </w:p>
    <w:p>
      <w:pPr>
        <w:spacing w:line="540" w:lineRule="exact"/>
        <w:rPr>
          <w:rStyle w:val="17"/>
          <w:rFonts w:ascii="黑体" w:hAnsi="黑体" w:eastAsia="黑体"/>
          <w:b w:val="0"/>
          <w:bCs w:val="0"/>
          <w:spacing w:val="-4"/>
          <w:sz w:val="32"/>
          <w:szCs w:val="32"/>
        </w:rPr>
      </w:pPr>
    </w:p>
    <w:p>
      <w:pPr>
        <w:spacing w:line="540" w:lineRule="exact"/>
        <w:ind w:firstLine="640"/>
        <w:rPr>
          <w:rStyle w:val="17"/>
          <w:rFonts w:ascii="黑体" w:hAnsi="黑体" w:eastAsia="黑体"/>
          <w:b w:val="0"/>
          <w:bCs w:val="0"/>
          <w:spacing w:val="-4"/>
          <w:sz w:val="32"/>
          <w:szCs w:val="32"/>
        </w:rPr>
      </w:pPr>
    </w:p>
    <w:p>
      <w:pPr>
        <w:spacing w:line="540" w:lineRule="exact"/>
        <w:ind w:firstLine="640"/>
        <w:rPr>
          <w:rStyle w:val="17"/>
          <w:rFonts w:ascii="黑体" w:hAnsi="黑体" w:eastAsia="黑体"/>
          <w:b w:val="0"/>
          <w:bCs w:val="0"/>
          <w:spacing w:val="-4"/>
          <w:sz w:val="32"/>
          <w:szCs w:val="32"/>
        </w:rPr>
      </w:pPr>
      <w:r>
        <w:rPr>
          <w:rStyle w:val="17"/>
          <w:rFonts w:hint="eastAsia" w:ascii="黑体" w:hAnsi="黑体" w:eastAsia="黑体" w:cs="黑体"/>
          <w:b w:val="0"/>
          <w:bCs w:val="0"/>
          <w:spacing w:val="-4"/>
          <w:sz w:val="32"/>
          <w:szCs w:val="32"/>
        </w:rPr>
        <w:t>一、项目概况</w:t>
      </w:r>
    </w:p>
    <w:p>
      <w:pPr>
        <w:spacing w:line="540" w:lineRule="exact"/>
        <w:ind w:firstLine="567"/>
        <w:rPr>
          <w:rStyle w:val="17"/>
          <w:rFonts w:ascii="楷体" w:hAnsi="楷体" w:eastAsia="楷体"/>
          <w:spacing w:val="-4"/>
          <w:sz w:val="32"/>
          <w:szCs w:val="32"/>
        </w:rPr>
      </w:pPr>
      <w:r>
        <w:rPr>
          <w:rStyle w:val="17"/>
          <w:rFonts w:hint="eastAsia" w:ascii="楷体" w:hAnsi="楷体" w:eastAsia="楷体" w:cs="楷体"/>
          <w:spacing w:val="-4"/>
          <w:sz w:val="32"/>
          <w:szCs w:val="32"/>
        </w:rPr>
        <w:t>（一）项目单位基本情况</w:t>
      </w:r>
    </w:p>
    <w:p>
      <w:pPr>
        <w:pStyle w:val="21"/>
        <w:ind w:firstLine="480" w:firstLineChars="150"/>
        <w:rPr>
          <w:rFonts w:ascii="仿宋_GB2312" w:eastAsia="仿宋_GB2312" w:cs="Times New Roman"/>
          <w:color w:val="000000"/>
          <w:sz w:val="32"/>
          <w:szCs w:val="32"/>
        </w:rPr>
      </w:pPr>
      <w:r>
        <w:rPr>
          <w:rFonts w:hint="eastAsia" w:ascii="仿宋_GB2312" w:eastAsia="仿宋_GB2312" w:cs="仿宋_GB2312"/>
          <w:sz w:val="32"/>
          <w:szCs w:val="32"/>
        </w:rPr>
        <w:t>（一）</w:t>
      </w:r>
      <w:r>
        <w:rPr>
          <w:rFonts w:hint="eastAsia" w:ascii="仿宋_GB2312" w:eastAsia="仿宋_GB2312" w:cs="仿宋_GB2312"/>
          <w:color w:val="000000"/>
          <w:sz w:val="32"/>
          <w:szCs w:val="32"/>
        </w:rPr>
        <w:t>工会的基本职责是维护职工合法权益。工会在企业、事业单位中，通过平等协商和集体合同制度，协调劳动关系，维护职工权益。工会依法通过职工代表大会或其他形式，组织职工参与本单位的民主决策、民主管理和民主监督。协助自治州人民政府做好劳动模范的推荐、评选和管理工作；负责全国劳动模范、全国“五一”劳动奖章、奖状和“开发建设新疆”奖章、奖状获得者的评选、推荐和管理工作，承担自治州党委、自治州人民政府交办的其他工作。工会密切联系职工，是党和政府联系职工群众的纽带。</w:t>
      </w:r>
    </w:p>
    <w:p>
      <w:pPr>
        <w:spacing w:line="540" w:lineRule="exact"/>
        <w:ind w:firstLine="567"/>
        <w:rPr>
          <w:rStyle w:val="17"/>
          <w:rFonts w:ascii="楷体" w:hAnsi="楷体" w:eastAsia="楷体"/>
          <w:spacing w:val="-4"/>
          <w:sz w:val="32"/>
          <w:szCs w:val="32"/>
        </w:rPr>
      </w:pPr>
      <w:r>
        <w:rPr>
          <w:rFonts w:hint="eastAsia" w:ascii="仿宋_GB2312" w:eastAsia="仿宋_GB2312" w:cs="仿宋_GB2312"/>
          <w:sz w:val="32"/>
          <w:szCs w:val="32"/>
        </w:rPr>
        <w:t>（二）人员情况：本单位群众社会团体，参照公务员管理，核定行政编制数为</w:t>
      </w:r>
      <w:r>
        <w:rPr>
          <w:rFonts w:ascii="仿宋_GB2312" w:eastAsia="仿宋_GB2312" w:cs="仿宋_GB2312"/>
          <w:sz w:val="32"/>
          <w:szCs w:val="32"/>
        </w:rPr>
        <w:t>10</w:t>
      </w:r>
      <w:r>
        <w:rPr>
          <w:rFonts w:hint="eastAsia" w:ascii="仿宋_GB2312" w:eastAsia="仿宋_GB2312" w:cs="仿宋_GB2312"/>
          <w:sz w:val="32"/>
          <w:szCs w:val="32"/>
        </w:rPr>
        <w:t>人，截止到</w:t>
      </w:r>
      <w:r>
        <w:rPr>
          <w:rFonts w:ascii="仿宋_GB2312" w:eastAsia="仿宋_GB2312" w:cs="仿宋_GB2312"/>
          <w:sz w:val="32"/>
          <w:szCs w:val="32"/>
        </w:rPr>
        <w:t>2018</w:t>
      </w:r>
      <w:r>
        <w:rPr>
          <w:rFonts w:hint="eastAsia" w:ascii="仿宋_GB2312" w:eastAsia="仿宋_GB2312" w:cs="仿宋_GB2312"/>
          <w:sz w:val="32"/>
          <w:szCs w:val="32"/>
        </w:rPr>
        <w:t>年</w:t>
      </w:r>
      <w:r>
        <w:rPr>
          <w:rFonts w:ascii="仿宋_GB2312" w:eastAsia="仿宋_GB2312" w:cs="仿宋_GB2312"/>
          <w:sz w:val="32"/>
          <w:szCs w:val="32"/>
        </w:rPr>
        <w:t>12</w:t>
      </w:r>
      <w:r>
        <w:rPr>
          <w:rFonts w:hint="eastAsia" w:ascii="仿宋_GB2312" w:eastAsia="仿宋_GB2312" w:cs="仿宋_GB2312"/>
          <w:sz w:val="32"/>
          <w:szCs w:val="32"/>
        </w:rPr>
        <w:t>月</w:t>
      </w:r>
      <w:r>
        <w:rPr>
          <w:rFonts w:ascii="仿宋_GB2312" w:eastAsia="仿宋_GB2312" w:cs="仿宋_GB2312"/>
          <w:sz w:val="32"/>
          <w:szCs w:val="32"/>
        </w:rPr>
        <w:t>31</w:t>
      </w:r>
      <w:r>
        <w:rPr>
          <w:rFonts w:hint="eastAsia" w:ascii="仿宋_GB2312" w:eastAsia="仿宋_GB2312" w:cs="仿宋_GB2312"/>
          <w:sz w:val="32"/>
          <w:szCs w:val="32"/>
        </w:rPr>
        <w:t>日，实有在职人员</w:t>
      </w:r>
      <w:r>
        <w:rPr>
          <w:rFonts w:ascii="仿宋_GB2312" w:eastAsia="仿宋_GB2312" w:cs="仿宋_GB2312"/>
          <w:sz w:val="32"/>
          <w:szCs w:val="32"/>
        </w:rPr>
        <w:t>9</w:t>
      </w:r>
      <w:r>
        <w:rPr>
          <w:rFonts w:hint="eastAsia" w:ascii="仿宋_GB2312" w:eastAsia="仿宋_GB2312" w:cs="仿宋_GB2312"/>
          <w:sz w:val="32"/>
          <w:szCs w:val="32"/>
        </w:rPr>
        <w:t>人，离休</w:t>
      </w:r>
      <w:r>
        <w:rPr>
          <w:rFonts w:ascii="仿宋_GB2312" w:eastAsia="仿宋_GB2312" w:cs="仿宋_GB2312"/>
          <w:sz w:val="32"/>
          <w:szCs w:val="32"/>
        </w:rPr>
        <w:t>1</w:t>
      </w:r>
      <w:r>
        <w:rPr>
          <w:rFonts w:hint="eastAsia" w:ascii="仿宋_GB2312" w:eastAsia="仿宋_GB2312" w:cs="仿宋_GB2312"/>
          <w:sz w:val="32"/>
          <w:szCs w:val="32"/>
        </w:rPr>
        <w:t>人，退休</w:t>
      </w:r>
      <w:r>
        <w:rPr>
          <w:rFonts w:ascii="仿宋_GB2312" w:eastAsia="仿宋_GB2312" w:cs="仿宋_GB2312"/>
          <w:sz w:val="32"/>
          <w:szCs w:val="32"/>
        </w:rPr>
        <w:t>20</w:t>
      </w:r>
      <w:r>
        <w:rPr>
          <w:rFonts w:hint="eastAsia" w:ascii="仿宋_GB2312" w:eastAsia="仿宋_GB2312" w:cs="仿宋_GB2312"/>
          <w:sz w:val="32"/>
          <w:szCs w:val="32"/>
        </w:rPr>
        <w:t>人</w:t>
      </w:r>
      <w:r>
        <w:rPr>
          <w:rFonts w:ascii="仿宋_GB2312" w:eastAsia="仿宋_GB2312" w:cs="仿宋_GB2312"/>
          <w:sz w:val="32"/>
          <w:szCs w:val="32"/>
        </w:rPr>
        <w:t>,</w:t>
      </w:r>
      <w:r>
        <w:rPr>
          <w:rFonts w:hint="eastAsia" w:ascii="仿宋_GB2312" w:eastAsia="仿宋_GB2312" w:cs="仿宋_GB2312"/>
          <w:sz w:val="32"/>
          <w:szCs w:val="32"/>
        </w:rPr>
        <w:t>合计</w:t>
      </w:r>
      <w:r>
        <w:rPr>
          <w:rFonts w:ascii="仿宋_GB2312" w:eastAsia="仿宋_GB2312" w:cs="仿宋_GB2312"/>
          <w:sz w:val="32"/>
          <w:szCs w:val="32"/>
        </w:rPr>
        <w:t>30</w:t>
      </w:r>
      <w:r>
        <w:rPr>
          <w:rFonts w:hint="eastAsia" w:ascii="仿宋_GB2312" w:eastAsia="仿宋_GB2312" w:cs="仿宋_GB2312"/>
          <w:sz w:val="32"/>
          <w:szCs w:val="32"/>
        </w:rPr>
        <w:t>人</w:t>
      </w:r>
    </w:p>
    <w:p>
      <w:pPr>
        <w:spacing w:line="540" w:lineRule="exact"/>
        <w:ind w:firstLine="567"/>
        <w:rPr>
          <w:rStyle w:val="17"/>
          <w:rFonts w:ascii="楷体" w:hAnsi="楷体" w:eastAsia="楷体"/>
          <w:spacing w:val="-4"/>
          <w:sz w:val="32"/>
          <w:szCs w:val="32"/>
        </w:rPr>
      </w:pP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cs="楷体"/>
          <w:spacing w:val="-4"/>
          <w:sz w:val="32"/>
          <w:szCs w:val="32"/>
        </w:rPr>
        <w:t>（二）项目预算绩效目标设定情况</w:t>
      </w:r>
    </w:p>
    <w:p>
      <w:pPr>
        <w:spacing w:line="540" w:lineRule="exact"/>
        <w:ind w:firstLine="579" w:firstLineChars="181"/>
        <w:rPr>
          <w:rFonts w:ascii="仿宋_GB2312" w:hAnsi="宋体" w:eastAsia="仿宋_GB2312"/>
          <w:kern w:val="0"/>
          <w:sz w:val="32"/>
          <w:szCs w:val="32"/>
        </w:rPr>
      </w:pPr>
      <w:r>
        <w:rPr>
          <w:rFonts w:hint="eastAsia" w:ascii="仿宋_GB2312" w:hAnsi="宋体" w:eastAsia="仿宋_GB2312" w:cs="仿宋_GB2312"/>
          <w:kern w:val="0"/>
          <w:sz w:val="32"/>
          <w:szCs w:val="32"/>
        </w:rPr>
        <w:t>（包括预期目标及阶段性目标；项目基本性质、用途和主要内容、涉及范围）</w:t>
      </w:r>
    </w:p>
    <w:p>
      <w:pPr>
        <w:spacing w:line="540" w:lineRule="exact"/>
        <w:ind w:firstLine="567" w:firstLineChars="181"/>
        <w:rPr>
          <w:rFonts w:ascii="仿宋_GB2312" w:hAnsi="宋体" w:eastAsia="仿宋_GB2312"/>
          <w:kern w:val="0"/>
          <w:sz w:val="32"/>
          <w:szCs w:val="32"/>
        </w:rPr>
      </w:pPr>
      <w:r>
        <w:rPr>
          <w:rStyle w:val="17"/>
          <w:rFonts w:hint="eastAsia" w:ascii="楷体" w:hAnsi="楷体" w:eastAsia="楷体" w:cs="楷体"/>
          <w:spacing w:val="-4"/>
          <w:sz w:val="32"/>
          <w:szCs w:val="32"/>
        </w:rPr>
        <w:t>预期目标及阶段性目标：</w:t>
      </w:r>
      <w:r>
        <w:rPr>
          <w:rFonts w:hint="eastAsia" w:ascii="仿宋_GB2312" w:hAnsi="宋体" w:eastAsia="仿宋_GB2312" w:cs="仿宋_GB2312"/>
          <w:kern w:val="0"/>
          <w:sz w:val="32"/>
          <w:szCs w:val="32"/>
        </w:rPr>
        <w:t>项目为五年一次定期项目，无预期总目标及阶段性目标。</w:t>
      </w:r>
    </w:p>
    <w:p>
      <w:pPr>
        <w:spacing w:line="540" w:lineRule="exact"/>
        <w:ind w:firstLine="531" w:firstLineChars="181"/>
        <w:rPr>
          <w:rFonts w:ascii="仿宋_GB2312" w:hAnsi="宋体" w:eastAsia="仿宋_GB2312"/>
          <w:kern w:val="0"/>
          <w:sz w:val="32"/>
          <w:szCs w:val="32"/>
        </w:rPr>
      </w:pPr>
      <w:r>
        <w:rPr>
          <w:rStyle w:val="17"/>
          <w:rFonts w:hint="eastAsia" w:ascii="方正仿宋_GBK" w:hAnsi="仿宋" w:eastAsia="方正仿宋_GBK" w:cs="方正仿宋_GBK"/>
          <w:color w:val="000000"/>
          <w:spacing w:val="-4"/>
          <w:sz w:val="30"/>
          <w:szCs w:val="30"/>
        </w:rPr>
        <w:t>项目基本性质、用途和主要内容、涉及范围：</w:t>
      </w:r>
      <w:r>
        <w:rPr>
          <w:rStyle w:val="17"/>
          <w:rFonts w:hint="eastAsia" w:ascii="方正仿宋_GBK" w:hAnsi="仿宋" w:eastAsia="方正仿宋_GBK" w:cs="方正仿宋_GBK"/>
          <w:b w:val="0"/>
          <w:bCs w:val="0"/>
          <w:color w:val="000000"/>
          <w:spacing w:val="-4"/>
          <w:sz w:val="30"/>
          <w:szCs w:val="30"/>
        </w:rPr>
        <w:t>为</w:t>
      </w:r>
      <w:r>
        <w:rPr>
          <w:rFonts w:hint="eastAsia" w:ascii="仿宋_GB2312" w:hAnsi="宋体" w:eastAsia="仿宋_GB2312" w:cs="仿宋_GB2312"/>
          <w:kern w:val="0"/>
          <w:sz w:val="32"/>
          <w:szCs w:val="32"/>
        </w:rPr>
        <w:t>落实中央领导“建立健全预算编制、执行和监督相互协调、相互制衡的新机制”和“要对财政资金全过程监督”以及财政部领导“要全面分析研究预算编制、执行、监督的相互关系，将预算监督贯穿于财政管理的体制、机制和改革的总体设计之中，把财政监督的重点转到对预算的监督上来，实行对预算资金的同步监督”指示精神。</w:t>
      </w:r>
    </w:p>
    <w:p>
      <w:pPr>
        <w:spacing w:line="54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内容：工会十九大以来第一次换届大会，也是工会改革成果的展现，选举工会新的领导班子，和今后工会工作安排。</w:t>
      </w:r>
    </w:p>
    <w:p>
      <w:pPr>
        <w:spacing w:line="540" w:lineRule="exact"/>
        <w:rPr>
          <w:rStyle w:val="17"/>
          <w:rFonts w:ascii="黑体" w:hAnsi="黑体" w:eastAsia="黑体"/>
          <w:b w:val="0"/>
          <w:bCs w:val="0"/>
          <w:spacing w:val="-4"/>
          <w:sz w:val="32"/>
          <w:szCs w:val="32"/>
        </w:rPr>
      </w:pPr>
      <w:r>
        <w:rPr>
          <w:rStyle w:val="17"/>
          <w:rFonts w:hint="eastAsia" w:ascii="黑体" w:hAnsi="黑体" w:eastAsia="黑体" w:cs="黑体"/>
          <w:b w:val="0"/>
          <w:bCs w:val="0"/>
          <w:spacing w:val="-4"/>
          <w:sz w:val="32"/>
          <w:szCs w:val="32"/>
        </w:rPr>
        <w:t>二、项目资金使用及管理情况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cs="楷体"/>
          <w:spacing w:val="-4"/>
          <w:sz w:val="32"/>
          <w:szCs w:val="32"/>
        </w:rPr>
        <w:t>（一）项目资金安排落实、总投入等情况分析</w:t>
      </w:r>
    </w:p>
    <w:p>
      <w:pPr>
        <w:spacing w:line="540" w:lineRule="exact"/>
        <w:ind w:firstLine="624" w:firstLineChars="200"/>
        <w:rPr>
          <w:rStyle w:val="17"/>
          <w:rFonts w:ascii="仿宋" w:hAnsi="仿宋" w:eastAsia="仿宋"/>
          <w:b w:val="0"/>
          <w:bCs w:val="0"/>
          <w:spacing w:val="-4"/>
          <w:sz w:val="32"/>
          <w:szCs w:val="32"/>
        </w:rPr>
      </w:pPr>
      <w:r>
        <w:rPr>
          <w:rStyle w:val="17"/>
          <w:rFonts w:hint="eastAsia" w:ascii="仿宋" w:hAnsi="仿宋" w:eastAsia="仿宋" w:cs="仿宋"/>
          <w:b w:val="0"/>
          <w:bCs w:val="0"/>
          <w:spacing w:val="-4"/>
          <w:sz w:val="32"/>
          <w:szCs w:val="32"/>
        </w:rPr>
        <w:t>项目资金安排均为财政拨款：</w:t>
      </w:r>
    </w:p>
    <w:p>
      <w:pPr>
        <w:spacing w:line="540" w:lineRule="exact"/>
        <w:rPr>
          <w:rFonts w:ascii="仿宋_GB2312" w:eastAsia="仿宋_GB2312"/>
          <w:color w:val="000000"/>
          <w:sz w:val="32"/>
          <w:szCs w:val="32"/>
        </w:rPr>
      </w:pPr>
      <w:r>
        <w:rPr>
          <w:rFonts w:ascii="仿宋_GB2312" w:eastAsia="仿宋_GB2312" w:cs="仿宋_GB2312"/>
          <w:color w:val="000000"/>
          <w:sz w:val="32"/>
          <w:szCs w:val="32"/>
        </w:rPr>
        <w:t xml:space="preserve">    </w:t>
      </w:r>
      <w:r>
        <w:rPr>
          <w:rFonts w:hint="eastAsia" w:ascii="仿宋_GB2312" w:eastAsia="仿宋_GB2312" w:cs="仿宋_GB2312"/>
          <w:color w:val="000000"/>
          <w:sz w:val="32"/>
          <w:szCs w:val="32"/>
        </w:rPr>
        <w:t>巴州工会第十次代表大会会议费</w:t>
      </w:r>
      <w:r>
        <w:rPr>
          <w:rFonts w:ascii="仿宋_GB2312" w:eastAsia="仿宋_GB2312" w:cs="仿宋_GB2312"/>
          <w:color w:val="000000"/>
          <w:sz w:val="32"/>
          <w:szCs w:val="32"/>
        </w:rPr>
        <w:t>17</w:t>
      </w:r>
      <w:r>
        <w:rPr>
          <w:rFonts w:hint="eastAsia" w:ascii="仿宋_GB2312" w:eastAsia="仿宋_GB2312" w:cs="仿宋_GB2312"/>
          <w:color w:val="000000"/>
          <w:sz w:val="32"/>
          <w:szCs w:val="32"/>
          <w:lang w:val="en-US" w:eastAsia="zh-CN"/>
        </w:rPr>
        <w:t>28</w:t>
      </w:r>
      <w:r>
        <w:rPr>
          <w:rFonts w:ascii="仿宋_GB2312" w:eastAsia="仿宋_GB2312" w:cs="仿宋_GB2312"/>
          <w:color w:val="000000"/>
          <w:sz w:val="32"/>
          <w:szCs w:val="32"/>
        </w:rPr>
        <w:t>00</w:t>
      </w:r>
      <w:r>
        <w:rPr>
          <w:rFonts w:hint="eastAsia" w:ascii="仿宋_GB2312" w:eastAsia="仿宋_GB2312" w:cs="仿宋_GB2312"/>
          <w:color w:val="000000"/>
          <w:sz w:val="32"/>
          <w:szCs w:val="32"/>
        </w:rPr>
        <w:t>元。</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cs="楷体"/>
          <w:spacing w:val="-4"/>
          <w:sz w:val="32"/>
          <w:szCs w:val="32"/>
        </w:rPr>
        <w:t>（二）项目资金实际使用情况分析</w:t>
      </w:r>
    </w:p>
    <w:p>
      <w:pPr>
        <w:spacing w:line="540" w:lineRule="exact"/>
        <w:ind w:firstLine="579" w:firstLineChars="181"/>
        <w:rPr>
          <w:rFonts w:ascii="仿宋_GB2312" w:eastAsia="仿宋_GB2312"/>
          <w:color w:val="000000"/>
          <w:sz w:val="32"/>
          <w:szCs w:val="32"/>
        </w:rPr>
      </w:pPr>
      <w:r>
        <w:rPr>
          <w:rFonts w:hint="eastAsia" w:ascii="仿宋_GB2312" w:eastAsia="仿宋_GB2312" w:cs="仿宋_GB2312"/>
          <w:color w:val="000000"/>
          <w:sz w:val="32"/>
          <w:szCs w:val="32"/>
        </w:rPr>
        <w:t>巴州工会第十次代表大会会议费由大会召开到结束一次性算清支付，主要是各位代表住宿、用餐、会议室费用。</w:t>
      </w:r>
    </w:p>
    <w:p>
      <w:pPr>
        <w:spacing w:line="540" w:lineRule="exact"/>
        <w:ind w:firstLine="564" w:firstLineChars="181"/>
        <w:rPr>
          <w:rStyle w:val="17"/>
          <w:rFonts w:ascii="仿宋" w:hAnsi="仿宋" w:eastAsia="仿宋"/>
          <w:b w:val="0"/>
          <w:bCs w:val="0"/>
          <w:spacing w:val="-4"/>
          <w:sz w:val="32"/>
          <w:szCs w:val="32"/>
        </w:rPr>
      </w:pP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cs="楷体"/>
          <w:spacing w:val="-4"/>
          <w:sz w:val="32"/>
          <w:szCs w:val="32"/>
        </w:rPr>
        <w:t>（三）项目资金管理情况分析</w:t>
      </w:r>
    </w:p>
    <w:p>
      <w:pPr>
        <w:spacing w:line="540" w:lineRule="exact"/>
        <w:ind w:firstLine="624" w:firstLineChars="200"/>
        <w:rPr>
          <w:rStyle w:val="17"/>
          <w:rFonts w:ascii="仿宋" w:hAnsi="仿宋" w:eastAsia="仿宋"/>
          <w:b w:val="0"/>
          <w:bCs w:val="0"/>
          <w:spacing w:val="-4"/>
          <w:sz w:val="32"/>
          <w:szCs w:val="32"/>
        </w:rPr>
      </w:pPr>
      <w:r>
        <w:rPr>
          <w:rStyle w:val="17"/>
          <w:rFonts w:hint="eastAsia" w:ascii="仿宋" w:hAnsi="仿宋" w:eastAsia="仿宋" w:cs="仿宋"/>
          <w:b w:val="0"/>
          <w:bCs w:val="0"/>
          <w:spacing w:val="-4"/>
          <w:sz w:val="32"/>
          <w:szCs w:val="32"/>
        </w:rPr>
        <w:t>（包括管理制度、办法的制定及执行情况）</w:t>
      </w:r>
    </w:p>
    <w:p>
      <w:pPr>
        <w:spacing w:line="540" w:lineRule="exact"/>
        <w:ind w:firstLine="564" w:firstLineChars="181"/>
        <w:rPr>
          <w:rStyle w:val="17"/>
          <w:rFonts w:ascii="楷体" w:hAnsi="楷体" w:eastAsia="楷体"/>
          <w:color w:val="000000"/>
          <w:spacing w:val="-4"/>
          <w:sz w:val="32"/>
          <w:szCs w:val="32"/>
        </w:rPr>
      </w:pPr>
      <w:r>
        <w:rPr>
          <w:rStyle w:val="17"/>
          <w:rFonts w:ascii="仿宋_GB2312" w:hAnsi="仿宋" w:eastAsia="仿宋_GB2312" w:cs="仿宋_GB2312"/>
          <w:b w:val="0"/>
          <w:bCs w:val="0"/>
          <w:color w:val="000000"/>
          <w:spacing w:val="-4"/>
          <w:sz w:val="32"/>
          <w:szCs w:val="32"/>
        </w:rPr>
        <w:t>1</w:t>
      </w:r>
      <w:r>
        <w:rPr>
          <w:rStyle w:val="17"/>
          <w:rFonts w:hint="eastAsia" w:ascii="仿宋_GB2312" w:hAnsi="仿宋" w:eastAsia="仿宋_GB2312" w:cs="仿宋_GB2312"/>
          <w:b w:val="0"/>
          <w:bCs w:val="0"/>
          <w:color w:val="000000"/>
          <w:spacing w:val="-4"/>
          <w:sz w:val="32"/>
          <w:szCs w:val="32"/>
        </w:rPr>
        <w:t>、</w:t>
      </w:r>
      <w:r>
        <w:rPr>
          <w:rStyle w:val="17"/>
          <w:rFonts w:ascii="仿宋_GB2312" w:hAnsi="仿宋" w:eastAsia="仿宋_GB2312" w:cs="仿宋_GB2312"/>
          <w:b w:val="0"/>
          <w:bCs w:val="0"/>
          <w:color w:val="000000"/>
          <w:spacing w:val="-4"/>
          <w:sz w:val="32"/>
          <w:szCs w:val="32"/>
        </w:rPr>
        <w:t>2018</w:t>
      </w:r>
      <w:r>
        <w:rPr>
          <w:rStyle w:val="17"/>
          <w:rFonts w:hint="eastAsia" w:ascii="仿宋_GB2312" w:hAnsi="仿宋" w:eastAsia="仿宋_GB2312" w:cs="仿宋_GB2312"/>
          <w:b w:val="0"/>
          <w:bCs w:val="0"/>
          <w:color w:val="000000"/>
          <w:spacing w:val="-4"/>
          <w:sz w:val="32"/>
          <w:szCs w:val="32"/>
        </w:rPr>
        <w:t>年这些项目所有资金实行专款专用。项目支出均有相关授权审批，资金拨付严格审批程序，使用规范，会计核算结果真实、准确。项目单位建立健全项目实施预算方案、财政管理制度和会计核算制度，此次绩效评价过程中未发现有截留、挤占或挪用项目资金的情况。</w:t>
      </w:r>
    </w:p>
    <w:p>
      <w:pPr>
        <w:spacing w:line="540" w:lineRule="exact"/>
        <w:ind w:firstLine="640"/>
        <w:rPr>
          <w:rFonts w:ascii="仿宋_GB2312" w:eastAsia="仿宋_GB2312"/>
          <w:color w:val="000000"/>
          <w:sz w:val="32"/>
          <w:szCs w:val="32"/>
        </w:rPr>
      </w:pPr>
      <w:r>
        <w:rPr>
          <w:rFonts w:ascii="仿宋_GB2312" w:eastAsia="仿宋_GB2312" w:cs="仿宋_GB2312"/>
          <w:color w:val="000000"/>
          <w:sz w:val="32"/>
          <w:szCs w:val="32"/>
        </w:rPr>
        <w:t>2</w:t>
      </w:r>
      <w:r>
        <w:rPr>
          <w:rFonts w:hint="eastAsia" w:ascii="仿宋_GB2312" w:eastAsia="仿宋_GB2312" w:cs="仿宋_GB2312"/>
          <w:color w:val="000000"/>
          <w:sz w:val="32"/>
          <w:szCs w:val="32"/>
        </w:rPr>
        <w:t>、巴州工会第十次代表大会按照自治州二级会议标准执行，本着勤俭节约的原则，开好大会。大会结束后，经过对帐核实，</w:t>
      </w:r>
      <w:r>
        <w:rPr>
          <w:rFonts w:ascii="仿宋_GB2312" w:eastAsia="仿宋_GB2312" w:cs="仿宋_GB2312"/>
          <w:color w:val="000000"/>
          <w:sz w:val="32"/>
          <w:szCs w:val="32"/>
        </w:rPr>
        <w:t>15</w:t>
      </w:r>
      <w:r>
        <w:rPr>
          <w:rFonts w:hint="eastAsia" w:ascii="仿宋_GB2312" w:eastAsia="仿宋_GB2312" w:cs="仿宋_GB2312"/>
          <w:color w:val="000000"/>
          <w:sz w:val="32"/>
          <w:szCs w:val="32"/>
        </w:rPr>
        <w:t>日一次结清会议所有费用。</w:t>
      </w:r>
    </w:p>
    <w:p>
      <w:pPr>
        <w:spacing w:line="540" w:lineRule="exact"/>
        <w:ind w:firstLine="640"/>
        <w:rPr>
          <w:rStyle w:val="17"/>
          <w:rFonts w:ascii="黑体" w:hAnsi="黑体" w:eastAsia="黑体"/>
          <w:b w:val="0"/>
          <w:bCs w:val="0"/>
          <w:spacing w:val="-4"/>
          <w:sz w:val="32"/>
          <w:szCs w:val="32"/>
        </w:rPr>
      </w:pPr>
      <w:r>
        <w:rPr>
          <w:rStyle w:val="17"/>
          <w:rFonts w:hint="eastAsia" w:ascii="黑体" w:hAnsi="黑体" w:eastAsia="黑体" w:cs="黑体"/>
          <w:b w:val="0"/>
          <w:bCs w:val="0"/>
          <w:spacing w:val="-4"/>
          <w:sz w:val="32"/>
          <w:szCs w:val="32"/>
        </w:rPr>
        <w:t>三、项目组织实施情况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cs="楷体"/>
          <w:spacing w:val="-4"/>
          <w:sz w:val="32"/>
          <w:szCs w:val="32"/>
        </w:rPr>
        <w:t>（一）项目组织情况分析</w:t>
      </w:r>
    </w:p>
    <w:p>
      <w:pPr>
        <w:spacing w:line="540" w:lineRule="exact"/>
        <w:ind w:firstLine="624" w:firstLineChars="200"/>
        <w:rPr>
          <w:rStyle w:val="17"/>
          <w:rFonts w:ascii="仿宋" w:hAnsi="仿宋" w:eastAsia="仿宋"/>
          <w:b w:val="0"/>
          <w:bCs w:val="0"/>
          <w:spacing w:val="-4"/>
          <w:sz w:val="32"/>
          <w:szCs w:val="32"/>
        </w:rPr>
      </w:pPr>
      <w:r>
        <w:rPr>
          <w:rStyle w:val="17"/>
          <w:rFonts w:hint="eastAsia" w:ascii="仿宋" w:hAnsi="仿宋" w:eastAsia="仿宋" w:cs="仿宋"/>
          <w:b w:val="0"/>
          <w:bCs w:val="0"/>
          <w:spacing w:val="-4"/>
          <w:sz w:val="32"/>
          <w:szCs w:val="32"/>
        </w:rPr>
        <w:t>（包括项目投标情况、调整情况、完成验收等）</w:t>
      </w:r>
    </w:p>
    <w:p>
      <w:pPr>
        <w:spacing w:line="540" w:lineRule="exact"/>
        <w:ind w:firstLine="624" w:firstLineChars="200"/>
        <w:rPr>
          <w:rStyle w:val="17"/>
          <w:rFonts w:ascii="仿宋_GB2312" w:hAnsi="仿宋" w:eastAsia="仿宋_GB2312"/>
          <w:b w:val="0"/>
          <w:bCs w:val="0"/>
          <w:color w:val="000000"/>
          <w:spacing w:val="-4"/>
          <w:sz w:val="32"/>
          <w:szCs w:val="32"/>
        </w:rPr>
      </w:pPr>
      <w:r>
        <w:rPr>
          <w:rStyle w:val="17"/>
          <w:rFonts w:hint="eastAsia" w:ascii="仿宋_GB2312" w:hAnsi="仿宋" w:eastAsia="仿宋_GB2312" w:cs="仿宋_GB2312"/>
          <w:b w:val="0"/>
          <w:bCs w:val="0"/>
          <w:color w:val="000000"/>
          <w:spacing w:val="-4"/>
          <w:sz w:val="32"/>
          <w:szCs w:val="32"/>
        </w:rPr>
        <w:t>项目属于五年定期一次项目，没有达到招投标权限，没有调整情况，由本单位在州政府定点巴州宾馆召开等方式实施，实施过程都是按照本单位制定的管理制度来执行。</w:t>
      </w:r>
    </w:p>
    <w:p>
      <w:pPr>
        <w:spacing w:line="540" w:lineRule="exact"/>
        <w:ind w:firstLine="586" w:firstLineChars="200"/>
        <w:rPr>
          <w:rStyle w:val="17"/>
          <w:rFonts w:ascii="仿宋_GB2312" w:hAnsi="仿宋" w:eastAsia="仿宋_GB2312"/>
          <w:b w:val="0"/>
          <w:bCs w:val="0"/>
          <w:color w:val="000000"/>
          <w:spacing w:val="-4"/>
          <w:sz w:val="32"/>
          <w:szCs w:val="32"/>
        </w:rPr>
      </w:pPr>
      <w:r>
        <w:rPr>
          <w:rStyle w:val="17"/>
          <w:rFonts w:hint="eastAsia" w:ascii="方正仿宋_GBK" w:hAnsi="仿宋" w:eastAsia="方正仿宋_GBK" w:cs="方正仿宋_GBK"/>
          <w:color w:val="000000"/>
          <w:spacing w:val="-4"/>
          <w:sz w:val="30"/>
          <w:szCs w:val="30"/>
        </w:rPr>
        <w:t>完成验收：</w:t>
      </w:r>
      <w:r>
        <w:rPr>
          <w:rStyle w:val="17"/>
          <w:rFonts w:hint="eastAsia" w:ascii="方正仿宋_GBK" w:hAnsi="仿宋" w:eastAsia="方正仿宋_GBK" w:cs="方正仿宋_GBK"/>
          <w:b w:val="0"/>
          <w:bCs w:val="0"/>
          <w:color w:val="000000"/>
          <w:spacing w:val="-4"/>
          <w:sz w:val="30"/>
          <w:szCs w:val="30"/>
        </w:rPr>
        <w:t>会</w:t>
      </w:r>
      <w:r>
        <w:rPr>
          <w:rStyle w:val="17"/>
          <w:rFonts w:hint="eastAsia" w:ascii="仿宋_GB2312" w:hAnsi="仿宋" w:eastAsia="仿宋_GB2312" w:cs="仿宋_GB2312"/>
          <w:b w:val="0"/>
          <w:bCs w:val="0"/>
          <w:color w:val="000000"/>
          <w:spacing w:val="-4"/>
          <w:sz w:val="32"/>
          <w:szCs w:val="32"/>
        </w:rPr>
        <w:t>议结束后，有本单位会议筹备领导小组对资金项目涉及工作的检查和验收。</w:t>
      </w:r>
    </w:p>
    <w:p>
      <w:pPr>
        <w:spacing w:line="540" w:lineRule="exact"/>
        <w:rPr>
          <w:rStyle w:val="17"/>
          <w:rFonts w:ascii="楷体" w:hAnsi="楷体" w:eastAsia="楷体"/>
          <w:spacing w:val="-4"/>
          <w:sz w:val="32"/>
          <w:szCs w:val="32"/>
        </w:rPr>
      </w:pPr>
      <w:r>
        <w:rPr>
          <w:rStyle w:val="17"/>
          <w:rFonts w:ascii="楷体" w:hAnsi="楷体" w:eastAsia="楷体" w:cs="楷体"/>
          <w:spacing w:val="-4"/>
          <w:sz w:val="32"/>
          <w:szCs w:val="32"/>
        </w:rPr>
        <w:t xml:space="preserve">  </w:t>
      </w:r>
      <w:r>
        <w:rPr>
          <w:rStyle w:val="17"/>
          <w:rFonts w:hint="eastAsia" w:ascii="楷体" w:hAnsi="楷体" w:eastAsia="楷体" w:cs="楷体"/>
          <w:spacing w:val="-4"/>
          <w:sz w:val="32"/>
          <w:szCs w:val="32"/>
        </w:rPr>
        <w:t>（二）项目管理情况分析</w:t>
      </w:r>
    </w:p>
    <w:p>
      <w:pPr>
        <w:spacing w:line="540" w:lineRule="exact"/>
        <w:ind w:firstLine="624" w:firstLineChars="200"/>
        <w:rPr>
          <w:rStyle w:val="17"/>
          <w:rFonts w:ascii="仿宋" w:hAnsi="仿宋" w:eastAsia="仿宋"/>
          <w:b w:val="0"/>
          <w:bCs w:val="0"/>
          <w:spacing w:val="-4"/>
          <w:sz w:val="32"/>
          <w:szCs w:val="32"/>
        </w:rPr>
      </w:pPr>
      <w:r>
        <w:rPr>
          <w:rStyle w:val="17"/>
          <w:rFonts w:hint="eastAsia" w:ascii="仿宋" w:hAnsi="仿宋" w:eastAsia="仿宋" w:cs="仿宋"/>
          <w:b w:val="0"/>
          <w:bCs w:val="0"/>
          <w:spacing w:val="-4"/>
          <w:sz w:val="32"/>
          <w:szCs w:val="32"/>
        </w:rPr>
        <w:t>（包括项目管理制度建设、日常检查监督管理等情况）</w:t>
      </w:r>
    </w:p>
    <w:p>
      <w:pPr>
        <w:spacing w:line="540" w:lineRule="exact"/>
        <w:ind w:firstLine="531" w:firstLineChars="181"/>
        <w:rPr>
          <w:rStyle w:val="17"/>
          <w:rFonts w:ascii="仿宋_GB2312" w:hAnsi="仿宋" w:eastAsia="仿宋_GB2312"/>
          <w:b w:val="0"/>
          <w:bCs w:val="0"/>
          <w:color w:val="000000"/>
          <w:spacing w:val="-4"/>
          <w:sz w:val="32"/>
          <w:szCs w:val="32"/>
        </w:rPr>
      </w:pPr>
      <w:r>
        <w:rPr>
          <w:rStyle w:val="17"/>
          <w:rFonts w:hint="eastAsia" w:ascii="方正仿宋_GBK" w:hAnsi="仿宋" w:eastAsia="方正仿宋_GBK" w:cs="方正仿宋_GBK"/>
          <w:color w:val="000000"/>
          <w:spacing w:val="-4"/>
          <w:sz w:val="30"/>
          <w:szCs w:val="30"/>
        </w:rPr>
        <w:t>项目管理制度建设：</w:t>
      </w:r>
      <w:r>
        <w:rPr>
          <w:rStyle w:val="17"/>
          <w:rFonts w:hint="eastAsia" w:ascii="方正仿宋_GBK" w:hAnsi="仿宋" w:eastAsia="方正仿宋_GBK" w:cs="方正仿宋_GBK"/>
          <w:b w:val="0"/>
          <w:bCs w:val="0"/>
          <w:color w:val="000000"/>
          <w:spacing w:val="-4"/>
          <w:sz w:val="30"/>
          <w:szCs w:val="30"/>
        </w:rPr>
        <w:t>通</w:t>
      </w:r>
      <w:r>
        <w:rPr>
          <w:rStyle w:val="17"/>
          <w:rFonts w:hint="eastAsia" w:ascii="仿宋_GB2312" w:hAnsi="仿宋" w:eastAsia="仿宋_GB2312" w:cs="仿宋_GB2312"/>
          <w:b w:val="0"/>
          <w:bCs w:val="0"/>
          <w:color w:val="000000"/>
          <w:spacing w:val="-4"/>
          <w:sz w:val="32"/>
          <w:szCs w:val="32"/>
        </w:rPr>
        <w:t>过建立了《第十次工会代表大会筹备各项制度》《财务管理制度》、《差费管理制度》等制度。主要用于住宿、用餐、业务培训、会议标准等。</w:t>
      </w:r>
    </w:p>
    <w:p>
      <w:pPr>
        <w:spacing w:line="540" w:lineRule="exact"/>
        <w:ind w:firstLine="586" w:firstLineChars="200"/>
        <w:rPr>
          <w:rStyle w:val="17"/>
          <w:rFonts w:ascii="黑体" w:hAnsi="黑体" w:eastAsia="黑体"/>
          <w:b w:val="0"/>
          <w:bCs w:val="0"/>
          <w:spacing w:val="-4"/>
          <w:sz w:val="32"/>
          <w:szCs w:val="32"/>
        </w:rPr>
      </w:pPr>
      <w:r>
        <w:rPr>
          <w:rStyle w:val="17"/>
          <w:rFonts w:hint="eastAsia" w:ascii="方正仿宋_GBK" w:hAnsi="仿宋" w:eastAsia="方正仿宋_GBK" w:cs="方正仿宋_GBK"/>
          <w:color w:val="000000"/>
          <w:spacing w:val="-4"/>
          <w:sz w:val="30"/>
          <w:szCs w:val="30"/>
        </w:rPr>
        <w:t>日常检查监督管理：</w:t>
      </w:r>
      <w:r>
        <w:rPr>
          <w:rStyle w:val="17"/>
          <w:rFonts w:hint="eastAsia" w:ascii="方正仿宋_GBK" w:hAnsi="仿宋" w:eastAsia="方正仿宋_GBK" w:cs="方正仿宋_GBK"/>
          <w:b w:val="0"/>
          <w:bCs w:val="0"/>
          <w:color w:val="000000"/>
          <w:spacing w:val="-4"/>
          <w:sz w:val="30"/>
          <w:szCs w:val="30"/>
        </w:rPr>
        <w:t>根</w:t>
      </w:r>
      <w:r>
        <w:rPr>
          <w:rStyle w:val="17"/>
          <w:rFonts w:hint="eastAsia" w:ascii="仿宋_GB2312" w:hAnsi="仿宋" w:eastAsia="仿宋_GB2312" w:cs="仿宋_GB2312"/>
          <w:b w:val="0"/>
          <w:bCs w:val="0"/>
          <w:color w:val="000000"/>
          <w:spacing w:val="-4"/>
          <w:sz w:val="32"/>
          <w:szCs w:val="32"/>
        </w:rPr>
        <w:t>据第十次工会代表大会筹备小组各项任务和目标进行安排部署和日常管理。会议期间由专门</w:t>
      </w:r>
      <w:r>
        <w:rPr>
          <w:rFonts w:hint="eastAsia" w:ascii="仿宋_GB2312" w:eastAsia="仿宋_GB2312" w:cs="仿宋_GB2312"/>
          <w:color w:val="000000"/>
          <w:sz w:val="32"/>
          <w:szCs w:val="32"/>
        </w:rPr>
        <w:t>一名副主席负责会议期间吃、住，每天和巴州宾馆对帐、签字确认当天费用。</w:t>
      </w:r>
    </w:p>
    <w:p>
      <w:pPr>
        <w:spacing w:line="540" w:lineRule="exact"/>
        <w:ind w:firstLine="640"/>
        <w:rPr>
          <w:rStyle w:val="17"/>
          <w:rFonts w:ascii="黑体" w:hAnsi="黑体" w:eastAsia="黑体"/>
        </w:rPr>
      </w:pPr>
      <w:r>
        <w:rPr>
          <w:rStyle w:val="17"/>
          <w:rFonts w:hint="eastAsia" w:ascii="黑体" w:hAnsi="黑体" w:eastAsia="黑体" w:cs="黑体"/>
          <w:b w:val="0"/>
          <w:bCs w:val="0"/>
          <w:spacing w:val="-4"/>
          <w:sz w:val="32"/>
          <w:szCs w:val="32"/>
        </w:rPr>
        <w:t>四、项目绩效情况</w:t>
      </w:r>
    </w:p>
    <w:p>
      <w:pPr>
        <w:spacing w:line="540" w:lineRule="exact"/>
        <w:ind w:firstLine="567" w:firstLineChars="181"/>
        <w:rPr>
          <w:rFonts w:ascii="楷体" w:hAnsi="楷体" w:eastAsia="楷体"/>
          <w:b/>
          <w:bCs/>
          <w:spacing w:val="-4"/>
          <w:sz w:val="32"/>
          <w:szCs w:val="32"/>
        </w:rPr>
      </w:pPr>
      <w:r>
        <w:rPr>
          <w:rFonts w:hint="eastAsia" w:ascii="楷体" w:hAnsi="楷体" w:eastAsia="楷体" w:cs="楷体"/>
          <w:b/>
          <w:bCs/>
          <w:spacing w:val="-4"/>
          <w:sz w:val="32"/>
          <w:szCs w:val="32"/>
        </w:rPr>
        <w:t>（一）项目绩效目标完成情况分析</w:t>
      </w:r>
    </w:p>
    <w:p>
      <w:pPr>
        <w:spacing w:line="540" w:lineRule="exact"/>
        <w:ind w:firstLine="564" w:firstLineChars="181"/>
        <w:rPr>
          <w:rStyle w:val="17"/>
          <w:rFonts w:ascii="仿宋" w:hAnsi="仿宋" w:eastAsia="仿宋"/>
          <w:b w:val="0"/>
          <w:bCs w:val="0"/>
          <w:spacing w:val="-4"/>
          <w:sz w:val="32"/>
          <w:szCs w:val="32"/>
        </w:rPr>
      </w:pPr>
      <w:r>
        <w:rPr>
          <w:rStyle w:val="17"/>
          <w:rFonts w:hint="eastAsia" w:ascii="仿宋" w:hAnsi="仿宋" w:eastAsia="仿宋" w:cs="仿宋"/>
          <w:b w:val="0"/>
          <w:bCs w:val="0"/>
          <w:spacing w:val="-4"/>
          <w:sz w:val="32"/>
          <w:szCs w:val="32"/>
        </w:rPr>
        <w:t>（将项目支出后的实际状况与申报的绩效目标对比，从项目的经济性、效率性、有益性和可持续性等方面进行量化、具体分析。</w:t>
      </w:r>
    </w:p>
    <w:p>
      <w:pPr>
        <w:spacing w:line="540" w:lineRule="exact"/>
        <w:ind w:firstLine="624" w:firstLineChars="200"/>
        <w:rPr>
          <w:rStyle w:val="17"/>
          <w:rFonts w:ascii="仿宋_GB2312" w:hAnsi="仿宋" w:eastAsia="仿宋_GB2312"/>
          <w:b w:val="0"/>
          <w:bCs w:val="0"/>
          <w:color w:val="000000"/>
          <w:spacing w:val="-4"/>
          <w:sz w:val="32"/>
          <w:szCs w:val="32"/>
        </w:rPr>
      </w:pPr>
      <w:r>
        <w:rPr>
          <w:rStyle w:val="17"/>
          <w:rFonts w:hint="eastAsia" w:ascii="仿宋_GB2312" w:hAnsi="仿宋" w:eastAsia="仿宋_GB2312" w:cs="仿宋_GB2312"/>
          <w:b w:val="0"/>
          <w:bCs w:val="0"/>
          <w:color w:val="000000"/>
          <w:spacing w:val="-4"/>
          <w:sz w:val="32"/>
          <w:szCs w:val="32"/>
        </w:rPr>
        <w:t>巴州工会第十次代表大会，是在我国进入全面建成小康社会决胜阶段、中国特色社会主义进入新时代召开的一次重要会议。大会高举中国特色社会主义伟大旗帜，全面贯彻党的十九大精神，以习近平新时代中国特色社会主义思想为指导，回顾总结了巴州工会九大以来五年工会工作取得的成就，明确提出了今后五年工会工作的主要任务，选举产生了巴州总工会新一届领导机构。这对于各级工会组织团结动员光大职工和工会干部凝心聚力、砥砺奋进，开创新时代工运事业和工会工作新局面，具有重大现实意义和深远历史意义。</w:t>
      </w:r>
    </w:p>
    <w:p>
      <w:pPr>
        <w:spacing w:line="540" w:lineRule="exact"/>
        <w:ind w:firstLine="480"/>
        <w:rPr>
          <w:rFonts w:ascii="楷体" w:hAnsi="楷体" w:eastAsia="楷体"/>
          <w:b/>
          <w:bCs/>
          <w:spacing w:val="-4"/>
          <w:sz w:val="32"/>
          <w:szCs w:val="32"/>
        </w:rPr>
      </w:pPr>
      <w:r>
        <w:rPr>
          <w:rFonts w:hint="eastAsia" w:ascii="楷体" w:hAnsi="楷体" w:eastAsia="楷体" w:cs="楷体"/>
          <w:b/>
          <w:bCs/>
          <w:spacing w:val="-4"/>
          <w:sz w:val="32"/>
          <w:szCs w:val="32"/>
        </w:rPr>
        <w:t>（二）项目绩效目标未完成原因分析</w:t>
      </w:r>
    </w:p>
    <w:p>
      <w:pPr>
        <w:spacing w:line="540" w:lineRule="exact"/>
        <w:ind w:firstLine="564" w:firstLineChars="181"/>
        <w:rPr>
          <w:rFonts w:ascii="仿宋" w:hAnsi="仿宋" w:eastAsia="仿宋"/>
          <w:spacing w:val="-4"/>
          <w:sz w:val="32"/>
          <w:szCs w:val="32"/>
        </w:rPr>
      </w:pPr>
      <w:r>
        <w:rPr>
          <w:rFonts w:hint="eastAsia" w:ascii="仿宋" w:hAnsi="仿宋" w:eastAsia="仿宋" w:cs="仿宋"/>
          <w:spacing w:val="-4"/>
          <w:sz w:val="32"/>
          <w:szCs w:val="32"/>
        </w:rPr>
        <w:t>（如项目绩效目标已完成，可不用填写该部分。）</w:t>
      </w:r>
    </w:p>
    <w:p>
      <w:pPr>
        <w:spacing w:line="540" w:lineRule="exact"/>
        <w:ind w:firstLine="624" w:firstLineChars="200"/>
        <w:rPr>
          <w:rStyle w:val="17"/>
          <w:rFonts w:ascii="仿宋_GB2312" w:hAnsi="仿宋" w:eastAsia="仿宋_GB2312"/>
          <w:b w:val="0"/>
          <w:bCs w:val="0"/>
          <w:color w:val="000000"/>
          <w:spacing w:val="-4"/>
          <w:sz w:val="32"/>
          <w:szCs w:val="32"/>
        </w:rPr>
      </w:pPr>
      <w:r>
        <w:rPr>
          <w:rStyle w:val="17"/>
          <w:rFonts w:hint="eastAsia" w:ascii="仿宋_GB2312" w:hAnsi="仿宋" w:eastAsia="仿宋_GB2312" w:cs="仿宋_GB2312"/>
          <w:b w:val="0"/>
          <w:bCs w:val="0"/>
          <w:color w:val="000000"/>
          <w:spacing w:val="-4"/>
          <w:sz w:val="32"/>
          <w:szCs w:val="32"/>
        </w:rPr>
        <w:t>绩效目标已完成</w:t>
      </w:r>
    </w:p>
    <w:p>
      <w:pPr>
        <w:spacing w:line="540" w:lineRule="exact"/>
        <w:ind w:firstLine="640"/>
        <w:rPr>
          <w:rStyle w:val="17"/>
          <w:rFonts w:ascii="黑体" w:hAnsi="黑体" w:eastAsia="黑体"/>
          <w:b w:val="0"/>
          <w:bCs w:val="0"/>
          <w:spacing w:val="-4"/>
          <w:sz w:val="32"/>
          <w:szCs w:val="32"/>
        </w:rPr>
      </w:pPr>
    </w:p>
    <w:p>
      <w:pPr>
        <w:spacing w:line="540" w:lineRule="exact"/>
        <w:ind w:firstLine="640"/>
        <w:rPr>
          <w:rStyle w:val="17"/>
          <w:rFonts w:ascii="黑体" w:hAnsi="黑体" w:eastAsia="黑体"/>
          <w:b w:val="0"/>
          <w:bCs w:val="0"/>
          <w:spacing w:val="-4"/>
          <w:sz w:val="32"/>
          <w:szCs w:val="32"/>
        </w:rPr>
      </w:pPr>
      <w:r>
        <w:rPr>
          <w:rStyle w:val="17"/>
          <w:rFonts w:hint="eastAsia" w:ascii="黑体" w:hAnsi="黑体" w:eastAsia="黑体" w:cs="黑体"/>
          <w:b w:val="0"/>
          <w:bCs w:val="0"/>
          <w:spacing w:val="-4"/>
          <w:sz w:val="32"/>
          <w:szCs w:val="32"/>
        </w:rPr>
        <w:t>五、其他需要说明的问题</w:t>
      </w:r>
    </w:p>
    <w:p>
      <w:pPr>
        <w:spacing w:line="540" w:lineRule="exact"/>
        <w:ind w:firstLine="567" w:firstLineChars="181"/>
        <w:rPr>
          <w:rFonts w:ascii="楷体" w:hAnsi="楷体" w:eastAsia="楷体"/>
          <w:b/>
          <w:bCs/>
          <w:spacing w:val="-4"/>
          <w:sz w:val="32"/>
          <w:szCs w:val="32"/>
        </w:rPr>
      </w:pPr>
      <w:r>
        <w:rPr>
          <w:rFonts w:hint="eastAsia" w:ascii="楷体" w:hAnsi="楷体" w:eastAsia="楷体" w:cs="楷体"/>
          <w:b/>
          <w:bCs/>
          <w:spacing w:val="-4"/>
          <w:sz w:val="32"/>
          <w:szCs w:val="32"/>
        </w:rPr>
        <w:t>（一）后续工作计划</w:t>
      </w:r>
    </w:p>
    <w:p>
      <w:pPr>
        <w:spacing w:line="540" w:lineRule="exact"/>
        <w:ind w:firstLine="567" w:firstLineChars="181"/>
        <w:rPr>
          <w:rFonts w:ascii="楷体" w:hAnsi="楷体" w:eastAsia="楷体"/>
          <w:b/>
          <w:bCs/>
          <w:spacing w:val="-4"/>
          <w:sz w:val="32"/>
          <w:szCs w:val="32"/>
        </w:rPr>
      </w:pPr>
      <w:r>
        <w:rPr>
          <w:rFonts w:ascii="楷体" w:hAnsi="楷体" w:eastAsia="楷体" w:cs="楷体"/>
          <w:b/>
          <w:bCs/>
          <w:spacing w:val="-4"/>
          <w:sz w:val="32"/>
          <w:szCs w:val="32"/>
        </w:rPr>
        <w:t xml:space="preserve">     </w:t>
      </w:r>
      <w:r>
        <w:rPr>
          <w:rFonts w:hint="eastAsia" w:ascii="楷体" w:hAnsi="楷体" w:eastAsia="楷体" w:cs="楷体"/>
          <w:b/>
          <w:bCs/>
          <w:spacing w:val="-4"/>
          <w:sz w:val="32"/>
          <w:szCs w:val="32"/>
        </w:rPr>
        <w:t>无</w:t>
      </w:r>
    </w:p>
    <w:p>
      <w:pPr>
        <w:spacing w:line="540" w:lineRule="exact"/>
        <w:ind w:firstLine="567" w:firstLineChars="181"/>
        <w:rPr>
          <w:rFonts w:ascii="楷体" w:hAnsi="楷体" w:eastAsia="楷体"/>
          <w:b/>
          <w:bCs/>
          <w:spacing w:val="-4"/>
          <w:sz w:val="32"/>
          <w:szCs w:val="32"/>
        </w:rPr>
      </w:pPr>
      <w:r>
        <w:rPr>
          <w:rFonts w:hint="eastAsia" w:ascii="楷体" w:hAnsi="楷体" w:eastAsia="楷体" w:cs="楷体"/>
          <w:b/>
          <w:bCs/>
          <w:spacing w:val="-4"/>
          <w:sz w:val="32"/>
          <w:szCs w:val="32"/>
        </w:rPr>
        <w:t>（二）主要经验及做法、存在问题和建议</w:t>
      </w:r>
    </w:p>
    <w:p>
      <w:pPr>
        <w:spacing w:line="540" w:lineRule="exact"/>
        <w:ind w:firstLine="564" w:firstLineChars="181"/>
        <w:rPr>
          <w:rFonts w:ascii="仿宋_GB2312" w:eastAsia="仿宋_GB2312"/>
          <w:spacing w:val="-4"/>
          <w:sz w:val="32"/>
          <w:szCs w:val="32"/>
        </w:rPr>
      </w:pPr>
      <w:r>
        <w:rPr>
          <w:rFonts w:hint="eastAsia" w:ascii="仿宋_GB2312" w:eastAsia="仿宋_GB2312" w:cs="仿宋_GB2312"/>
          <w:spacing w:val="-4"/>
          <w:sz w:val="32"/>
          <w:szCs w:val="32"/>
        </w:rPr>
        <w:t>（包括资金安排、使用过程中的经验、做法、存在问题、改进措施和有关建议等）无</w:t>
      </w:r>
    </w:p>
    <w:p>
      <w:pPr>
        <w:spacing w:line="540" w:lineRule="exact"/>
        <w:ind w:firstLine="567" w:firstLineChars="181"/>
        <w:rPr>
          <w:rFonts w:ascii="楷体" w:hAnsi="楷体" w:eastAsia="仿宋_GB2312"/>
          <w:b/>
          <w:bCs/>
          <w:spacing w:val="-4"/>
          <w:sz w:val="32"/>
          <w:szCs w:val="32"/>
        </w:rPr>
      </w:pPr>
      <w:r>
        <w:rPr>
          <w:rFonts w:ascii="楷体" w:hAnsi="楷体" w:eastAsia="楷体" w:cs="楷体"/>
          <w:b/>
          <w:bCs/>
          <w:spacing w:val="-4"/>
          <w:sz w:val="32"/>
          <w:szCs w:val="32"/>
        </w:rPr>
        <w:t>1</w:t>
      </w:r>
      <w:r>
        <w:rPr>
          <w:rFonts w:hint="eastAsia" w:ascii="楷体" w:hAnsi="楷体" w:eastAsia="楷体" w:cs="楷体"/>
          <w:b/>
          <w:bCs/>
          <w:spacing w:val="-4"/>
          <w:sz w:val="32"/>
          <w:szCs w:val="32"/>
        </w:rPr>
        <w:t>、</w:t>
      </w:r>
      <w:r>
        <w:rPr>
          <w:rFonts w:hint="eastAsia" w:ascii="仿宋_GB2312" w:eastAsia="仿宋_GB2312" w:cs="仿宋_GB2312"/>
          <w:spacing w:val="-4"/>
          <w:sz w:val="32"/>
          <w:szCs w:val="32"/>
        </w:rPr>
        <w:t>资金安排还有不合理的地方，如用餐统计人数和实际用餐还有误差，有时不够，有时还有浪费现象。我们以后根据实际需要用餐人数来准备，减少浪费。</w:t>
      </w:r>
    </w:p>
    <w:p>
      <w:pPr>
        <w:spacing w:line="540" w:lineRule="exact"/>
        <w:ind w:firstLine="567" w:firstLineChars="181"/>
        <w:rPr>
          <w:rFonts w:ascii="仿宋_GB2312" w:eastAsia="仿宋_GB2312"/>
          <w:color w:val="000000"/>
          <w:spacing w:val="-4"/>
          <w:sz w:val="32"/>
          <w:szCs w:val="32"/>
        </w:rPr>
      </w:pPr>
      <w:r>
        <w:rPr>
          <w:rFonts w:ascii="楷体" w:hAnsi="楷体" w:eastAsia="楷体" w:cs="楷体"/>
          <w:b/>
          <w:bCs/>
          <w:spacing w:val="-4"/>
          <w:sz w:val="32"/>
          <w:szCs w:val="32"/>
        </w:rPr>
        <w:t>2</w:t>
      </w:r>
      <w:r>
        <w:rPr>
          <w:rFonts w:hint="eastAsia" w:ascii="楷体" w:hAnsi="楷体" w:eastAsia="楷体" w:cs="楷体"/>
          <w:b/>
          <w:bCs/>
          <w:spacing w:val="-4"/>
          <w:sz w:val="32"/>
          <w:szCs w:val="32"/>
        </w:rPr>
        <w:t>、</w:t>
      </w:r>
      <w:r>
        <w:rPr>
          <w:rFonts w:hint="eastAsia" w:ascii="仿宋_GB2312" w:eastAsia="仿宋_GB2312" w:cs="仿宋_GB2312"/>
          <w:color w:val="000000"/>
          <w:spacing w:val="-4"/>
          <w:sz w:val="32"/>
          <w:szCs w:val="32"/>
        </w:rPr>
        <w:t>存在问题是由于绩效自评是一项开展不久的工作任务，项目支出运行经验欠缺，我单位相关制度建设需要进一步完善。</w:t>
      </w:r>
    </w:p>
    <w:p>
      <w:pPr>
        <w:spacing w:line="540" w:lineRule="exact"/>
        <w:ind w:firstLine="567" w:firstLineChars="181"/>
        <w:rPr>
          <w:rFonts w:ascii="楷体" w:hAnsi="楷体" w:eastAsia="楷体"/>
          <w:b/>
          <w:bCs/>
          <w:spacing w:val="-4"/>
          <w:sz w:val="32"/>
          <w:szCs w:val="32"/>
        </w:rPr>
      </w:pPr>
    </w:p>
    <w:p>
      <w:pPr>
        <w:spacing w:line="540" w:lineRule="exact"/>
        <w:ind w:firstLine="567" w:firstLineChars="181"/>
        <w:rPr>
          <w:rFonts w:ascii="楷体" w:hAnsi="楷体" w:eastAsia="楷体"/>
          <w:b/>
          <w:bCs/>
          <w:spacing w:val="-4"/>
          <w:sz w:val="32"/>
          <w:szCs w:val="32"/>
        </w:rPr>
      </w:pPr>
      <w:r>
        <w:rPr>
          <w:rFonts w:hint="eastAsia" w:ascii="楷体" w:hAnsi="楷体" w:eastAsia="楷体" w:cs="楷体"/>
          <w:b/>
          <w:bCs/>
          <w:spacing w:val="-4"/>
          <w:sz w:val="32"/>
          <w:szCs w:val="32"/>
        </w:rPr>
        <w:t>（三）其他</w:t>
      </w:r>
    </w:p>
    <w:p>
      <w:pPr>
        <w:spacing w:line="540" w:lineRule="exact"/>
        <w:ind w:firstLine="567" w:firstLineChars="181"/>
        <w:rPr>
          <w:rFonts w:ascii="楷体" w:hAnsi="楷体" w:eastAsia="楷体"/>
          <w:b/>
          <w:bCs/>
          <w:spacing w:val="-4"/>
          <w:sz w:val="32"/>
          <w:szCs w:val="32"/>
        </w:rPr>
      </w:pPr>
      <w:r>
        <w:rPr>
          <w:rFonts w:hint="eastAsia" w:ascii="楷体" w:hAnsi="楷体" w:eastAsia="楷体" w:cs="楷体"/>
          <w:b/>
          <w:bCs/>
          <w:spacing w:val="-4"/>
          <w:sz w:val="32"/>
          <w:szCs w:val="32"/>
        </w:rPr>
        <w:t>无</w:t>
      </w:r>
    </w:p>
    <w:p>
      <w:pPr>
        <w:spacing w:line="540" w:lineRule="exact"/>
        <w:ind w:firstLine="640"/>
        <w:rPr>
          <w:rStyle w:val="17"/>
          <w:rFonts w:ascii="黑体" w:hAnsi="黑体" w:eastAsia="黑体"/>
          <w:b w:val="0"/>
          <w:bCs w:val="0"/>
          <w:spacing w:val="-4"/>
          <w:sz w:val="32"/>
          <w:szCs w:val="32"/>
        </w:rPr>
      </w:pPr>
      <w:r>
        <w:rPr>
          <w:rStyle w:val="17"/>
          <w:rFonts w:hint="eastAsia" w:ascii="黑体" w:hAnsi="黑体" w:eastAsia="黑体" w:cs="黑体"/>
          <w:b w:val="0"/>
          <w:bCs w:val="0"/>
          <w:spacing w:val="-4"/>
          <w:sz w:val="32"/>
          <w:szCs w:val="32"/>
        </w:rPr>
        <w:t>六、项目评价工作情况</w:t>
      </w:r>
    </w:p>
    <w:p>
      <w:pPr>
        <w:ind w:firstLine="624" w:firstLineChars="200"/>
        <w:rPr>
          <w:rFonts w:ascii="仿宋_GB2312" w:eastAsia="仿宋_GB2312"/>
          <w:spacing w:val="-4"/>
          <w:sz w:val="32"/>
          <w:szCs w:val="32"/>
        </w:rPr>
      </w:pPr>
      <w:r>
        <w:rPr>
          <w:rFonts w:hint="eastAsia" w:ascii="仿宋_GB2312" w:eastAsia="仿宋_GB2312" w:cs="仿宋_GB2312"/>
          <w:spacing w:val="-4"/>
          <w:sz w:val="32"/>
          <w:szCs w:val="32"/>
        </w:rPr>
        <w:t>包括评价基础数据收集、资料来源和依据等佐证材料情况，项目现场勘验检查核实等情况</w:t>
      </w:r>
    </w:p>
    <w:p>
      <w:pPr>
        <w:spacing w:line="540" w:lineRule="exact"/>
        <w:ind w:firstLine="480"/>
        <w:rPr>
          <w:rStyle w:val="17"/>
          <w:rFonts w:ascii="仿宋_GB2312" w:hAnsi="仿宋" w:eastAsia="仿宋_GB2312"/>
          <w:b w:val="0"/>
          <w:bCs w:val="0"/>
          <w:color w:val="000000"/>
          <w:spacing w:val="-4"/>
          <w:sz w:val="32"/>
          <w:szCs w:val="32"/>
        </w:rPr>
      </w:pPr>
      <w:r>
        <w:rPr>
          <w:rStyle w:val="17"/>
          <w:rFonts w:hint="eastAsia" w:ascii="仿宋_GB2312" w:hAnsi="仿宋" w:eastAsia="仿宋_GB2312" w:cs="仿宋_GB2312"/>
          <w:b w:val="0"/>
          <w:bCs w:val="0"/>
          <w:color w:val="000000"/>
          <w:spacing w:val="-4"/>
          <w:sz w:val="32"/>
          <w:szCs w:val="32"/>
        </w:rPr>
        <w:t>项目从工会工作角度而言，选举产生了巴州总工会新一届领导机构。这对于各级工会组织团结动员光大职工和工会干部凝心聚力、砥砺奋进，开创新时代工运事业和工会工作新局面，具有重大现实意义和深远历史意义。</w:t>
      </w:r>
    </w:p>
    <w:p>
      <w:pPr>
        <w:rPr>
          <w:rFonts w:ascii="仿宋_GB2312" w:eastAsia="仿宋_GB2312"/>
          <w:color w:val="000000"/>
          <w:spacing w:val="-4"/>
          <w:sz w:val="32"/>
          <w:szCs w:val="32"/>
        </w:rPr>
      </w:pPr>
      <w:r>
        <w:rPr>
          <w:rStyle w:val="17"/>
          <w:rFonts w:hint="eastAsia" w:ascii="仿宋_GB2312" w:hAnsi="仿宋" w:eastAsia="仿宋_GB2312" w:cs="仿宋_GB2312"/>
          <w:b w:val="0"/>
          <w:bCs w:val="0"/>
          <w:color w:val="000000"/>
          <w:spacing w:val="-4"/>
          <w:sz w:val="32"/>
          <w:szCs w:val="32"/>
        </w:rPr>
        <w:t>经评价分析，项目平均分为</w:t>
      </w:r>
      <w:r>
        <w:rPr>
          <w:rStyle w:val="17"/>
          <w:rFonts w:ascii="仿宋_GB2312" w:hAnsi="仿宋" w:eastAsia="仿宋_GB2312" w:cs="仿宋_GB2312"/>
          <w:b w:val="0"/>
          <w:bCs w:val="0"/>
          <w:color w:val="000000"/>
          <w:spacing w:val="-4"/>
          <w:sz w:val="32"/>
          <w:szCs w:val="32"/>
        </w:rPr>
        <w:t>100</w:t>
      </w:r>
      <w:r>
        <w:rPr>
          <w:rStyle w:val="17"/>
          <w:rFonts w:hint="eastAsia" w:ascii="仿宋_GB2312" w:hAnsi="仿宋" w:eastAsia="仿宋_GB2312" w:cs="仿宋_GB2312"/>
          <w:b w:val="0"/>
          <w:bCs w:val="0"/>
          <w:color w:val="000000"/>
          <w:spacing w:val="-4"/>
          <w:sz w:val="32"/>
          <w:szCs w:val="32"/>
        </w:rPr>
        <w:t>分，评价结果为优。</w:t>
      </w:r>
    </w:p>
    <w:p>
      <w:pPr>
        <w:ind w:firstLine="624" w:firstLineChars="200"/>
        <w:rPr>
          <w:rFonts w:ascii="仿宋_GB2312" w:eastAsia="仿宋_GB2312"/>
          <w:spacing w:val="-4"/>
          <w:sz w:val="32"/>
          <w:szCs w:val="32"/>
        </w:rPr>
      </w:pPr>
    </w:p>
    <w:p>
      <w:pPr>
        <w:spacing w:line="540" w:lineRule="exact"/>
        <w:ind w:firstLine="640"/>
        <w:rPr>
          <w:rStyle w:val="17"/>
          <w:rFonts w:ascii="黑体" w:hAnsi="黑体" w:eastAsia="黑体"/>
          <w:b w:val="0"/>
          <w:bCs w:val="0"/>
          <w:spacing w:val="-4"/>
          <w:sz w:val="32"/>
          <w:szCs w:val="32"/>
        </w:rPr>
      </w:pPr>
    </w:p>
    <w:p>
      <w:pPr>
        <w:spacing w:line="540" w:lineRule="exact"/>
        <w:ind w:firstLine="640"/>
        <w:rPr>
          <w:rStyle w:val="17"/>
          <w:rFonts w:ascii="黑体" w:hAnsi="黑体" w:eastAsia="黑体"/>
          <w:b w:val="0"/>
          <w:bCs w:val="0"/>
          <w:spacing w:val="-4"/>
          <w:sz w:val="32"/>
          <w:szCs w:val="32"/>
        </w:rPr>
      </w:pPr>
    </w:p>
    <w:p>
      <w:pPr>
        <w:spacing w:line="540" w:lineRule="exact"/>
        <w:ind w:firstLine="640"/>
        <w:rPr>
          <w:rStyle w:val="17"/>
          <w:rFonts w:ascii="黑体" w:hAnsi="黑体" w:eastAsia="黑体"/>
          <w:b w:val="0"/>
          <w:bCs w:val="0"/>
          <w:spacing w:val="-4"/>
          <w:sz w:val="32"/>
          <w:szCs w:val="32"/>
        </w:rPr>
      </w:pPr>
      <w:r>
        <w:rPr>
          <w:rStyle w:val="17"/>
          <w:rFonts w:hint="eastAsia" w:ascii="黑体" w:hAnsi="黑体" w:eastAsia="黑体" w:cs="黑体"/>
          <w:b w:val="0"/>
          <w:bCs w:val="0"/>
          <w:spacing w:val="-4"/>
          <w:sz w:val="32"/>
          <w:szCs w:val="32"/>
        </w:rPr>
        <w:t>七、附表</w:t>
      </w:r>
    </w:p>
    <w:p>
      <w:pPr>
        <w:spacing w:line="540" w:lineRule="exact"/>
        <w:ind w:firstLine="567"/>
        <w:rPr>
          <w:rStyle w:val="17"/>
          <w:rFonts w:ascii="仿宋" w:hAnsi="仿宋" w:eastAsia="仿宋"/>
          <w:b w:val="0"/>
          <w:bCs w:val="0"/>
          <w:spacing w:val="-4"/>
          <w:sz w:val="32"/>
          <w:szCs w:val="32"/>
        </w:rPr>
      </w:pPr>
      <w:r>
        <w:rPr>
          <w:rStyle w:val="17"/>
          <w:rFonts w:hint="eastAsia" w:ascii="仿宋" w:hAnsi="仿宋" w:eastAsia="仿宋" w:cs="仿宋"/>
          <w:b w:val="0"/>
          <w:bCs w:val="0"/>
          <w:spacing w:val="-4"/>
          <w:sz w:val="32"/>
          <w:szCs w:val="32"/>
        </w:rPr>
        <w:t>《巴州总工会财政项目支出绩效自评表》</w:t>
      </w:r>
    </w:p>
    <w:tbl>
      <w:tblPr>
        <w:tblStyle w:val="19"/>
        <w:tblW w:w="9020" w:type="dxa"/>
        <w:tblInd w:w="-10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vAlign w:val="center"/>
          </w:tcPr>
          <w:p>
            <w:pPr>
              <w:widowControl/>
              <w:jc w:val="center"/>
              <w:rPr>
                <w:rFonts w:ascii="宋体"/>
                <w:b/>
                <w:bCs/>
                <w:kern w:val="0"/>
                <w:sz w:val="32"/>
                <w:szCs w:val="32"/>
              </w:rPr>
            </w:pPr>
            <w:r>
              <w:rPr>
                <w:rFonts w:hint="eastAsia" w:ascii="宋体" w:hAnsi="宋体" w:cs="宋体"/>
                <w:b/>
                <w:bCs/>
                <w:kern w:val="0"/>
                <w:sz w:val="32"/>
                <w:szCs w:val="32"/>
                <w:u w:val="single"/>
              </w:rPr>
              <w:t>巴州总工会</w:t>
            </w:r>
            <w:r>
              <w:rPr>
                <w:rFonts w:hint="eastAsia" w:ascii="宋体" w:hAnsi="宋体" w:cs="宋体"/>
                <w:b/>
                <w:bCs/>
                <w:kern w:val="0"/>
                <w:sz w:val="32"/>
                <w:szCs w:val="32"/>
              </w:rPr>
              <w:t>财政项目支出绩效自评表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vAlign w:val="center"/>
          </w:tcPr>
          <w:p>
            <w:pPr>
              <w:widowControl/>
              <w:jc w:val="center"/>
              <w:rPr>
                <w:rFonts w:ascii="宋体"/>
                <w:kern w:val="0"/>
                <w:sz w:val="24"/>
                <w:szCs w:val="24"/>
              </w:rPr>
            </w:pPr>
            <w:r>
              <w:rPr>
                <w:rFonts w:hint="eastAsia" w:ascii="宋体" w:hAnsi="宋体" w:cs="宋体"/>
                <w:kern w:val="0"/>
                <w:sz w:val="24"/>
                <w:szCs w:val="24"/>
              </w:rPr>
              <w:t>（</w:t>
            </w:r>
            <w:r>
              <w:rPr>
                <w:rFonts w:ascii="宋体" w:hAnsi="宋体" w:cs="宋体"/>
                <w:kern w:val="0"/>
                <w:sz w:val="24"/>
                <w:szCs w:val="24"/>
              </w:rPr>
              <w:t>2018</w:t>
            </w:r>
            <w:r>
              <w:rPr>
                <w:rFonts w:hint="eastAsia" w:ascii="宋体" w:hAnsi="宋体" w:cs="宋体"/>
                <w:kern w:val="0"/>
                <w:sz w:val="24"/>
                <w:szCs w:val="24"/>
              </w:rPr>
              <w:t>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vAlign w:val="center"/>
          </w:tcPr>
          <w:p>
            <w:pPr>
              <w:widowControl/>
              <w:jc w:val="center"/>
              <w:rPr>
                <w:rFonts w:ascii="宋体"/>
                <w:kern w:val="0"/>
                <w:sz w:val="24"/>
                <w:szCs w:val="24"/>
              </w:rPr>
            </w:pPr>
          </w:p>
        </w:tc>
        <w:tc>
          <w:tcPr>
            <w:tcW w:w="1140" w:type="dxa"/>
            <w:tcBorders>
              <w:top w:val="nil"/>
              <w:left w:val="nil"/>
              <w:bottom w:val="nil"/>
              <w:right w:val="nil"/>
            </w:tcBorders>
            <w:vAlign w:val="center"/>
          </w:tcPr>
          <w:p>
            <w:pPr>
              <w:widowControl/>
              <w:jc w:val="center"/>
              <w:rPr>
                <w:rFonts w:ascii="宋体"/>
                <w:kern w:val="0"/>
                <w:sz w:val="24"/>
                <w:szCs w:val="24"/>
              </w:rPr>
            </w:pPr>
          </w:p>
        </w:tc>
        <w:tc>
          <w:tcPr>
            <w:tcW w:w="1360" w:type="dxa"/>
            <w:tcBorders>
              <w:top w:val="nil"/>
              <w:left w:val="nil"/>
              <w:bottom w:val="nil"/>
              <w:right w:val="nil"/>
            </w:tcBorders>
            <w:vAlign w:val="center"/>
          </w:tcPr>
          <w:p>
            <w:pPr>
              <w:widowControl/>
              <w:jc w:val="center"/>
              <w:rPr>
                <w:rFonts w:ascii="宋体"/>
                <w:kern w:val="0"/>
                <w:sz w:val="24"/>
                <w:szCs w:val="24"/>
              </w:rPr>
            </w:pPr>
          </w:p>
        </w:tc>
        <w:tc>
          <w:tcPr>
            <w:tcW w:w="1080" w:type="dxa"/>
            <w:tcBorders>
              <w:top w:val="nil"/>
              <w:left w:val="nil"/>
              <w:bottom w:val="nil"/>
              <w:right w:val="nil"/>
            </w:tcBorders>
            <w:vAlign w:val="center"/>
          </w:tcPr>
          <w:p>
            <w:pPr>
              <w:widowControl/>
              <w:jc w:val="center"/>
              <w:rPr>
                <w:rFonts w:ascii="宋体"/>
                <w:kern w:val="0"/>
                <w:sz w:val="24"/>
                <w:szCs w:val="24"/>
              </w:rPr>
            </w:pPr>
          </w:p>
        </w:tc>
        <w:tc>
          <w:tcPr>
            <w:tcW w:w="880" w:type="dxa"/>
            <w:tcBorders>
              <w:top w:val="nil"/>
              <w:left w:val="nil"/>
              <w:bottom w:val="nil"/>
              <w:right w:val="nil"/>
            </w:tcBorders>
            <w:vAlign w:val="center"/>
          </w:tcPr>
          <w:p>
            <w:pPr>
              <w:widowControl/>
              <w:jc w:val="center"/>
              <w:rPr>
                <w:rFonts w:ascii="宋体"/>
                <w:kern w:val="0"/>
                <w:sz w:val="24"/>
                <w:szCs w:val="24"/>
              </w:rPr>
            </w:pPr>
          </w:p>
        </w:tc>
        <w:tc>
          <w:tcPr>
            <w:tcW w:w="2060" w:type="dxa"/>
            <w:tcBorders>
              <w:top w:val="nil"/>
              <w:left w:val="nil"/>
              <w:bottom w:val="nil"/>
              <w:right w:val="nil"/>
            </w:tcBorders>
            <w:vAlign w:val="center"/>
          </w:tcPr>
          <w:p>
            <w:pPr>
              <w:widowControl/>
              <w:jc w:val="center"/>
              <w:rPr>
                <w:rFonts w:ascii="宋体"/>
                <w:kern w:val="0"/>
                <w:sz w:val="24"/>
                <w:szCs w:val="24"/>
              </w:rPr>
            </w:pPr>
          </w:p>
        </w:tc>
        <w:tc>
          <w:tcPr>
            <w:tcW w:w="1780" w:type="dxa"/>
            <w:tcBorders>
              <w:top w:val="nil"/>
              <w:left w:val="nil"/>
              <w:bottom w:val="nil"/>
              <w:right w:val="nil"/>
            </w:tcBorders>
            <w:vAlign w:val="center"/>
          </w:tcPr>
          <w:p>
            <w:pPr>
              <w:widowControl/>
              <w:jc w:val="center"/>
              <w:rPr>
                <w:rFonts w:ascii="宋体"/>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巴州工会第十次代表大会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vAlign w:val="center"/>
          </w:tcPr>
          <w:p>
            <w:pPr>
              <w:widowControl/>
              <w:jc w:val="center"/>
              <w:rPr>
                <w:rFonts w:ascii="宋体"/>
                <w:kern w:val="0"/>
                <w:sz w:val="20"/>
                <w:szCs w:val="20"/>
              </w:rPr>
            </w:pPr>
            <w:r>
              <w:rPr>
                <w:rFonts w:hint="eastAsia" w:ascii="宋体" w:hAnsi="宋体" w:cs="宋体"/>
                <w:kern w:val="0"/>
                <w:sz w:val="20"/>
                <w:szCs w:val="20"/>
              </w:rPr>
              <w:t>巴州总工会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465"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预算</w:t>
            </w:r>
            <w:r>
              <w:rPr>
                <w:rFonts w:ascii="宋体"/>
                <w:kern w:val="0"/>
                <w:sz w:val="20"/>
                <w:szCs w:val="20"/>
              </w:rPr>
              <w:br w:type="textWrapping"/>
            </w:r>
            <w:r>
              <w:rPr>
                <w:rFonts w:hint="eastAsia" w:ascii="宋体" w:hAnsi="宋体" w:cs="宋体"/>
                <w:kern w:val="0"/>
                <w:sz w:val="20"/>
                <w:szCs w:val="20"/>
              </w:rPr>
              <w:t>执行</w:t>
            </w:r>
            <w:r>
              <w:rPr>
                <w:rFonts w:ascii="宋体"/>
                <w:kern w:val="0"/>
                <w:sz w:val="20"/>
                <w:szCs w:val="20"/>
              </w:rPr>
              <w:br w:type="textWrapping"/>
            </w:r>
            <w:r>
              <w:rPr>
                <w:rFonts w:hint="eastAsia" w:ascii="宋体" w:hAnsi="宋体" w:cs="宋体"/>
                <w:kern w:val="0"/>
                <w:sz w:val="20"/>
                <w:szCs w:val="20"/>
              </w:rPr>
              <w:t>情况</w:t>
            </w:r>
            <w:r>
              <w:rPr>
                <w:rFonts w:ascii="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预算数：</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宋体"/>
                <w:kern w:val="0"/>
                <w:sz w:val="20"/>
                <w:szCs w:val="20"/>
              </w:rPr>
            </w:pPr>
            <w:r>
              <w:rPr>
                <w:rFonts w:hint="eastAsia" w:ascii="宋体" w:hAnsi="宋体" w:cs="宋体"/>
                <w:kern w:val="0"/>
                <w:sz w:val="20"/>
                <w:szCs w:val="20"/>
              </w:rPr>
              <w:t>无　</w:t>
            </w:r>
          </w:p>
        </w:tc>
        <w:tc>
          <w:tcPr>
            <w:tcW w:w="206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执行数：</w:t>
            </w:r>
          </w:p>
        </w:tc>
        <w:tc>
          <w:tcPr>
            <w:tcW w:w="1780" w:type="dxa"/>
            <w:tcBorders>
              <w:top w:val="nil"/>
              <w:left w:val="nil"/>
              <w:bottom w:val="single" w:color="auto" w:sz="4" w:space="0"/>
              <w:right w:val="single" w:color="auto" w:sz="4" w:space="0"/>
            </w:tcBorders>
            <w:vAlign w:val="center"/>
          </w:tcPr>
          <w:p>
            <w:pPr>
              <w:widowControl/>
              <w:jc w:val="right"/>
              <w:rPr>
                <w:rFonts w:ascii="宋体"/>
                <w:kern w:val="0"/>
                <w:sz w:val="20"/>
                <w:szCs w:val="20"/>
              </w:rPr>
            </w:pPr>
            <w:r>
              <w:rPr>
                <w:rFonts w:ascii="宋体" w:hAnsi="宋体" w:cs="宋体"/>
                <w:kern w:val="0"/>
                <w:sz w:val="20"/>
                <w:szCs w:val="20"/>
              </w:rPr>
              <w:t>17</w:t>
            </w:r>
            <w:r>
              <w:rPr>
                <w:rFonts w:hint="eastAsia" w:ascii="宋体" w:hAnsi="宋体" w:cs="宋体"/>
                <w:kern w:val="0"/>
                <w:sz w:val="20"/>
                <w:szCs w:val="20"/>
                <w:lang w:val="en-US" w:eastAsia="zh-CN"/>
              </w:rPr>
              <w:t>28</w:t>
            </w:r>
            <w:r>
              <w:rPr>
                <w:rFonts w:ascii="宋体" w:hAnsi="宋体" w:cs="宋体"/>
                <w:kern w:val="0"/>
                <w:sz w:val="20"/>
                <w:szCs w:val="20"/>
              </w:rPr>
              <w:t>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宋体"/>
                <w:kern w:val="0"/>
                <w:sz w:val="20"/>
                <w:szCs w:val="20"/>
              </w:rPr>
            </w:pPr>
            <w:r>
              <w:rPr>
                <w:rFonts w:hint="eastAsia" w:ascii="宋体" w:hAnsi="宋体" w:cs="宋体"/>
                <w:kern w:val="0"/>
                <w:sz w:val="20"/>
                <w:szCs w:val="20"/>
              </w:rPr>
              <w:t>　</w:t>
            </w:r>
          </w:p>
        </w:tc>
        <w:tc>
          <w:tcPr>
            <w:tcW w:w="2060" w:type="dxa"/>
            <w:tcBorders>
              <w:top w:val="nil"/>
              <w:left w:val="nil"/>
              <w:bottom w:val="nil"/>
              <w:right w:val="single" w:color="auto" w:sz="4" w:space="0"/>
            </w:tcBorders>
            <w:vAlign w:val="center"/>
          </w:tcPr>
          <w:p>
            <w:pPr>
              <w:widowControl/>
              <w:jc w:val="right"/>
              <w:rPr>
                <w:rFonts w:ascii="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vAlign w:val="center"/>
          </w:tcPr>
          <w:tbl>
            <w:tblPr>
              <w:tblStyle w:val="19"/>
              <w:tblW w:w="178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7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1780" w:type="dxa"/>
                  <w:tcBorders>
                    <w:top w:val="nil"/>
                    <w:left w:val="nil"/>
                    <w:bottom w:val="single" w:color="auto" w:sz="4" w:space="0"/>
                    <w:right w:val="single" w:color="auto" w:sz="4" w:space="0"/>
                  </w:tcBorders>
                  <w:vAlign w:val="center"/>
                </w:tcPr>
                <w:p>
                  <w:pPr>
                    <w:widowControl/>
                    <w:rPr>
                      <w:rFonts w:ascii="宋体"/>
                      <w:kern w:val="0"/>
                      <w:sz w:val="20"/>
                      <w:szCs w:val="20"/>
                    </w:rPr>
                  </w:pPr>
                  <w:r>
                    <w:rPr>
                      <w:rFonts w:ascii="宋体" w:hAnsi="宋体" w:cs="宋体"/>
                      <w:kern w:val="0"/>
                      <w:sz w:val="20"/>
                      <w:szCs w:val="20"/>
                    </w:rPr>
                    <w:t>17</w:t>
                  </w:r>
                  <w:r>
                    <w:rPr>
                      <w:rFonts w:hint="eastAsia" w:ascii="宋体" w:hAnsi="宋体" w:cs="宋体"/>
                      <w:kern w:val="0"/>
                      <w:sz w:val="20"/>
                      <w:szCs w:val="20"/>
                      <w:lang w:val="en-US" w:eastAsia="zh-CN"/>
                    </w:rPr>
                    <w:t>28</w:t>
                  </w:r>
                  <w:r>
                    <w:rPr>
                      <w:rFonts w:ascii="宋体" w:hAnsi="宋体" w:cs="宋体"/>
                      <w:kern w:val="0"/>
                      <w:sz w:val="20"/>
                      <w:szCs w:val="20"/>
                    </w:rPr>
                    <w:t>00</w:t>
                  </w:r>
                </w:p>
              </w:tc>
            </w:tr>
          </w:tbl>
          <w:p>
            <w:pPr>
              <w:widowControl/>
              <w:rPr>
                <w:rFonts w:ascii="宋体"/>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宋体"/>
                <w:kern w:val="0"/>
                <w:sz w:val="20"/>
                <w:szCs w:val="20"/>
              </w:rPr>
            </w:pPr>
            <w:r>
              <w:rPr>
                <w:rFonts w:hint="eastAsia" w:ascii="宋体" w:hAnsi="宋体" w:cs="宋体"/>
                <w:kern w:val="0"/>
                <w:sz w:val="20"/>
                <w:szCs w:val="20"/>
              </w:rPr>
              <w:t>　</w:t>
            </w:r>
          </w:p>
        </w:tc>
        <w:tc>
          <w:tcPr>
            <w:tcW w:w="2060" w:type="dxa"/>
            <w:tcBorders>
              <w:top w:val="single" w:color="auto" w:sz="4" w:space="0"/>
              <w:left w:val="nil"/>
              <w:bottom w:val="nil"/>
              <w:right w:val="single" w:color="auto" w:sz="4" w:space="0"/>
            </w:tcBorders>
            <w:vAlign w:val="center"/>
          </w:tcPr>
          <w:p>
            <w:pPr>
              <w:widowControl/>
              <w:jc w:val="right"/>
              <w:rPr>
                <w:rFonts w:ascii="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vAlign w:val="center"/>
          </w:tcPr>
          <w:p>
            <w:pPr>
              <w:widowControl/>
              <w:jc w:val="right"/>
              <w:rPr>
                <w:rFonts w:ascii="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年度</w:t>
            </w:r>
            <w:r>
              <w:rPr>
                <w:rFonts w:ascii="宋体"/>
                <w:kern w:val="0"/>
                <w:sz w:val="20"/>
                <w:szCs w:val="20"/>
              </w:rPr>
              <w:br w:type="textWrapping"/>
            </w:r>
            <w:r>
              <w:rPr>
                <w:rFonts w:hint="eastAsia" w:ascii="宋体" w:hAnsi="宋体" w:cs="宋体"/>
                <w:kern w:val="0"/>
                <w:sz w:val="20"/>
                <w:szCs w:val="20"/>
              </w:rPr>
              <w:t>目标</w:t>
            </w:r>
            <w:r>
              <w:rPr>
                <w:rFonts w:ascii="宋体"/>
                <w:kern w:val="0"/>
                <w:sz w:val="20"/>
                <w:szCs w:val="20"/>
              </w:rPr>
              <w:br w:type="textWrapping"/>
            </w:r>
            <w:r>
              <w:rPr>
                <w:rFonts w:hint="eastAsia" w:ascii="宋体" w:hAnsi="宋体" w:cs="宋体"/>
                <w:kern w:val="0"/>
                <w:sz w:val="20"/>
                <w:szCs w:val="20"/>
              </w:rPr>
              <w:t>完成</w:t>
            </w:r>
            <w:r>
              <w:rPr>
                <w:rFonts w:ascii="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实际完成目标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4460" w:type="dxa"/>
            <w:gridSpan w:val="4"/>
            <w:tcBorders>
              <w:top w:val="single" w:color="auto" w:sz="4" w:space="0"/>
              <w:left w:val="nil"/>
              <w:bottom w:val="single" w:color="auto" w:sz="4" w:space="0"/>
              <w:right w:val="single" w:color="000000" w:sz="4" w:space="0"/>
            </w:tcBorders>
            <w:vAlign w:val="top"/>
          </w:tcPr>
          <w:p>
            <w:pPr>
              <w:widowControl/>
              <w:ind w:left="200"/>
              <w:jc w:val="left"/>
              <w:rPr>
                <w:rFonts w:ascii="宋体"/>
                <w:kern w:val="0"/>
                <w:sz w:val="20"/>
                <w:szCs w:val="20"/>
              </w:rPr>
            </w:pPr>
            <w:r>
              <w:rPr>
                <w:rFonts w:hint="eastAsia" w:ascii="宋体" w:hAnsi="宋体" w:cs="宋体"/>
                <w:kern w:val="0"/>
                <w:sz w:val="20"/>
                <w:szCs w:val="20"/>
              </w:rPr>
              <w:t>过去五年工会工作总结，选举选举工会新的领导班子</w:t>
            </w:r>
          </w:p>
        </w:tc>
        <w:tc>
          <w:tcPr>
            <w:tcW w:w="3840" w:type="dxa"/>
            <w:gridSpan w:val="2"/>
            <w:tcBorders>
              <w:top w:val="single" w:color="auto" w:sz="4" w:space="0"/>
              <w:left w:val="nil"/>
              <w:bottom w:val="single" w:color="auto" w:sz="4" w:space="0"/>
              <w:right w:val="single" w:color="000000" w:sz="4" w:space="0"/>
            </w:tcBorders>
            <w:vAlign w:val="top"/>
          </w:tcPr>
          <w:p>
            <w:pPr>
              <w:spacing w:line="540" w:lineRule="exact"/>
              <w:rPr>
                <w:rFonts w:ascii="宋体"/>
                <w:kern w:val="0"/>
                <w:sz w:val="20"/>
                <w:szCs w:val="20"/>
              </w:rPr>
            </w:pPr>
            <w:r>
              <w:rPr>
                <w:rFonts w:hint="eastAsia" w:ascii="宋体" w:hAnsi="宋体" w:cs="宋体"/>
                <w:kern w:val="0"/>
                <w:sz w:val="20"/>
                <w:szCs w:val="20"/>
              </w:rPr>
              <w:t>巴州工会第十次代表大会，过去五年工会工作回顾，工会改革成果的展现，选举工会新的领导班子。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年度</w:t>
            </w:r>
            <w:r>
              <w:rPr>
                <w:rFonts w:ascii="宋体"/>
                <w:kern w:val="0"/>
                <w:sz w:val="20"/>
                <w:szCs w:val="20"/>
              </w:rPr>
              <w:br w:type="textWrapping"/>
            </w:r>
            <w:r>
              <w:rPr>
                <w:rFonts w:hint="eastAsia" w:ascii="宋体" w:hAnsi="宋体" w:cs="宋体"/>
                <w:kern w:val="0"/>
                <w:sz w:val="20"/>
                <w:szCs w:val="20"/>
              </w:rPr>
              <w:t>绩效</w:t>
            </w:r>
            <w:r>
              <w:rPr>
                <w:rFonts w:ascii="宋体"/>
                <w:kern w:val="0"/>
                <w:sz w:val="20"/>
                <w:szCs w:val="20"/>
              </w:rPr>
              <w:br w:type="textWrapping"/>
            </w:r>
            <w:r>
              <w:rPr>
                <w:rFonts w:hint="eastAsia" w:ascii="宋体" w:hAnsi="宋体" w:cs="宋体"/>
                <w:kern w:val="0"/>
                <w:sz w:val="20"/>
                <w:szCs w:val="20"/>
              </w:rPr>
              <w:t>指标</w:t>
            </w:r>
            <w:r>
              <w:rPr>
                <w:rFonts w:ascii="宋体"/>
                <w:kern w:val="0"/>
                <w:sz w:val="20"/>
                <w:szCs w:val="20"/>
              </w:rPr>
              <w:br w:type="textWrapping"/>
            </w:r>
            <w:r>
              <w:rPr>
                <w:rFonts w:hint="eastAsia" w:ascii="宋体" w:hAnsi="宋体" w:cs="宋体"/>
                <w:kern w:val="0"/>
                <w:sz w:val="20"/>
                <w:szCs w:val="20"/>
              </w:rPr>
              <w:t>完成</w:t>
            </w:r>
            <w:r>
              <w:rPr>
                <w:rFonts w:ascii="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实际完成指标值（包含数字及文字描述）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：住宿</w:t>
            </w:r>
          </w:p>
        </w:tc>
        <w:tc>
          <w:tcPr>
            <w:tcW w:w="2060" w:type="dxa"/>
            <w:tcBorders>
              <w:top w:val="nil"/>
              <w:left w:val="nil"/>
              <w:bottom w:val="single" w:color="auto" w:sz="4" w:space="0"/>
              <w:right w:val="single" w:color="auto" w:sz="4" w:space="0"/>
            </w:tcBorders>
            <w:vAlign w:val="center"/>
          </w:tcPr>
          <w:p>
            <w:pPr>
              <w:widowControl/>
              <w:jc w:val="left"/>
              <w:rPr>
                <w:rFonts w:hint="eastAsia" w:ascii="宋体" w:eastAsia="宋体"/>
                <w:kern w:val="0"/>
                <w:sz w:val="20"/>
                <w:szCs w:val="20"/>
                <w:lang w:eastAsia="zh-CN"/>
              </w:rPr>
            </w:pPr>
            <w:r>
              <w:rPr>
                <w:rFonts w:hint="eastAsia" w:ascii="宋体" w:hAnsi="宋体" w:cs="宋体"/>
                <w:kern w:val="0"/>
                <w:sz w:val="20"/>
                <w:szCs w:val="20"/>
                <w:lang w:val="en-US" w:eastAsia="zh-CN"/>
              </w:rPr>
              <w:t>82100.00</w:t>
            </w:r>
          </w:p>
        </w:tc>
        <w:tc>
          <w:tcPr>
            <w:tcW w:w="178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82100.00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2</w:t>
            </w:r>
            <w:r>
              <w:rPr>
                <w:rFonts w:hint="eastAsia" w:ascii="宋体" w:hAnsi="宋体" w:cs="宋体"/>
                <w:kern w:val="0"/>
                <w:sz w:val="20"/>
                <w:szCs w:val="20"/>
              </w:rPr>
              <w:t>：餐费</w:t>
            </w:r>
          </w:p>
        </w:tc>
        <w:tc>
          <w:tcPr>
            <w:tcW w:w="206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89400.00</w:t>
            </w:r>
          </w:p>
        </w:tc>
        <w:tc>
          <w:tcPr>
            <w:tcW w:w="178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89400.00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会议完成情况</w:t>
            </w:r>
          </w:p>
        </w:tc>
        <w:tc>
          <w:tcPr>
            <w:tcW w:w="206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预期完成</w:t>
            </w:r>
          </w:p>
        </w:tc>
        <w:tc>
          <w:tcPr>
            <w:tcW w:w="178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胜利圆满完成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2</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：会议时间</w:t>
            </w:r>
          </w:p>
        </w:tc>
        <w:tc>
          <w:tcPr>
            <w:tcW w:w="206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r>
              <w:rPr>
                <w:rFonts w:ascii="宋体" w:hAnsi="宋体" w:cs="宋体"/>
                <w:kern w:val="0"/>
                <w:sz w:val="20"/>
                <w:szCs w:val="20"/>
              </w:rPr>
              <w:t>2018</w:t>
            </w:r>
            <w:r>
              <w:rPr>
                <w:rFonts w:hint="eastAsia" w:ascii="宋体" w:hAnsi="宋体" w:cs="宋体"/>
                <w:kern w:val="0"/>
                <w:sz w:val="20"/>
                <w:szCs w:val="20"/>
              </w:rPr>
              <w:t>年</w:t>
            </w:r>
            <w:r>
              <w:rPr>
                <w:rFonts w:ascii="宋体" w:hAnsi="宋体" w:cs="宋体"/>
                <w:kern w:val="0"/>
                <w:sz w:val="20"/>
                <w:szCs w:val="20"/>
              </w:rPr>
              <w:t>6</w:t>
            </w:r>
            <w:r>
              <w:rPr>
                <w:rFonts w:hint="eastAsia" w:ascii="宋体" w:hAnsi="宋体" w:cs="宋体"/>
                <w:kern w:val="0"/>
                <w:sz w:val="20"/>
                <w:szCs w:val="20"/>
              </w:rPr>
              <w:t>月</w:t>
            </w:r>
            <w:r>
              <w:rPr>
                <w:rFonts w:ascii="宋体" w:hAnsi="宋体" w:cs="宋体"/>
                <w:kern w:val="0"/>
                <w:sz w:val="20"/>
                <w:szCs w:val="20"/>
              </w:rPr>
              <w:t>28</w:t>
            </w:r>
            <w:r>
              <w:rPr>
                <w:rFonts w:hint="eastAsia" w:ascii="宋体" w:hAnsi="宋体" w:cs="宋体"/>
                <w:kern w:val="0"/>
                <w:sz w:val="20"/>
                <w:szCs w:val="20"/>
              </w:rPr>
              <w:t>日</w:t>
            </w:r>
          </w:p>
        </w:tc>
        <w:tc>
          <w:tcPr>
            <w:tcW w:w="178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r>
              <w:rPr>
                <w:rFonts w:ascii="宋体" w:hAnsi="宋体" w:cs="宋体"/>
                <w:kern w:val="0"/>
                <w:sz w:val="20"/>
                <w:szCs w:val="20"/>
              </w:rPr>
              <w:t>2018</w:t>
            </w:r>
            <w:r>
              <w:rPr>
                <w:rFonts w:hint="eastAsia" w:ascii="宋体" w:hAnsi="宋体" w:cs="宋体"/>
                <w:kern w:val="0"/>
                <w:sz w:val="20"/>
                <w:szCs w:val="20"/>
              </w:rPr>
              <w:t>年</w:t>
            </w:r>
            <w:r>
              <w:rPr>
                <w:rFonts w:ascii="宋体" w:hAnsi="宋体" w:cs="宋体"/>
                <w:kern w:val="0"/>
                <w:sz w:val="20"/>
                <w:szCs w:val="20"/>
              </w:rPr>
              <w:t>6</w:t>
            </w:r>
            <w:r>
              <w:rPr>
                <w:rFonts w:hint="eastAsia" w:ascii="宋体" w:hAnsi="宋体" w:cs="宋体"/>
                <w:kern w:val="0"/>
                <w:sz w:val="20"/>
                <w:szCs w:val="20"/>
              </w:rPr>
              <w:t>月</w:t>
            </w:r>
            <w:r>
              <w:rPr>
                <w:rFonts w:ascii="宋体" w:hAnsi="宋体" w:cs="宋体"/>
                <w:kern w:val="0"/>
                <w:sz w:val="20"/>
                <w:szCs w:val="20"/>
              </w:rPr>
              <w:t>28</w:t>
            </w:r>
            <w:r>
              <w:rPr>
                <w:rFonts w:hint="eastAsia" w:ascii="宋体" w:hAnsi="宋体" w:cs="宋体"/>
                <w:kern w:val="0"/>
                <w:sz w:val="20"/>
                <w:szCs w:val="20"/>
              </w:rPr>
              <w:t>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2</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成本指标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：第十次代表大会费用</w:t>
            </w:r>
          </w:p>
        </w:tc>
        <w:tc>
          <w:tcPr>
            <w:tcW w:w="206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r>
              <w:rPr>
                <w:rFonts w:ascii="宋体" w:hAnsi="宋体" w:cs="宋体"/>
                <w:kern w:val="0"/>
                <w:sz w:val="20"/>
                <w:szCs w:val="20"/>
              </w:rPr>
              <w:t>17</w:t>
            </w:r>
            <w:r>
              <w:rPr>
                <w:rFonts w:hint="eastAsia" w:ascii="宋体" w:hAnsi="宋体" w:cs="宋体"/>
                <w:kern w:val="0"/>
                <w:sz w:val="20"/>
                <w:szCs w:val="20"/>
                <w:lang w:val="en-US" w:eastAsia="zh-CN"/>
              </w:rPr>
              <w:t>28</w:t>
            </w:r>
            <w:r>
              <w:rPr>
                <w:rFonts w:ascii="宋体" w:hAnsi="宋体" w:cs="宋体"/>
                <w:kern w:val="0"/>
                <w:sz w:val="20"/>
                <w:szCs w:val="20"/>
              </w:rPr>
              <w:t>00.00</w:t>
            </w:r>
          </w:p>
        </w:tc>
        <w:tc>
          <w:tcPr>
            <w:tcW w:w="178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r>
              <w:rPr>
                <w:rFonts w:ascii="宋体" w:hAnsi="宋体" w:cs="宋体"/>
                <w:kern w:val="0"/>
                <w:sz w:val="20"/>
                <w:szCs w:val="20"/>
              </w:rPr>
              <w:t>17</w:t>
            </w:r>
            <w:r>
              <w:rPr>
                <w:rFonts w:hint="eastAsia" w:ascii="宋体" w:hAnsi="宋体" w:cs="宋体"/>
                <w:kern w:val="0"/>
                <w:sz w:val="20"/>
                <w:szCs w:val="20"/>
                <w:lang w:val="en-US" w:eastAsia="zh-CN"/>
              </w:rPr>
              <w:t>28</w:t>
            </w:r>
            <w:bookmarkStart w:id="0" w:name="_GoBack"/>
            <w:bookmarkEnd w:id="0"/>
            <w:r>
              <w:rPr>
                <w:rFonts w:ascii="宋体" w:hAnsi="宋体" w:cs="宋体"/>
                <w:kern w:val="0"/>
                <w:sz w:val="20"/>
                <w:szCs w:val="20"/>
              </w:rPr>
              <w:t>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2</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1360" w:type="dxa"/>
            <w:tcBorders>
              <w:top w:val="nil"/>
              <w:left w:val="nil"/>
              <w:bottom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14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项目效果指标</w:t>
            </w: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经济效益</w:t>
            </w:r>
            <w:r>
              <w:rPr>
                <w:rFonts w:ascii="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2</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049"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社会效益</w:t>
            </w:r>
            <w:r>
              <w:rPr>
                <w:rFonts w:ascii="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：大会意义</w:t>
            </w:r>
          </w:p>
        </w:tc>
        <w:tc>
          <w:tcPr>
            <w:tcW w:w="206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巴州工会第十次代表大会，选举工会新的领导班子，为今后工会工作指明了方向。</w:t>
            </w:r>
          </w:p>
        </w:tc>
        <w:tc>
          <w:tcPr>
            <w:tcW w:w="1780" w:type="dxa"/>
            <w:tcBorders>
              <w:top w:val="nil"/>
              <w:left w:val="nil"/>
              <w:bottom w:val="single" w:color="auto" w:sz="4" w:space="0"/>
              <w:right w:val="single" w:color="auto" w:sz="4" w:space="0"/>
            </w:tcBorders>
            <w:vAlign w:val="center"/>
          </w:tcPr>
          <w:p>
            <w:pPr>
              <w:widowControl/>
              <w:numPr>
                <w:ilvl w:val="0"/>
                <w:numId w:val="1"/>
              </w:numPr>
              <w:jc w:val="left"/>
              <w:rPr>
                <w:rFonts w:ascii="宋体"/>
                <w:kern w:val="0"/>
                <w:sz w:val="20"/>
                <w:szCs w:val="20"/>
              </w:rPr>
            </w:pPr>
            <w:r>
              <w:rPr>
                <w:rFonts w:hint="eastAsia" w:ascii="宋体" w:hAnsi="宋体" w:cs="宋体"/>
                <w:kern w:val="0"/>
                <w:sz w:val="20"/>
                <w:szCs w:val="20"/>
              </w:rPr>
              <w:t>巴州工会第十次代表大会，选举工会新的领导班子，为今后工会工作指明了方向。　</w:t>
            </w:r>
          </w:p>
          <w:p>
            <w:pPr>
              <w:widowControl/>
              <w:jc w:val="left"/>
              <w:rPr>
                <w:rFonts w:ascii="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2</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生态效益</w:t>
            </w:r>
            <w:r>
              <w:rPr>
                <w:rFonts w:ascii="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无</w:t>
            </w:r>
          </w:p>
        </w:tc>
        <w:tc>
          <w:tcPr>
            <w:tcW w:w="178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2</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可持续影响</w:t>
            </w:r>
            <w:r>
              <w:rPr>
                <w:rFonts w:ascii="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无</w:t>
            </w:r>
          </w:p>
        </w:tc>
        <w:tc>
          <w:tcPr>
            <w:tcW w:w="178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2</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1360" w:type="dxa"/>
            <w:tcBorders>
              <w:top w:val="nil"/>
              <w:left w:val="nil"/>
              <w:bottom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14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满意度</w:t>
            </w:r>
            <w:r>
              <w:rPr>
                <w:rFonts w:ascii="宋体"/>
                <w:kern w:val="0"/>
                <w:sz w:val="20"/>
                <w:szCs w:val="20"/>
              </w:rPr>
              <w:br w:type="textWrapping"/>
            </w:r>
            <w:r>
              <w:rPr>
                <w:rFonts w:hint="eastAsia" w:ascii="宋体" w:hAnsi="宋体" w:cs="宋体"/>
                <w:kern w:val="0"/>
                <w:sz w:val="20"/>
                <w:szCs w:val="20"/>
              </w:rPr>
              <w:t>指标</w:t>
            </w: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：会议完成情况</w:t>
            </w:r>
          </w:p>
        </w:tc>
        <w:tc>
          <w:tcPr>
            <w:tcW w:w="2060" w:type="dxa"/>
            <w:tcBorders>
              <w:top w:val="nil"/>
              <w:left w:val="nil"/>
              <w:bottom w:val="single" w:color="auto" w:sz="4" w:space="0"/>
              <w:right w:val="single" w:color="auto" w:sz="4" w:space="0"/>
            </w:tcBorders>
            <w:vAlign w:val="center"/>
          </w:tcPr>
          <w:p>
            <w:pPr>
              <w:widowControl/>
              <w:jc w:val="center"/>
              <w:rPr>
                <w:rFonts w:ascii="宋体"/>
                <w:kern w:val="0"/>
                <w:sz w:val="20"/>
                <w:szCs w:val="20"/>
              </w:rPr>
            </w:pPr>
            <w:r>
              <w:rPr>
                <w:rFonts w:ascii="宋体" w:hAnsi="宋体" w:cs="宋体"/>
                <w:kern w:val="0"/>
                <w:sz w:val="20"/>
                <w:szCs w:val="20"/>
              </w:rPr>
              <w:t>100%</w:t>
            </w: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r>
              <w:rPr>
                <w:rFonts w:ascii="宋体" w:hAnsi="宋体" w:cs="宋体"/>
                <w:kern w:val="0"/>
                <w:sz w:val="20"/>
                <w:szCs w:val="20"/>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2</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360" w:type="dxa"/>
            <w:tcBorders>
              <w:top w:val="nil"/>
              <w:left w:val="nil"/>
              <w:bottom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p>
        </w:tc>
      </w:tr>
    </w:tbl>
    <w:p>
      <w:pPr>
        <w:spacing w:line="540" w:lineRule="exact"/>
        <w:ind w:firstLine="567"/>
        <w:rPr>
          <w:rStyle w:val="17"/>
          <w:rFonts w:ascii="仿宋" w:hAnsi="仿宋" w:eastAsia="仿宋"/>
          <w:b w:val="0"/>
          <w:bCs w:val="0"/>
          <w:spacing w:val="-4"/>
          <w:sz w:val="32"/>
          <w:szCs w:val="32"/>
        </w:rPr>
      </w:pPr>
    </w:p>
    <w:sectPr>
      <w:headerReference r:id="rId3" w:type="default"/>
      <w:footerReference r:id="rId4"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Cambria">
    <w:panose1 w:val="02040503050406030204"/>
    <w:charset w:val="00"/>
    <w:family w:val="auto"/>
    <w:pitch w:val="default"/>
    <w:sig w:usb0="A00002EF" w:usb1="4000004B" w:usb2="00000000" w:usb3="00000000" w:csb0="2000009F" w:csb1="00000000"/>
  </w:font>
  <w:font w:name="仿宋">
    <w:altName w:val="宋体"/>
    <w:panose1 w:val="00000000000000000000"/>
    <w:charset w:val="86"/>
    <w:family w:val="auto"/>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altName w:val="楷体_GB2312"/>
    <w:panose1 w:val="00000000000000000000"/>
    <w:charset w:val="86"/>
    <w:family w:val="auto"/>
    <w:pitch w:val="default"/>
    <w:sig w:usb0="00000000" w:usb1="00000000" w:usb2="00000010" w:usb3="00000000" w:csb0="00040000" w:csb1="00000000"/>
  </w:font>
  <w:font w:name="方正仿宋_GBK">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rPr>
        <w:rFonts w:cs="Times New Roman"/>
      </w:rPr>
    </w:pPr>
    <w:r>
      <w:rPr>
        <w:rFonts w:cs="Times New Roman"/>
      </w:rPr>
      <w:fldChar w:fldCharType="begin"/>
    </w:r>
    <w:r>
      <w:instrText xml:space="preserve">PAGE   \* MERGEFORMAT</w:instrText>
    </w:r>
    <w:r>
      <w:fldChar w:fldCharType="separate"/>
    </w:r>
    <w:r>
      <w:rPr>
        <w:lang w:val="zh-CN"/>
      </w:rPr>
      <w:t>7</w:t>
    </w:r>
    <w:r>
      <w:rPr>
        <w:lang w:val="zh-CN"/>
      </w:rPr>
      <w:fldChar w:fldCharType="end"/>
    </w:r>
  </w:p>
  <w:p>
    <w:pPr>
      <w:pStyle w:val="12"/>
      <w:rPr>
        <w:rFonts w:cs="Times New Roma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rPr>
        <w:rFonts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8"/>
    <w:multiLevelType w:val="singleLevel"/>
    <w:tmpl w:val="00000008"/>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B7861F3"/>
    <w:rsid w:val="2AEB663F"/>
    <w:rsid w:val="3104678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rPr>
    </w:r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link w:val="26"/>
    <w:uiPriority w:val="0"/>
    <w:pPr>
      <w:keepNext/>
      <w:widowControl/>
      <w:spacing w:before="240" w:after="60"/>
      <w:jc w:val="left"/>
      <w:outlineLvl w:val="0"/>
    </w:pPr>
    <w:rPr>
      <w:rFonts w:ascii="Cambria" w:hAnsi="Cambria" w:eastAsia="宋体" w:cs="Cambria"/>
      <w:b/>
      <w:bCs/>
      <w:kern w:val="32"/>
      <w:sz w:val="32"/>
      <w:szCs w:val="32"/>
    </w:rPr>
  </w:style>
  <w:style w:type="paragraph" w:styleId="3">
    <w:name w:val="heading 2"/>
    <w:basedOn w:val="1"/>
    <w:next w:val="1"/>
    <w:link w:val="27"/>
    <w:uiPriority w:val="0"/>
    <w:pPr>
      <w:keepNext/>
      <w:widowControl/>
      <w:spacing w:before="240" w:after="60"/>
      <w:jc w:val="left"/>
      <w:outlineLvl w:val="1"/>
    </w:pPr>
    <w:rPr>
      <w:rFonts w:ascii="Cambria" w:hAnsi="Cambria" w:eastAsia="宋体" w:cs="Cambria"/>
      <w:b/>
      <w:bCs/>
      <w:i/>
      <w:iCs/>
      <w:sz w:val="28"/>
      <w:szCs w:val="28"/>
    </w:rPr>
  </w:style>
  <w:style w:type="paragraph" w:styleId="4">
    <w:name w:val="heading 3"/>
    <w:basedOn w:val="1"/>
    <w:next w:val="1"/>
    <w:link w:val="28"/>
    <w:uiPriority w:val="0"/>
    <w:pPr>
      <w:keepNext/>
      <w:widowControl/>
      <w:spacing w:before="240" w:after="60"/>
      <w:jc w:val="left"/>
      <w:outlineLvl w:val="2"/>
    </w:pPr>
    <w:rPr>
      <w:rFonts w:ascii="Cambria" w:hAnsi="Cambria" w:eastAsia="宋体" w:cs="Cambria"/>
      <w:b/>
      <w:bCs/>
      <w:sz w:val="26"/>
      <w:szCs w:val="26"/>
    </w:rPr>
  </w:style>
  <w:style w:type="paragraph" w:styleId="5">
    <w:name w:val="heading 4"/>
    <w:basedOn w:val="1"/>
    <w:next w:val="1"/>
    <w:link w:val="29"/>
    <w:uiPriority w:val="0"/>
    <w:pPr>
      <w:keepNext/>
      <w:widowControl/>
      <w:spacing w:before="240" w:after="60"/>
      <w:jc w:val="left"/>
      <w:outlineLvl w:val="3"/>
    </w:pPr>
    <w:rPr>
      <w:b/>
      <w:bCs/>
      <w:sz w:val="28"/>
      <w:szCs w:val="28"/>
    </w:rPr>
  </w:style>
  <w:style w:type="paragraph" w:styleId="6">
    <w:name w:val="heading 5"/>
    <w:basedOn w:val="1"/>
    <w:next w:val="1"/>
    <w:link w:val="30"/>
    <w:uiPriority w:val="0"/>
    <w:pPr>
      <w:widowControl/>
      <w:spacing w:before="240" w:after="60"/>
      <w:jc w:val="left"/>
      <w:outlineLvl w:val="4"/>
    </w:pPr>
    <w:rPr>
      <w:b/>
      <w:bCs/>
      <w:i/>
      <w:iCs/>
      <w:sz w:val="26"/>
      <w:szCs w:val="26"/>
    </w:rPr>
  </w:style>
  <w:style w:type="paragraph" w:styleId="7">
    <w:name w:val="heading 6"/>
    <w:basedOn w:val="1"/>
    <w:next w:val="1"/>
    <w:link w:val="31"/>
    <w:uiPriority w:val="0"/>
    <w:pPr>
      <w:widowControl/>
      <w:spacing w:before="240" w:after="60"/>
      <w:jc w:val="left"/>
      <w:outlineLvl w:val="5"/>
    </w:pPr>
    <w:rPr>
      <w:b/>
      <w:bCs/>
    </w:rPr>
  </w:style>
  <w:style w:type="paragraph" w:styleId="8">
    <w:name w:val="heading 7"/>
    <w:basedOn w:val="1"/>
    <w:next w:val="1"/>
    <w:link w:val="32"/>
    <w:uiPriority w:val="0"/>
    <w:pPr>
      <w:widowControl/>
      <w:spacing w:before="240" w:after="60"/>
      <w:jc w:val="left"/>
      <w:outlineLvl w:val="6"/>
    </w:pPr>
    <w:rPr>
      <w:sz w:val="24"/>
      <w:szCs w:val="24"/>
    </w:rPr>
  </w:style>
  <w:style w:type="paragraph" w:styleId="9">
    <w:name w:val="heading 8"/>
    <w:basedOn w:val="1"/>
    <w:next w:val="1"/>
    <w:link w:val="33"/>
    <w:uiPriority w:val="0"/>
    <w:pPr>
      <w:widowControl/>
      <w:spacing w:before="240" w:after="60"/>
      <w:jc w:val="left"/>
      <w:outlineLvl w:val="7"/>
    </w:pPr>
    <w:rPr>
      <w:i/>
      <w:iCs/>
      <w:sz w:val="24"/>
      <w:szCs w:val="24"/>
    </w:rPr>
  </w:style>
  <w:style w:type="paragraph" w:styleId="10">
    <w:name w:val="heading 9"/>
    <w:basedOn w:val="1"/>
    <w:next w:val="1"/>
    <w:link w:val="34"/>
    <w:uiPriority w:val="0"/>
    <w:pPr>
      <w:widowControl/>
      <w:spacing w:before="240" w:after="60"/>
      <w:jc w:val="left"/>
      <w:outlineLvl w:val="8"/>
    </w:pPr>
    <w:rPr>
      <w:rFonts w:ascii="Cambria" w:hAnsi="Cambria" w:eastAsia="宋体" w:cs="Cambria"/>
    </w:rPr>
  </w:style>
  <w:style w:type="character" w:default="1" w:styleId="16">
    <w:name w:val="Default Paragraph Font"/>
    <w:uiPriority w:val="0"/>
  </w:style>
  <w:style w:type="table" w:default="1" w:styleId="19">
    <w:name w:val="Normal Table"/>
    <w:semiHidden/>
    <w:uiPriority w:val="0"/>
    <w:tblPr>
      <w:tblLayout w:type="fixed"/>
      <w:tblCellMar>
        <w:top w:w="0" w:type="dxa"/>
        <w:left w:w="108" w:type="dxa"/>
        <w:bottom w:w="0" w:type="dxa"/>
        <w:right w:w="108" w:type="dxa"/>
      </w:tblCellMar>
    </w:tblPr>
  </w:style>
  <w:style w:type="paragraph" w:styleId="11">
    <w:name w:val="Block Text"/>
    <w:basedOn w:val="1"/>
    <w:next w:val="1"/>
    <w:link w:val="40"/>
    <w:uiPriority w:val="0"/>
    <w:pPr>
      <w:widowControl/>
      <w:jc w:val="left"/>
    </w:pPr>
    <w:rPr>
      <w:i/>
      <w:iCs/>
      <w:sz w:val="24"/>
      <w:szCs w:val="24"/>
    </w:rPr>
  </w:style>
  <w:style w:type="paragraph" w:styleId="12">
    <w:name w:val="footer"/>
    <w:basedOn w:val="1"/>
    <w:link w:val="36"/>
    <w:uiPriority w:val="0"/>
    <w:pPr>
      <w:tabs>
        <w:tab w:val="center" w:pos="4153"/>
        <w:tab w:val="right" w:pos="8306"/>
      </w:tabs>
      <w:snapToGrid w:val="0"/>
      <w:jc w:val="left"/>
    </w:pPr>
    <w:rPr>
      <w:rFonts w:ascii="Calibri" w:hAnsi="Calibri" w:eastAsia="宋体" w:cs="Calibri"/>
      <w:kern w:val="2"/>
      <w:sz w:val="18"/>
      <w:szCs w:val="18"/>
    </w:rPr>
  </w:style>
  <w:style w:type="paragraph" w:styleId="13">
    <w:name w:val="header"/>
    <w:basedOn w:val="1"/>
    <w:link w:val="37"/>
    <w:uiPriority w:val="0"/>
    <w:pPr>
      <w:pBdr>
        <w:bottom w:val="single" w:color="auto" w:sz="6" w:space="1"/>
      </w:pBdr>
      <w:tabs>
        <w:tab w:val="center" w:pos="4153"/>
        <w:tab w:val="right" w:pos="8306"/>
      </w:tabs>
      <w:snapToGrid w:val="0"/>
      <w:jc w:val="center"/>
    </w:pPr>
    <w:rPr>
      <w:rFonts w:ascii="Calibri" w:hAnsi="Calibri" w:eastAsia="宋体" w:cs="Calibri"/>
      <w:kern w:val="2"/>
      <w:sz w:val="18"/>
      <w:szCs w:val="18"/>
    </w:rPr>
  </w:style>
  <w:style w:type="paragraph" w:styleId="14">
    <w:name w:val="Subtitle"/>
    <w:basedOn w:val="1"/>
    <w:next w:val="1"/>
    <w:link w:val="38"/>
    <w:uiPriority w:val="0"/>
    <w:pPr>
      <w:widowControl/>
      <w:spacing w:after="60"/>
      <w:jc w:val="center"/>
      <w:outlineLvl w:val="1"/>
    </w:pPr>
    <w:rPr>
      <w:rFonts w:ascii="Cambria" w:hAnsi="Cambria" w:eastAsia="宋体" w:cs="Cambria"/>
      <w:sz w:val="24"/>
      <w:szCs w:val="24"/>
    </w:rPr>
  </w:style>
  <w:style w:type="paragraph" w:styleId="15">
    <w:name w:val="Title"/>
    <w:basedOn w:val="1"/>
    <w:next w:val="1"/>
    <w:link w:val="39"/>
    <w:uiPriority w:val="0"/>
    <w:pPr>
      <w:widowControl/>
      <w:spacing w:before="240" w:after="60"/>
      <w:jc w:val="center"/>
      <w:outlineLvl w:val="0"/>
    </w:pPr>
    <w:rPr>
      <w:rFonts w:ascii="Cambria" w:hAnsi="Cambria" w:eastAsia="宋体" w:cs="Cambria"/>
      <w:b/>
      <w:bCs/>
      <w:kern w:val="28"/>
      <w:sz w:val="32"/>
      <w:szCs w:val="32"/>
    </w:rPr>
  </w:style>
  <w:style w:type="character" w:styleId="17">
    <w:name w:val="Strong"/>
    <w:basedOn w:val="16"/>
    <w:uiPriority w:val="0"/>
    <w:rPr>
      <w:b/>
      <w:bCs/>
    </w:rPr>
  </w:style>
  <w:style w:type="character" w:styleId="18">
    <w:name w:val="Emphasis"/>
    <w:basedOn w:val="16"/>
    <w:uiPriority w:val="0"/>
    <w:rPr>
      <w:rFonts w:ascii="Calibri" w:hAnsi="Calibri" w:cs="Calibri"/>
      <w:b/>
      <w:bCs/>
      <w:i/>
      <w:iCs/>
    </w:rPr>
  </w:style>
  <w:style w:type="paragraph" w:customStyle="1" w:styleId="20">
    <w:name w:val="批注框文本1"/>
    <w:basedOn w:val="1"/>
    <w:link w:val="35"/>
    <w:uiPriority w:val="0"/>
    <w:rPr>
      <w:rFonts w:ascii="Times New Roman" w:hAnsi="Times New Roman" w:eastAsia="宋体" w:cs="Times New Roman"/>
      <w:kern w:val="2"/>
      <w:sz w:val="18"/>
      <w:szCs w:val="18"/>
    </w:rPr>
  </w:style>
  <w:style w:type="paragraph" w:customStyle="1" w:styleId="21">
    <w:name w:val="Normal (Web)"/>
    <w:basedOn w:val="1"/>
    <w:uiPriority w:val="0"/>
    <w:pPr>
      <w:widowControl/>
      <w:spacing w:before="100" w:beforeAutospacing="1" w:after="100" w:afterAutospacing="1"/>
      <w:jc w:val="left"/>
    </w:pPr>
    <w:rPr>
      <w:rFonts w:ascii="宋体" w:hAnsi="宋体" w:cs="宋体"/>
      <w:kern w:val="0"/>
      <w:sz w:val="24"/>
      <w:szCs w:val="24"/>
    </w:rPr>
  </w:style>
  <w:style w:type="paragraph" w:customStyle="1" w:styleId="22">
    <w:name w:val="No Spacing"/>
    <w:basedOn w:val="1"/>
    <w:uiPriority w:val="0"/>
    <w:pPr>
      <w:widowControl/>
      <w:jc w:val="left"/>
    </w:pPr>
    <w:rPr>
      <w:rFonts w:ascii="Calibri" w:hAnsi="Calibri" w:eastAsia="宋体" w:cs="Calibri"/>
      <w:kern w:val="0"/>
      <w:sz w:val="24"/>
      <w:szCs w:val="24"/>
      <w:lang w:val="en-US" w:eastAsia="en-US" w:bidi="ar-SA"/>
    </w:rPr>
  </w:style>
  <w:style w:type="paragraph" w:customStyle="1" w:styleId="23">
    <w:name w:val="List Paragraph"/>
    <w:basedOn w:val="1"/>
    <w:uiPriority w:val="0"/>
    <w:pPr>
      <w:widowControl/>
      <w:ind w:left="720"/>
      <w:jc w:val="left"/>
    </w:pPr>
    <w:rPr>
      <w:rFonts w:ascii="Calibri" w:hAnsi="Calibri" w:cs="Calibri"/>
      <w:kern w:val="0"/>
      <w:sz w:val="24"/>
      <w:szCs w:val="24"/>
      <w:lang w:eastAsia="en-US"/>
    </w:rPr>
  </w:style>
  <w:style w:type="paragraph" w:customStyle="1" w:styleId="24">
    <w:name w:val="Intense Quote"/>
    <w:basedOn w:val="1"/>
    <w:next w:val="1"/>
    <w:link w:val="41"/>
    <w:uiPriority w:val="0"/>
    <w:pPr>
      <w:widowControl/>
      <w:ind w:left="720" w:right="720"/>
      <w:jc w:val="left"/>
    </w:pPr>
    <w:rPr>
      <w:b/>
      <w:bCs/>
      <w:i/>
      <w:iCs/>
      <w:sz w:val="24"/>
      <w:szCs w:val="24"/>
    </w:rPr>
  </w:style>
  <w:style w:type="paragraph" w:customStyle="1" w:styleId="25">
    <w:name w:val="TOC Heading1"/>
    <w:basedOn w:val="2"/>
    <w:next w:val="1"/>
    <w:uiPriority w:val="0"/>
    <w:pPr>
      <w:outlineLvl w:val="9"/>
    </w:pPr>
    <w:rPr>
      <w:lang w:eastAsia="en-US"/>
    </w:rPr>
  </w:style>
  <w:style w:type="character" w:customStyle="1" w:styleId="26">
    <w:name w:val="Heading 1 Char"/>
    <w:basedOn w:val="16"/>
    <w:link w:val="2"/>
    <w:semiHidden/>
    <w:uiPriority w:val="0"/>
    <w:rPr>
      <w:rFonts w:ascii="Cambria" w:hAnsi="Cambria" w:eastAsia="宋体" w:cs="Cambria"/>
      <w:b/>
      <w:bCs/>
      <w:kern w:val="32"/>
      <w:sz w:val="32"/>
      <w:szCs w:val="32"/>
    </w:rPr>
  </w:style>
  <w:style w:type="character" w:customStyle="1" w:styleId="27">
    <w:name w:val="Heading 2 Char"/>
    <w:basedOn w:val="16"/>
    <w:link w:val="3"/>
    <w:semiHidden/>
    <w:uiPriority w:val="0"/>
    <w:rPr>
      <w:rFonts w:ascii="Cambria" w:hAnsi="Cambria" w:eastAsia="宋体" w:cs="Cambria"/>
      <w:b/>
      <w:bCs/>
      <w:i/>
      <w:iCs/>
      <w:sz w:val="28"/>
      <w:szCs w:val="28"/>
    </w:rPr>
  </w:style>
  <w:style w:type="character" w:customStyle="1" w:styleId="28">
    <w:name w:val="Heading 3 Char"/>
    <w:basedOn w:val="16"/>
    <w:link w:val="4"/>
    <w:semiHidden/>
    <w:uiPriority w:val="0"/>
    <w:rPr>
      <w:rFonts w:ascii="Cambria" w:hAnsi="Cambria" w:eastAsia="宋体" w:cs="Cambria"/>
      <w:b/>
      <w:bCs/>
      <w:sz w:val="26"/>
      <w:szCs w:val="26"/>
    </w:rPr>
  </w:style>
  <w:style w:type="character" w:customStyle="1" w:styleId="29">
    <w:name w:val="Heading 4 Char"/>
    <w:basedOn w:val="16"/>
    <w:link w:val="5"/>
    <w:semiHidden/>
    <w:uiPriority w:val="0"/>
    <w:rPr>
      <w:b/>
      <w:bCs/>
      <w:sz w:val="28"/>
      <w:szCs w:val="28"/>
    </w:rPr>
  </w:style>
  <w:style w:type="character" w:customStyle="1" w:styleId="30">
    <w:name w:val="Heading 5 Char"/>
    <w:basedOn w:val="16"/>
    <w:link w:val="6"/>
    <w:semiHidden/>
    <w:uiPriority w:val="0"/>
    <w:rPr>
      <w:b/>
      <w:bCs/>
      <w:i/>
      <w:iCs/>
      <w:sz w:val="26"/>
      <w:szCs w:val="26"/>
    </w:rPr>
  </w:style>
  <w:style w:type="character" w:customStyle="1" w:styleId="31">
    <w:name w:val="Heading 6 Char"/>
    <w:basedOn w:val="16"/>
    <w:link w:val="7"/>
    <w:semiHidden/>
    <w:uiPriority w:val="0"/>
    <w:rPr>
      <w:b/>
      <w:bCs/>
    </w:rPr>
  </w:style>
  <w:style w:type="character" w:customStyle="1" w:styleId="32">
    <w:name w:val="Heading 7 Char"/>
    <w:basedOn w:val="16"/>
    <w:link w:val="8"/>
    <w:semiHidden/>
    <w:uiPriority w:val="0"/>
    <w:rPr>
      <w:sz w:val="24"/>
      <w:szCs w:val="24"/>
    </w:rPr>
  </w:style>
  <w:style w:type="character" w:customStyle="1" w:styleId="33">
    <w:name w:val="Heading 8 Char"/>
    <w:basedOn w:val="16"/>
    <w:link w:val="9"/>
    <w:semiHidden/>
    <w:uiPriority w:val="0"/>
    <w:rPr>
      <w:i/>
      <w:iCs/>
      <w:sz w:val="24"/>
      <w:szCs w:val="24"/>
    </w:rPr>
  </w:style>
  <w:style w:type="character" w:customStyle="1" w:styleId="34">
    <w:name w:val="Heading 9 Char"/>
    <w:basedOn w:val="16"/>
    <w:link w:val="10"/>
    <w:semiHidden/>
    <w:uiPriority w:val="0"/>
    <w:rPr>
      <w:rFonts w:ascii="Cambria" w:hAnsi="Cambria" w:eastAsia="宋体" w:cs="Cambria"/>
    </w:rPr>
  </w:style>
  <w:style w:type="character" w:customStyle="1" w:styleId="35">
    <w:name w:val="Balloon Text Char"/>
    <w:basedOn w:val="16"/>
    <w:link w:val="20"/>
    <w:semiHidden/>
    <w:uiPriority w:val="0"/>
    <w:rPr>
      <w:rFonts w:ascii="Times New Roman" w:hAnsi="Times New Roman" w:eastAsia="宋体" w:cs="Times New Roman"/>
      <w:kern w:val="2"/>
      <w:sz w:val="18"/>
      <w:szCs w:val="18"/>
    </w:rPr>
  </w:style>
  <w:style w:type="character" w:customStyle="1" w:styleId="36">
    <w:name w:val="Footer Char"/>
    <w:basedOn w:val="16"/>
    <w:link w:val="12"/>
    <w:semiHidden/>
    <w:uiPriority w:val="0"/>
    <w:rPr>
      <w:rFonts w:ascii="Calibri" w:hAnsi="Calibri" w:eastAsia="宋体" w:cs="Calibri"/>
      <w:kern w:val="2"/>
      <w:sz w:val="18"/>
      <w:szCs w:val="18"/>
    </w:rPr>
  </w:style>
  <w:style w:type="character" w:customStyle="1" w:styleId="37">
    <w:name w:val="Header Char"/>
    <w:basedOn w:val="16"/>
    <w:link w:val="13"/>
    <w:semiHidden/>
    <w:uiPriority w:val="0"/>
    <w:rPr>
      <w:rFonts w:ascii="Calibri" w:hAnsi="Calibri" w:eastAsia="宋体" w:cs="Calibri"/>
      <w:kern w:val="2"/>
      <w:sz w:val="18"/>
      <w:szCs w:val="18"/>
    </w:rPr>
  </w:style>
  <w:style w:type="character" w:customStyle="1" w:styleId="38">
    <w:name w:val="Subtitle Char"/>
    <w:basedOn w:val="16"/>
    <w:link w:val="14"/>
    <w:semiHidden/>
    <w:uiPriority w:val="0"/>
    <w:rPr>
      <w:rFonts w:ascii="Cambria" w:hAnsi="Cambria" w:eastAsia="宋体" w:cs="Cambria"/>
      <w:sz w:val="24"/>
      <w:szCs w:val="24"/>
    </w:rPr>
  </w:style>
  <w:style w:type="character" w:customStyle="1" w:styleId="39">
    <w:name w:val="Title Char"/>
    <w:basedOn w:val="16"/>
    <w:link w:val="15"/>
    <w:semiHidden/>
    <w:uiPriority w:val="0"/>
    <w:rPr>
      <w:rFonts w:ascii="Cambria" w:hAnsi="Cambria" w:eastAsia="宋体" w:cs="Cambria"/>
      <w:b/>
      <w:bCs/>
      <w:kern w:val="28"/>
      <w:sz w:val="32"/>
      <w:szCs w:val="32"/>
    </w:rPr>
  </w:style>
  <w:style w:type="character" w:customStyle="1" w:styleId="40">
    <w:name w:val="Quote Char"/>
    <w:basedOn w:val="16"/>
    <w:link w:val="11"/>
    <w:semiHidden/>
    <w:uiPriority w:val="0"/>
    <w:rPr>
      <w:i/>
      <w:iCs/>
      <w:sz w:val="24"/>
      <w:szCs w:val="24"/>
    </w:rPr>
  </w:style>
  <w:style w:type="character" w:customStyle="1" w:styleId="41">
    <w:name w:val="Intense Quote Char Char"/>
    <w:basedOn w:val="16"/>
    <w:link w:val="24"/>
    <w:semiHidden/>
    <w:uiPriority w:val="0"/>
    <w:rPr>
      <w:b/>
      <w:bCs/>
      <w:i/>
      <w:iCs/>
      <w:sz w:val="24"/>
      <w:szCs w:val="24"/>
    </w:rPr>
  </w:style>
  <w:style w:type="character" w:customStyle="1" w:styleId="42">
    <w:name w:val="Subtle Emphasis1"/>
    <w:uiPriority w:val="0"/>
    <w:rPr>
      <w:i/>
      <w:iCs/>
      <w:color w:val="auto"/>
    </w:rPr>
  </w:style>
  <w:style w:type="character" w:customStyle="1" w:styleId="43">
    <w:name w:val="Intense Emphasis1"/>
    <w:basedOn w:val="16"/>
    <w:uiPriority w:val="0"/>
    <w:rPr>
      <w:b/>
      <w:bCs/>
      <w:i/>
      <w:iCs/>
      <w:sz w:val="24"/>
      <w:szCs w:val="24"/>
      <w:u w:val="single"/>
    </w:rPr>
  </w:style>
  <w:style w:type="character" w:customStyle="1" w:styleId="44">
    <w:name w:val="Subtle Reference1"/>
    <w:basedOn w:val="16"/>
    <w:uiPriority w:val="0"/>
    <w:rPr>
      <w:sz w:val="24"/>
      <w:szCs w:val="24"/>
      <w:u w:val="single"/>
    </w:rPr>
  </w:style>
  <w:style w:type="character" w:customStyle="1" w:styleId="45">
    <w:name w:val="Intense Reference1"/>
    <w:basedOn w:val="16"/>
    <w:uiPriority w:val="0"/>
    <w:rPr>
      <w:b/>
      <w:bCs/>
      <w:sz w:val="24"/>
      <w:szCs w:val="24"/>
      <w:u w:val="single"/>
    </w:rPr>
  </w:style>
  <w:style w:type="character" w:customStyle="1" w:styleId="46">
    <w:name w:val="Book Title1"/>
    <w:basedOn w:val="16"/>
    <w:uiPriority w:val="0"/>
    <w:rPr>
      <w:rFonts w:ascii="Cambria" w:hAnsi="Cambria" w:eastAsia="宋体" w:cs="Cambria"/>
      <w:b/>
      <w:bCs/>
      <w:i/>
      <w:iCs/>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http://www.windows89.com</Company>
  <Pages>8</Pages>
  <Words>483</Words>
  <Characters>2754</Characters>
  <Lines>0</Lines>
  <Paragraphs>0</Paragraphs>
  <TotalTime>2</TotalTime>
  <ScaleCrop>false</ScaleCrop>
  <LinksUpToDate>false</LinksUpToDate>
  <CharactersWithSpaces>0</CharactersWithSpaces>
  <Application>WPS Office_11.1.0.7932_F1E327BC-269C-435d-A152-05C5408002CA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2018-08-15T10:06:00Z</dcterms:created>
  <dc:creator>赵 恺（预算处）</dc:creator>
  <cp:lastModifiedBy>1</cp:lastModifiedBy>
  <cp:lastPrinted>2018-12-31T18:56:00Z</cp:lastPrinted>
  <dcterms:modified xsi:type="dcterms:W3CDTF">2019-11-19T14:46:16Z</dcterms:modified>
  <dc:title>雨林木风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2052-11.1.0.7932</vt:lpwstr>
  </property>
</Properties>
</file>