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304" w:rsidRDefault="00C60838">
      <w:pPr>
        <w:spacing w:line="540" w:lineRule="exact"/>
        <w:jc w:val="left"/>
        <w:rPr>
          <w:rFonts w:asciiTheme="majorEastAsia" w:eastAsiaTheme="majorEastAsia" w:hAnsiTheme="majorEastAsia" w:cs="宋体"/>
          <w:kern w:val="0"/>
          <w:sz w:val="32"/>
          <w:szCs w:val="32"/>
        </w:rPr>
      </w:pPr>
      <w:r>
        <w:rPr>
          <w:rFonts w:asciiTheme="majorEastAsia" w:eastAsiaTheme="majorEastAsia" w:hAnsiTheme="majorEastAsia" w:cs="宋体" w:hint="eastAsia"/>
          <w:kern w:val="0"/>
          <w:sz w:val="32"/>
          <w:szCs w:val="32"/>
        </w:rPr>
        <w:t>附件</w:t>
      </w:r>
      <w:r>
        <w:rPr>
          <w:rFonts w:asciiTheme="majorEastAsia" w:eastAsiaTheme="majorEastAsia" w:hAnsiTheme="majorEastAsia" w:cs="宋体" w:hint="eastAsia"/>
          <w:kern w:val="0"/>
          <w:sz w:val="32"/>
          <w:szCs w:val="32"/>
        </w:rPr>
        <w:t>2</w:t>
      </w:r>
      <w:r>
        <w:rPr>
          <w:rFonts w:asciiTheme="majorEastAsia" w:eastAsiaTheme="majorEastAsia" w:hAnsiTheme="majorEastAsia" w:cs="宋体" w:hint="eastAsia"/>
          <w:kern w:val="0"/>
          <w:sz w:val="32"/>
          <w:szCs w:val="32"/>
        </w:rPr>
        <w:t>：</w:t>
      </w:r>
    </w:p>
    <w:p w:rsidR="00056304" w:rsidRDefault="00056304">
      <w:pPr>
        <w:spacing w:line="540" w:lineRule="exact"/>
        <w:jc w:val="center"/>
        <w:rPr>
          <w:rFonts w:asciiTheme="majorEastAsia" w:eastAsiaTheme="majorEastAsia" w:hAnsiTheme="majorEastAsia" w:cs="宋体"/>
          <w:b/>
          <w:kern w:val="0"/>
          <w:sz w:val="52"/>
          <w:szCs w:val="52"/>
        </w:rPr>
      </w:pPr>
    </w:p>
    <w:p w:rsidR="00056304" w:rsidRDefault="00056304">
      <w:pPr>
        <w:spacing w:line="540" w:lineRule="exact"/>
        <w:jc w:val="center"/>
        <w:rPr>
          <w:rFonts w:asciiTheme="majorEastAsia" w:eastAsiaTheme="majorEastAsia" w:hAnsiTheme="majorEastAsia" w:cs="宋体"/>
          <w:b/>
          <w:kern w:val="0"/>
          <w:sz w:val="52"/>
          <w:szCs w:val="52"/>
        </w:rPr>
      </w:pPr>
    </w:p>
    <w:p w:rsidR="00056304" w:rsidRDefault="00056304">
      <w:pPr>
        <w:spacing w:line="540" w:lineRule="exact"/>
        <w:jc w:val="center"/>
        <w:rPr>
          <w:rFonts w:asciiTheme="majorEastAsia" w:eastAsiaTheme="majorEastAsia" w:hAnsiTheme="majorEastAsia" w:cs="宋体"/>
          <w:b/>
          <w:kern w:val="0"/>
          <w:sz w:val="52"/>
          <w:szCs w:val="52"/>
        </w:rPr>
      </w:pPr>
    </w:p>
    <w:p w:rsidR="00056304" w:rsidRDefault="00056304">
      <w:pPr>
        <w:spacing w:line="540" w:lineRule="exact"/>
        <w:jc w:val="center"/>
        <w:rPr>
          <w:rFonts w:asciiTheme="majorEastAsia" w:eastAsiaTheme="majorEastAsia" w:hAnsiTheme="majorEastAsia" w:cs="宋体"/>
          <w:b/>
          <w:kern w:val="0"/>
          <w:sz w:val="52"/>
          <w:szCs w:val="52"/>
        </w:rPr>
      </w:pPr>
    </w:p>
    <w:p w:rsidR="00056304" w:rsidRDefault="00056304">
      <w:pPr>
        <w:spacing w:line="540" w:lineRule="exact"/>
        <w:jc w:val="center"/>
        <w:rPr>
          <w:rFonts w:asciiTheme="majorEastAsia" w:eastAsiaTheme="majorEastAsia" w:hAnsiTheme="majorEastAsia" w:cs="宋体"/>
          <w:b/>
          <w:kern w:val="0"/>
          <w:sz w:val="52"/>
          <w:szCs w:val="52"/>
        </w:rPr>
      </w:pPr>
    </w:p>
    <w:p w:rsidR="00056304" w:rsidRDefault="00056304">
      <w:pPr>
        <w:spacing w:line="540" w:lineRule="exact"/>
        <w:jc w:val="center"/>
        <w:rPr>
          <w:rFonts w:asciiTheme="majorEastAsia" w:eastAsiaTheme="majorEastAsia" w:hAnsiTheme="majorEastAsia" w:cs="宋体"/>
          <w:b/>
          <w:kern w:val="0"/>
          <w:sz w:val="52"/>
          <w:szCs w:val="52"/>
        </w:rPr>
      </w:pPr>
    </w:p>
    <w:p w:rsidR="00056304" w:rsidRDefault="00C60838">
      <w:pPr>
        <w:spacing w:line="540" w:lineRule="exact"/>
        <w:jc w:val="center"/>
        <w:rPr>
          <w:rFonts w:asciiTheme="majorEastAsia" w:eastAsiaTheme="majorEastAsia" w:hAnsiTheme="majorEastAsia" w:cs="宋体"/>
          <w:b/>
          <w:kern w:val="0"/>
          <w:sz w:val="48"/>
          <w:szCs w:val="48"/>
        </w:rPr>
      </w:pPr>
      <w:r>
        <w:rPr>
          <w:rFonts w:asciiTheme="majorEastAsia" w:eastAsiaTheme="majorEastAsia" w:hAnsiTheme="majorEastAsia" w:cs="宋体" w:hint="eastAsia"/>
          <w:b/>
          <w:kern w:val="0"/>
          <w:sz w:val="48"/>
          <w:szCs w:val="48"/>
          <w:u w:val="single"/>
        </w:rPr>
        <w:t>巴州</w:t>
      </w:r>
      <w:r>
        <w:rPr>
          <w:rFonts w:asciiTheme="majorEastAsia" w:eastAsiaTheme="majorEastAsia" w:hAnsiTheme="majorEastAsia" w:cs="宋体" w:hint="eastAsia"/>
          <w:b/>
          <w:kern w:val="0"/>
          <w:sz w:val="48"/>
          <w:szCs w:val="48"/>
        </w:rPr>
        <w:t>财政项目支出绩效自评报告</w:t>
      </w:r>
    </w:p>
    <w:p w:rsidR="00056304" w:rsidRDefault="00056304">
      <w:pPr>
        <w:spacing w:line="540" w:lineRule="exact"/>
        <w:jc w:val="center"/>
        <w:rPr>
          <w:rFonts w:asciiTheme="majorEastAsia" w:eastAsiaTheme="majorEastAsia" w:hAnsiTheme="majorEastAsia" w:cs="宋体"/>
          <w:b/>
          <w:kern w:val="0"/>
          <w:sz w:val="52"/>
          <w:szCs w:val="52"/>
        </w:rPr>
      </w:pPr>
    </w:p>
    <w:p w:rsidR="00056304" w:rsidRDefault="00C60838">
      <w:pPr>
        <w:spacing w:line="540" w:lineRule="exact"/>
        <w:jc w:val="center"/>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w:t>
      </w:r>
      <w:r>
        <w:rPr>
          <w:rFonts w:asciiTheme="majorEastAsia" w:eastAsiaTheme="majorEastAsia" w:hAnsiTheme="majorEastAsia" w:cs="宋体" w:hint="eastAsia"/>
          <w:kern w:val="0"/>
          <w:sz w:val="36"/>
          <w:szCs w:val="36"/>
        </w:rPr>
        <w:t>2018</w:t>
      </w:r>
      <w:r>
        <w:rPr>
          <w:rFonts w:asciiTheme="majorEastAsia" w:eastAsiaTheme="majorEastAsia" w:hAnsiTheme="majorEastAsia" w:cs="宋体" w:hint="eastAsia"/>
          <w:kern w:val="0"/>
          <w:sz w:val="36"/>
          <w:szCs w:val="36"/>
        </w:rPr>
        <w:t>年度）</w:t>
      </w:r>
    </w:p>
    <w:p w:rsidR="00056304" w:rsidRDefault="00056304">
      <w:pPr>
        <w:spacing w:line="540" w:lineRule="exact"/>
        <w:jc w:val="center"/>
        <w:rPr>
          <w:rFonts w:asciiTheme="majorEastAsia" w:eastAsiaTheme="majorEastAsia" w:hAnsiTheme="majorEastAsia" w:cs="宋体"/>
          <w:kern w:val="0"/>
          <w:sz w:val="30"/>
          <w:szCs w:val="30"/>
        </w:rPr>
      </w:pPr>
    </w:p>
    <w:p w:rsidR="00056304" w:rsidRDefault="00056304">
      <w:pPr>
        <w:spacing w:line="540" w:lineRule="exact"/>
        <w:jc w:val="center"/>
        <w:rPr>
          <w:rFonts w:asciiTheme="majorEastAsia" w:eastAsiaTheme="majorEastAsia" w:hAnsiTheme="majorEastAsia" w:cs="宋体"/>
          <w:kern w:val="0"/>
          <w:sz w:val="30"/>
          <w:szCs w:val="30"/>
        </w:rPr>
      </w:pPr>
    </w:p>
    <w:p w:rsidR="00056304" w:rsidRDefault="00056304">
      <w:pPr>
        <w:spacing w:line="540" w:lineRule="exact"/>
        <w:jc w:val="center"/>
        <w:rPr>
          <w:rFonts w:asciiTheme="majorEastAsia" w:eastAsiaTheme="majorEastAsia" w:hAnsiTheme="majorEastAsia" w:cs="宋体" w:hint="eastAsia"/>
          <w:kern w:val="0"/>
          <w:sz w:val="36"/>
          <w:szCs w:val="36"/>
        </w:rPr>
      </w:pPr>
    </w:p>
    <w:p w:rsidR="00C60838" w:rsidRDefault="00C60838">
      <w:pPr>
        <w:spacing w:line="540" w:lineRule="exact"/>
        <w:jc w:val="center"/>
        <w:rPr>
          <w:rFonts w:asciiTheme="majorEastAsia" w:eastAsiaTheme="majorEastAsia" w:hAnsiTheme="majorEastAsia" w:cs="宋体"/>
          <w:kern w:val="0"/>
          <w:sz w:val="30"/>
          <w:szCs w:val="30"/>
        </w:rPr>
      </w:pPr>
    </w:p>
    <w:p w:rsidR="00056304" w:rsidRDefault="00056304">
      <w:pPr>
        <w:spacing w:line="540" w:lineRule="exact"/>
        <w:jc w:val="center"/>
        <w:rPr>
          <w:rFonts w:asciiTheme="majorEastAsia" w:eastAsiaTheme="majorEastAsia" w:hAnsiTheme="majorEastAsia" w:cs="宋体"/>
          <w:kern w:val="0"/>
          <w:sz w:val="30"/>
          <w:szCs w:val="30"/>
        </w:rPr>
      </w:pPr>
    </w:p>
    <w:p w:rsidR="00056304" w:rsidRDefault="00056304">
      <w:pPr>
        <w:spacing w:line="540" w:lineRule="exact"/>
        <w:jc w:val="center"/>
        <w:rPr>
          <w:rFonts w:asciiTheme="majorEastAsia" w:eastAsiaTheme="majorEastAsia" w:hAnsiTheme="majorEastAsia" w:cs="宋体"/>
          <w:kern w:val="0"/>
          <w:sz w:val="30"/>
          <w:szCs w:val="30"/>
        </w:rPr>
      </w:pPr>
    </w:p>
    <w:p w:rsidR="00056304" w:rsidRDefault="00056304">
      <w:pPr>
        <w:spacing w:line="540" w:lineRule="exact"/>
        <w:rPr>
          <w:rFonts w:asciiTheme="majorEastAsia" w:eastAsiaTheme="majorEastAsia" w:hAnsiTheme="majorEastAsia" w:cs="宋体"/>
          <w:kern w:val="0"/>
          <w:sz w:val="30"/>
          <w:szCs w:val="30"/>
        </w:rPr>
      </w:pPr>
    </w:p>
    <w:p w:rsidR="003B2384" w:rsidRDefault="00C60838">
      <w:pPr>
        <w:spacing w:line="700" w:lineRule="exact"/>
        <w:jc w:val="left"/>
        <w:rPr>
          <w:rFonts w:asciiTheme="majorEastAsia" w:eastAsiaTheme="majorEastAsia" w:hAnsiTheme="majorEastAsia" w:cs="宋体" w:hint="eastAsia"/>
          <w:kern w:val="0"/>
          <w:sz w:val="36"/>
          <w:szCs w:val="36"/>
        </w:rPr>
      </w:pPr>
      <w:r>
        <w:rPr>
          <w:rFonts w:asciiTheme="majorEastAsia" w:eastAsiaTheme="majorEastAsia" w:hAnsiTheme="majorEastAsia" w:cs="宋体" w:hint="eastAsia"/>
          <w:kern w:val="0"/>
          <w:sz w:val="36"/>
          <w:szCs w:val="36"/>
        </w:rPr>
        <w:t>项目名称：</w:t>
      </w:r>
      <w:r w:rsidR="003B2384" w:rsidRPr="003B2384">
        <w:rPr>
          <w:rFonts w:asciiTheme="majorEastAsia" w:eastAsiaTheme="majorEastAsia" w:hAnsiTheme="majorEastAsia" w:cs="宋体" w:hint="eastAsia"/>
          <w:kern w:val="0"/>
          <w:sz w:val="36"/>
          <w:szCs w:val="36"/>
        </w:rPr>
        <w:t>计划生育相关支出</w:t>
      </w:r>
    </w:p>
    <w:p w:rsidR="00056304" w:rsidRDefault="00C60838">
      <w:pPr>
        <w:spacing w:line="700" w:lineRule="exact"/>
        <w:jc w:val="left"/>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实施单位（公章）：巴州卫计委</w:t>
      </w:r>
    </w:p>
    <w:p w:rsidR="00056304" w:rsidRDefault="00C60838">
      <w:pPr>
        <w:spacing w:line="700" w:lineRule="exact"/>
        <w:jc w:val="left"/>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主管部门（公章）：巴州卫计委</w:t>
      </w:r>
    </w:p>
    <w:p w:rsidR="00056304" w:rsidRDefault="00C60838">
      <w:pPr>
        <w:spacing w:line="700" w:lineRule="exact"/>
        <w:jc w:val="left"/>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项目负责人（签章）：</w:t>
      </w:r>
    </w:p>
    <w:p w:rsidR="00056304" w:rsidRDefault="00C60838">
      <w:pPr>
        <w:spacing w:line="700" w:lineRule="exact"/>
        <w:jc w:val="left"/>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填报时间：</w:t>
      </w:r>
      <w:r>
        <w:rPr>
          <w:rFonts w:asciiTheme="majorEastAsia" w:eastAsiaTheme="majorEastAsia" w:hAnsiTheme="majorEastAsia" w:cs="宋体" w:hint="eastAsia"/>
          <w:kern w:val="0"/>
          <w:sz w:val="36"/>
          <w:szCs w:val="36"/>
        </w:rPr>
        <w:t>2019</w:t>
      </w:r>
      <w:r>
        <w:rPr>
          <w:rFonts w:asciiTheme="majorEastAsia" w:eastAsiaTheme="majorEastAsia" w:hAnsiTheme="majorEastAsia" w:cs="宋体" w:hint="eastAsia"/>
          <w:kern w:val="0"/>
          <w:sz w:val="36"/>
          <w:szCs w:val="36"/>
        </w:rPr>
        <w:t>年</w:t>
      </w:r>
      <w:r>
        <w:rPr>
          <w:rFonts w:asciiTheme="majorEastAsia" w:eastAsiaTheme="majorEastAsia" w:hAnsiTheme="majorEastAsia" w:cs="宋体" w:hint="eastAsia"/>
          <w:kern w:val="0"/>
          <w:sz w:val="36"/>
          <w:szCs w:val="36"/>
        </w:rPr>
        <w:t>1</w:t>
      </w:r>
      <w:r>
        <w:rPr>
          <w:rFonts w:asciiTheme="majorEastAsia" w:eastAsiaTheme="majorEastAsia" w:hAnsiTheme="majorEastAsia" w:cs="宋体" w:hint="eastAsia"/>
          <w:kern w:val="0"/>
          <w:sz w:val="36"/>
          <w:szCs w:val="36"/>
        </w:rPr>
        <w:t>月</w:t>
      </w:r>
      <w:r>
        <w:rPr>
          <w:rFonts w:asciiTheme="majorEastAsia" w:eastAsiaTheme="majorEastAsia" w:hAnsiTheme="majorEastAsia" w:cs="宋体" w:hint="eastAsia"/>
          <w:kern w:val="0"/>
          <w:sz w:val="36"/>
          <w:szCs w:val="36"/>
        </w:rPr>
        <w:t>25</w:t>
      </w:r>
      <w:r>
        <w:rPr>
          <w:rFonts w:asciiTheme="majorEastAsia" w:eastAsiaTheme="majorEastAsia" w:hAnsiTheme="majorEastAsia" w:cs="宋体" w:hint="eastAsia"/>
          <w:kern w:val="0"/>
          <w:sz w:val="36"/>
          <w:szCs w:val="36"/>
        </w:rPr>
        <w:t>日</w:t>
      </w:r>
    </w:p>
    <w:p w:rsidR="00056304" w:rsidRDefault="00056304">
      <w:pPr>
        <w:spacing w:line="540" w:lineRule="exact"/>
        <w:jc w:val="center"/>
        <w:rPr>
          <w:rFonts w:asciiTheme="majorEastAsia" w:eastAsiaTheme="majorEastAsia" w:hAnsiTheme="majorEastAsia" w:cs="宋体"/>
          <w:kern w:val="0"/>
          <w:sz w:val="30"/>
          <w:szCs w:val="30"/>
        </w:rPr>
      </w:pPr>
    </w:p>
    <w:p w:rsidR="00056304" w:rsidRDefault="00056304">
      <w:pPr>
        <w:spacing w:line="540" w:lineRule="exact"/>
        <w:rPr>
          <w:rStyle w:val="a8"/>
          <w:rFonts w:asciiTheme="majorEastAsia" w:eastAsiaTheme="majorEastAsia" w:hAnsiTheme="majorEastAsia"/>
          <w:b w:val="0"/>
          <w:spacing w:val="-4"/>
          <w:sz w:val="32"/>
          <w:szCs w:val="32"/>
        </w:rPr>
      </w:pPr>
    </w:p>
    <w:p w:rsidR="00056304" w:rsidRDefault="00C60838">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lastRenderedPageBreak/>
        <w:t>一、项目概况</w:t>
      </w:r>
    </w:p>
    <w:p w:rsidR="00056304" w:rsidRDefault="00C60838">
      <w:pPr>
        <w:spacing w:line="540" w:lineRule="exact"/>
        <w:ind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（一）项目单位基本情况</w:t>
      </w:r>
    </w:p>
    <w:p w:rsidR="00056304" w:rsidRDefault="00C60838">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单位职能</w:t>
      </w:r>
    </w:p>
    <w:p w:rsidR="00056304" w:rsidRDefault="00C60838">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w:t>
      </w:r>
      <w:r>
        <w:rPr>
          <w:rFonts w:asciiTheme="majorEastAsia" w:eastAsiaTheme="majorEastAsia" w:hAnsiTheme="majorEastAsia" w:hint="eastAsia"/>
          <w:sz w:val="28"/>
          <w:szCs w:val="28"/>
        </w:rPr>
        <w:t>、贯彻执行国家和自治区关于卫生和计划生育工作的法律法规、方针政策、地方标准及技术规范，拟订自治州卫生和计划生育事业发展规划。配合推进医药卫生体制改革和医疗保障，统筹规划全州卫生和计划生育服务资源配置，指导全州卫生和计划生育规划的编制与实施。</w:t>
      </w:r>
    </w:p>
    <w:p w:rsidR="00056304" w:rsidRDefault="00C60838">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2</w:t>
      </w:r>
      <w:r>
        <w:rPr>
          <w:rFonts w:asciiTheme="majorEastAsia" w:eastAsiaTheme="majorEastAsia" w:hAnsiTheme="majorEastAsia" w:hint="eastAsia"/>
          <w:sz w:val="28"/>
          <w:szCs w:val="28"/>
        </w:rPr>
        <w:t>、负责制定全州疾病预防控制规划、免疫规划、严重危害人民健康的公共卫生问题的干预措施并组织实施；制定全州卫生应急和紧急医学救援预案、突发公共卫生事件监测和风险评估计划，组织、指导全州突发公共卫生事件预防控制和各类突发公共事件的医疗卫生救援；根据授权发布法定报告传染病疫</w:t>
      </w:r>
      <w:r>
        <w:rPr>
          <w:rFonts w:asciiTheme="majorEastAsia" w:eastAsiaTheme="majorEastAsia" w:hAnsiTheme="majorEastAsia" w:hint="eastAsia"/>
          <w:sz w:val="28"/>
          <w:szCs w:val="28"/>
        </w:rPr>
        <w:t>情信息、突发公共卫生事件应急处置信息。承担自治州重要会议、重大活动的医疗卫生保障工作。</w:t>
      </w:r>
    </w:p>
    <w:p w:rsidR="00056304" w:rsidRDefault="00C60838">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3</w:t>
      </w:r>
      <w:r>
        <w:rPr>
          <w:rFonts w:asciiTheme="majorEastAsia" w:eastAsiaTheme="majorEastAsia" w:hAnsiTheme="majorEastAsia" w:hint="eastAsia"/>
          <w:sz w:val="28"/>
          <w:szCs w:val="28"/>
        </w:rPr>
        <w:t>、负责职责范围内的职业卫生、放射卫生、环境卫生、学校卫生、公共场所卫生、饮用水卫生管理，组织开展相关监测、调查、评估和监督；负责传染病防治监督；组织开展食品安全风险监测、评估和食品安全企业标准备案。</w:t>
      </w:r>
    </w:p>
    <w:p w:rsidR="00056304" w:rsidRDefault="00C60838">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4</w:t>
      </w:r>
      <w:r>
        <w:rPr>
          <w:rFonts w:asciiTheme="majorEastAsia" w:eastAsiaTheme="majorEastAsia" w:hAnsiTheme="majorEastAsia" w:hint="eastAsia"/>
          <w:sz w:val="28"/>
          <w:szCs w:val="28"/>
        </w:rPr>
        <w:t>、负责拟订并实施基层卫生和计划生育服务、妇幼卫生发展规划和政策措施，指导基层卫生和计划生育、妇幼卫生服务体系建设，推进基本公共卫生和计划生育服务均等化，完善基层运行新机制和乡村、社区医生、计划生育专干管理制度。</w:t>
      </w:r>
    </w:p>
    <w:p w:rsidR="00056304" w:rsidRDefault="00C60838">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5</w:t>
      </w:r>
      <w:r>
        <w:rPr>
          <w:rFonts w:asciiTheme="majorEastAsia" w:eastAsiaTheme="majorEastAsia" w:hAnsiTheme="majorEastAsia" w:hint="eastAsia"/>
          <w:sz w:val="28"/>
          <w:szCs w:val="28"/>
        </w:rPr>
        <w:t>、负责</w:t>
      </w:r>
      <w:r>
        <w:rPr>
          <w:rFonts w:asciiTheme="majorEastAsia" w:eastAsiaTheme="majorEastAsia" w:hAnsiTheme="majorEastAsia" w:hint="eastAsia"/>
          <w:sz w:val="28"/>
          <w:szCs w:val="28"/>
        </w:rPr>
        <w:t>制定并监督实施全州医疗机构和医疗服务全行业管理办法。组织实施医疗机构及其医疗服务、医疗技术、医疗质量、医疗安全以及采供血机构管理规范和标准，会同有关部门贯彻执行国家卫生专业技术人员准入资格标准，组织实施卫生专业技术人员执业规则与服务规范，建立医疗服务评价和监督管理体系。</w:t>
      </w:r>
    </w:p>
    <w:p w:rsidR="00056304" w:rsidRDefault="00C60838">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6</w:t>
      </w:r>
      <w:r>
        <w:rPr>
          <w:rFonts w:asciiTheme="majorEastAsia" w:eastAsiaTheme="majorEastAsia" w:hAnsiTheme="majorEastAsia" w:hint="eastAsia"/>
          <w:sz w:val="28"/>
          <w:szCs w:val="28"/>
        </w:rPr>
        <w:t>、负责组织推进公立医院改革，建设和谐医患关系，提出医疗服务和药品价格政策的建议。</w:t>
      </w:r>
    </w:p>
    <w:p w:rsidR="00056304" w:rsidRDefault="00C60838">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7</w:t>
      </w:r>
      <w:r>
        <w:rPr>
          <w:rFonts w:asciiTheme="majorEastAsia" w:eastAsiaTheme="majorEastAsia" w:hAnsiTheme="majorEastAsia" w:hint="eastAsia"/>
          <w:sz w:val="28"/>
          <w:szCs w:val="28"/>
        </w:rPr>
        <w:t>、贯彻落实国家、自治区药物政策和基本药物制度，执行国家药品法典和国家基本药物目录，组织实施基本药物遴选、采购、配送、使用的政策措施，会同有关部门研究提出基</w:t>
      </w:r>
      <w:r>
        <w:rPr>
          <w:rFonts w:asciiTheme="majorEastAsia" w:eastAsiaTheme="majorEastAsia" w:hAnsiTheme="majorEastAsia" w:hint="eastAsia"/>
          <w:sz w:val="28"/>
          <w:szCs w:val="28"/>
        </w:rPr>
        <w:t>本药物目录内药品生产的鼓励</w:t>
      </w:r>
      <w:r>
        <w:rPr>
          <w:rFonts w:asciiTheme="majorEastAsia" w:eastAsiaTheme="majorEastAsia" w:hAnsiTheme="majorEastAsia" w:hint="eastAsia"/>
          <w:sz w:val="28"/>
          <w:szCs w:val="28"/>
        </w:rPr>
        <w:lastRenderedPageBreak/>
        <w:t>扶持政策、基本药物价格政策的建议。指导医疗机构药物临床应用及安全监管工作；配合有关部门，调查处理药品不良反应、医疗器械不良事件和药害事件。</w:t>
      </w:r>
    </w:p>
    <w:p w:rsidR="00056304" w:rsidRDefault="00C60838">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8</w:t>
      </w:r>
      <w:r>
        <w:rPr>
          <w:rFonts w:asciiTheme="majorEastAsia" w:eastAsiaTheme="majorEastAsia" w:hAnsiTheme="majorEastAsia" w:hint="eastAsia"/>
          <w:sz w:val="28"/>
          <w:szCs w:val="28"/>
        </w:rPr>
        <w:t>、研究和完善全州计划生育目标管理责任制考核工作，组织实施计划生育目标管理责任制考核、经常性检查及年终考核，组织实施卫生和计划生育国家、自治区、自治州项目实施情况的绩效考核。统筹管理本系统各类资金，负责本系统及财务直管单位预算决算、资产和内部审计工作。</w:t>
      </w:r>
    </w:p>
    <w:p w:rsidR="00056304" w:rsidRDefault="00C60838">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9</w:t>
      </w:r>
      <w:r>
        <w:rPr>
          <w:rFonts w:asciiTheme="majorEastAsia" w:eastAsiaTheme="majorEastAsia" w:hAnsiTheme="majorEastAsia" w:hint="eastAsia"/>
          <w:sz w:val="28"/>
          <w:szCs w:val="28"/>
        </w:rPr>
        <w:t>、贯彻落实国家、自治区生育政策，组织实施促进出生人口性别平衡的政策措施，组织监测计划生育发</w:t>
      </w:r>
      <w:r>
        <w:rPr>
          <w:rFonts w:asciiTheme="majorEastAsia" w:eastAsiaTheme="majorEastAsia" w:hAnsiTheme="majorEastAsia" w:hint="eastAsia"/>
          <w:sz w:val="28"/>
          <w:szCs w:val="28"/>
        </w:rPr>
        <w:t>展动态，提出发布计划生育安全预警预报信息建议；监督实施计划生育技术服务管理制度和优生优育、提高出生人口素质的政策措施，组织实施计划生育生殖健康促进工作，降低出生缺陷人口数量。</w:t>
      </w:r>
    </w:p>
    <w:p w:rsidR="00056304" w:rsidRDefault="00C60838">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10</w:t>
      </w:r>
      <w:r>
        <w:rPr>
          <w:rFonts w:asciiTheme="majorEastAsia" w:eastAsiaTheme="majorEastAsia" w:hAnsiTheme="majorEastAsia" w:hint="eastAsia"/>
          <w:sz w:val="28"/>
          <w:szCs w:val="28"/>
        </w:rPr>
        <w:t>、组织建立计划生育利益导向、计划生育特殊困难家庭扶助和促进计划生育家庭发展等机制。负责协调推进有关部门、群众团体履行计划生育工作相关职责，建立与经济社会发展政策的衔接机制，提出稳定低生育水平政策措施。</w:t>
      </w:r>
    </w:p>
    <w:p w:rsidR="00056304" w:rsidRDefault="00C60838">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11</w:t>
      </w:r>
      <w:r>
        <w:rPr>
          <w:rFonts w:asciiTheme="majorEastAsia" w:eastAsiaTheme="majorEastAsia" w:hAnsiTheme="majorEastAsia" w:hint="eastAsia"/>
          <w:sz w:val="28"/>
          <w:szCs w:val="28"/>
        </w:rPr>
        <w:t>、组织落实流动人口卫生和计划生育服务管理制度，推动建立流动人口卫生和计划生育信息共享与公共服务工作机制。</w:t>
      </w:r>
    </w:p>
    <w:p w:rsidR="00056304" w:rsidRDefault="00C60838">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12</w:t>
      </w:r>
      <w:r>
        <w:rPr>
          <w:rFonts w:asciiTheme="majorEastAsia" w:eastAsiaTheme="majorEastAsia" w:hAnsiTheme="majorEastAsia" w:hint="eastAsia"/>
          <w:sz w:val="28"/>
          <w:szCs w:val="28"/>
        </w:rPr>
        <w:t>、拟订全州卫生和</w:t>
      </w:r>
      <w:r>
        <w:rPr>
          <w:rFonts w:asciiTheme="majorEastAsia" w:eastAsiaTheme="majorEastAsia" w:hAnsiTheme="majorEastAsia" w:hint="eastAsia"/>
          <w:sz w:val="28"/>
          <w:szCs w:val="28"/>
        </w:rPr>
        <w:t>计划生育人才发展规划，指导卫生和计划生育人才队伍建设。加强全科医生等专业人才培养，组织实施住院医师和专科医师规范化培训制度。会同有关部门组织实施卫生专业技术人员资格标准。</w:t>
      </w:r>
    </w:p>
    <w:p w:rsidR="00056304" w:rsidRDefault="00C60838">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13</w:t>
      </w:r>
      <w:r>
        <w:rPr>
          <w:rFonts w:asciiTheme="majorEastAsia" w:eastAsiaTheme="majorEastAsia" w:hAnsiTheme="majorEastAsia" w:hint="eastAsia"/>
          <w:sz w:val="28"/>
          <w:szCs w:val="28"/>
        </w:rPr>
        <w:t>、拟订全州卫生和计划生育科技发展规划，组织实施毕业后医学教育和继续医学教育。</w:t>
      </w:r>
    </w:p>
    <w:p w:rsidR="00056304" w:rsidRDefault="00C60838">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14</w:t>
      </w:r>
      <w:r>
        <w:rPr>
          <w:rFonts w:asciiTheme="majorEastAsia" w:eastAsiaTheme="majorEastAsia" w:hAnsiTheme="majorEastAsia" w:hint="eastAsia"/>
          <w:sz w:val="28"/>
          <w:szCs w:val="28"/>
        </w:rPr>
        <w:t>、指导全州卫生和计划生育工作，监督检查卫生和计划生育法律法规和政策措施的落实，组织查处重大违法行为。监督落实计划生育一票否决制。</w:t>
      </w:r>
    </w:p>
    <w:p w:rsidR="00056304" w:rsidRDefault="00C60838">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15</w:t>
      </w:r>
      <w:r>
        <w:rPr>
          <w:rFonts w:asciiTheme="majorEastAsia" w:eastAsiaTheme="majorEastAsia" w:hAnsiTheme="majorEastAsia" w:hint="eastAsia"/>
          <w:sz w:val="28"/>
          <w:szCs w:val="28"/>
        </w:rPr>
        <w:t>、负责全州卫生和计划生育政策宣传、健康教育、健康促进和信息化建设工作，组织实施卫生和计划生育统计调查，参与人口基础信息库</w:t>
      </w:r>
      <w:r>
        <w:rPr>
          <w:rFonts w:asciiTheme="majorEastAsia" w:eastAsiaTheme="majorEastAsia" w:hAnsiTheme="majorEastAsia" w:hint="eastAsia"/>
          <w:sz w:val="28"/>
          <w:szCs w:val="28"/>
        </w:rPr>
        <w:t>建设。</w:t>
      </w:r>
    </w:p>
    <w:p w:rsidR="00056304" w:rsidRDefault="00C60838">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lastRenderedPageBreak/>
        <w:t>16</w:t>
      </w:r>
      <w:r>
        <w:rPr>
          <w:rFonts w:asciiTheme="majorEastAsia" w:eastAsiaTheme="majorEastAsia" w:hAnsiTheme="majorEastAsia" w:hint="eastAsia"/>
          <w:sz w:val="28"/>
          <w:szCs w:val="28"/>
        </w:rPr>
        <w:t>、根据卫生和计划生育事业发展总体规划和战略目标，拟订并组织实施中医民族医药中长期发展规划和政策措施。负责中医、民族医与西医相结合的管理工作。</w:t>
      </w:r>
    </w:p>
    <w:p w:rsidR="00056304" w:rsidRDefault="00C60838">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17</w:t>
      </w:r>
      <w:r>
        <w:rPr>
          <w:rFonts w:asciiTheme="majorEastAsia" w:eastAsiaTheme="majorEastAsia" w:hAnsiTheme="majorEastAsia" w:hint="eastAsia"/>
          <w:sz w:val="28"/>
          <w:szCs w:val="28"/>
        </w:rPr>
        <w:t>、承担自治州爱国卫生、艾滋病防治、地方病防治、医疗保健工作，以及自治州人口和计划生育领导小组的日常工作。</w:t>
      </w:r>
    </w:p>
    <w:p w:rsidR="00056304" w:rsidRDefault="00C60838">
      <w:pPr>
        <w:spacing w:line="440" w:lineRule="exact"/>
        <w:ind w:firstLineChars="200" w:firstLine="560"/>
        <w:rPr>
          <w:rStyle w:val="a8"/>
          <w:rFonts w:asciiTheme="majorEastAsia" w:eastAsiaTheme="majorEastAsia" w:hAnsiTheme="majorEastAsia"/>
          <w:spacing w:val="-4"/>
          <w:sz w:val="32"/>
          <w:szCs w:val="32"/>
        </w:rPr>
      </w:pPr>
      <w:r>
        <w:rPr>
          <w:rFonts w:asciiTheme="majorEastAsia" w:eastAsiaTheme="majorEastAsia" w:hAnsiTheme="majorEastAsia" w:hint="eastAsia"/>
          <w:sz w:val="28"/>
          <w:szCs w:val="28"/>
        </w:rPr>
        <w:t>18</w:t>
      </w:r>
      <w:r>
        <w:rPr>
          <w:rFonts w:asciiTheme="majorEastAsia" w:eastAsiaTheme="majorEastAsia" w:hAnsiTheme="majorEastAsia" w:hint="eastAsia"/>
          <w:sz w:val="28"/>
          <w:szCs w:val="28"/>
        </w:rPr>
        <w:t>、承办自治州人民政府交办的其他事项。</w:t>
      </w:r>
    </w:p>
    <w:p w:rsidR="00056304" w:rsidRDefault="00C60838">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（二）项目预算</w:t>
      </w:r>
      <w:r>
        <w:rPr>
          <w:rStyle w:val="a8"/>
          <w:rFonts w:asciiTheme="majorEastAsia" w:eastAsiaTheme="majorEastAsia" w:hAnsiTheme="majorEastAsia"/>
          <w:spacing w:val="-4"/>
          <w:sz w:val="32"/>
          <w:szCs w:val="32"/>
        </w:rPr>
        <w:t>绩效目标</w:t>
      </w:r>
      <w:r>
        <w:rPr>
          <w:rStyle w:val="a8"/>
          <w:rFonts w:asciiTheme="majorEastAsia" w:eastAsiaTheme="majorEastAsia" w:hAnsiTheme="majorEastAsia" w:hint="eastAsia"/>
          <w:spacing w:val="-4"/>
          <w:sz w:val="32"/>
          <w:szCs w:val="32"/>
        </w:rPr>
        <w:t>设定情况</w:t>
      </w:r>
    </w:p>
    <w:p w:rsidR="00056304" w:rsidRDefault="00C60838" w:rsidP="00056304">
      <w:pPr>
        <w:spacing w:line="540" w:lineRule="exact"/>
        <w:ind w:firstLineChars="181" w:firstLine="565"/>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保证</w:t>
      </w:r>
      <w:r>
        <w:rPr>
          <w:rStyle w:val="a8"/>
          <w:rFonts w:asciiTheme="majorEastAsia" w:eastAsiaTheme="majorEastAsia" w:hAnsiTheme="majorEastAsia" w:hint="eastAsia"/>
          <w:b w:val="0"/>
          <w:spacing w:val="-4"/>
          <w:sz w:val="32"/>
          <w:szCs w:val="32"/>
        </w:rPr>
        <w:t>2018</w:t>
      </w:r>
      <w:r>
        <w:rPr>
          <w:rStyle w:val="a8"/>
          <w:rFonts w:asciiTheme="majorEastAsia" w:eastAsiaTheme="majorEastAsia" w:hAnsiTheme="majorEastAsia" w:hint="eastAsia"/>
          <w:b w:val="0"/>
          <w:spacing w:val="-4"/>
          <w:sz w:val="32"/>
          <w:szCs w:val="32"/>
        </w:rPr>
        <w:t>年巴州卫计委其他医疗日常支出</w:t>
      </w:r>
    </w:p>
    <w:p w:rsidR="00056304" w:rsidRDefault="00C60838">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二、项目资金使用及管理情况</w:t>
      </w:r>
    </w:p>
    <w:p w:rsidR="00056304" w:rsidRDefault="00C60838">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（一）项目资金安排落实、总投入等情况分析</w:t>
      </w:r>
    </w:p>
    <w:p w:rsidR="00056304" w:rsidRDefault="00C60838" w:rsidP="00056304">
      <w:pPr>
        <w:spacing w:line="540" w:lineRule="exact"/>
        <w:ind w:firstLineChars="181" w:firstLine="565"/>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2018</w:t>
      </w:r>
      <w:r>
        <w:rPr>
          <w:rStyle w:val="a8"/>
          <w:rFonts w:asciiTheme="majorEastAsia" w:eastAsiaTheme="majorEastAsia" w:hAnsiTheme="majorEastAsia" w:hint="eastAsia"/>
          <w:b w:val="0"/>
          <w:spacing w:val="-4"/>
          <w:sz w:val="32"/>
          <w:szCs w:val="32"/>
        </w:rPr>
        <w:t>年</w:t>
      </w:r>
      <w:r>
        <w:rPr>
          <w:rFonts w:asciiTheme="majorEastAsia" w:eastAsiaTheme="majorEastAsia" w:hAnsiTheme="majorEastAsia" w:hint="eastAsia"/>
          <w:sz w:val="28"/>
          <w:szCs w:val="28"/>
        </w:rPr>
        <w:t>巴州卫计委，由巴州财政拨付使用</w:t>
      </w:r>
      <w:r>
        <w:rPr>
          <w:rFonts w:asciiTheme="majorEastAsia" w:eastAsiaTheme="majorEastAsia" w:hAnsiTheme="majorEastAsia"/>
          <w:sz w:val="28"/>
          <w:szCs w:val="28"/>
        </w:rPr>
        <w:t>105,890.20</w:t>
      </w:r>
      <w:r>
        <w:rPr>
          <w:rFonts w:asciiTheme="majorEastAsia" w:eastAsiaTheme="majorEastAsia" w:hAnsiTheme="majorEastAsia" w:hint="eastAsia"/>
          <w:sz w:val="28"/>
          <w:szCs w:val="28"/>
        </w:rPr>
        <w:t>元，主要用于办公费</w:t>
      </w:r>
      <w:r>
        <w:rPr>
          <w:rFonts w:asciiTheme="majorEastAsia" w:eastAsiaTheme="majorEastAsia" w:hAnsiTheme="majorEastAsia"/>
          <w:sz w:val="28"/>
          <w:szCs w:val="28"/>
        </w:rPr>
        <w:t>75,890.20</w:t>
      </w:r>
      <w:r>
        <w:rPr>
          <w:rFonts w:asciiTheme="majorEastAsia" w:eastAsiaTheme="majorEastAsia" w:hAnsiTheme="majorEastAsia" w:hint="eastAsia"/>
          <w:sz w:val="28"/>
          <w:szCs w:val="28"/>
        </w:rPr>
        <w:t>元，差旅费</w:t>
      </w:r>
      <w:r>
        <w:rPr>
          <w:rFonts w:asciiTheme="majorEastAsia" w:eastAsiaTheme="majorEastAsia" w:hAnsiTheme="majorEastAsia"/>
          <w:sz w:val="28"/>
          <w:szCs w:val="28"/>
        </w:rPr>
        <w:t>30,000.00</w:t>
      </w:r>
      <w:r>
        <w:rPr>
          <w:rFonts w:asciiTheme="majorEastAsia" w:eastAsiaTheme="majorEastAsia" w:hAnsiTheme="majorEastAsia" w:hint="eastAsia"/>
          <w:sz w:val="28"/>
          <w:szCs w:val="28"/>
        </w:rPr>
        <w:t>元。</w:t>
      </w:r>
    </w:p>
    <w:p w:rsidR="00056304" w:rsidRDefault="00C60838">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（二）项目资金实际使用情况分析</w:t>
      </w:r>
    </w:p>
    <w:p w:rsidR="00056304" w:rsidRDefault="00C60838" w:rsidP="00056304">
      <w:pPr>
        <w:spacing w:line="540" w:lineRule="exact"/>
        <w:ind w:firstLineChars="181" w:firstLine="565"/>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2018</w:t>
      </w:r>
      <w:r>
        <w:rPr>
          <w:rStyle w:val="a8"/>
          <w:rFonts w:asciiTheme="majorEastAsia" w:eastAsiaTheme="majorEastAsia" w:hAnsiTheme="majorEastAsia" w:hint="eastAsia"/>
          <w:b w:val="0"/>
          <w:spacing w:val="-4"/>
          <w:sz w:val="32"/>
          <w:szCs w:val="32"/>
        </w:rPr>
        <w:t>年</w:t>
      </w:r>
      <w:r>
        <w:rPr>
          <w:rFonts w:asciiTheme="majorEastAsia" w:eastAsiaTheme="majorEastAsia" w:hAnsiTheme="majorEastAsia" w:hint="eastAsia"/>
          <w:sz w:val="28"/>
          <w:szCs w:val="28"/>
        </w:rPr>
        <w:t>巴州卫计委，由巴州财政拨付使用</w:t>
      </w:r>
      <w:r>
        <w:rPr>
          <w:rFonts w:asciiTheme="majorEastAsia" w:eastAsiaTheme="majorEastAsia" w:hAnsiTheme="majorEastAsia"/>
          <w:sz w:val="28"/>
          <w:szCs w:val="28"/>
        </w:rPr>
        <w:t>105,890.20</w:t>
      </w:r>
      <w:r>
        <w:rPr>
          <w:rFonts w:asciiTheme="majorEastAsia" w:eastAsiaTheme="majorEastAsia" w:hAnsiTheme="majorEastAsia" w:hint="eastAsia"/>
          <w:sz w:val="28"/>
          <w:szCs w:val="28"/>
        </w:rPr>
        <w:t>元，主要用于办公费</w:t>
      </w:r>
      <w:r>
        <w:rPr>
          <w:rFonts w:asciiTheme="majorEastAsia" w:eastAsiaTheme="majorEastAsia" w:hAnsiTheme="majorEastAsia"/>
          <w:sz w:val="28"/>
          <w:szCs w:val="28"/>
        </w:rPr>
        <w:t>75,890.20</w:t>
      </w:r>
      <w:r>
        <w:rPr>
          <w:rFonts w:asciiTheme="majorEastAsia" w:eastAsiaTheme="majorEastAsia" w:hAnsiTheme="majorEastAsia" w:hint="eastAsia"/>
          <w:sz w:val="28"/>
          <w:szCs w:val="28"/>
        </w:rPr>
        <w:t>元，差旅费</w:t>
      </w:r>
      <w:r>
        <w:rPr>
          <w:rFonts w:asciiTheme="majorEastAsia" w:eastAsiaTheme="majorEastAsia" w:hAnsiTheme="majorEastAsia"/>
          <w:sz w:val="28"/>
          <w:szCs w:val="28"/>
        </w:rPr>
        <w:t>30,000.00</w:t>
      </w:r>
      <w:r>
        <w:rPr>
          <w:rFonts w:asciiTheme="majorEastAsia" w:eastAsiaTheme="majorEastAsia" w:hAnsiTheme="majorEastAsia" w:hint="eastAsia"/>
          <w:sz w:val="28"/>
          <w:szCs w:val="28"/>
        </w:rPr>
        <w:t>元。</w:t>
      </w:r>
    </w:p>
    <w:p w:rsidR="00056304" w:rsidRDefault="00C60838">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（三）项目资金管理情况分析</w:t>
      </w:r>
    </w:p>
    <w:p w:rsidR="00056304" w:rsidRDefault="00C60838">
      <w:pPr>
        <w:spacing w:line="540" w:lineRule="exact"/>
        <w:ind w:firstLineChars="200" w:firstLine="624"/>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项目财务管理制度</w:t>
      </w:r>
      <w:r>
        <w:rPr>
          <w:rStyle w:val="a8"/>
          <w:rFonts w:asciiTheme="majorEastAsia" w:eastAsiaTheme="majorEastAsia" w:hAnsiTheme="majorEastAsia"/>
          <w:b w:val="0"/>
          <w:spacing w:val="-4"/>
          <w:sz w:val="32"/>
          <w:szCs w:val="32"/>
        </w:rPr>
        <w:t>健全、机构设置、会计核算及账务处理等相关</w:t>
      </w:r>
      <w:r>
        <w:rPr>
          <w:rStyle w:val="a8"/>
          <w:rFonts w:asciiTheme="majorEastAsia" w:eastAsiaTheme="majorEastAsia" w:hAnsiTheme="majorEastAsia" w:hint="eastAsia"/>
          <w:b w:val="0"/>
          <w:spacing w:val="-4"/>
          <w:sz w:val="32"/>
          <w:szCs w:val="32"/>
        </w:rPr>
        <w:t>情况</w:t>
      </w:r>
      <w:r>
        <w:rPr>
          <w:rStyle w:val="a8"/>
          <w:rFonts w:asciiTheme="majorEastAsia" w:eastAsiaTheme="majorEastAsia" w:hAnsiTheme="majorEastAsia"/>
          <w:b w:val="0"/>
          <w:spacing w:val="-4"/>
          <w:sz w:val="32"/>
          <w:szCs w:val="32"/>
        </w:rPr>
        <w:t>。对照</w:t>
      </w:r>
      <w:r>
        <w:rPr>
          <w:rStyle w:val="a8"/>
          <w:rFonts w:asciiTheme="majorEastAsia" w:eastAsiaTheme="majorEastAsia" w:hAnsiTheme="majorEastAsia" w:hint="eastAsia"/>
          <w:b w:val="0"/>
          <w:spacing w:val="-4"/>
          <w:sz w:val="32"/>
          <w:szCs w:val="32"/>
        </w:rPr>
        <w:t>项目资金管理办法</w:t>
      </w:r>
      <w:r>
        <w:rPr>
          <w:rStyle w:val="a8"/>
          <w:rFonts w:asciiTheme="majorEastAsia" w:eastAsiaTheme="majorEastAsia" w:hAnsiTheme="majorEastAsia"/>
          <w:b w:val="0"/>
          <w:spacing w:val="-4"/>
          <w:sz w:val="32"/>
          <w:szCs w:val="32"/>
        </w:rPr>
        <w:t>，项目严格执行财务管理制度、财务处理及时、会计核算规范</w:t>
      </w:r>
    </w:p>
    <w:p w:rsidR="00056304" w:rsidRDefault="00C60838">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三、项目组织实施情况</w:t>
      </w:r>
    </w:p>
    <w:p w:rsidR="00056304" w:rsidRDefault="00C60838">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（一）项目组织情况分析</w:t>
      </w:r>
    </w:p>
    <w:p w:rsidR="00056304" w:rsidRDefault="00C60838">
      <w:pPr>
        <w:spacing w:line="480" w:lineRule="exact"/>
        <w:ind w:firstLine="640"/>
        <w:rPr>
          <w:rFonts w:eastAsia="仿宋_GB2312"/>
          <w:sz w:val="32"/>
          <w:szCs w:val="32"/>
        </w:rPr>
      </w:pPr>
      <w:r>
        <w:rPr>
          <w:rFonts w:eastAsia="仿宋_GB2312" w:hint="eastAsia"/>
          <w:sz w:val="32"/>
          <w:szCs w:val="32"/>
        </w:rPr>
        <w:t>相关管理</w:t>
      </w:r>
      <w:r>
        <w:rPr>
          <w:rFonts w:eastAsia="仿宋_GB2312"/>
          <w:sz w:val="32"/>
          <w:szCs w:val="32"/>
        </w:rPr>
        <w:t>部门齐抓共管、区域协作、多方共赢的多元化工作保障机制。深化</w:t>
      </w:r>
      <w:r>
        <w:rPr>
          <w:rFonts w:eastAsia="仿宋_GB2312" w:hint="eastAsia"/>
          <w:sz w:val="32"/>
          <w:szCs w:val="32"/>
        </w:rPr>
        <w:t>相</w:t>
      </w:r>
      <w:r>
        <w:rPr>
          <w:rFonts w:eastAsia="仿宋_GB2312" w:hint="eastAsia"/>
          <w:sz w:val="32"/>
          <w:szCs w:val="32"/>
        </w:rPr>
        <w:t>关</w:t>
      </w:r>
      <w:r>
        <w:rPr>
          <w:rFonts w:eastAsia="仿宋_GB2312"/>
          <w:sz w:val="32"/>
          <w:szCs w:val="32"/>
        </w:rPr>
        <w:t>服务。</w:t>
      </w:r>
      <w:r>
        <w:rPr>
          <w:rFonts w:eastAsia="仿宋_GB2312" w:hint="eastAsia"/>
          <w:sz w:val="32"/>
          <w:szCs w:val="32"/>
        </w:rPr>
        <w:t>共同</w:t>
      </w:r>
      <w:r>
        <w:rPr>
          <w:rFonts w:eastAsia="仿宋_GB2312"/>
          <w:sz w:val="32"/>
          <w:szCs w:val="32"/>
        </w:rPr>
        <w:t>推进流动</w:t>
      </w:r>
      <w:r>
        <w:rPr>
          <w:rFonts w:eastAsia="仿宋_GB2312" w:hint="eastAsia"/>
          <w:sz w:val="32"/>
          <w:szCs w:val="32"/>
        </w:rPr>
        <w:t>单位合理</w:t>
      </w:r>
      <w:r>
        <w:rPr>
          <w:rFonts w:eastAsia="仿宋_GB2312"/>
          <w:sz w:val="32"/>
          <w:szCs w:val="32"/>
        </w:rPr>
        <w:t>建设。</w:t>
      </w:r>
    </w:p>
    <w:p w:rsidR="00056304" w:rsidRDefault="00C60838">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（二）项目管理情况分析</w:t>
      </w:r>
    </w:p>
    <w:p w:rsidR="00056304" w:rsidRDefault="00C60838">
      <w:pPr>
        <w:spacing w:line="480" w:lineRule="exact"/>
        <w:ind w:firstLine="640"/>
        <w:rPr>
          <w:rFonts w:eastAsia="仿宋_GB2312"/>
          <w:sz w:val="32"/>
          <w:szCs w:val="32"/>
        </w:rPr>
      </w:pPr>
      <w:r>
        <w:rPr>
          <w:rFonts w:ascii="仿宋_GB2312" w:eastAsia="仿宋_GB2312" w:hint="eastAsia"/>
          <w:sz w:val="32"/>
          <w:szCs w:val="32"/>
        </w:rPr>
        <w:t>坚持原则、秉公办事、顾全大局，</w:t>
      </w:r>
      <w:r>
        <w:rPr>
          <w:rFonts w:eastAsia="仿宋_GB2312"/>
          <w:sz w:val="32"/>
          <w:szCs w:val="32"/>
        </w:rPr>
        <w:t>不断提高队伍素质和工作效率。采取多种措施调动和激发工作人员的积极性和创造力。</w:t>
      </w:r>
      <w:r>
        <w:rPr>
          <w:rFonts w:eastAsia="仿宋_GB2312" w:hint="eastAsia"/>
          <w:sz w:val="32"/>
          <w:szCs w:val="32"/>
        </w:rPr>
        <w:t>相关管理</w:t>
      </w:r>
      <w:r>
        <w:rPr>
          <w:rFonts w:eastAsia="仿宋_GB2312"/>
          <w:sz w:val="32"/>
          <w:szCs w:val="32"/>
        </w:rPr>
        <w:t>部门齐抓共管、区域协作、多方共赢的多元化工作保</w:t>
      </w:r>
      <w:r>
        <w:rPr>
          <w:rFonts w:eastAsia="仿宋_GB2312"/>
          <w:sz w:val="32"/>
          <w:szCs w:val="32"/>
        </w:rPr>
        <w:lastRenderedPageBreak/>
        <w:t>障机制。深化</w:t>
      </w:r>
      <w:r>
        <w:rPr>
          <w:rFonts w:eastAsia="仿宋_GB2312" w:hint="eastAsia"/>
          <w:sz w:val="32"/>
          <w:szCs w:val="32"/>
        </w:rPr>
        <w:t>相关</w:t>
      </w:r>
      <w:r>
        <w:rPr>
          <w:rFonts w:eastAsia="仿宋_GB2312"/>
          <w:sz w:val="32"/>
          <w:szCs w:val="32"/>
        </w:rPr>
        <w:t>服务。</w:t>
      </w:r>
      <w:r>
        <w:rPr>
          <w:rFonts w:eastAsia="仿宋_GB2312" w:hint="eastAsia"/>
          <w:sz w:val="32"/>
          <w:szCs w:val="32"/>
        </w:rPr>
        <w:t>共同</w:t>
      </w:r>
      <w:r>
        <w:rPr>
          <w:rFonts w:eastAsia="仿宋_GB2312"/>
          <w:sz w:val="32"/>
          <w:szCs w:val="32"/>
        </w:rPr>
        <w:t>推进流动</w:t>
      </w:r>
      <w:r>
        <w:rPr>
          <w:rFonts w:eastAsia="仿宋_GB2312" w:hint="eastAsia"/>
          <w:sz w:val="32"/>
          <w:szCs w:val="32"/>
        </w:rPr>
        <w:t>单位合理</w:t>
      </w:r>
      <w:r>
        <w:rPr>
          <w:rFonts w:eastAsia="仿宋_GB2312"/>
          <w:sz w:val="32"/>
          <w:szCs w:val="32"/>
        </w:rPr>
        <w:t>建设。</w:t>
      </w:r>
    </w:p>
    <w:p w:rsidR="00056304" w:rsidRDefault="00C60838">
      <w:pPr>
        <w:spacing w:line="540" w:lineRule="exact"/>
        <w:ind w:firstLine="640"/>
        <w:rPr>
          <w:rStyle w:val="a8"/>
          <w:rFonts w:asciiTheme="majorEastAsia" w:eastAsiaTheme="majorEastAsia" w:hAnsiTheme="majorEastAsia"/>
        </w:rPr>
      </w:pPr>
      <w:r>
        <w:rPr>
          <w:rStyle w:val="a8"/>
          <w:rFonts w:asciiTheme="majorEastAsia" w:eastAsiaTheme="majorEastAsia" w:hAnsiTheme="majorEastAsia" w:hint="eastAsia"/>
          <w:b w:val="0"/>
          <w:spacing w:val="-4"/>
          <w:sz w:val="32"/>
          <w:szCs w:val="32"/>
        </w:rPr>
        <w:t>四、项目绩效情况</w:t>
      </w:r>
    </w:p>
    <w:p w:rsidR="00056304" w:rsidRDefault="00C60838">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（一）项目绩效目标完成情况分析</w:t>
      </w:r>
    </w:p>
    <w:p w:rsidR="00056304" w:rsidRDefault="00C60838" w:rsidP="00056304">
      <w:pPr>
        <w:spacing w:line="540" w:lineRule="exact"/>
        <w:ind w:firstLineChars="181" w:firstLine="565"/>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相关项目工作正常执行，相关目标正常完成。保障了巴州卫计委相关工作正常开展</w:t>
      </w:r>
    </w:p>
    <w:p w:rsidR="00056304" w:rsidRDefault="00C60838">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（二）项目绩效目标未完成原因分析</w:t>
      </w:r>
    </w:p>
    <w:p w:rsidR="00056304" w:rsidRDefault="00C60838" w:rsidP="00056304">
      <w:pPr>
        <w:spacing w:line="540" w:lineRule="exact"/>
        <w:ind w:firstLineChars="181" w:firstLine="565"/>
        <w:rPr>
          <w:rFonts w:asciiTheme="majorEastAsia" w:eastAsiaTheme="majorEastAsia" w:hAnsiTheme="majorEastAsia"/>
          <w:spacing w:val="-4"/>
          <w:sz w:val="32"/>
          <w:szCs w:val="32"/>
        </w:rPr>
      </w:pPr>
      <w:r>
        <w:rPr>
          <w:rFonts w:asciiTheme="majorEastAsia" w:eastAsiaTheme="majorEastAsia" w:hAnsiTheme="majorEastAsia" w:hint="eastAsia"/>
          <w:spacing w:val="-4"/>
          <w:sz w:val="32"/>
          <w:szCs w:val="32"/>
        </w:rPr>
        <w:t>无</w:t>
      </w:r>
    </w:p>
    <w:p w:rsidR="00056304" w:rsidRDefault="00C60838">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五、其他需要说明的问题</w:t>
      </w:r>
    </w:p>
    <w:p w:rsidR="00056304" w:rsidRDefault="00C60838">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（一）后续工作计划</w:t>
      </w:r>
    </w:p>
    <w:p w:rsidR="00056304" w:rsidRDefault="00C60838" w:rsidP="00056304">
      <w:pPr>
        <w:spacing w:line="540" w:lineRule="exact"/>
        <w:ind w:firstLineChars="181" w:firstLine="565"/>
        <w:rPr>
          <w:rFonts w:asciiTheme="majorEastAsia" w:eastAsiaTheme="majorEastAsia" w:hAnsiTheme="majorEastAsia"/>
          <w:b/>
          <w:spacing w:val="-4"/>
          <w:sz w:val="32"/>
          <w:szCs w:val="32"/>
        </w:rPr>
      </w:pPr>
      <w:r>
        <w:rPr>
          <w:rFonts w:asciiTheme="majorEastAsia" w:eastAsiaTheme="majorEastAsia" w:hAnsiTheme="majorEastAsia" w:hint="eastAsia"/>
          <w:spacing w:val="-4"/>
          <w:sz w:val="32"/>
          <w:szCs w:val="32"/>
        </w:rPr>
        <w:t>要继续抓好相关项目建设，加强项目跟踪管理服务和绩效评价，管好用好变更调查专项资金，不断提高资金的使用效益</w:t>
      </w:r>
    </w:p>
    <w:p w:rsidR="00056304" w:rsidRDefault="00C60838">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（二）主要经验及做法、存在问题和建议</w:t>
      </w:r>
    </w:p>
    <w:p w:rsidR="00056304" w:rsidRDefault="00C60838">
      <w:pPr>
        <w:ind w:firstLineChars="200" w:firstLine="624"/>
        <w:rPr>
          <w:rFonts w:asciiTheme="majorEastAsia" w:eastAsiaTheme="majorEastAsia" w:hAnsiTheme="majorEastAsia"/>
          <w:b/>
          <w:spacing w:val="-4"/>
          <w:sz w:val="32"/>
          <w:szCs w:val="32"/>
        </w:rPr>
      </w:pPr>
      <w:r>
        <w:rPr>
          <w:rFonts w:asciiTheme="majorEastAsia" w:eastAsiaTheme="majorEastAsia" w:hAnsiTheme="majorEastAsia" w:hint="eastAsia"/>
          <w:spacing w:val="-4"/>
          <w:sz w:val="32"/>
          <w:szCs w:val="32"/>
        </w:rPr>
        <w:t>坚持原则、秉公办事、顾全大局，需要加强项目跟踪管理服务和绩效评价，管好用好变更调查专项资金，不断提高资金的使用效益。</w:t>
      </w:r>
    </w:p>
    <w:p w:rsidR="00056304" w:rsidRDefault="00C60838">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（三）其他</w:t>
      </w:r>
    </w:p>
    <w:p w:rsidR="00056304" w:rsidRDefault="00C60838">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无</w:t>
      </w:r>
    </w:p>
    <w:p w:rsidR="00056304" w:rsidRDefault="00C60838">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六、项目评价工作情况</w:t>
      </w:r>
    </w:p>
    <w:p w:rsidR="00056304" w:rsidRDefault="00C60838">
      <w:pPr>
        <w:ind w:firstLineChars="200" w:firstLine="624"/>
        <w:rPr>
          <w:rFonts w:asciiTheme="majorEastAsia" w:eastAsiaTheme="majorEastAsia" w:hAnsiTheme="majorEastAsia"/>
          <w:spacing w:val="-4"/>
          <w:sz w:val="32"/>
          <w:szCs w:val="32"/>
        </w:rPr>
      </w:pPr>
      <w:r>
        <w:rPr>
          <w:rFonts w:asciiTheme="majorEastAsia" w:eastAsiaTheme="majorEastAsia" w:hAnsiTheme="majorEastAsia" w:hint="eastAsia"/>
          <w:spacing w:val="-4"/>
          <w:sz w:val="32"/>
          <w:szCs w:val="32"/>
        </w:rPr>
        <w:t>包括评价基础数据收集、资料来源和依据等佐证材料情况，项目现场勘验检查核实等情况</w:t>
      </w:r>
    </w:p>
    <w:p w:rsidR="00056304" w:rsidRDefault="00C60838">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七、附表</w:t>
      </w:r>
    </w:p>
    <w:p w:rsidR="00056304" w:rsidRDefault="00C60838">
      <w:pPr>
        <w:spacing w:line="540" w:lineRule="exact"/>
        <w:ind w:firstLine="567"/>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w:t>
      </w:r>
      <w:r>
        <w:rPr>
          <w:rStyle w:val="a8"/>
          <w:rFonts w:asciiTheme="majorEastAsia" w:eastAsiaTheme="majorEastAsia" w:hAnsiTheme="majorEastAsia" w:hint="eastAsia"/>
          <w:b w:val="0"/>
          <w:spacing w:val="-4"/>
          <w:sz w:val="32"/>
          <w:szCs w:val="32"/>
        </w:rPr>
        <w:t>巴州</w:t>
      </w:r>
      <w:r>
        <w:rPr>
          <w:rStyle w:val="a8"/>
          <w:rFonts w:asciiTheme="majorEastAsia" w:eastAsiaTheme="majorEastAsia" w:hAnsiTheme="majorEastAsia" w:hint="eastAsia"/>
          <w:b w:val="0"/>
          <w:spacing w:val="-4"/>
          <w:sz w:val="32"/>
          <w:szCs w:val="32"/>
        </w:rPr>
        <w:t>地区财政项目支出绩效自评表》</w:t>
      </w:r>
    </w:p>
    <w:p w:rsidR="00056304" w:rsidRDefault="00056304">
      <w:pPr>
        <w:spacing w:line="540" w:lineRule="exact"/>
        <w:ind w:firstLine="567"/>
        <w:rPr>
          <w:rStyle w:val="a8"/>
          <w:rFonts w:asciiTheme="majorEastAsia" w:eastAsiaTheme="majorEastAsia" w:hAnsiTheme="majorEastAsia"/>
          <w:b w:val="0"/>
          <w:spacing w:val="-4"/>
          <w:sz w:val="32"/>
          <w:szCs w:val="32"/>
        </w:rPr>
      </w:pPr>
    </w:p>
    <w:p w:rsidR="00056304" w:rsidRDefault="00056304">
      <w:pPr>
        <w:spacing w:line="540" w:lineRule="exact"/>
        <w:ind w:firstLine="567"/>
        <w:rPr>
          <w:rStyle w:val="a8"/>
          <w:rFonts w:asciiTheme="majorEastAsia" w:eastAsiaTheme="majorEastAsia" w:hAnsiTheme="majorEastAsia"/>
          <w:b w:val="0"/>
          <w:spacing w:val="-4"/>
          <w:sz w:val="32"/>
          <w:szCs w:val="32"/>
        </w:rPr>
      </w:pPr>
    </w:p>
    <w:p w:rsidR="00056304" w:rsidRDefault="00056304">
      <w:pPr>
        <w:spacing w:line="540" w:lineRule="exact"/>
        <w:rPr>
          <w:rStyle w:val="a8"/>
          <w:rFonts w:asciiTheme="majorEastAsia" w:eastAsiaTheme="majorEastAsia" w:hAnsiTheme="majorEastAsia"/>
          <w:b w:val="0"/>
          <w:spacing w:val="-4"/>
          <w:sz w:val="32"/>
          <w:szCs w:val="32"/>
        </w:rPr>
      </w:pPr>
    </w:p>
    <w:tbl>
      <w:tblPr>
        <w:tblW w:w="9020" w:type="dxa"/>
        <w:tblInd w:w="93" w:type="dxa"/>
        <w:tblLayout w:type="fixed"/>
        <w:tblLook w:val="04A0"/>
      </w:tblPr>
      <w:tblGrid>
        <w:gridCol w:w="720"/>
        <w:gridCol w:w="1140"/>
        <w:gridCol w:w="1360"/>
        <w:gridCol w:w="1080"/>
        <w:gridCol w:w="880"/>
        <w:gridCol w:w="2060"/>
        <w:gridCol w:w="1780"/>
      </w:tblGrid>
      <w:tr w:rsidR="00056304">
        <w:trPr>
          <w:trHeight w:val="405"/>
        </w:trPr>
        <w:tc>
          <w:tcPr>
            <w:tcW w:w="9020" w:type="dxa"/>
            <w:gridSpan w:val="7"/>
            <w:tcBorders>
              <w:top w:val="nil"/>
              <w:left w:val="nil"/>
              <w:bottom w:val="nil"/>
              <w:right w:val="nil"/>
            </w:tcBorders>
            <w:shd w:val="clear" w:color="auto" w:fill="auto"/>
            <w:vAlign w:val="center"/>
          </w:tcPr>
          <w:p w:rsidR="00056304" w:rsidRDefault="00C60838">
            <w:pPr>
              <w:widowControl/>
              <w:jc w:val="center"/>
              <w:rPr>
                <w:rFonts w:asciiTheme="majorEastAsia" w:eastAsiaTheme="majorEastAsia" w:hAnsiTheme="majorEastAsia" w:cs="宋体"/>
                <w:b/>
                <w:bCs/>
                <w:kern w:val="0"/>
                <w:sz w:val="32"/>
                <w:szCs w:val="32"/>
              </w:rPr>
            </w:pPr>
            <w:r>
              <w:rPr>
                <w:rFonts w:asciiTheme="majorEastAsia" w:eastAsiaTheme="majorEastAsia" w:hAnsiTheme="majorEastAsia" w:cs="宋体" w:hint="eastAsia"/>
                <w:b/>
                <w:bCs/>
                <w:kern w:val="0"/>
                <w:sz w:val="32"/>
                <w:szCs w:val="32"/>
                <w:u w:val="single"/>
              </w:rPr>
              <w:lastRenderedPageBreak/>
              <w:t>巴州地区</w:t>
            </w:r>
            <w:r>
              <w:rPr>
                <w:rFonts w:asciiTheme="majorEastAsia" w:eastAsiaTheme="majorEastAsia" w:hAnsiTheme="majorEastAsia" w:cs="宋体" w:hint="eastAsia"/>
                <w:b/>
                <w:bCs/>
                <w:kern w:val="0"/>
                <w:sz w:val="32"/>
                <w:szCs w:val="32"/>
              </w:rPr>
              <w:t>财政项目支出绩效自评表</w:t>
            </w:r>
          </w:p>
        </w:tc>
      </w:tr>
      <w:tr w:rsidR="00056304">
        <w:trPr>
          <w:trHeight w:val="285"/>
        </w:trPr>
        <w:tc>
          <w:tcPr>
            <w:tcW w:w="9020" w:type="dxa"/>
            <w:gridSpan w:val="7"/>
            <w:tcBorders>
              <w:top w:val="nil"/>
              <w:left w:val="nil"/>
              <w:bottom w:val="nil"/>
              <w:right w:val="nil"/>
            </w:tcBorders>
            <w:shd w:val="clear" w:color="auto" w:fill="auto"/>
            <w:vAlign w:val="center"/>
          </w:tcPr>
          <w:p w:rsidR="00056304" w:rsidRDefault="00C60838">
            <w:pPr>
              <w:widowControl/>
              <w:jc w:val="center"/>
              <w:rPr>
                <w:rFonts w:asciiTheme="majorEastAsia" w:eastAsiaTheme="majorEastAsia" w:hAnsiTheme="majorEastAsia" w:cs="宋体"/>
                <w:kern w:val="0"/>
                <w:sz w:val="24"/>
              </w:rPr>
            </w:pPr>
            <w:r>
              <w:rPr>
                <w:rFonts w:asciiTheme="majorEastAsia" w:eastAsiaTheme="majorEastAsia" w:hAnsiTheme="majorEastAsia" w:cs="宋体" w:hint="eastAsia"/>
                <w:kern w:val="0"/>
                <w:sz w:val="24"/>
              </w:rPr>
              <w:t>（</w:t>
            </w:r>
            <w:r>
              <w:rPr>
                <w:rFonts w:asciiTheme="majorEastAsia" w:eastAsiaTheme="majorEastAsia" w:hAnsiTheme="majorEastAsia" w:cs="宋体" w:hint="eastAsia"/>
                <w:kern w:val="0"/>
                <w:sz w:val="24"/>
              </w:rPr>
              <w:t>2018</w:t>
            </w:r>
            <w:r>
              <w:rPr>
                <w:rFonts w:asciiTheme="majorEastAsia" w:eastAsiaTheme="majorEastAsia" w:hAnsiTheme="majorEastAsia" w:cs="宋体" w:hint="eastAsia"/>
                <w:kern w:val="0"/>
                <w:sz w:val="24"/>
              </w:rPr>
              <w:t>年度）</w:t>
            </w:r>
          </w:p>
        </w:tc>
      </w:tr>
      <w:tr w:rsidR="00056304">
        <w:trPr>
          <w:trHeight w:val="285"/>
        </w:trPr>
        <w:tc>
          <w:tcPr>
            <w:tcW w:w="720" w:type="dxa"/>
            <w:tcBorders>
              <w:top w:val="nil"/>
              <w:left w:val="nil"/>
              <w:bottom w:val="nil"/>
              <w:right w:val="nil"/>
            </w:tcBorders>
            <w:shd w:val="clear" w:color="auto" w:fill="auto"/>
            <w:vAlign w:val="center"/>
          </w:tcPr>
          <w:p w:rsidR="00056304" w:rsidRDefault="00056304">
            <w:pPr>
              <w:widowControl/>
              <w:jc w:val="center"/>
              <w:rPr>
                <w:rFonts w:asciiTheme="majorEastAsia" w:eastAsiaTheme="majorEastAsia" w:hAnsiTheme="majorEastAsia" w:cs="宋体"/>
                <w:kern w:val="0"/>
                <w:sz w:val="24"/>
              </w:rPr>
            </w:pPr>
          </w:p>
        </w:tc>
        <w:tc>
          <w:tcPr>
            <w:tcW w:w="1140" w:type="dxa"/>
            <w:tcBorders>
              <w:top w:val="nil"/>
              <w:left w:val="nil"/>
              <w:bottom w:val="nil"/>
              <w:right w:val="nil"/>
            </w:tcBorders>
            <w:shd w:val="clear" w:color="auto" w:fill="auto"/>
            <w:vAlign w:val="center"/>
          </w:tcPr>
          <w:p w:rsidR="00056304" w:rsidRDefault="00056304">
            <w:pPr>
              <w:widowControl/>
              <w:jc w:val="center"/>
              <w:rPr>
                <w:rFonts w:asciiTheme="majorEastAsia" w:eastAsiaTheme="majorEastAsia" w:hAnsiTheme="majorEastAsia" w:cs="宋体"/>
                <w:kern w:val="0"/>
                <w:sz w:val="24"/>
              </w:rPr>
            </w:pPr>
          </w:p>
        </w:tc>
        <w:tc>
          <w:tcPr>
            <w:tcW w:w="1360" w:type="dxa"/>
            <w:tcBorders>
              <w:top w:val="nil"/>
              <w:left w:val="nil"/>
              <w:bottom w:val="nil"/>
              <w:right w:val="nil"/>
            </w:tcBorders>
            <w:shd w:val="clear" w:color="auto" w:fill="auto"/>
            <w:vAlign w:val="center"/>
          </w:tcPr>
          <w:p w:rsidR="00056304" w:rsidRDefault="00056304">
            <w:pPr>
              <w:widowControl/>
              <w:jc w:val="center"/>
              <w:rPr>
                <w:rFonts w:asciiTheme="majorEastAsia" w:eastAsiaTheme="majorEastAsia" w:hAnsiTheme="majorEastAsia" w:cs="宋体"/>
                <w:kern w:val="0"/>
                <w:sz w:val="24"/>
              </w:rPr>
            </w:pPr>
          </w:p>
        </w:tc>
        <w:tc>
          <w:tcPr>
            <w:tcW w:w="1080" w:type="dxa"/>
            <w:tcBorders>
              <w:top w:val="nil"/>
              <w:left w:val="nil"/>
              <w:bottom w:val="nil"/>
              <w:right w:val="nil"/>
            </w:tcBorders>
            <w:shd w:val="clear" w:color="auto" w:fill="auto"/>
            <w:vAlign w:val="center"/>
          </w:tcPr>
          <w:p w:rsidR="00056304" w:rsidRDefault="00056304">
            <w:pPr>
              <w:widowControl/>
              <w:jc w:val="center"/>
              <w:rPr>
                <w:rFonts w:asciiTheme="majorEastAsia" w:eastAsiaTheme="majorEastAsia" w:hAnsiTheme="majorEastAsia" w:cs="宋体"/>
                <w:kern w:val="0"/>
                <w:sz w:val="24"/>
              </w:rPr>
            </w:pPr>
          </w:p>
        </w:tc>
        <w:tc>
          <w:tcPr>
            <w:tcW w:w="880" w:type="dxa"/>
            <w:tcBorders>
              <w:top w:val="nil"/>
              <w:left w:val="nil"/>
              <w:bottom w:val="nil"/>
              <w:right w:val="nil"/>
            </w:tcBorders>
            <w:shd w:val="clear" w:color="auto" w:fill="auto"/>
            <w:vAlign w:val="center"/>
          </w:tcPr>
          <w:p w:rsidR="00056304" w:rsidRDefault="00056304">
            <w:pPr>
              <w:widowControl/>
              <w:jc w:val="center"/>
              <w:rPr>
                <w:rFonts w:asciiTheme="majorEastAsia" w:eastAsiaTheme="majorEastAsia" w:hAnsiTheme="majorEastAsia" w:cs="宋体"/>
                <w:kern w:val="0"/>
                <w:sz w:val="24"/>
              </w:rPr>
            </w:pPr>
          </w:p>
        </w:tc>
        <w:tc>
          <w:tcPr>
            <w:tcW w:w="2060" w:type="dxa"/>
            <w:tcBorders>
              <w:top w:val="nil"/>
              <w:left w:val="nil"/>
              <w:bottom w:val="nil"/>
              <w:right w:val="nil"/>
            </w:tcBorders>
            <w:shd w:val="clear" w:color="auto" w:fill="auto"/>
            <w:vAlign w:val="center"/>
          </w:tcPr>
          <w:p w:rsidR="00056304" w:rsidRDefault="00056304">
            <w:pPr>
              <w:widowControl/>
              <w:jc w:val="center"/>
              <w:rPr>
                <w:rFonts w:asciiTheme="majorEastAsia" w:eastAsiaTheme="majorEastAsia" w:hAnsiTheme="majorEastAsia" w:cs="宋体"/>
                <w:kern w:val="0"/>
                <w:sz w:val="24"/>
              </w:rPr>
            </w:pPr>
          </w:p>
        </w:tc>
        <w:tc>
          <w:tcPr>
            <w:tcW w:w="1780" w:type="dxa"/>
            <w:tcBorders>
              <w:top w:val="nil"/>
              <w:left w:val="nil"/>
              <w:bottom w:val="nil"/>
              <w:right w:val="nil"/>
            </w:tcBorders>
            <w:shd w:val="clear" w:color="auto" w:fill="auto"/>
            <w:vAlign w:val="center"/>
          </w:tcPr>
          <w:p w:rsidR="00056304" w:rsidRDefault="00056304">
            <w:pPr>
              <w:widowControl/>
              <w:jc w:val="center"/>
              <w:rPr>
                <w:rFonts w:asciiTheme="majorEastAsia" w:eastAsiaTheme="majorEastAsia" w:hAnsiTheme="majorEastAsia" w:cs="宋体"/>
                <w:kern w:val="0"/>
                <w:sz w:val="24"/>
              </w:rPr>
            </w:pPr>
          </w:p>
        </w:tc>
      </w:tr>
      <w:tr w:rsidR="00056304">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56304" w:rsidRDefault="00C60838">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其他计划生育日常</w:t>
            </w:r>
          </w:p>
        </w:tc>
      </w:tr>
      <w:tr w:rsidR="00056304">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56304" w:rsidRDefault="00C60838">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巴州卫计委</w:t>
            </w:r>
          </w:p>
        </w:tc>
      </w:tr>
      <w:tr w:rsidR="00056304">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预算</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执行</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情况</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056304" w:rsidRDefault="00C60838">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105890.2</w:t>
            </w:r>
            <w:r>
              <w:rPr>
                <w:rFonts w:asciiTheme="majorEastAsia" w:eastAsiaTheme="majorEastAsia" w:hAnsiTheme="majorEastAsia"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056304" w:rsidRDefault="00C60838">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tcPr>
          <w:p w:rsidR="00056304" w:rsidRDefault="00C60838">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105890.2</w:t>
            </w:r>
            <w:r>
              <w:rPr>
                <w:rFonts w:asciiTheme="majorEastAsia" w:eastAsiaTheme="majorEastAsia" w:hAnsiTheme="majorEastAsia" w:cs="宋体" w:hint="eastAsia"/>
                <w:kern w:val="0"/>
                <w:sz w:val="20"/>
                <w:szCs w:val="20"/>
              </w:rPr>
              <w:t xml:space="preserve">　</w:t>
            </w:r>
          </w:p>
        </w:tc>
      </w:tr>
      <w:tr w:rsidR="00056304">
        <w:trPr>
          <w:trHeight w:val="509"/>
        </w:trPr>
        <w:tc>
          <w:tcPr>
            <w:tcW w:w="720" w:type="dxa"/>
            <w:vMerge/>
            <w:tcBorders>
              <w:top w:val="nil"/>
              <w:left w:val="single" w:sz="4" w:space="0" w:color="auto"/>
              <w:bottom w:val="single" w:sz="4" w:space="0" w:color="auto"/>
              <w:right w:val="single" w:sz="4" w:space="0" w:color="auto"/>
            </w:tcBorders>
            <w:vAlign w:val="center"/>
          </w:tcPr>
          <w:p w:rsidR="00056304" w:rsidRDefault="00056304">
            <w:pPr>
              <w:widowControl/>
              <w:jc w:val="left"/>
              <w:rPr>
                <w:rFonts w:asciiTheme="majorEastAsia" w:eastAsiaTheme="majorEastAsia" w:hAnsiTheme="majorEastAsia"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056304" w:rsidRDefault="00C60838">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105890.2</w:t>
            </w:r>
            <w:r>
              <w:rPr>
                <w:rFonts w:asciiTheme="majorEastAsia" w:eastAsiaTheme="majorEastAsia" w:hAnsiTheme="majorEastAsia" w:cs="宋体" w:hint="eastAsia"/>
                <w:kern w:val="0"/>
                <w:sz w:val="20"/>
                <w:szCs w:val="20"/>
              </w:rPr>
              <w:t xml:space="preserve">　</w:t>
            </w:r>
          </w:p>
        </w:tc>
        <w:tc>
          <w:tcPr>
            <w:tcW w:w="2060" w:type="dxa"/>
            <w:tcBorders>
              <w:top w:val="nil"/>
              <w:left w:val="nil"/>
              <w:bottom w:val="nil"/>
              <w:right w:val="single" w:sz="4" w:space="0" w:color="auto"/>
            </w:tcBorders>
            <w:shd w:val="clear" w:color="auto" w:fill="auto"/>
            <w:vAlign w:val="center"/>
          </w:tcPr>
          <w:p w:rsidR="00056304" w:rsidRDefault="00C60838">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056304" w:rsidRDefault="00C60838">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105890.2</w:t>
            </w:r>
            <w:r>
              <w:rPr>
                <w:rFonts w:asciiTheme="majorEastAsia" w:eastAsiaTheme="majorEastAsia" w:hAnsiTheme="majorEastAsia" w:cs="宋体" w:hint="eastAsia"/>
                <w:kern w:val="0"/>
                <w:sz w:val="20"/>
                <w:szCs w:val="20"/>
              </w:rPr>
              <w:t xml:space="preserve">　</w:t>
            </w:r>
          </w:p>
        </w:tc>
      </w:tr>
      <w:tr w:rsidR="00056304">
        <w:trPr>
          <w:trHeight w:val="433"/>
        </w:trPr>
        <w:tc>
          <w:tcPr>
            <w:tcW w:w="720" w:type="dxa"/>
            <w:vMerge/>
            <w:tcBorders>
              <w:top w:val="nil"/>
              <w:left w:val="single" w:sz="4" w:space="0" w:color="auto"/>
              <w:bottom w:val="single" w:sz="4" w:space="0" w:color="auto"/>
              <w:right w:val="single" w:sz="4" w:space="0" w:color="auto"/>
            </w:tcBorders>
            <w:vAlign w:val="center"/>
          </w:tcPr>
          <w:p w:rsidR="00056304" w:rsidRDefault="00056304">
            <w:pPr>
              <w:widowControl/>
              <w:jc w:val="left"/>
              <w:rPr>
                <w:rFonts w:asciiTheme="majorEastAsia" w:eastAsiaTheme="majorEastAsia" w:hAnsiTheme="majorEastAsia"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056304" w:rsidRDefault="00C60838">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056304" w:rsidRDefault="00C60838">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056304" w:rsidRDefault="00C60838">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r>
      <w:tr w:rsidR="00056304">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年度</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目标</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完成</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实际完成目标</w:t>
            </w:r>
          </w:p>
        </w:tc>
      </w:tr>
      <w:tr w:rsidR="00056304">
        <w:trPr>
          <w:trHeight w:val="1425"/>
        </w:trPr>
        <w:tc>
          <w:tcPr>
            <w:tcW w:w="720" w:type="dxa"/>
            <w:vMerge/>
            <w:tcBorders>
              <w:top w:val="nil"/>
              <w:left w:val="single" w:sz="4" w:space="0" w:color="auto"/>
              <w:bottom w:val="single" w:sz="4" w:space="0" w:color="auto"/>
              <w:right w:val="single" w:sz="4" w:space="0" w:color="auto"/>
            </w:tcBorders>
            <w:vAlign w:val="center"/>
          </w:tcPr>
          <w:p w:rsidR="00056304" w:rsidRDefault="00056304">
            <w:pPr>
              <w:widowControl/>
              <w:jc w:val="left"/>
              <w:rPr>
                <w:rFonts w:asciiTheme="majorEastAsia" w:eastAsiaTheme="majorEastAsia" w:hAnsiTheme="majorEastAsia"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056304" w:rsidRDefault="00C60838">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p w:rsidR="00056304" w:rsidRDefault="00C60838">
            <w:pPr>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继续推进削除肺结核病工作进程；进一步控制和降低疫苗针对传染病的发病。肺结核患者成功治疗率显著提高。基层医疗卫生机构肺结核患者规范管理率逐步提高。所有定点医疗机构具备开展痰涂片、培养、结核病分子生物学诊断的能力。以年度为单位报告肺结核患者和疑似肺结核患者的总体到位数据，肺结核患者成功治疗率达</w:t>
            </w:r>
            <w:r>
              <w:rPr>
                <w:rFonts w:asciiTheme="majorEastAsia" w:eastAsiaTheme="majorEastAsia" w:hAnsiTheme="majorEastAsia" w:cs="宋体" w:hint="eastAsia"/>
                <w:kern w:val="0"/>
                <w:sz w:val="20"/>
                <w:szCs w:val="20"/>
              </w:rPr>
              <w:t>85%</w:t>
            </w:r>
            <w:r>
              <w:rPr>
                <w:rFonts w:asciiTheme="majorEastAsia" w:eastAsiaTheme="majorEastAsia" w:hAnsiTheme="majorEastAsia" w:cs="宋体" w:hint="eastAsia"/>
                <w:kern w:val="0"/>
                <w:sz w:val="20"/>
                <w:szCs w:val="20"/>
              </w:rPr>
              <w:t>及以上。以年度为单位报告十万分之二以上各地州市</w:t>
            </w:r>
            <w:r>
              <w:rPr>
                <w:rFonts w:asciiTheme="majorEastAsia" w:eastAsiaTheme="majorEastAsia" w:hAnsiTheme="majorEastAsia" w:cs="宋体" w:hint="eastAsia"/>
                <w:kern w:val="0"/>
                <w:sz w:val="20"/>
                <w:szCs w:val="20"/>
              </w:rPr>
              <w:t>AFP</w:t>
            </w:r>
            <w:r>
              <w:rPr>
                <w:rFonts w:asciiTheme="majorEastAsia" w:eastAsiaTheme="majorEastAsia" w:hAnsiTheme="majorEastAsia" w:cs="宋体" w:hint="eastAsia"/>
                <w:kern w:val="0"/>
                <w:sz w:val="20"/>
                <w:szCs w:val="20"/>
              </w:rPr>
              <w:t>病报告率。以年度为单位十万分之二以上统计出各地州市麻疹排除病例报告发病率。治疗患者满意度大于等于</w:t>
            </w:r>
            <w:r>
              <w:rPr>
                <w:rFonts w:asciiTheme="majorEastAsia" w:eastAsiaTheme="majorEastAsia" w:hAnsiTheme="majorEastAsia" w:cs="宋体" w:hint="eastAsia"/>
                <w:kern w:val="0"/>
                <w:sz w:val="20"/>
                <w:szCs w:val="20"/>
              </w:rPr>
              <w:t>90%</w:t>
            </w:r>
            <w:r>
              <w:rPr>
                <w:rFonts w:asciiTheme="majorEastAsia" w:eastAsiaTheme="majorEastAsia" w:hAnsiTheme="majorEastAsia" w:cs="宋体" w:hint="eastAsia"/>
                <w:kern w:val="0"/>
                <w:sz w:val="20"/>
                <w:szCs w:val="20"/>
              </w:rPr>
              <w:t>。以县为单位</w:t>
            </w:r>
            <w:r>
              <w:rPr>
                <w:rFonts w:asciiTheme="majorEastAsia" w:eastAsiaTheme="majorEastAsia" w:hAnsiTheme="majorEastAsia" w:cs="宋体" w:hint="eastAsia"/>
                <w:kern w:val="0"/>
                <w:sz w:val="20"/>
                <w:szCs w:val="20"/>
              </w:rPr>
              <w:t>FDC</w:t>
            </w:r>
            <w:r>
              <w:rPr>
                <w:rFonts w:asciiTheme="majorEastAsia" w:eastAsiaTheme="majorEastAsia" w:hAnsiTheme="majorEastAsia" w:cs="宋体" w:hint="eastAsia"/>
                <w:kern w:val="0"/>
                <w:sz w:val="20"/>
                <w:szCs w:val="20"/>
              </w:rPr>
              <w:t>覆盖率达到</w:t>
            </w:r>
            <w:r>
              <w:rPr>
                <w:rFonts w:asciiTheme="majorEastAsia" w:eastAsiaTheme="majorEastAsia" w:hAnsiTheme="majorEastAsia" w:cs="宋体" w:hint="eastAsia"/>
                <w:kern w:val="0"/>
                <w:sz w:val="20"/>
                <w:szCs w:val="20"/>
              </w:rPr>
              <w:t>90%</w:t>
            </w:r>
            <w:r>
              <w:rPr>
                <w:rFonts w:asciiTheme="majorEastAsia" w:eastAsiaTheme="majorEastAsia" w:hAnsiTheme="majorEastAsia" w:cs="宋体" w:hint="eastAsia"/>
                <w:kern w:val="0"/>
                <w:sz w:val="20"/>
                <w:szCs w:val="20"/>
              </w:rPr>
              <w:t>。</w:t>
            </w:r>
          </w:p>
        </w:tc>
        <w:tc>
          <w:tcPr>
            <w:tcW w:w="3840" w:type="dxa"/>
            <w:gridSpan w:val="2"/>
            <w:tcBorders>
              <w:top w:val="single" w:sz="4" w:space="0" w:color="auto"/>
              <w:left w:val="nil"/>
              <w:bottom w:val="single" w:sz="4" w:space="0" w:color="auto"/>
              <w:right w:val="single" w:sz="4" w:space="0" w:color="000000"/>
            </w:tcBorders>
            <w:shd w:val="clear" w:color="auto" w:fill="auto"/>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推进削除肺结核病工作进程</w:t>
            </w:r>
            <w:r>
              <w:rPr>
                <w:rFonts w:asciiTheme="majorEastAsia" w:eastAsiaTheme="majorEastAsia" w:hAnsiTheme="majorEastAsia" w:cs="宋体" w:hint="eastAsia"/>
                <w:kern w:val="0"/>
                <w:sz w:val="20"/>
                <w:szCs w:val="20"/>
              </w:rPr>
              <w:t>；进一步控制和降低疫苗针对传染病的发病。肺结核患者成功治疗率显著提高。基层医疗卫生机构肺结核患者规范管理率逐步提高。所有定点医疗机构具备开展痰涂片、培养、结核病分子生物学诊断的能力。</w:t>
            </w:r>
          </w:p>
        </w:tc>
      </w:tr>
      <w:tr w:rsidR="00056304">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年度</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绩效</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指标</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完成</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实际完成指标值（包含数字及文字描述）</w:t>
            </w:r>
          </w:p>
        </w:tc>
      </w:tr>
      <w:tr w:rsidR="00056304">
        <w:trPr>
          <w:trHeight w:val="480"/>
        </w:trPr>
        <w:tc>
          <w:tcPr>
            <w:tcW w:w="720" w:type="dxa"/>
            <w:vMerge/>
            <w:tcBorders>
              <w:top w:val="nil"/>
              <w:left w:val="single" w:sz="4" w:space="0" w:color="auto"/>
              <w:bottom w:val="single" w:sz="4" w:space="0" w:color="000000"/>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报告肺结核患者和疑似结核患者的总体到位</w:t>
            </w:r>
          </w:p>
        </w:tc>
        <w:tc>
          <w:tcPr>
            <w:tcW w:w="2060" w:type="dxa"/>
            <w:tcBorders>
              <w:top w:val="nil"/>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50%</w:t>
            </w:r>
            <w:r>
              <w:rPr>
                <w:rFonts w:asciiTheme="majorEastAsia" w:eastAsiaTheme="majorEastAsia" w:hAnsiTheme="majorEastAsia" w:cs="宋体" w:hint="eastAsia"/>
                <w:kern w:val="0"/>
                <w:sz w:val="20"/>
                <w:szCs w:val="20"/>
              </w:rPr>
              <w:t>以上</w:t>
            </w:r>
          </w:p>
        </w:tc>
        <w:tc>
          <w:tcPr>
            <w:tcW w:w="1780" w:type="dxa"/>
            <w:tcBorders>
              <w:top w:val="nil"/>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90%</w:t>
            </w:r>
          </w:p>
        </w:tc>
      </w:tr>
      <w:tr w:rsidR="00056304">
        <w:trPr>
          <w:trHeight w:val="504"/>
        </w:trPr>
        <w:tc>
          <w:tcPr>
            <w:tcW w:w="720" w:type="dxa"/>
            <w:vMerge/>
            <w:tcBorders>
              <w:top w:val="nil"/>
              <w:left w:val="single" w:sz="4" w:space="0" w:color="auto"/>
              <w:bottom w:val="single" w:sz="4" w:space="0" w:color="000000"/>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病原学检查阳性肺结核患者的密切接触者筛查率</w:t>
            </w:r>
          </w:p>
        </w:tc>
        <w:tc>
          <w:tcPr>
            <w:tcW w:w="2060" w:type="dxa"/>
            <w:tcBorders>
              <w:top w:val="nil"/>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75%</w:t>
            </w:r>
            <w:r>
              <w:rPr>
                <w:rFonts w:asciiTheme="majorEastAsia" w:eastAsiaTheme="majorEastAsia" w:hAnsiTheme="majorEastAsia" w:cs="宋体" w:hint="eastAsia"/>
                <w:kern w:val="0"/>
                <w:sz w:val="20"/>
                <w:szCs w:val="20"/>
              </w:rPr>
              <w:t>以上</w:t>
            </w:r>
          </w:p>
        </w:tc>
        <w:tc>
          <w:tcPr>
            <w:tcW w:w="1780" w:type="dxa"/>
            <w:tcBorders>
              <w:top w:val="nil"/>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90%</w:t>
            </w:r>
          </w:p>
        </w:tc>
      </w:tr>
      <w:tr w:rsidR="00056304">
        <w:trPr>
          <w:trHeight w:val="480"/>
        </w:trPr>
        <w:tc>
          <w:tcPr>
            <w:tcW w:w="720" w:type="dxa"/>
            <w:vMerge/>
            <w:tcBorders>
              <w:top w:val="nil"/>
              <w:left w:val="single" w:sz="4" w:space="0" w:color="auto"/>
              <w:bottom w:val="single" w:sz="4" w:space="0" w:color="000000"/>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肺结核患者病原学阳性率</w:t>
            </w:r>
          </w:p>
        </w:tc>
        <w:tc>
          <w:tcPr>
            <w:tcW w:w="2060" w:type="dxa"/>
            <w:tcBorders>
              <w:top w:val="nil"/>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70%</w:t>
            </w:r>
            <w:r>
              <w:rPr>
                <w:rFonts w:asciiTheme="majorEastAsia" w:eastAsiaTheme="majorEastAsia" w:hAnsiTheme="majorEastAsia" w:cs="宋体" w:hint="eastAsia"/>
                <w:kern w:val="0"/>
                <w:sz w:val="20"/>
                <w:szCs w:val="20"/>
              </w:rPr>
              <w:t>以上</w:t>
            </w:r>
          </w:p>
        </w:tc>
        <w:tc>
          <w:tcPr>
            <w:tcW w:w="1780" w:type="dxa"/>
            <w:tcBorders>
              <w:top w:val="nil"/>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90%</w:t>
            </w:r>
          </w:p>
        </w:tc>
      </w:tr>
      <w:tr w:rsidR="00056304">
        <w:trPr>
          <w:trHeight w:val="480"/>
        </w:trPr>
        <w:tc>
          <w:tcPr>
            <w:tcW w:w="720" w:type="dxa"/>
            <w:vMerge/>
            <w:tcBorders>
              <w:top w:val="nil"/>
              <w:left w:val="single" w:sz="4" w:space="0" w:color="auto"/>
              <w:bottom w:val="single" w:sz="4" w:space="0" w:color="000000"/>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各地州市以乡（镇）为单位适龄儿童免疫规划疫苗接种率</w:t>
            </w:r>
          </w:p>
        </w:tc>
        <w:tc>
          <w:tcPr>
            <w:tcW w:w="2060" w:type="dxa"/>
            <w:tcBorders>
              <w:top w:val="nil"/>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及时</w:t>
            </w:r>
          </w:p>
        </w:tc>
        <w:tc>
          <w:tcPr>
            <w:tcW w:w="1780" w:type="dxa"/>
            <w:tcBorders>
              <w:top w:val="nil"/>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及时</w:t>
            </w:r>
          </w:p>
        </w:tc>
      </w:tr>
      <w:tr w:rsidR="00056304">
        <w:trPr>
          <w:trHeight w:val="480"/>
        </w:trPr>
        <w:tc>
          <w:tcPr>
            <w:tcW w:w="720" w:type="dxa"/>
            <w:vMerge/>
            <w:tcBorders>
              <w:top w:val="nil"/>
              <w:left w:val="single" w:sz="4" w:space="0" w:color="auto"/>
              <w:bottom w:val="single" w:sz="4" w:space="0" w:color="000000"/>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肺结核患者成功治疗率</w:t>
            </w:r>
          </w:p>
        </w:tc>
        <w:tc>
          <w:tcPr>
            <w:tcW w:w="2060" w:type="dxa"/>
            <w:tcBorders>
              <w:top w:val="nil"/>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90%</w:t>
            </w:r>
          </w:p>
        </w:tc>
        <w:tc>
          <w:tcPr>
            <w:tcW w:w="1780" w:type="dxa"/>
            <w:tcBorders>
              <w:top w:val="nil"/>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90%</w:t>
            </w:r>
          </w:p>
        </w:tc>
      </w:tr>
      <w:tr w:rsidR="00056304">
        <w:trPr>
          <w:trHeight w:val="480"/>
        </w:trPr>
        <w:tc>
          <w:tcPr>
            <w:tcW w:w="720" w:type="dxa"/>
            <w:vMerge/>
            <w:tcBorders>
              <w:top w:val="nil"/>
              <w:left w:val="single" w:sz="4" w:space="0" w:color="auto"/>
              <w:bottom w:val="single" w:sz="4" w:space="0" w:color="000000"/>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工作</w:t>
            </w: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完成时限</w:t>
            </w:r>
          </w:p>
        </w:tc>
        <w:tc>
          <w:tcPr>
            <w:tcW w:w="2060" w:type="dxa"/>
            <w:tcBorders>
              <w:top w:val="nil"/>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bookmarkStart w:id="0" w:name="_GoBack"/>
            <w:bookmarkEnd w:id="0"/>
            <w:r>
              <w:rPr>
                <w:rFonts w:asciiTheme="majorEastAsia" w:eastAsiaTheme="majorEastAsia" w:hAnsiTheme="majorEastAsia" w:cs="宋体" w:hint="eastAsia"/>
                <w:kern w:val="0"/>
                <w:sz w:val="20"/>
                <w:szCs w:val="20"/>
              </w:rPr>
              <w:t>12</w:t>
            </w:r>
            <w:r>
              <w:rPr>
                <w:rFonts w:asciiTheme="majorEastAsia" w:eastAsiaTheme="majorEastAsia" w:hAnsiTheme="majorEastAsia" w:cs="宋体" w:hint="eastAsia"/>
                <w:kern w:val="0"/>
                <w:sz w:val="20"/>
                <w:szCs w:val="20"/>
              </w:rPr>
              <w:t>月</w:t>
            </w:r>
          </w:p>
        </w:tc>
        <w:tc>
          <w:tcPr>
            <w:tcW w:w="1780" w:type="dxa"/>
            <w:tcBorders>
              <w:top w:val="nil"/>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12</w:t>
            </w:r>
            <w:r>
              <w:rPr>
                <w:rFonts w:asciiTheme="majorEastAsia" w:eastAsiaTheme="majorEastAsia" w:hAnsiTheme="majorEastAsia" w:cs="宋体" w:hint="eastAsia"/>
                <w:kern w:val="0"/>
                <w:sz w:val="20"/>
                <w:szCs w:val="20"/>
              </w:rPr>
              <w:t>月</w:t>
            </w:r>
          </w:p>
        </w:tc>
      </w:tr>
      <w:tr w:rsidR="00056304">
        <w:trPr>
          <w:trHeight w:val="480"/>
        </w:trPr>
        <w:tc>
          <w:tcPr>
            <w:tcW w:w="720" w:type="dxa"/>
            <w:vMerge/>
            <w:tcBorders>
              <w:top w:val="nil"/>
              <w:left w:val="single" w:sz="4" w:space="0" w:color="auto"/>
              <w:bottom w:val="single" w:sz="4" w:space="0" w:color="000000"/>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项目资金</w:t>
            </w:r>
            <w:r>
              <w:rPr>
                <w:rFonts w:asciiTheme="majorEastAsia" w:eastAsiaTheme="majorEastAsia" w:hAnsiTheme="majorEastAsia" w:cs="宋体" w:hint="eastAsia"/>
                <w:kern w:val="0"/>
                <w:sz w:val="20"/>
                <w:szCs w:val="20"/>
              </w:rPr>
              <w:t>到位性</w:t>
            </w:r>
          </w:p>
        </w:tc>
        <w:tc>
          <w:tcPr>
            <w:tcW w:w="2060" w:type="dxa"/>
            <w:tcBorders>
              <w:top w:val="nil"/>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及时</w:t>
            </w:r>
          </w:p>
        </w:tc>
        <w:tc>
          <w:tcPr>
            <w:tcW w:w="1780" w:type="dxa"/>
            <w:tcBorders>
              <w:top w:val="nil"/>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及时</w:t>
            </w:r>
          </w:p>
        </w:tc>
      </w:tr>
      <w:tr w:rsidR="00056304">
        <w:trPr>
          <w:trHeight w:val="480"/>
        </w:trPr>
        <w:tc>
          <w:tcPr>
            <w:tcW w:w="720" w:type="dxa"/>
            <w:vMerge/>
            <w:tcBorders>
              <w:top w:val="nil"/>
              <w:left w:val="single" w:sz="4" w:space="0" w:color="auto"/>
              <w:bottom w:val="single" w:sz="4" w:space="0" w:color="000000"/>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056304" w:rsidRDefault="00056304">
            <w:pPr>
              <w:widowControl/>
              <w:jc w:val="center"/>
              <w:rPr>
                <w:rFonts w:asciiTheme="majorEastAsia" w:eastAsiaTheme="majorEastAsia" w:hAnsiTheme="majorEastAsia" w:cs="宋体"/>
                <w:kern w:val="0"/>
                <w:sz w:val="20"/>
                <w:szCs w:val="20"/>
              </w:rPr>
            </w:pPr>
          </w:p>
        </w:tc>
        <w:tc>
          <w:tcPr>
            <w:tcW w:w="2060" w:type="dxa"/>
            <w:tcBorders>
              <w:top w:val="nil"/>
              <w:left w:val="nil"/>
              <w:bottom w:val="single" w:sz="4" w:space="0" w:color="auto"/>
              <w:right w:val="single" w:sz="4" w:space="0" w:color="auto"/>
            </w:tcBorders>
            <w:shd w:val="clear" w:color="auto" w:fill="auto"/>
            <w:vAlign w:val="center"/>
          </w:tcPr>
          <w:p w:rsidR="00056304" w:rsidRDefault="00056304">
            <w:pPr>
              <w:widowControl/>
              <w:jc w:val="center"/>
              <w:rPr>
                <w:rFonts w:asciiTheme="majorEastAsia" w:eastAsiaTheme="majorEastAsia" w:hAnsiTheme="majorEastAsia"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056304" w:rsidRDefault="00056304">
            <w:pPr>
              <w:widowControl/>
              <w:jc w:val="center"/>
              <w:rPr>
                <w:rFonts w:asciiTheme="majorEastAsia" w:eastAsiaTheme="majorEastAsia" w:hAnsiTheme="majorEastAsia" w:cs="宋体"/>
                <w:kern w:val="0"/>
                <w:sz w:val="20"/>
                <w:szCs w:val="20"/>
              </w:rPr>
            </w:pPr>
          </w:p>
        </w:tc>
      </w:tr>
      <w:tr w:rsidR="00056304">
        <w:trPr>
          <w:trHeight w:val="480"/>
        </w:trPr>
        <w:tc>
          <w:tcPr>
            <w:tcW w:w="720" w:type="dxa"/>
            <w:vMerge/>
            <w:tcBorders>
              <w:top w:val="nil"/>
              <w:left w:val="single" w:sz="4" w:space="0" w:color="auto"/>
              <w:bottom w:val="single" w:sz="4" w:space="0" w:color="000000"/>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经济效益</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056304" w:rsidRDefault="00056304">
            <w:pPr>
              <w:widowControl/>
              <w:jc w:val="center"/>
              <w:rPr>
                <w:rFonts w:asciiTheme="majorEastAsia" w:eastAsiaTheme="majorEastAsia" w:hAnsiTheme="majorEastAsia" w:cs="宋体"/>
                <w:kern w:val="0"/>
                <w:sz w:val="20"/>
                <w:szCs w:val="20"/>
              </w:rPr>
            </w:pPr>
          </w:p>
        </w:tc>
        <w:tc>
          <w:tcPr>
            <w:tcW w:w="2060" w:type="dxa"/>
            <w:tcBorders>
              <w:top w:val="nil"/>
              <w:left w:val="nil"/>
              <w:bottom w:val="single" w:sz="4" w:space="0" w:color="auto"/>
              <w:right w:val="single" w:sz="4" w:space="0" w:color="auto"/>
            </w:tcBorders>
            <w:shd w:val="clear" w:color="auto" w:fill="auto"/>
            <w:vAlign w:val="center"/>
          </w:tcPr>
          <w:p w:rsidR="00056304" w:rsidRDefault="00056304">
            <w:pPr>
              <w:widowControl/>
              <w:jc w:val="center"/>
              <w:rPr>
                <w:rFonts w:asciiTheme="majorEastAsia" w:eastAsiaTheme="majorEastAsia" w:hAnsiTheme="majorEastAsia"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056304" w:rsidRDefault="00056304">
            <w:pPr>
              <w:widowControl/>
              <w:jc w:val="center"/>
              <w:rPr>
                <w:rFonts w:asciiTheme="majorEastAsia" w:eastAsiaTheme="majorEastAsia" w:hAnsiTheme="majorEastAsia" w:cs="宋体"/>
                <w:kern w:val="0"/>
                <w:sz w:val="20"/>
                <w:szCs w:val="20"/>
              </w:rPr>
            </w:pPr>
          </w:p>
        </w:tc>
      </w:tr>
      <w:tr w:rsidR="00056304">
        <w:trPr>
          <w:trHeight w:val="480"/>
        </w:trPr>
        <w:tc>
          <w:tcPr>
            <w:tcW w:w="720" w:type="dxa"/>
            <w:vMerge/>
            <w:tcBorders>
              <w:top w:val="nil"/>
              <w:left w:val="single" w:sz="4" w:space="0" w:color="auto"/>
              <w:bottom w:val="single" w:sz="4" w:space="0" w:color="000000"/>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056304" w:rsidRDefault="00056304">
            <w:pPr>
              <w:widowControl/>
              <w:jc w:val="center"/>
              <w:rPr>
                <w:rFonts w:asciiTheme="majorEastAsia" w:eastAsiaTheme="majorEastAsia" w:hAnsiTheme="majorEastAsia" w:cs="宋体"/>
                <w:kern w:val="0"/>
                <w:sz w:val="20"/>
                <w:szCs w:val="20"/>
              </w:rPr>
            </w:pPr>
          </w:p>
        </w:tc>
        <w:tc>
          <w:tcPr>
            <w:tcW w:w="2060" w:type="dxa"/>
            <w:tcBorders>
              <w:top w:val="nil"/>
              <w:left w:val="nil"/>
              <w:bottom w:val="single" w:sz="4" w:space="0" w:color="auto"/>
              <w:right w:val="single" w:sz="4" w:space="0" w:color="auto"/>
            </w:tcBorders>
            <w:shd w:val="clear" w:color="auto" w:fill="auto"/>
            <w:vAlign w:val="center"/>
          </w:tcPr>
          <w:p w:rsidR="00056304" w:rsidRDefault="00056304">
            <w:pPr>
              <w:widowControl/>
              <w:jc w:val="center"/>
              <w:rPr>
                <w:rFonts w:asciiTheme="majorEastAsia" w:eastAsiaTheme="majorEastAsia" w:hAnsiTheme="majorEastAsia"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056304" w:rsidRDefault="00056304">
            <w:pPr>
              <w:widowControl/>
              <w:jc w:val="center"/>
              <w:rPr>
                <w:rFonts w:asciiTheme="majorEastAsia" w:eastAsiaTheme="majorEastAsia" w:hAnsiTheme="majorEastAsia" w:cs="宋体"/>
                <w:kern w:val="0"/>
                <w:sz w:val="20"/>
                <w:szCs w:val="20"/>
              </w:rPr>
            </w:pPr>
          </w:p>
        </w:tc>
      </w:tr>
      <w:tr w:rsidR="00056304">
        <w:trPr>
          <w:trHeight w:val="480"/>
        </w:trPr>
        <w:tc>
          <w:tcPr>
            <w:tcW w:w="720" w:type="dxa"/>
            <w:vMerge/>
            <w:tcBorders>
              <w:top w:val="nil"/>
              <w:left w:val="single" w:sz="4" w:space="0" w:color="auto"/>
              <w:bottom w:val="single" w:sz="4" w:space="0" w:color="000000"/>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社会效益</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肺结核报告发病水平明显</w:t>
            </w:r>
          </w:p>
        </w:tc>
        <w:tc>
          <w:tcPr>
            <w:tcW w:w="2060" w:type="dxa"/>
            <w:tcBorders>
              <w:top w:val="nil"/>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80%</w:t>
            </w:r>
            <w:r>
              <w:rPr>
                <w:rFonts w:asciiTheme="majorEastAsia" w:eastAsiaTheme="majorEastAsia" w:hAnsiTheme="majorEastAsia" w:cs="宋体" w:hint="eastAsia"/>
                <w:kern w:val="0"/>
                <w:sz w:val="20"/>
                <w:szCs w:val="20"/>
              </w:rPr>
              <w:t>以上</w:t>
            </w:r>
          </w:p>
        </w:tc>
        <w:tc>
          <w:tcPr>
            <w:tcW w:w="1780" w:type="dxa"/>
            <w:tcBorders>
              <w:top w:val="nil"/>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90%</w:t>
            </w:r>
          </w:p>
        </w:tc>
      </w:tr>
      <w:tr w:rsidR="00056304">
        <w:trPr>
          <w:trHeight w:val="480"/>
        </w:trPr>
        <w:tc>
          <w:tcPr>
            <w:tcW w:w="720" w:type="dxa"/>
            <w:vMerge/>
            <w:tcBorders>
              <w:top w:val="nil"/>
              <w:left w:val="single" w:sz="4" w:space="0" w:color="auto"/>
              <w:bottom w:val="single" w:sz="4" w:space="0" w:color="000000"/>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居民健康水平提高</w:t>
            </w:r>
          </w:p>
        </w:tc>
        <w:tc>
          <w:tcPr>
            <w:tcW w:w="2060" w:type="dxa"/>
            <w:tcBorders>
              <w:top w:val="nil"/>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逐步提高</w:t>
            </w:r>
          </w:p>
        </w:tc>
        <w:tc>
          <w:tcPr>
            <w:tcW w:w="1780" w:type="dxa"/>
            <w:tcBorders>
              <w:top w:val="nil"/>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逐步提高</w:t>
            </w:r>
          </w:p>
        </w:tc>
      </w:tr>
      <w:tr w:rsidR="00056304">
        <w:trPr>
          <w:trHeight w:val="480"/>
        </w:trPr>
        <w:tc>
          <w:tcPr>
            <w:tcW w:w="720" w:type="dxa"/>
            <w:vMerge/>
            <w:tcBorders>
              <w:top w:val="nil"/>
              <w:left w:val="single" w:sz="4" w:space="0" w:color="auto"/>
              <w:bottom w:val="single" w:sz="4" w:space="0" w:color="000000"/>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生态效益</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056304" w:rsidRDefault="00056304">
            <w:pPr>
              <w:widowControl/>
              <w:jc w:val="center"/>
              <w:rPr>
                <w:rFonts w:asciiTheme="majorEastAsia" w:eastAsiaTheme="majorEastAsia" w:hAnsiTheme="majorEastAsia" w:cs="宋体"/>
                <w:kern w:val="0"/>
                <w:sz w:val="20"/>
                <w:szCs w:val="20"/>
              </w:rPr>
            </w:pPr>
          </w:p>
        </w:tc>
        <w:tc>
          <w:tcPr>
            <w:tcW w:w="2060" w:type="dxa"/>
            <w:tcBorders>
              <w:top w:val="nil"/>
              <w:left w:val="nil"/>
              <w:bottom w:val="single" w:sz="4" w:space="0" w:color="auto"/>
              <w:right w:val="single" w:sz="4" w:space="0" w:color="auto"/>
            </w:tcBorders>
            <w:shd w:val="clear" w:color="auto" w:fill="auto"/>
            <w:vAlign w:val="center"/>
          </w:tcPr>
          <w:p w:rsidR="00056304" w:rsidRDefault="00056304">
            <w:pPr>
              <w:widowControl/>
              <w:jc w:val="center"/>
              <w:rPr>
                <w:rFonts w:asciiTheme="majorEastAsia" w:eastAsiaTheme="majorEastAsia" w:hAnsiTheme="majorEastAsia"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056304" w:rsidRDefault="00056304">
            <w:pPr>
              <w:widowControl/>
              <w:jc w:val="center"/>
              <w:rPr>
                <w:rFonts w:asciiTheme="majorEastAsia" w:eastAsiaTheme="majorEastAsia" w:hAnsiTheme="majorEastAsia" w:cs="宋体"/>
                <w:kern w:val="0"/>
                <w:sz w:val="20"/>
                <w:szCs w:val="20"/>
              </w:rPr>
            </w:pPr>
          </w:p>
        </w:tc>
      </w:tr>
      <w:tr w:rsidR="00056304">
        <w:trPr>
          <w:trHeight w:val="480"/>
        </w:trPr>
        <w:tc>
          <w:tcPr>
            <w:tcW w:w="720" w:type="dxa"/>
            <w:vMerge/>
            <w:tcBorders>
              <w:top w:val="nil"/>
              <w:left w:val="single" w:sz="4" w:space="0" w:color="auto"/>
              <w:bottom w:val="single" w:sz="4" w:space="0" w:color="000000"/>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056304" w:rsidRDefault="00056304">
            <w:pPr>
              <w:widowControl/>
              <w:jc w:val="center"/>
              <w:rPr>
                <w:rFonts w:asciiTheme="majorEastAsia" w:eastAsiaTheme="majorEastAsia" w:hAnsiTheme="majorEastAsia" w:cs="宋体"/>
                <w:kern w:val="0"/>
                <w:sz w:val="20"/>
                <w:szCs w:val="20"/>
              </w:rPr>
            </w:pPr>
          </w:p>
        </w:tc>
        <w:tc>
          <w:tcPr>
            <w:tcW w:w="2060" w:type="dxa"/>
            <w:tcBorders>
              <w:top w:val="nil"/>
              <w:left w:val="nil"/>
              <w:bottom w:val="single" w:sz="4" w:space="0" w:color="auto"/>
              <w:right w:val="single" w:sz="4" w:space="0" w:color="auto"/>
            </w:tcBorders>
            <w:shd w:val="clear" w:color="auto" w:fill="auto"/>
            <w:vAlign w:val="center"/>
          </w:tcPr>
          <w:p w:rsidR="00056304" w:rsidRDefault="00056304">
            <w:pPr>
              <w:widowControl/>
              <w:jc w:val="center"/>
              <w:rPr>
                <w:rFonts w:asciiTheme="majorEastAsia" w:eastAsiaTheme="majorEastAsia" w:hAnsiTheme="majorEastAsia"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056304" w:rsidRDefault="00056304">
            <w:pPr>
              <w:widowControl/>
              <w:jc w:val="center"/>
              <w:rPr>
                <w:rFonts w:asciiTheme="majorEastAsia" w:eastAsiaTheme="majorEastAsia" w:hAnsiTheme="majorEastAsia" w:cs="宋体"/>
                <w:kern w:val="0"/>
                <w:sz w:val="20"/>
                <w:szCs w:val="20"/>
              </w:rPr>
            </w:pPr>
          </w:p>
        </w:tc>
      </w:tr>
      <w:tr w:rsidR="00056304">
        <w:trPr>
          <w:trHeight w:val="480"/>
        </w:trPr>
        <w:tc>
          <w:tcPr>
            <w:tcW w:w="720" w:type="dxa"/>
            <w:vMerge/>
            <w:tcBorders>
              <w:top w:val="nil"/>
              <w:left w:val="single" w:sz="4" w:space="0" w:color="auto"/>
              <w:bottom w:val="single" w:sz="4" w:space="0" w:color="000000"/>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可持续影响</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056304" w:rsidRDefault="00056304">
            <w:pPr>
              <w:widowControl/>
              <w:jc w:val="center"/>
              <w:rPr>
                <w:rFonts w:asciiTheme="majorEastAsia" w:eastAsiaTheme="majorEastAsia" w:hAnsiTheme="majorEastAsia" w:cs="宋体"/>
                <w:kern w:val="0"/>
                <w:sz w:val="20"/>
                <w:szCs w:val="20"/>
              </w:rPr>
            </w:pPr>
          </w:p>
        </w:tc>
        <w:tc>
          <w:tcPr>
            <w:tcW w:w="2060" w:type="dxa"/>
            <w:tcBorders>
              <w:top w:val="nil"/>
              <w:left w:val="nil"/>
              <w:bottom w:val="single" w:sz="4" w:space="0" w:color="auto"/>
              <w:right w:val="single" w:sz="4" w:space="0" w:color="auto"/>
            </w:tcBorders>
            <w:shd w:val="clear" w:color="auto" w:fill="auto"/>
            <w:vAlign w:val="center"/>
          </w:tcPr>
          <w:p w:rsidR="00056304" w:rsidRDefault="00056304">
            <w:pPr>
              <w:widowControl/>
              <w:jc w:val="center"/>
              <w:rPr>
                <w:rFonts w:asciiTheme="majorEastAsia" w:eastAsiaTheme="majorEastAsia" w:hAnsiTheme="majorEastAsia"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056304" w:rsidRDefault="00056304">
            <w:pPr>
              <w:widowControl/>
              <w:jc w:val="center"/>
              <w:rPr>
                <w:rFonts w:asciiTheme="majorEastAsia" w:eastAsiaTheme="majorEastAsia" w:hAnsiTheme="majorEastAsia" w:cs="宋体"/>
                <w:kern w:val="0"/>
                <w:sz w:val="20"/>
                <w:szCs w:val="20"/>
              </w:rPr>
            </w:pPr>
          </w:p>
        </w:tc>
      </w:tr>
      <w:tr w:rsidR="00056304">
        <w:trPr>
          <w:trHeight w:val="480"/>
        </w:trPr>
        <w:tc>
          <w:tcPr>
            <w:tcW w:w="720" w:type="dxa"/>
            <w:vMerge/>
            <w:tcBorders>
              <w:top w:val="nil"/>
              <w:left w:val="single" w:sz="4" w:space="0" w:color="auto"/>
              <w:bottom w:val="single" w:sz="4" w:space="0" w:color="000000"/>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056304" w:rsidRDefault="00056304">
            <w:pPr>
              <w:widowControl/>
              <w:jc w:val="center"/>
              <w:rPr>
                <w:rFonts w:asciiTheme="majorEastAsia" w:eastAsiaTheme="majorEastAsia" w:hAnsiTheme="majorEastAsia" w:cs="宋体"/>
                <w:kern w:val="0"/>
                <w:sz w:val="20"/>
                <w:szCs w:val="20"/>
              </w:rPr>
            </w:pPr>
          </w:p>
        </w:tc>
        <w:tc>
          <w:tcPr>
            <w:tcW w:w="2060" w:type="dxa"/>
            <w:tcBorders>
              <w:top w:val="nil"/>
              <w:left w:val="nil"/>
              <w:bottom w:val="single" w:sz="4" w:space="0" w:color="auto"/>
              <w:right w:val="single" w:sz="4" w:space="0" w:color="auto"/>
            </w:tcBorders>
            <w:shd w:val="clear" w:color="auto" w:fill="auto"/>
            <w:vAlign w:val="center"/>
          </w:tcPr>
          <w:p w:rsidR="00056304" w:rsidRDefault="00056304">
            <w:pPr>
              <w:widowControl/>
              <w:jc w:val="center"/>
              <w:rPr>
                <w:rFonts w:asciiTheme="majorEastAsia" w:eastAsiaTheme="majorEastAsia" w:hAnsiTheme="majorEastAsia"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056304" w:rsidRDefault="00056304">
            <w:pPr>
              <w:widowControl/>
              <w:jc w:val="center"/>
              <w:rPr>
                <w:rFonts w:asciiTheme="majorEastAsia" w:eastAsiaTheme="majorEastAsia" w:hAnsiTheme="majorEastAsia" w:cs="宋体"/>
                <w:kern w:val="0"/>
                <w:sz w:val="20"/>
                <w:szCs w:val="20"/>
              </w:rPr>
            </w:pPr>
          </w:p>
        </w:tc>
      </w:tr>
      <w:tr w:rsidR="00056304">
        <w:trPr>
          <w:trHeight w:val="480"/>
        </w:trPr>
        <w:tc>
          <w:tcPr>
            <w:tcW w:w="720" w:type="dxa"/>
            <w:vMerge/>
            <w:tcBorders>
              <w:top w:val="nil"/>
              <w:left w:val="single" w:sz="4" w:space="0" w:color="auto"/>
              <w:bottom w:val="single" w:sz="4" w:space="0" w:color="000000"/>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满意度</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患者满意度</w:t>
            </w:r>
          </w:p>
        </w:tc>
        <w:tc>
          <w:tcPr>
            <w:tcW w:w="2060" w:type="dxa"/>
            <w:tcBorders>
              <w:top w:val="nil"/>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80%</w:t>
            </w:r>
            <w:r>
              <w:rPr>
                <w:rFonts w:asciiTheme="majorEastAsia" w:eastAsiaTheme="majorEastAsia" w:hAnsiTheme="majorEastAsia" w:cs="宋体" w:hint="eastAsia"/>
                <w:kern w:val="0"/>
                <w:sz w:val="20"/>
                <w:szCs w:val="20"/>
              </w:rPr>
              <w:t>以上</w:t>
            </w:r>
          </w:p>
        </w:tc>
        <w:tc>
          <w:tcPr>
            <w:tcW w:w="1780" w:type="dxa"/>
            <w:tcBorders>
              <w:top w:val="nil"/>
              <w:left w:val="nil"/>
              <w:bottom w:val="single" w:sz="4" w:space="0" w:color="auto"/>
              <w:right w:val="single" w:sz="4" w:space="0" w:color="auto"/>
            </w:tcBorders>
            <w:shd w:val="clear" w:color="auto" w:fill="auto"/>
            <w:vAlign w:val="center"/>
          </w:tcPr>
          <w:p w:rsidR="00056304" w:rsidRDefault="00C60838">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100%</w:t>
            </w:r>
          </w:p>
        </w:tc>
      </w:tr>
      <w:tr w:rsidR="00056304">
        <w:trPr>
          <w:trHeight w:val="480"/>
        </w:trPr>
        <w:tc>
          <w:tcPr>
            <w:tcW w:w="720" w:type="dxa"/>
            <w:vMerge/>
            <w:tcBorders>
              <w:top w:val="nil"/>
              <w:left w:val="single" w:sz="4" w:space="0" w:color="auto"/>
              <w:bottom w:val="single" w:sz="4" w:space="0" w:color="000000"/>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056304" w:rsidRDefault="00056304">
            <w:pPr>
              <w:widowControl/>
              <w:jc w:val="center"/>
              <w:rPr>
                <w:rFonts w:asciiTheme="majorEastAsia" w:eastAsiaTheme="majorEastAsia" w:hAnsiTheme="maj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056304" w:rsidRDefault="00056304">
            <w:pPr>
              <w:widowControl/>
              <w:jc w:val="center"/>
              <w:rPr>
                <w:rFonts w:asciiTheme="majorEastAsia" w:eastAsiaTheme="majorEastAsia" w:hAnsiTheme="majorEastAsia" w:cs="宋体"/>
                <w:kern w:val="0"/>
                <w:sz w:val="20"/>
                <w:szCs w:val="20"/>
              </w:rPr>
            </w:pPr>
          </w:p>
        </w:tc>
        <w:tc>
          <w:tcPr>
            <w:tcW w:w="2060" w:type="dxa"/>
            <w:tcBorders>
              <w:top w:val="nil"/>
              <w:left w:val="nil"/>
              <w:bottom w:val="single" w:sz="4" w:space="0" w:color="auto"/>
              <w:right w:val="single" w:sz="4" w:space="0" w:color="auto"/>
            </w:tcBorders>
            <w:shd w:val="clear" w:color="auto" w:fill="auto"/>
            <w:vAlign w:val="center"/>
          </w:tcPr>
          <w:p w:rsidR="00056304" w:rsidRDefault="00056304">
            <w:pPr>
              <w:widowControl/>
              <w:jc w:val="center"/>
              <w:rPr>
                <w:rFonts w:asciiTheme="majorEastAsia" w:eastAsiaTheme="majorEastAsia" w:hAnsiTheme="majorEastAsia"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056304" w:rsidRDefault="00056304">
            <w:pPr>
              <w:widowControl/>
              <w:jc w:val="center"/>
              <w:rPr>
                <w:rFonts w:asciiTheme="majorEastAsia" w:eastAsiaTheme="majorEastAsia" w:hAnsiTheme="majorEastAsia" w:cs="宋体"/>
                <w:kern w:val="0"/>
                <w:sz w:val="20"/>
                <w:szCs w:val="20"/>
              </w:rPr>
            </w:pPr>
          </w:p>
        </w:tc>
      </w:tr>
    </w:tbl>
    <w:p w:rsidR="00056304" w:rsidRDefault="00056304">
      <w:pPr>
        <w:spacing w:line="540" w:lineRule="exact"/>
        <w:jc w:val="center"/>
        <w:rPr>
          <w:rStyle w:val="a8"/>
          <w:rFonts w:asciiTheme="majorEastAsia" w:eastAsiaTheme="majorEastAsia" w:hAnsiTheme="majorEastAsia"/>
          <w:b w:val="0"/>
          <w:spacing w:val="-4"/>
          <w:sz w:val="32"/>
          <w:szCs w:val="32"/>
        </w:rPr>
      </w:pPr>
    </w:p>
    <w:p w:rsidR="00056304" w:rsidRDefault="00056304">
      <w:pPr>
        <w:spacing w:line="540" w:lineRule="exact"/>
        <w:ind w:firstLine="567"/>
        <w:rPr>
          <w:rStyle w:val="a8"/>
          <w:rFonts w:asciiTheme="majorEastAsia" w:eastAsiaTheme="majorEastAsia" w:hAnsiTheme="majorEastAsia"/>
          <w:b w:val="0"/>
          <w:spacing w:val="-4"/>
          <w:sz w:val="32"/>
          <w:szCs w:val="32"/>
        </w:rPr>
      </w:pPr>
    </w:p>
    <w:sectPr w:rsidR="00056304" w:rsidSect="00056304">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6304" w:rsidRDefault="00056304" w:rsidP="00056304">
      <w:r>
        <w:separator/>
      </w:r>
    </w:p>
  </w:endnote>
  <w:endnote w:type="continuationSeparator" w:id="0">
    <w:p w:rsidR="00056304" w:rsidRDefault="00056304" w:rsidP="0005630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056304" w:rsidRDefault="00056304">
        <w:pPr>
          <w:pStyle w:val="a4"/>
          <w:jc w:val="center"/>
        </w:pPr>
        <w:r>
          <w:fldChar w:fldCharType="begin"/>
        </w:r>
        <w:r w:rsidR="00C60838">
          <w:instrText>PAGE   \* MERGEFORMAT</w:instrText>
        </w:r>
        <w:r>
          <w:fldChar w:fldCharType="separate"/>
        </w:r>
        <w:r w:rsidR="00C60838" w:rsidRPr="00C60838">
          <w:rPr>
            <w:noProof/>
            <w:lang w:val="zh-CN"/>
          </w:rPr>
          <w:t>5</w:t>
        </w:r>
        <w:r>
          <w:fldChar w:fldCharType="end"/>
        </w:r>
      </w:p>
    </w:sdtContent>
  </w:sdt>
  <w:p w:rsidR="00056304" w:rsidRDefault="0005630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6304" w:rsidRDefault="00056304" w:rsidP="00056304">
      <w:r>
        <w:separator/>
      </w:r>
    </w:p>
  </w:footnote>
  <w:footnote w:type="continuationSeparator" w:id="0">
    <w:p w:rsidR="00056304" w:rsidRDefault="00056304" w:rsidP="0005630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6457"/>
    <w:rsid w:val="00056304"/>
    <w:rsid w:val="00056465"/>
    <w:rsid w:val="000C71F5"/>
    <w:rsid w:val="00121AE4"/>
    <w:rsid w:val="00146AAD"/>
    <w:rsid w:val="001B3A40"/>
    <w:rsid w:val="001F5F55"/>
    <w:rsid w:val="002574E5"/>
    <w:rsid w:val="00361451"/>
    <w:rsid w:val="003908B7"/>
    <w:rsid w:val="003B2384"/>
    <w:rsid w:val="004366A8"/>
    <w:rsid w:val="00502BA7"/>
    <w:rsid w:val="005162F1"/>
    <w:rsid w:val="00535153"/>
    <w:rsid w:val="00554F82"/>
    <w:rsid w:val="0056390D"/>
    <w:rsid w:val="005719B0"/>
    <w:rsid w:val="005D10D6"/>
    <w:rsid w:val="006E266F"/>
    <w:rsid w:val="006E6BB4"/>
    <w:rsid w:val="00855E3A"/>
    <w:rsid w:val="00922CB9"/>
    <w:rsid w:val="0094403C"/>
    <w:rsid w:val="00971DB1"/>
    <w:rsid w:val="009E5CD9"/>
    <w:rsid w:val="00A26421"/>
    <w:rsid w:val="00A4293B"/>
    <w:rsid w:val="00A67D50"/>
    <w:rsid w:val="00A841B9"/>
    <w:rsid w:val="00A8691A"/>
    <w:rsid w:val="00AC1946"/>
    <w:rsid w:val="00B40063"/>
    <w:rsid w:val="00B41F61"/>
    <w:rsid w:val="00BA46E6"/>
    <w:rsid w:val="00BB012C"/>
    <w:rsid w:val="00C56C72"/>
    <w:rsid w:val="00C60838"/>
    <w:rsid w:val="00CA6457"/>
    <w:rsid w:val="00D17F2E"/>
    <w:rsid w:val="00D30354"/>
    <w:rsid w:val="00D6546A"/>
    <w:rsid w:val="00DF42A0"/>
    <w:rsid w:val="00E769FE"/>
    <w:rsid w:val="00EA2CBE"/>
    <w:rsid w:val="00F32FEE"/>
    <w:rsid w:val="00FB10BB"/>
    <w:rsid w:val="091B41C4"/>
    <w:rsid w:val="0C9078B3"/>
    <w:rsid w:val="33C80308"/>
    <w:rsid w:val="427E1D8D"/>
    <w:rsid w:val="4F13318A"/>
    <w:rsid w:val="50A76FC4"/>
    <w:rsid w:val="6B7E17E7"/>
    <w:rsid w:val="793623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304"/>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056304"/>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056304"/>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056304"/>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056304"/>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056304"/>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056304"/>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056304"/>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056304"/>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056304"/>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056304"/>
    <w:rPr>
      <w:sz w:val="18"/>
      <w:szCs w:val="18"/>
    </w:rPr>
  </w:style>
  <w:style w:type="paragraph" w:styleId="a4">
    <w:name w:val="footer"/>
    <w:basedOn w:val="a"/>
    <w:link w:val="Char0"/>
    <w:uiPriority w:val="99"/>
    <w:unhideWhenUsed/>
    <w:qFormat/>
    <w:rsid w:val="00056304"/>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056304"/>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056304"/>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056304"/>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056304"/>
    <w:rPr>
      <w:b/>
      <w:bCs/>
    </w:rPr>
  </w:style>
  <w:style w:type="character" w:styleId="a9">
    <w:name w:val="Emphasis"/>
    <w:basedOn w:val="a0"/>
    <w:uiPriority w:val="20"/>
    <w:qFormat/>
    <w:rsid w:val="00056304"/>
    <w:rPr>
      <w:rFonts w:asciiTheme="minorHAnsi" w:hAnsiTheme="minorHAnsi"/>
      <w:b/>
      <w:i/>
      <w:iCs/>
    </w:rPr>
  </w:style>
  <w:style w:type="character" w:customStyle="1" w:styleId="1Char">
    <w:name w:val="标题 1 Char"/>
    <w:basedOn w:val="a0"/>
    <w:link w:val="1"/>
    <w:uiPriority w:val="9"/>
    <w:qFormat/>
    <w:rsid w:val="00056304"/>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056304"/>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056304"/>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056304"/>
    <w:rPr>
      <w:b/>
      <w:bCs/>
      <w:sz w:val="28"/>
      <w:szCs w:val="28"/>
    </w:rPr>
  </w:style>
  <w:style w:type="character" w:customStyle="1" w:styleId="5Char">
    <w:name w:val="标题 5 Char"/>
    <w:basedOn w:val="a0"/>
    <w:link w:val="5"/>
    <w:uiPriority w:val="9"/>
    <w:semiHidden/>
    <w:qFormat/>
    <w:rsid w:val="00056304"/>
    <w:rPr>
      <w:b/>
      <w:bCs/>
      <w:i/>
      <w:iCs/>
      <w:sz w:val="26"/>
      <w:szCs w:val="26"/>
    </w:rPr>
  </w:style>
  <w:style w:type="character" w:customStyle="1" w:styleId="6Char">
    <w:name w:val="标题 6 Char"/>
    <w:basedOn w:val="a0"/>
    <w:link w:val="6"/>
    <w:uiPriority w:val="9"/>
    <w:semiHidden/>
    <w:qFormat/>
    <w:rsid w:val="00056304"/>
    <w:rPr>
      <w:b/>
      <w:bCs/>
    </w:rPr>
  </w:style>
  <w:style w:type="character" w:customStyle="1" w:styleId="7Char">
    <w:name w:val="标题 7 Char"/>
    <w:basedOn w:val="a0"/>
    <w:link w:val="7"/>
    <w:uiPriority w:val="9"/>
    <w:semiHidden/>
    <w:qFormat/>
    <w:rsid w:val="00056304"/>
    <w:rPr>
      <w:sz w:val="24"/>
      <w:szCs w:val="24"/>
    </w:rPr>
  </w:style>
  <w:style w:type="character" w:customStyle="1" w:styleId="8Char">
    <w:name w:val="标题 8 Char"/>
    <w:basedOn w:val="a0"/>
    <w:link w:val="8"/>
    <w:uiPriority w:val="9"/>
    <w:semiHidden/>
    <w:qFormat/>
    <w:rsid w:val="00056304"/>
    <w:rPr>
      <w:i/>
      <w:iCs/>
      <w:sz w:val="24"/>
      <w:szCs w:val="24"/>
    </w:rPr>
  </w:style>
  <w:style w:type="character" w:customStyle="1" w:styleId="9Char">
    <w:name w:val="标题 9 Char"/>
    <w:basedOn w:val="a0"/>
    <w:link w:val="9"/>
    <w:uiPriority w:val="9"/>
    <w:semiHidden/>
    <w:qFormat/>
    <w:rsid w:val="00056304"/>
    <w:rPr>
      <w:rFonts w:asciiTheme="majorHAnsi" w:eastAsiaTheme="majorEastAsia" w:hAnsiTheme="majorHAnsi"/>
    </w:rPr>
  </w:style>
  <w:style w:type="character" w:customStyle="1" w:styleId="Char3">
    <w:name w:val="标题 Char"/>
    <w:basedOn w:val="a0"/>
    <w:link w:val="a7"/>
    <w:uiPriority w:val="10"/>
    <w:qFormat/>
    <w:rsid w:val="00056304"/>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056304"/>
    <w:rPr>
      <w:rFonts w:asciiTheme="majorHAnsi" w:eastAsiaTheme="majorEastAsia" w:hAnsiTheme="majorHAnsi"/>
      <w:sz w:val="24"/>
      <w:szCs w:val="24"/>
    </w:rPr>
  </w:style>
  <w:style w:type="paragraph" w:styleId="aa">
    <w:name w:val="No Spacing"/>
    <w:basedOn w:val="a"/>
    <w:uiPriority w:val="1"/>
    <w:qFormat/>
    <w:rsid w:val="00056304"/>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056304"/>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056304"/>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sid w:val="00056304"/>
    <w:rPr>
      <w:i/>
      <w:sz w:val="24"/>
      <w:szCs w:val="24"/>
    </w:rPr>
  </w:style>
  <w:style w:type="paragraph" w:styleId="ad">
    <w:name w:val="Intense Quote"/>
    <w:basedOn w:val="a"/>
    <w:next w:val="a"/>
    <w:link w:val="Char5"/>
    <w:uiPriority w:val="30"/>
    <w:qFormat/>
    <w:rsid w:val="00056304"/>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sid w:val="00056304"/>
    <w:rPr>
      <w:b/>
      <w:i/>
      <w:sz w:val="24"/>
    </w:rPr>
  </w:style>
  <w:style w:type="character" w:customStyle="1" w:styleId="10">
    <w:name w:val="不明显强调1"/>
    <w:uiPriority w:val="19"/>
    <w:qFormat/>
    <w:rsid w:val="00056304"/>
    <w:rPr>
      <w:i/>
      <w:color w:val="595959" w:themeColor="text1" w:themeTint="A6"/>
    </w:rPr>
  </w:style>
  <w:style w:type="character" w:customStyle="1" w:styleId="11">
    <w:name w:val="明显强调1"/>
    <w:basedOn w:val="a0"/>
    <w:uiPriority w:val="21"/>
    <w:qFormat/>
    <w:rsid w:val="00056304"/>
    <w:rPr>
      <w:b/>
      <w:i/>
      <w:sz w:val="24"/>
      <w:szCs w:val="24"/>
      <w:u w:val="single"/>
    </w:rPr>
  </w:style>
  <w:style w:type="character" w:customStyle="1" w:styleId="12">
    <w:name w:val="不明显参考1"/>
    <w:basedOn w:val="a0"/>
    <w:uiPriority w:val="31"/>
    <w:qFormat/>
    <w:rsid w:val="00056304"/>
    <w:rPr>
      <w:sz w:val="24"/>
      <w:szCs w:val="24"/>
      <w:u w:val="single"/>
    </w:rPr>
  </w:style>
  <w:style w:type="character" w:customStyle="1" w:styleId="13">
    <w:name w:val="明显参考1"/>
    <w:basedOn w:val="a0"/>
    <w:uiPriority w:val="32"/>
    <w:qFormat/>
    <w:rsid w:val="00056304"/>
    <w:rPr>
      <w:b/>
      <w:sz w:val="24"/>
      <w:u w:val="single"/>
    </w:rPr>
  </w:style>
  <w:style w:type="character" w:customStyle="1" w:styleId="14">
    <w:name w:val="书籍标题1"/>
    <w:basedOn w:val="a0"/>
    <w:uiPriority w:val="33"/>
    <w:qFormat/>
    <w:rsid w:val="00056304"/>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056304"/>
    <w:pPr>
      <w:outlineLvl w:val="9"/>
    </w:pPr>
    <w:rPr>
      <w:lang w:eastAsia="en-US" w:bidi="en-US"/>
    </w:rPr>
  </w:style>
  <w:style w:type="character" w:customStyle="1" w:styleId="Char1">
    <w:name w:val="页眉 Char"/>
    <w:basedOn w:val="a0"/>
    <w:link w:val="a5"/>
    <w:uiPriority w:val="99"/>
    <w:qFormat/>
    <w:rsid w:val="00056304"/>
    <w:rPr>
      <w:rFonts w:ascii="Calibri" w:eastAsia="宋体" w:hAnsi="Calibri"/>
      <w:kern w:val="2"/>
      <w:sz w:val="18"/>
      <w:szCs w:val="18"/>
    </w:rPr>
  </w:style>
  <w:style w:type="character" w:customStyle="1" w:styleId="Char0">
    <w:name w:val="页脚 Char"/>
    <w:basedOn w:val="a0"/>
    <w:link w:val="a4"/>
    <w:uiPriority w:val="99"/>
    <w:qFormat/>
    <w:rsid w:val="00056304"/>
    <w:rPr>
      <w:rFonts w:ascii="Calibri" w:eastAsia="宋体" w:hAnsi="Calibri"/>
      <w:kern w:val="2"/>
      <w:sz w:val="18"/>
      <w:szCs w:val="18"/>
    </w:rPr>
  </w:style>
  <w:style w:type="character" w:customStyle="1" w:styleId="Char">
    <w:name w:val="批注框文本 Char"/>
    <w:basedOn w:val="a0"/>
    <w:link w:val="a3"/>
    <w:uiPriority w:val="99"/>
    <w:semiHidden/>
    <w:qFormat/>
    <w:rsid w:val="00056304"/>
    <w:rPr>
      <w:rFonts w:ascii="Times New Roman" w:eastAsia="宋体" w:hAnsi="Times New Roman"/>
      <w:kern w:val="2"/>
      <w:sz w:val="18"/>
      <w:szCs w:val="18"/>
    </w:rPr>
  </w:style>
  <w:style w:type="paragraph" w:customStyle="1" w:styleId="CharCharCharCharCharCharCharCharChar">
    <w:name w:val="Char Char Char Char Char Char Char Char Char"/>
    <w:basedOn w:val="a"/>
    <w:qFormat/>
    <w:rsid w:val="00056304"/>
    <w:pPr>
      <w:widowControl/>
      <w:spacing w:after="160" w:line="240" w:lineRule="exact"/>
      <w:ind w:firstLineChars="200" w:firstLine="21"/>
      <w:jc w:val="left"/>
    </w:pPr>
    <w:rPr>
      <w:rFonts w:ascii="Arial" w:eastAsia="Times New Roman" w:hAnsi="Arial" w:cs="Verdana"/>
      <w:b/>
      <w:kern w:val="0"/>
      <w:sz w:val="24"/>
      <w:szCs w:val="20"/>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543</Words>
  <Characters>3096</Characters>
  <Application>Microsoft Office Word</Application>
  <DocSecurity>0</DocSecurity>
  <Lines>25</Lines>
  <Paragraphs>7</Paragraphs>
  <ScaleCrop>false</ScaleCrop>
  <Company>巴州人口计生委</Company>
  <LinksUpToDate>false</LinksUpToDate>
  <CharactersWithSpaces>3632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25</cp:revision>
  <cp:lastPrinted>2018-12-31T10:56:00Z</cp:lastPrinted>
  <dcterms:created xsi:type="dcterms:W3CDTF">2018-08-15T02:06:00Z</dcterms:created>
  <dcterms:modified xsi:type="dcterms:W3CDTF">2019-11-19T05:10:00Z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