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FCF" w:rsidRDefault="00B3403C">
      <w:pPr>
        <w:spacing w:line="540" w:lineRule="exact"/>
        <w:jc w:val="left"/>
        <w:rPr>
          <w:rFonts w:asciiTheme="majorEastAsia" w:eastAsiaTheme="majorEastAsia" w:hAnsiTheme="majorEastAsia" w:cs="宋体"/>
          <w:kern w:val="0"/>
          <w:sz w:val="32"/>
          <w:szCs w:val="32"/>
        </w:rPr>
      </w:pPr>
      <w:r>
        <w:rPr>
          <w:rFonts w:asciiTheme="majorEastAsia" w:eastAsiaTheme="majorEastAsia" w:hAnsiTheme="majorEastAsia" w:cs="宋体" w:hint="eastAsia"/>
          <w:kern w:val="0"/>
          <w:sz w:val="32"/>
          <w:szCs w:val="32"/>
        </w:rPr>
        <w:t>附件2：</w:t>
      </w:r>
    </w:p>
    <w:p w:rsidR="00C82FCF" w:rsidRDefault="00C82FCF">
      <w:pPr>
        <w:spacing w:line="540" w:lineRule="exact"/>
        <w:jc w:val="center"/>
        <w:rPr>
          <w:rFonts w:asciiTheme="majorEastAsia" w:eastAsiaTheme="majorEastAsia" w:hAnsiTheme="majorEastAsia" w:cs="宋体"/>
          <w:b/>
          <w:kern w:val="0"/>
          <w:sz w:val="52"/>
          <w:szCs w:val="52"/>
        </w:rPr>
      </w:pPr>
    </w:p>
    <w:p w:rsidR="00C82FCF" w:rsidRDefault="00C82FCF">
      <w:pPr>
        <w:spacing w:line="540" w:lineRule="exact"/>
        <w:jc w:val="center"/>
        <w:rPr>
          <w:rFonts w:asciiTheme="majorEastAsia" w:eastAsiaTheme="majorEastAsia" w:hAnsiTheme="majorEastAsia" w:cs="宋体"/>
          <w:b/>
          <w:kern w:val="0"/>
          <w:sz w:val="52"/>
          <w:szCs w:val="52"/>
        </w:rPr>
      </w:pPr>
    </w:p>
    <w:p w:rsidR="00C82FCF" w:rsidRDefault="00C82FCF">
      <w:pPr>
        <w:spacing w:line="540" w:lineRule="exact"/>
        <w:jc w:val="center"/>
        <w:rPr>
          <w:rFonts w:asciiTheme="majorEastAsia" w:eastAsiaTheme="majorEastAsia" w:hAnsiTheme="majorEastAsia" w:cs="宋体"/>
          <w:b/>
          <w:kern w:val="0"/>
          <w:sz w:val="52"/>
          <w:szCs w:val="52"/>
        </w:rPr>
      </w:pPr>
    </w:p>
    <w:p w:rsidR="00C82FCF" w:rsidRDefault="00C82FCF">
      <w:pPr>
        <w:spacing w:line="540" w:lineRule="exact"/>
        <w:jc w:val="center"/>
        <w:rPr>
          <w:rFonts w:asciiTheme="majorEastAsia" w:eastAsiaTheme="majorEastAsia" w:hAnsiTheme="majorEastAsia" w:cs="宋体"/>
          <w:b/>
          <w:kern w:val="0"/>
          <w:sz w:val="52"/>
          <w:szCs w:val="52"/>
        </w:rPr>
      </w:pPr>
    </w:p>
    <w:p w:rsidR="00C82FCF" w:rsidRDefault="00C82FCF">
      <w:pPr>
        <w:spacing w:line="540" w:lineRule="exact"/>
        <w:jc w:val="center"/>
        <w:rPr>
          <w:rFonts w:asciiTheme="majorEastAsia" w:eastAsiaTheme="majorEastAsia" w:hAnsiTheme="majorEastAsia" w:cs="宋体"/>
          <w:b/>
          <w:kern w:val="0"/>
          <w:sz w:val="52"/>
          <w:szCs w:val="52"/>
        </w:rPr>
      </w:pPr>
    </w:p>
    <w:p w:rsidR="00C82FCF" w:rsidRDefault="00C82FCF">
      <w:pPr>
        <w:spacing w:line="540" w:lineRule="exact"/>
        <w:jc w:val="center"/>
        <w:rPr>
          <w:rFonts w:asciiTheme="majorEastAsia" w:eastAsiaTheme="majorEastAsia" w:hAnsiTheme="majorEastAsia" w:cs="宋体"/>
          <w:b/>
          <w:kern w:val="0"/>
          <w:sz w:val="52"/>
          <w:szCs w:val="52"/>
        </w:rPr>
      </w:pPr>
    </w:p>
    <w:p w:rsidR="00C82FCF" w:rsidRDefault="00B3403C">
      <w:pPr>
        <w:spacing w:line="540" w:lineRule="exact"/>
        <w:jc w:val="center"/>
        <w:rPr>
          <w:rFonts w:asciiTheme="majorEastAsia" w:eastAsiaTheme="majorEastAsia" w:hAnsiTheme="majorEastAsia" w:cs="宋体"/>
          <w:b/>
          <w:kern w:val="0"/>
          <w:sz w:val="48"/>
          <w:szCs w:val="48"/>
        </w:rPr>
      </w:pPr>
      <w:r>
        <w:rPr>
          <w:rFonts w:asciiTheme="majorEastAsia" w:eastAsiaTheme="majorEastAsia" w:hAnsiTheme="majorEastAsia" w:cs="宋体" w:hint="eastAsia"/>
          <w:b/>
          <w:kern w:val="0"/>
          <w:sz w:val="48"/>
          <w:szCs w:val="48"/>
          <w:u w:val="single"/>
        </w:rPr>
        <w:t>巴州</w:t>
      </w:r>
      <w:r>
        <w:rPr>
          <w:rFonts w:asciiTheme="majorEastAsia" w:eastAsiaTheme="majorEastAsia" w:hAnsiTheme="majorEastAsia" w:cs="宋体" w:hint="eastAsia"/>
          <w:b/>
          <w:kern w:val="0"/>
          <w:sz w:val="48"/>
          <w:szCs w:val="48"/>
        </w:rPr>
        <w:t>财政项目支出绩效自评报告</w:t>
      </w:r>
    </w:p>
    <w:p w:rsidR="00C82FCF" w:rsidRDefault="00C82FCF">
      <w:pPr>
        <w:spacing w:line="540" w:lineRule="exact"/>
        <w:jc w:val="center"/>
        <w:rPr>
          <w:rFonts w:asciiTheme="majorEastAsia" w:eastAsiaTheme="majorEastAsia" w:hAnsiTheme="majorEastAsia" w:cs="宋体"/>
          <w:b/>
          <w:kern w:val="0"/>
          <w:sz w:val="52"/>
          <w:szCs w:val="52"/>
        </w:rPr>
      </w:pPr>
    </w:p>
    <w:p w:rsidR="00C82FCF" w:rsidRDefault="00B3403C">
      <w:pPr>
        <w:spacing w:line="540" w:lineRule="exact"/>
        <w:jc w:val="center"/>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（2018年度）</w:t>
      </w:r>
    </w:p>
    <w:p w:rsidR="00C82FCF" w:rsidRDefault="00C82FCF">
      <w:pPr>
        <w:spacing w:line="540" w:lineRule="exact"/>
        <w:jc w:val="center"/>
        <w:rPr>
          <w:rFonts w:asciiTheme="majorEastAsia" w:eastAsiaTheme="majorEastAsia" w:hAnsiTheme="majorEastAsia" w:cs="宋体"/>
          <w:kern w:val="0"/>
          <w:sz w:val="30"/>
          <w:szCs w:val="30"/>
        </w:rPr>
      </w:pPr>
    </w:p>
    <w:p w:rsidR="00C82FCF" w:rsidRDefault="00C82FCF">
      <w:pPr>
        <w:spacing w:line="540" w:lineRule="exact"/>
        <w:jc w:val="center"/>
        <w:rPr>
          <w:rFonts w:asciiTheme="majorEastAsia" w:eastAsiaTheme="majorEastAsia" w:hAnsiTheme="majorEastAsia" w:cs="宋体"/>
          <w:kern w:val="0"/>
          <w:sz w:val="30"/>
          <w:szCs w:val="30"/>
        </w:rPr>
      </w:pPr>
    </w:p>
    <w:p w:rsidR="00C82FCF" w:rsidRDefault="00C82FCF">
      <w:pPr>
        <w:spacing w:line="540" w:lineRule="exact"/>
        <w:jc w:val="center"/>
        <w:rPr>
          <w:rFonts w:asciiTheme="majorEastAsia" w:eastAsiaTheme="majorEastAsia" w:hAnsiTheme="majorEastAsia" w:cs="宋体"/>
          <w:kern w:val="0"/>
          <w:sz w:val="30"/>
          <w:szCs w:val="30"/>
        </w:rPr>
      </w:pPr>
    </w:p>
    <w:p w:rsidR="00C82FCF" w:rsidRDefault="00C82FCF">
      <w:pPr>
        <w:spacing w:line="540" w:lineRule="exact"/>
        <w:jc w:val="center"/>
        <w:rPr>
          <w:rFonts w:asciiTheme="majorEastAsia" w:eastAsiaTheme="majorEastAsia" w:hAnsiTheme="majorEastAsia" w:cs="宋体"/>
          <w:kern w:val="0"/>
          <w:sz w:val="30"/>
          <w:szCs w:val="30"/>
        </w:rPr>
      </w:pPr>
    </w:p>
    <w:p w:rsidR="00C82FCF" w:rsidRDefault="00C82FCF">
      <w:pPr>
        <w:spacing w:line="540" w:lineRule="exact"/>
        <w:jc w:val="center"/>
        <w:rPr>
          <w:rFonts w:asciiTheme="majorEastAsia" w:eastAsiaTheme="majorEastAsia" w:hAnsiTheme="majorEastAsia" w:cs="宋体"/>
          <w:kern w:val="0"/>
          <w:sz w:val="30"/>
          <w:szCs w:val="30"/>
        </w:rPr>
      </w:pPr>
    </w:p>
    <w:p w:rsidR="00C82FCF" w:rsidRDefault="00C82FCF">
      <w:pPr>
        <w:spacing w:line="540" w:lineRule="exact"/>
        <w:rPr>
          <w:rFonts w:asciiTheme="majorEastAsia" w:eastAsiaTheme="majorEastAsia" w:hAnsiTheme="majorEastAsia" w:cs="宋体"/>
          <w:kern w:val="0"/>
          <w:sz w:val="30"/>
          <w:szCs w:val="30"/>
        </w:rPr>
      </w:pPr>
    </w:p>
    <w:p w:rsidR="00C82FCF" w:rsidRDefault="00B3403C">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项目名称：学生体检</w:t>
      </w:r>
    </w:p>
    <w:p w:rsidR="00C82FCF" w:rsidRDefault="00B3403C">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实施单位（公章）：巴州卫计委</w:t>
      </w:r>
    </w:p>
    <w:p w:rsidR="00C82FCF" w:rsidRDefault="00B3403C">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主管部门（公章）：巴州卫计委</w:t>
      </w:r>
    </w:p>
    <w:p w:rsidR="00C82FCF" w:rsidRDefault="00B3403C">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项目负责人（签章）：</w:t>
      </w:r>
    </w:p>
    <w:p w:rsidR="00C82FCF" w:rsidRDefault="00B3403C">
      <w:pPr>
        <w:spacing w:line="700" w:lineRule="exact"/>
        <w:jc w:val="left"/>
        <w:rPr>
          <w:rFonts w:asciiTheme="majorEastAsia" w:eastAsiaTheme="majorEastAsia" w:hAnsiTheme="majorEastAsia" w:cs="宋体" w:hint="eastAsia"/>
          <w:kern w:val="0"/>
          <w:sz w:val="36"/>
          <w:szCs w:val="36"/>
        </w:rPr>
      </w:pPr>
      <w:r>
        <w:rPr>
          <w:rFonts w:asciiTheme="majorEastAsia" w:eastAsiaTheme="majorEastAsia" w:hAnsiTheme="majorEastAsia" w:cs="宋体" w:hint="eastAsia"/>
          <w:kern w:val="0"/>
          <w:sz w:val="36"/>
          <w:szCs w:val="36"/>
        </w:rPr>
        <w:t>填报时间：2019年1月25日</w:t>
      </w:r>
    </w:p>
    <w:p w:rsidR="00B72D89" w:rsidRDefault="00B72D89">
      <w:pPr>
        <w:spacing w:line="700" w:lineRule="exact"/>
        <w:jc w:val="left"/>
        <w:rPr>
          <w:rFonts w:asciiTheme="majorEastAsia" w:eastAsiaTheme="majorEastAsia" w:hAnsiTheme="majorEastAsia" w:cs="宋体"/>
          <w:kern w:val="0"/>
          <w:sz w:val="36"/>
          <w:szCs w:val="36"/>
        </w:rPr>
      </w:pPr>
    </w:p>
    <w:p w:rsidR="00C82FCF" w:rsidRDefault="00C82FCF">
      <w:pPr>
        <w:spacing w:line="540" w:lineRule="exact"/>
        <w:jc w:val="center"/>
        <w:rPr>
          <w:rFonts w:asciiTheme="majorEastAsia" w:eastAsiaTheme="majorEastAsia" w:hAnsiTheme="majorEastAsia" w:cs="宋体"/>
          <w:kern w:val="0"/>
          <w:sz w:val="30"/>
          <w:szCs w:val="30"/>
        </w:rPr>
      </w:pPr>
    </w:p>
    <w:p w:rsidR="00C82FCF" w:rsidRDefault="00C82FCF">
      <w:pPr>
        <w:spacing w:line="540" w:lineRule="exact"/>
        <w:rPr>
          <w:rStyle w:val="a8"/>
          <w:rFonts w:asciiTheme="majorEastAsia" w:eastAsiaTheme="majorEastAsia" w:hAnsiTheme="majorEastAsia"/>
          <w:b w:val="0"/>
          <w:spacing w:val="-4"/>
          <w:sz w:val="32"/>
          <w:szCs w:val="32"/>
        </w:rPr>
      </w:pPr>
    </w:p>
    <w:p w:rsidR="00C82FCF" w:rsidRDefault="00B3403C">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lastRenderedPageBreak/>
        <w:t>一、项目概况</w:t>
      </w:r>
    </w:p>
    <w:p w:rsidR="00C82FCF" w:rsidRDefault="00B3403C">
      <w:pPr>
        <w:spacing w:line="540" w:lineRule="exact"/>
        <w:ind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（一）项目单位基本情况</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单位职能</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贯彻执行国家和自治区关于卫生和计划生育工作的法律法规、方针政策、地方标准及技术规范，拟订自治州卫生和计划生育事业发展规划。配合推进医药卫生体制改革和医疗保障，统筹规划全州卫生和计划生育服务资源配置，指导全州卫生和计划生育规划的编制与实施。</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2、负责制定全州疾病预防控制规划、免疫规划、严重危害人民健康的公共卫生问题的干预措施并组织实施；制定全州卫生应急和紧急医学救援预案、突发公共卫生事件监测和风险评估计划，组织、指导全州突发公共卫生事件预防控制和各类突发公共事件的医疗卫生救援；根据授权发布法定报告传染病疫情信息、突发公共卫生事件应急处置信息。承担自治州重要会议、重大活动的医疗卫生保障工作。</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3、负责职责范围内的职业卫生、放射卫生、环境卫生、学校卫生、公共场所卫生、饮用水卫生管理，组织开展相关监测、调查、评估和监督；负责传染病防治监督；组织开展食品安全风险监测、评估和食品安全企业标准备案。</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4、负责拟订并实施基层卫生和计划生育服务、妇幼卫生发展规划和政策措施，指导基层卫生和计划生育、妇幼卫生服务体系建设，推进基本公共卫生和计划生育服务均等化，完善基层运行新机制和乡村、社区医生、计划生育专干管理制度。</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5、负责制定并监督实施全州医疗机构和医疗服务全行业管理办法。组织实施医疗机构及其医疗服务、医疗技术、医疗质量、医疗安全以及采供血机构管理规范和标准，会同有关部门贯彻执行国家卫生专业技术人员准入资格标准，组织实施卫生专业技术人员执业规则与服务规范，建立医疗服务评价和监督管理体系。</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6、负责组织推进公立医院改革，建设和谐医患关系，提出医疗服务和药品价格政策的建议。</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7、贯彻落实国家、自治区药物政策和基本药物制度，执行国家药品法典和国家基本药物目录，组织实施基本药物遴选、采购、配送、使用的政策措施，会同有关部门研究提出基本药物目录内药品生产的鼓励</w:t>
      </w:r>
      <w:r>
        <w:rPr>
          <w:rFonts w:asciiTheme="majorEastAsia" w:eastAsiaTheme="majorEastAsia" w:hAnsiTheme="majorEastAsia" w:hint="eastAsia"/>
          <w:sz w:val="28"/>
          <w:szCs w:val="28"/>
        </w:rPr>
        <w:lastRenderedPageBreak/>
        <w:t>扶持政策、基本药物价格政策的建议。指导医疗机构药物临床应用及安全监管工作；配合有关部门，调查处理药品不良反应、医疗器械不良事件和药害事件。</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8、研究和完善全州计划生育目标管理责任制考核工作，组织实施计划生育目标管理责任制考核、经常性检查及年终考核，组织实施卫生和计划生育国家、自治区、自治州项目实施情况的绩效考核。统筹管理本系统各类资金，负责本系统及财务直管单位预算决算、资产和内部审计工作。</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9、贯彻落实国家、自治区生育政策，组织实施促进出生人口性别平衡的政策措施，组织监测计划生育发展动态，提出发布计划生育安全预警预报信息建议；监督实施计划生育技术服务管理制度和优生优育、提高出生人口素质的政策措施，组织实施计划生育生殖健康促进工作，降低出生缺陷人口数量。</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10、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11、组织落实流动人口卫生和计划生育服务管理制度，推动建立流动人口卫生和计划生育信息共享与公共服务工作机制。</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12、拟订全州卫生和计划生育人才发展规划，指导卫生和计划生育人才队伍建设。加强全科医生等专业人才培养，组织实施住院医师和专科医师规范化培训制度。会同有关部门组织实施卫生专业技术人员资格标准。</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13、拟订全州卫生和计划生育科技发展规划，组织实施毕业后医学教育和继续医学教育。</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14、指导全州卫生和计划生育工作，监督检查卫生和计划生育法律法规和政策措施的落实，组织查处重大违法行为。监督落实计划生育一票否决制。</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15、负责全州卫生和计划生育政策宣传、健康教育、健康促进和信息化建设工作，组织实施卫生和计划生育统计调查，参与人口基础信息库建设。</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16、根据卫生和计划生育事业发展总体规划和战略目标，拟订并组织实施中医民族医药中长期发展规划和政策措施。负责中医、民族医与西医相结合的管理工作。</w:t>
      </w:r>
    </w:p>
    <w:p w:rsidR="00C82FCF" w:rsidRDefault="00B3403C">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17、承担自治州爱国卫生、艾滋病防治、地方病防治、医疗保健工作，以及自治州人口和计划生育领导小组的日常工作。</w:t>
      </w:r>
    </w:p>
    <w:p w:rsidR="00C82FCF" w:rsidRDefault="00B3403C">
      <w:pPr>
        <w:spacing w:line="440" w:lineRule="exact"/>
        <w:ind w:firstLineChars="200" w:firstLine="560"/>
        <w:rPr>
          <w:rStyle w:val="a8"/>
          <w:rFonts w:asciiTheme="majorEastAsia" w:eastAsiaTheme="majorEastAsia" w:hAnsiTheme="majorEastAsia"/>
          <w:spacing w:val="-4"/>
          <w:sz w:val="32"/>
          <w:szCs w:val="32"/>
        </w:rPr>
      </w:pPr>
      <w:r>
        <w:rPr>
          <w:rFonts w:asciiTheme="majorEastAsia" w:eastAsiaTheme="majorEastAsia" w:hAnsiTheme="majorEastAsia" w:hint="eastAsia"/>
          <w:sz w:val="28"/>
          <w:szCs w:val="28"/>
        </w:rPr>
        <w:t>18、承办自治州人民政府交办的其他事项。</w:t>
      </w:r>
    </w:p>
    <w:p w:rsidR="00C82FCF" w:rsidRDefault="00B3403C">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（二）项目预算</w:t>
      </w:r>
      <w:r>
        <w:rPr>
          <w:rStyle w:val="a8"/>
          <w:rFonts w:asciiTheme="majorEastAsia" w:eastAsiaTheme="majorEastAsia" w:hAnsiTheme="majorEastAsia"/>
          <w:spacing w:val="-4"/>
          <w:sz w:val="32"/>
          <w:szCs w:val="32"/>
        </w:rPr>
        <w:t>绩效目标</w:t>
      </w:r>
      <w:r>
        <w:rPr>
          <w:rStyle w:val="a8"/>
          <w:rFonts w:asciiTheme="majorEastAsia" w:eastAsiaTheme="majorEastAsia" w:hAnsiTheme="majorEastAsia" w:hint="eastAsia"/>
          <w:spacing w:val="-4"/>
          <w:sz w:val="32"/>
          <w:szCs w:val="32"/>
        </w:rPr>
        <w:t>设定情况</w:t>
      </w:r>
    </w:p>
    <w:p w:rsidR="00C82FCF" w:rsidRDefault="00B3403C" w:rsidP="00AA04CD">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保证巴州高校学生体检正常开展</w:t>
      </w:r>
    </w:p>
    <w:p w:rsidR="00C82FCF" w:rsidRDefault="00B3403C">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二、项目资金使用及管理情况</w:t>
      </w:r>
    </w:p>
    <w:p w:rsidR="00C82FCF" w:rsidRDefault="00B3403C">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（一）项目资金安排落实、总投入等情况分析</w:t>
      </w:r>
    </w:p>
    <w:p w:rsidR="00C82FCF" w:rsidRDefault="00B3403C" w:rsidP="00AA04CD">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2018年</w:t>
      </w:r>
      <w:r>
        <w:rPr>
          <w:rFonts w:asciiTheme="majorEastAsia" w:eastAsiaTheme="majorEastAsia" w:hAnsiTheme="majorEastAsia" w:hint="eastAsia"/>
          <w:sz w:val="28"/>
          <w:szCs w:val="28"/>
        </w:rPr>
        <w:t>巴州卫计委，由巴州财政拨付使用</w:t>
      </w:r>
      <w:r>
        <w:rPr>
          <w:rFonts w:asciiTheme="majorEastAsia" w:eastAsiaTheme="majorEastAsia" w:hAnsiTheme="majorEastAsia"/>
          <w:sz w:val="28"/>
          <w:szCs w:val="28"/>
        </w:rPr>
        <w:t>1,191,400.00</w:t>
      </w:r>
      <w:r>
        <w:rPr>
          <w:rFonts w:asciiTheme="majorEastAsia" w:eastAsiaTheme="majorEastAsia" w:hAnsiTheme="majorEastAsia" w:hint="eastAsia"/>
          <w:sz w:val="28"/>
          <w:szCs w:val="28"/>
        </w:rPr>
        <w:t>元，主要用于对巴州高校学生体检。</w:t>
      </w:r>
    </w:p>
    <w:p w:rsidR="00C82FCF" w:rsidRDefault="00B3403C">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（二）项目资金实际使用情况分析</w:t>
      </w:r>
    </w:p>
    <w:p w:rsidR="00C82FCF" w:rsidRDefault="00B3403C" w:rsidP="00AA04CD">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2018年</w:t>
      </w:r>
      <w:r>
        <w:rPr>
          <w:rFonts w:asciiTheme="majorEastAsia" w:eastAsiaTheme="majorEastAsia" w:hAnsiTheme="majorEastAsia" w:hint="eastAsia"/>
          <w:sz w:val="28"/>
          <w:szCs w:val="28"/>
        </w:rPr>
        <w:t>巴州卫计委，由巴州财政拨付使用</w:t>
      </w:r>
      <w:r>
        <w:rPr>
          <w:rFonts w:asciiTheme="majorEastAsia" w:eastAsiaTheme="majorEastAsia" w:hAnsiTheme="majorEastAsia"/>
          <w:sz w:val="28"/>
          <w:szCs w:val="28"/>
        </w:rPr>
        <w:t>1,191,400.00</w:t>
      </w:r>
      <w:r>
        <w:rPr>
          <w:rFonts w:asciiTheme="majorEastAsia" w:eastAsiaTheme="majorEastAsia" w:hAnsiTheme="majorEastAsia" w:hint="eastAsia"/>
          <w:sz w:val="28"/>
          <w:szCs w:val="28"/>
        </w:rPr>
        <w:t>元，主要用于巴州高校学生体检。</w:t>
      </w:r>
    </w:p>
    <w:p w:rsidR="00C82FCF" w:rsidRDefault="00B3403C">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（三）项目资金管理情况分析</w:t>
      </w:r>
    </w:p>
    <w:p w:rsidR="00C82FCF" w:rsidRDefault="00B3403C">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项目财务管理制度</w:t>
      </w:r>
      <w:r>
        <w:rPr>
          <w:rStyle w:val="a8"/>
          <w:rFonts w:asciiTheme="majorEastAsia" w:eastAsiaTheme="majorEastAsia" w:hAnsiTheme="majorEastAsia"/>
          <w:b w:val="0"/>
          <w:spacing w:val="-4"/>
          <w:sz w:val="32"/>
          <w:szCs w:val="32"/>
        </w:rPr>
        <w:t>健全、机构设置、会计核算及账务处理等相关</w:t>
      </w:r>
      <w:r>
        <w:rPr>
          <w:rStyle w:val="a8"/>
          <w:rFonts w:asciiTheme="majorEastAsia" w:eastAsiaTheme="majorEastAsia" w:hAnsiTheme="majorEastAsia" w:hint="eastAsia"/>
          <w:b w:val="0"/>
          <w:spacing w:val="-4"/>
          <w:sz w:val="32"/>
          <w:szCs w:val="32"/>
        </w:rPr>
        <w:t>情况</w:t>
      </w:r>
      <w:r>
        <w:rPr>
          <w:rStyle w:val="a8"/>
          <w:rFonts w:asciiTheme="majorEastAsia" w:eastAsiaTheme="majorEastAsia" w:hAnsiTheme="majorEastAsia"/>
          <w:b w:val="0"/>
          <w:spacing w:val="-4"/>
          <w:sz w:val="32"/>
          <w:szCs w:val="32"/>
        </w:rPr>
        <w:t>。对照</w:t>
      </w:r>
      <w:r>
        <w:rPr>
          <w:rStyle w:val="a8"/>
          <w:rFonts w:asciiTheme="majorEastAsia" w:eastAsiaTheme="majorEastAsia" w:hAnsiTheme="majorEastAsia" w:hint="eastAsia"/>
          <w:b w:val="0"/>
          <w:spacing w:val="-4"/>
          <w:sz w:val="32"/>
          <w:szCs w:val="32"/>
        </w:rPr>
        <w:t>项目资金管理办法</w:t>
      </w:r>
      <w:r>
        <w:rPr>
          <w:rStyle w:val="a8"/>
          <w:rFonts w:asciiTheme="majorEastAsia" w:eastAsiaTheme="majorEastAsia" w:hAnsiTheme="majorEastAsia"/>
          <w:b w:val="0"/>
          <w:spacing w:val="-4"/>
          <w:sz w:val="32"/>
          <w:szCs w:val="32"/>
        </w:rPr>
        <w:t>，项目严格执行财务管理制度、财务处理及时、会计核算规范</w:t>
      </w:r>
    </w:p>
    <w:p w:rsidR="00C82FCF" w:rsidRDefault="00B3403C">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三、项目组织实施情况</w:t>
      </w:r>
    </w:p>
    <w:p w:rsidR="00C82FCF" w:rsidRDefault="00B3403C">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（一）项目组织情况分析</w:t>
      </w:r>
    </w:p>
    <w:p w:rsidR="00C82FCF" w:rsidRDefault="00B3403C">
      <w:pPr>
        <w:spacing w:line="480" w:lineRule="exact"/>
        <w:ind w:firstLine="640"/>
        <w:rPr>
          <w:rFonts w:eastAsia="仿宋_GB2312"/>
          <w:sz w:val="32"/>
          <w:szCs w:val="32"/>
        </w:rPr>
      </w:pPr>
      <w:r>
        <w:rPr>
          <w:rFonts w:eastAsia="仿宋_GB2312" w:hint="eastAsia"/>
          <w:sz w:val="32"/>
          <w:szCs w:val="32"/>
        </w:rPr>
        <w:t>认真贯彻落实相关重要指示精神和具体部署，狠抓基层基础工作，努力构建统筹解决巴州卫计委工作格局，全面推进单位相关工作持续健康发展。相关管理</w:t>
      </w:r>
      <w:r>
        <w:rPr>
          <w:rFonts w:eastAsia="仿宋_GB2312"/>
          <w:sz w:val="32"/>
          <w:szCs w:val="32"/>
        </w:rPr>
        <w:t>部门齐抓共管、区域协作、多方共赢的多元化工作保障机制。深化</w:t>
      </w:r>
      <w:r>
        <w:rPr>
          <w:rFonts w:eastAsia="仿宋_GB2312" w:hint="eastAsia"/>
          <w:sz w:val="32"/>
          <w:szCs w:val="32"/>
        </w:rPr>
        <w:t>相关</w:t>
      </w:r>
      <w:r>
        <w:rPr>
          <w:rFonts w:eastAsia="仿宋_GB2312"/>
          <w:sz w:val="32"/>
          <w:szCs w:val="32"/>
        </w:rPr>
        <w:t>服务。</w:t>
      </w:r>
      <w:r>
        <w:rPr>
          <w:rFonts w:eastAsia="仿宋_GB2312" w:hint="eastAsia"/>
          <w:sz w:val="32"/>
          <w:szCs w:val="32"/>
        </w:rPr>
        <w:t>共同</w:t>
      </w:r>
      <w:r>
        <w:rPr>
          <w:rFonts w:eastAsia="仿宋_GB2312"/>
          <w:sz w:val="32"/>
          <w:szCs w:val="32"/>
        </w:rPr>
        <w:t>推进流动</w:t>
      </w:r>
      <w:r>
        <w:rPr>
          <w:rFonts w:eastAsia="仿宋_GB2312" w:hint="eastAsia"/>
          <w:sz w:val="32"/>
          <w:szCs w:val="32"/>
        </w:rPr>
        <w:t>单位合理</w:t>
      </w:r>
      <w:r>
        <w:rPr>
          <w:rFonts w:eastAsia="仿宋_GB2312"/>
          <w:sz w:val="32"/>
          <w:szCs w:val="32"/>
        </w:rPr>
        <w:t>建设。</w:t>
      </w:r>
    </w:p>
    <w:p w:rsidR="00C82FCF" w:rsidRDefault="00B3403C">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（二）项目管理情况分析</w:t>
      </w:r>
    </w:p>
    <w:p w:rsidR="00C82FCF" w:rsidRDefault="00B3403C">
      <w:pPr>
        <w:spacing w:line="480" w:lineRule="exact"/>
        <w:ind w:firstLine="640"/>
        <w:rPr>
          <w:rFonts w:eastAsia="仿宋_GB2312"/>
          <w:sz w:val="32"/>
          <w:szCs w:val="32"/>
        </w:rPr>
      </w:pPr>
      <w:r>
        <w:rPr>
          <w:rFonts w:ascii="仿宋_GB2312" w:eastAsia="仿宋_GB2312" w:hint="eastAsia"/>
          <w:sz w:val="32"/>
          <w:szCs w:val="32"/>
        </w:rPr>
        <w:lastRenderedPageBreak/>
        <w:t>坚持原则、秉公办事、顾全大局，</w:t>
      </w:r>
      <w:r>
        <w:rPr>
          <w:rFonts w:eastAsia="仿宋_GB2312"/>
          <w:sz w:val="32"/>
          <w:szCs w:val="32"/>
        </w:rPr>
        <w:t>不断提高队伍素质和工作效率。采取多种措施调动和激发工作人员的积极性和创造力。</w:t>
      </w:r>
      <w:r>
        <w:rPr>
          <w:rFonts w:eastAsia="仿宋_GB2312" w:hint="eastAsia"/>
          <w:sz w:val="32"/>
          <w:szCs w:val="32"/>
        </w:rPr>
        <w:t>相关管理</w:t>
      </w:r>
      <w:r>
        <w:rPr>
          <w:rFonts w:eastAsia="仿宋_GB2312"/>
          <w:sz w:val="32"/>
          <w:szCs w:val="32"/>
        </w:rPr>
        <w:t>部门齐抓共管、区域协作、多方共赢的多元化工作保障机制。深化</w:t>
      </w:r>
      <w:r>
        <w:rPr>
          <w:rFonts w:eastAsia="仿宋_GB2312" w:hint="eastAsia"/>
          <w:sz w:val="32"/>
          <w:szCs w:val="32"/>
        </w:rPr>
        <w:t>相关</w:t>
      </w:r>
      <w:r>
        <w:rPr>
          <w:rFonts w:eastAsia="仿宋_GB2312"/>
          <w:sz w:val="32"/>
          <w:szCs w:val="32"/>
        </w:rPr>
        <w:t>服务。</w:t>
      </w:r>
      <w:r>
        <w:rPr>
          <w:rFonts w:eastAsia="仿宋_GB2312" w:hint="eastAsia"/>
          <w:sz w:val="32"/>
          <w:szCs w:val="32"/>
        </w:rPr>
        <w:t>共同</w:t>
      </w:r>
      <w:r>
        <w:rPr>
          <w:rFonts w:eastAsia="仿宋_GB2312"/>
          <w:sz w:val="32"/>
          <w:szCs w:val="32"/>
        </w:rPr>
        <w:t>推进流动</w:t>
      </w:r>
      <w:r>
        <w:rPr>
          <w:rFonts w:eastAsia="仿宋_GB2312" w:hint="eastAsia"/>
          <w:sz w:val="32"/>
          <w:szCs w:val="32"/>
        </w:rPr>
        <w:t>单位合理</w:t>
      </w:r>
      <w:r>
        <w:rPr>
          <w:rFonts w:eastAsia="仿宋_GB2312"/>
          <w:sz w:val="32"/>
          <w:szCs w:val="32"/>
        </w:rPr>
        <w:t>建设。</w:t>
      </w:r>
    </w:p>
    <w:p w:rsidR="00C82FCF" w:rsidRDefault="00B3403C">
      <w:pPr>
        <w:spacing w:line="540" w:lineRule="exact"/>
        <w:ind w:firstLine="640"/>
        <w:rPr>
          <w:rStyle w:val="a8"/>
          <w:rFonts w:asciiTheme="majorEastAsia" w:eastAsiaTheme="majorEastAsia" w:hAnsiTheme="majorEastAsia"/>
        </w:rPr>
      </w:pPr>
      <w:r>
        <w:rPr>
          <w:rStyle w:val="a8"/>
          <w:rFonts w:asciiTheme="majorEastAsia" w:eastAsiaTheme="majorEastAsia" w:hAnsiTheme="majorEastAsia" w:hint="eastAsia"/>
          <w:b w:val="0"/>
          <w:spacing w:val="-4"/>
          <w:sz w:val="32"/>
          <w:szCs w:val="32"/>
        </w:rPr>
        <w:t>四、项目绩效情况</w:t>
      </w:r>
    </w:p>
    <w:p w:rsidR="00C82FCF" w:rsidRDefault="00B3403C">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（一）项目绩效目标完成情况分析</w:t>
      </w:r>
    </w:p>
    <w:p w:rsidR="00C82FCF" w:rsidRDefault="00B3403C" w:rsidP="00AA04CD">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相关项目工作正常执行，相关目标正常完成。保障了巴州卫计委相关工作正常开展</w:t>
      </w:r>
    </w:p>
    <w:p w:rsidR="00C82FCF" w:rsidRDefault="00B3403C">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（二）项目绩效目标未完成原因分析</w:t>
      </w:r>
    </w:p>
    <w:p w:rsidR="00C82FCF" w:rsidRDefault="00B3403C" w:rsidP="00AA04CD">
      <w:pPr>
        <w:spacing w:line="540" w:lineRule="exact"/>
        <w:ind w:firstLineChars="181" w:firstLine="565"/>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无</w:t>
      </w:r>
    </w:p>
    <w:p w:rsidR="00C82FCF" w:rsidRDefault="00B3403C">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五、其他需要说明的问题</w:t>
      </w:r>
    </w:p>
    <w:p w:rsidR="00C82FCF" w:rsidRDefault="00B3403C">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（一）后续工作计划</w:t>
      </w:r>
    </w:p>
    <w:p w:rsidR="00C82FCF" w:rsidRDefault="00B3403C" w:rsidP="00AA04CD">
      <w:pPr>
        <w:spacing w:line="540" w:lineRule="exact"/>
        <w:ind w:firstLineChars="181" w:firstLine="565"/>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要继续抓好相关项目建设，加强项目跟踪管理服务和绩效评价，管好用好变更调查专项资金，不断提高资金的使用效益</w:t>
      </w:r>
    </w:p>
    <w:p w:rsidR="00C82FCF" w:rsidRDefault="00B3403C">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（二）主要经验及做法、存在问题和建议</w:t>
      </w:r>
    </w:p>
    <w:p w:rsidR="00C82FCF" w:rsidRDefault="00B3403C">
      <w:pPr>
        <w:ind w:firstLineChars="200" w:firstLine="624"/>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坚持原则、秉公办事、顾全大局，需要加强项目跟踪管理服务和绩效评价，管好用好变更调查专项资金，不断提高资金的使用效益。</w:t>
      </w:r>
    </w:p>
    <w:p w:rsidR="00C82FCF" w:rsidRDefault="00B3403C">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（三）其他</w:t>
      </w:r>
    </w:p>
    <w:p w:rsidR="00C82FCF" w:rsidRDefault="00B3403C">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无</w:t>
      </w:r>
    </w:p>
    <w:p w:rsidR="00C82FCF" w:rsidRDefault="00B3403C">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六、项目评价工作情况</w:t>
      </w:r>
    </w:p>
    <w:p w:rsidR="00C82FCF" w:rsidRDefault="00B3403C">
      <w:pPr>
        <w:ind w:firstLineChars="200" w:firstLine="624"/>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包括评价基础数据收集、资料来源和依据等佐证材料情况，项目现场勘验检查核实等情况</w:t>
      </w:r>
    </w:p>
    <w:p w:rsidR="00C82FCF" w:rsidRDefault="00B3403C">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七、附表</w:t>
      </w:r>
    </w:p>
    <w:p w:rsidR="00C82FCF" w:rsidRDefault="00B3403C">
      <w:pPr>
        <w:spacing w:line="540" w:lineRule="exact"/>
        <w:ind w:firstLine="567"/>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《巴州地区财政项目支出绩效自评表》</w:t>
      </w:r>
    </w:p>
    <w:tbl>
      <w:tblPr>
        <w:tblW w:w="9020" w:type="dxa"/>
        <w:tblInd w:w="93" w:type="dxa"/>
        <w:tblLayout w:type="fixed"/>
        <w:tblLook w:val="04A0"/>
      </w:tblPr>
      <w:tblGrid>
        <w:gridCol w:w="9020"/>
      </w:tblGrid>
      <w:tr w:rsidR="00C82FCF">
        <w:trPr>
          <w:trHeight w:val="405"/>
        </w:trPr>
        <w:tc>
          <w:tcPr>
            <w:tcW w:w="9020" w:type="dxa"/>
            <w:tcBorders>
              <w:top w:val="nil"/>
              <w:left w:val="nil"/>
              <w:bottom w:val="nil"/>
              <w:right w:val="nil"/>
            </w:tcBorders>
            <w:shd w:val="clear" w:color="auto" w:fill="auto"/>
            <w:vAlign w:val="center"/>
          </w:tcPr>
          <w:p w:rsidR="00C82FCF" w:rsidRDefault="00C82FCF">
            <w:pPr>
              <w:spacing w:line="540" w:lineRule="exact"/>
              <w:ind w:firstLine="567"/>
              <w:rPr>
                <w:rStyle w:val="a8"/>
                <w:rFonts w:asciiTheme="majorEastAsia" w:eastAsiaTheme="majorEastAsia" w:hAnsiTheme="majorEastAsia"/>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C82FCF">
              <w:trPr>
                <w:trHeight w:val="405"/>
              </w:trPr>
              <w:tc>
                <w:tcPr>
                  <w:tcW w:w="9020" w:type="dxa"/>
                  <w:gridSpan w:val="7"/>
                  <w:tcBorders>
                    <w:top w:val="nil"/>
                    <w:left w:val="nil"/>
                    <w:bottom w:val="nil"/>
                    <w:right w:val="nil"/>
                  </w:tcBorders>
                  <w:shd w:val="clear" w:color="auto" w:fill="auto"/>
                  <w:vAlign w:val="center"/>
                </w:tcPr>
                <w:p w:rsidR="00C82FCF" w:rsidRDefault="00B3403C">
                  <w:pPr>
                    <w:widowControl/>
                    <w:jc w:val="center"/>
                    <w:rPr>
                      <w:rFonts w:asciiTheme="majorEastAsia" w:eastAsiaTheme="majorEastAsia" w:hAnsiTheme="majorEastAsia" w:cs="宋体"/>
                      <w:b/>
                      <w:bCs/>
                      <w:kern w:val="0"/>
                      <w:sz w:val="32"/>
                      <w:szCs w:val="32"/>
                    </w:rPr>
                  </w:pPr>
                  <w:r>
                    <w:rPr>
                      <w:rFonts w:asciiTheme="majorEastAsia" w:eastAsiaTheme="majorEastAsia" w:hAnsiTheme="majorEastAsia" w:cs="宋体" w:hint="eastAsia"/>
                      <w:b/>
                      <w:bCs/>
                      <w:kern w:val="0"/>
                      <w:sz w:val="32"/>
                      <w:szCs w:val="32"/>
                      <w:u w:val="single"/>
                    </w:rPr>
                    <w:t>巴州地区</w:t>
                  </w:r>
                  <w:r>
                    <w:rPr>
                      <w:rFonts w:asciiTheme="majorEastAsia" w:eastAsiaTheme="majorEastAsia" w:hAnsiTheme="majorEastAsia" w:cs="宋体" w:hint="eastAsia"/>
                      <w:b/>
                      <w:bCs/>
                      <w:kern w:val="0"/>
                      <w:sz w:val="32"/>
                      <w:szCs w:val="32"/>
                    </w:rPr>
                    <w:t>财政项目支出绩效自评表</w:t>
                  </w:r>
                </w:p>
              </w:tc>
            </w:tr>
            <w:tr w:rsidR="00C82FCF">
              <w:trPr>
                <w:trHeight w:val="285"/>
              </w:trPr>
              <w:tc>
                <w:tcPr>
                  <w:tcW w:w="9020" w:type="dxa"/>
                  <w:gridSpan w:val="7"/>
                  <w:tcBorders>
                    <w:top w:val="nil"/>
                    <w:left w:val="nil"/>
                    <w:bottom w:val="nil"/>
                    <w:right w:val="nil"/>
                  </w:tcBorders>
                  <w:shd w:val="clear" w:color="auto" w:fill="auto"/>
                  <w:vAlign w:val="center"/>
                </w:tcPr>
                <w:p w:rsidR="00C82FCF" w:rsidRDefault="00B3403C">
                  <w:pPr>
                    <w:widowControl/>
                    <w:jc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（2018年度）</w:t>
                  </w:r>
                </w:p>
              </w:tc>
            </w:tr>
            <w:tr w:rsidR="00C82FCF">
              <w:trPr>
                <w:trHeight w:val="285"/>
              </w:trPr>
              <w:tc>
                <w:tcPr>
                  <w:tcW w:w="720" w:type="dxa"/>
                  <w:tcBorders>
                    <w:top w:val="nil"/>
                    <w:left w:val="nil"/>
                    <w:bottom w:val="nil"/>
                    <w:right w:val="nil"/>
                  </w:tcBorders>
                  <w:shd w:val="clear" w:color="auto" w:fill="auto"/>
                  <w:vAlign w:val="center"/>
                </w:tcPr>
                <w:p w:rsidR="00C82FCF" w:rsidRDefault="00C82FCF">
                  <w:pPr>
                    <w:widowControl/>
                    <w:jc w:val="center"/>
                    <w:rPr>
                      <w:rFonts w:asciiTheme="majorEastAsia" w:eastAsiaTheme="majorEastAsia" w:hAnsiTheme="majorEastAsia" w:cs="宋体"/>
                      <w:kern w:val="0"/>
                      <w:sz w:val="24"/>
                    </w:rPr>
                  </w:pPr>
                </w:p>
              </w:tc>
              <w:tc>
                <w:tcPr>
                  <w:tcW w:w="1140" w:type="dxa"/>
                  <w:tcBorders>
                    <w:top w:val="nil"/>
                    <w:left w:val="nil"/>
                    <w:bottom w:val="nil"/>
                    <w:right w:val="nil"/>
                  </w:tcBorders>
                  <w:shd w:val="clear" w:color="auto" w:fill="auto"/>
                  <w:vAlign w:val="center"/>
                </w:tcPr>
                <w:p w:rsidR="00C82FCF" w:rsidRDefault="00C82FCF">
                  <w:pPr>
                    <w:widowControl/>
                    <w:jc w:val="center"/>
                    <w:rPr>
                      <w:rFonts w:asciiTheme="majorEastAsia" w:eastAsiaTheme="majorEastAsia" w:hAnsiTheme="majorEastAsia" w:cs="宋体"/>
                      <w:kern w:val="0"/>
                      <w:sz w:val="24"/>
                    </w:rPr>
                  </w:pPr>
                </w:p>
              </w:tc>
              <w:tc>
                <w:tcPr>
                  <w:tcW w:w="1360" w:type="dxa"/>
                  <w:tcBorders>
                    <w:top w:val="nil"/>
                    <w:left w:val="nil"/>
                    <w:bottom w:val="nil"/>
                    <w:right w:val="nil"/>
                  </w:tcBorders>
                  <w:shd w:val="clear" w:color="auto" w:fill="auto"/>
                  <w:vAlign w:val="center"/>
                </w:tcPr>
                <w:p w:rsidR="00C82FCF" w:rsidRDefault="00C82FCF">
                  <w:pPr>
                    <w:widowControl/>
                    <w:jc w:val="center"/>
                    <w:rPr>
                      <w:rFonts w:asciiTheme="majorEastAsia" w:eastAsiaTheme="majorEastAsia" w:hAnsiTheme="majorEastAsia" w:cs="宋体"/>
                      <w:kern w:val="0"/>
                      <w:sz w:val="24"/>
                    </w:rPr>
                  </w:pPr>
                </w:p>
              </w:tc>
              <w:tc>
                <w:tcPr>
                  <w:tcW w:w="1080" w:type="dxa"/>
                  <w:tcBorders>
                    <w:top w:val="nil"/>
                    <w:left w:val="nil"/>
                    <w:bottom w:val="nil"/>
                    <w:right w:val="nil"/>
                  </w:tcBorders>
                  <w:shd w:val="clear" w:color="auto" w:fill="auto"/>
                  <w:vAlign w:val="center"/>
                </w:tcPr>
                <w:p w:rsidR="00C82FCF" w:rsidRDefault="00C82FCF">
                  <w:pPr>
                    <w:widowControl/>
                    <w:jc w:val="center"/>
                    <w:rPr>
                      <w:rFonts w:asciiTheme="majorEastAsia" w:eastAsiaTheme="majorEastAsia" w:hAnsiTheme="majorEastAsia" w:cs="宋体"/>
                      <w:kern w:val="0"/>
                      <w:sz w:val="24"/>
                    </w:rPr>
                  </w:pPr>
                </w:p>
              </w:tc>
              <w:tc>
                <w:tcPr>
                  <w:tcW w:w="880" w:type="dxa"/>
                  <w:tcBorders>
                    <w:top w:val="nil"/>
                    <w:left w:val="nil"/>
                    <w:bottom w:val="nil"/>
                    <w:right w:val="nil"/>
                  </w:tcBorders>
                  <w:shd w:val="clear" w:color="auto" w:fill="auto"/>
                  <w:vAlign w:val="center"/>
                </w:tcPr>
                <w:p w:rsidR="00C82FCF" w:rsidRDefault="00C82FCF">
                  <w:pPr>
                    <w:widowControl/>
                    <w:jc w:val="center"/>
                    <w:rPr>
                      <w:rFonts w:asciiTheme="majorEastAsia" w:eastAsiaTheme="majorEastAsia" w:hAnsiTheme="majorEastAsia" w:cs="宋体"/>
                      <w:kern w:val="0"/>
                      <w:sz w:val="24"/>
                    </w:rPr>
                  </w:pPr>
                </w:p>
              </w:tc>
              <w:tc>
                <w:tcPr>
                  <w:tcW w:w="2060" w:type="dxa"/>
                  <w:tcBorders>
                    <w:top w:val="nil"/>
                    <w:left w:val="nil"/>
                    <w:bottom w:val="nil"/>
                    <w:right w:val="nil"/>
                  </w:tcBorders>
                  <w:shd w:val="clear" w:color="auto" w:fill="auto"/>
                  <w:vAlign w:val="center"/>
                </w:tcPr>
                <w:p w:rsidR="00C82FCF" w:rsidRDefault="00C82FCF">
                  <w:pPr>
                    <w:widowControl/>
                    <w:jc w:val="center"/>
                    <w:rPr>
                      <w:rFonts w:asciiTheme="majorEastAsia" w:eastAsiaTheme="majorEastAsia" w:hAnsiTheme="majorEastAsia" w:cs="宋体"/>
                      <w:kern w:val="0"/>
                      <w:sz w:val="24"/>
                    </w:rPr>
                  </w:pPr>
                </w:p>
              </w:tc>
              <w:tc>
                <w:tcPr>
                  <w:tcW w:w="1780" w:type="dxa"/>
                  <w:tcBorders>
                    <w:top w:val="nil"/>
                    <w:left w:val="nil"/>
                    <w:bottom w:val="nil"/>
                    <w:right w:val="nil"/>
                  </w:tcBorders>
                  <w:shd w:val="clear" w:color="auto" w:fill="auto"/>
                  <w:vAlign w:val="center"/>
                </w:tcPr>
                <w:p w:rsidR="00C82FCF" w:rsidRDefault="00C82FCF">
                  <w:pPr>
                    <w:widowControl/>
                    <w:jc w:val="center"/>
                    <w:rPr>
                      <w:rFonts w:asciiTheme="majorEastAsia" w:eastAsiaTheme="majorEastAsia" w:hAnsiTheme="majorEastAsia" w:cs="宋体"/>
                      <w:kern w:val="0"/>
                      <w:sz w:val="24"/>
                    </w:rPr>
                  </w:pPr>
                </w:p>
              </w:tc>
            </w:tr>
            <w:tr w:rsidR="00C82FCF">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其他计划生育日常</w:t>
                  </w:r>
                </w:p>
              </w:tc>
            </w:tr>
            <w:tr w:rsidR="00C82FCF">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巴州卫计委</w:t>
                  </w:r>
                </w:p>
              </w:tc>
            </w:tr>
            <w:tr w:rsidR="00C82FCF">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w:t>
                  </w:r>
                  <w:r>
                    <w:rPr>
                      <w:rFonts w:asciiTheme="majorEastAsia" w:eastAsiaTheme="majorEastAsia" w:hAnsiTheme="majorEastAsia" w:cs="宋体" w:hint="eastAsia"/>
                      <w:kern w:val="0"/>
                      <w:sz w:val="20"/>
                      <w:szCs w:val="20"/>
                    </w:rPr>
                    <w:br/>
                    <w:t>执行</w:t>
                  </w:r>
                  <w:r>
                    <w:rPr>
                      <w:rFonts w:asciiTheme="majorEastAsia" w:eastAsiaTheme="majorEastAsia" w:hAnsiTheme="majorEastAsia" w:cs="宋体" w:hint="eastAsia"/>
                      <w:kern w:val="0"/>
                      <w:sz w:val="20"/>
                      <w:szCs w:val="20"/>
                    </w:rPr>
                    <w:br/>
                    <w:t>情况</w:t>
                  </w:r>
                  <w:r>
                    <w:rPr>
                      <w:rFonts w:asciiTheme="majorEastAsia" w:eastAsiaTheme="majorEastAsia" w:hAnsiTheme="majorEastAsia"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82FCF" w:rsidRDefault="00B3403C">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1,191,400.00</w:t>
                  </w:r>
                </w:p>
              </w:tc>
              <w:tc>
                <w:tcPr>
                  <w:tcW w:w="2060" w:type="dxa"/>
                  <w:tcBorders>
                    <w:top w:val="nil"/>
                    <w:left w:val="nil"/>
                    <w:bottom w:val="single" w:sz="4" w:space="0" w:color="auto"/>
                    <w:right w:val="single" w:sz="4" w:space="0" w:color="auto"/>
                  </w:tcBorders>
                  <w:shd w:val="clear" w:color="auto" w:fill="auto"/>
                  <w:vAlign w:val="center"/>
                </w:tcPr>
                <w:p w:rsidR="00C82FCF" w:rsidRDefault="00B3403C">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C82FCF" w:rsidRDefault="00B3403C">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1,191,400.00.　</w:t>
                  </w:r>
                </w:p>
              </w:tc>
            </w:tr>
            <w:tr w:rsidR="00C82FCF">
              <w:trPr>
                <w:trHeight w:val="509"/>
              </w:trPr>
              <w:tc>
                <w:tcPr>
                  <w:tcW w:w="720" w:type="dxa"/>
                  <w:vMerge/>
                  <w:tcBorders>
                    <w:top w:val="nil"/>
                    <w:left w:val="single" w:sz="4" w:space="0" w:color="auto"/>
                    <w:bottom w:val="single" w:sz="4" w:space="0" w:color="auto"/>
                    <w:right w:val="single" w:sz="4" w:space="0" w:color="auto"/>
                  </w:tcBorders>
                  <w:vAlign w:val="center"/>
                </w:tcPr>
                <w:p w:rsidR="00C82FCF" w:rsidRDefault="00C82FCF">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82FCF" w:rsidRDefault="00B3403C">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1,191,400.00</w:t>
                  </w:r>
                </w:p>
              </w:tc>
              <w:tc>
                <w:tcPr>
                  <w:tcW w:w="2060" w:type="dxa"/>
                  <w:tcBorders>
                    <w:top w:val="nil"/>
                    <w:left w:val="nil"/>
                    <w:bottom w:val="nil"/>
                    <w:right w:val="single" w:sz="4" w:space="0" w:color="auto"/>
                  </w:tcBorders>
                  <w:shd w:val="clear" w:color="auto" w:fill="auto"/>
                  <w:vAlign w:val="center"/>
                </w:tcPr>
                <w:p w:rsidR="00C82FCF" w:rsidRDefault="00B3403C">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C82FCF" w:rsidRDefault="00B3403C">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1,191,400.00　</w:t>
                  </w:r>
                </w:p>
              </w:tc>
            </w:tr>
            <w:tr w:rsidR="00C82FCF">
              <w:trPr>
                <w:trHeight w:val="433"/>
              </w:trPr>
              <w:tc>
                <w:tcPr>
                  <w:tcW w:w="720" w:type="dxa"/>
                  <w:vMerge/>
                  <w:tcBorders>
                    <w:top w:val="nil"/>
                    <w:left w:val="single" w:sz="4" w:space="0" w:color="auto"/>
                    <w:bottom w:val="single" w:sz="4" w:space="0" w:color="auto"/>
                    <w:right w:val="single" w:sz="4" w:space="0" w:color="auto"/>
                  </w:tcBorders>
                  <w:vAlign w:val="center"/>
                </w:tcPr>
                <w:p w:rsidR="00C82FCF" w:rsidRDefault="00C82FCF">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C82FCF" w:rsidRDefault="00B3403C">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C82FCF" w:rsidRDefault="00B3403C">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C82FCF">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t>目标</w:t>
                  </w:r>
                  <w:r>
                    <w:rPr>
                      <w:rFonts w:asciiTheme="majorEastAsia" w:eastAsiaTheme="majorEastAsia" w:hAnsiTheme="majorEastAsia" w:cs="宋体" w:hint="eastAsia"/>
                      <w:kern w:val="0"/>
                      <w:sz w:val="20"/>
                      <w:szCs w:val="20"/>
                    </w:rPr>
                    <w:br/>
                    <w:t>完成</w:t>
                  </w:r>
                  <w:r>
                    <w:rPr>
                      <w:rFonts w:asciiTheme="majorEastAsia" w:eastAsiaTheme="majorEastAsia" w:hAnsiTheme="maj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实际完成目标</w:t>
                  </w:r>
                </w:p>
              </w:tc>
            </w:tr>
            <w:tr w:rsidR="00C82FCF">
              <w:trPr>
                <w:trHeight w:val="1425"/>
              </w:trPr>
              <w:tc>
                <w:tcPr>
                  <w:tcW w:w="720" w:type="dxa"/>
                  <w:vMerge/>
                  <w:tcBorders>
                    <w:top w:val="nil"/>
                    <w:left w:val="single" w:sz="4" w:space="0" w:color="auto"/>
                    <w:bottom w:val="single" w:sz="4" w:space="0" w:color="auto"/>
                    <w:right w:val="single" w:sz="4" w:space="0" w:color="auto"/>
                  </w:tcBorders>
                  <w:vAlign w:val="center"/>
                </w:tcPr>
                <w:p w:rsidR="00C82FCF" w:rsidRDefault="00C82FCF">
                  <w:pPr>
                    <w:widowControl/>
                    <w:jc w:val="left"/>
                    <w:rPr>
                      <w:rFonts w:asciiTheme="majorEastAsia" w:eastAsiaTheme="majorEastAsia" w:hAnsiTheme="maj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C82FCF" w:rsidRDefault="00B3403C" w:rsidP="00B72D89">
                  <w:pP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居民健康保健意识知晓率提高80%以上。居民健康水平逐步提高。居民满意度达到80%以上。居民健康化电子建档率达以75%以上。全民健康体检信息系统建设率达到50%以上，居民健康档案化电子建档率75%以上。</w:t>
                  </w:r>
                </w:p>
              </w:tc>
              <w:tc>
                <w:tcPr>
                  <w:tcW w:w="3840" w:type="dxa"/>
                  <w:gridSpan w:val="2"/>
                  <w:tcBorders>
                    <w:top w:val="single" w:sz="4" w:space="0" w:color="auto"/>
                    <w:left w:val="nil"/>
                    <w:bottom w:val="single" w:sz="4" w:space="0" w:color="auto"/>
                    <w:right w:val="single" w:sz="4" w:space="0" w:color="000000"/>
                  </w:tcBorders>
                  <w:shd w:val="clear" w:color="auto" w:fill="auto"/>
                </w:tcPr>
                <w:p w:rsidR="00C82FCF" w:rsidRDefault="00B3403C">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完成全州地区居民体检，提高居民健康水平，提高居民健康保健意识知晓率。</w:t>
                  </w:r>
                </w:p>
              </w:tc>
            </w:tr>
            <w:tr w:rsidR="00C82FCF">
              <w:trPr>
                <w:trHeight w:val="720"/>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t>绩效</w:t>
                  </w:r>
                  <w:r>
                    <w:rPr>
                      <w:rFonts w:asciiTheme="majorEastAsia" w:eastAsiaTheme="majorEastAsia" w:hAnsiTheme="majorEastAsia" w:cs="宋体" w:hint="eastAsia"/>
                      <w:kern w:val="0"/>
                      <w:sz w:val="20"/>
                      <w:szCs w:val="20"/>
                    </w:rPr>
                    <w:br/>
                    <w:t>指标</w:t>
                  </w:r>
                  <w:r>
                    <w:rPr>
                      <w:rFonts w:asciiTheme="majorEastAsia" w:eastAsiaTheme="majorEastAsia" w:hAnsiTheme="majorEastAsia" w:cs="宋体" w:hint="eastAsia"/>
                      <w:kern w:val="0"/>
                      <w:sz w:val="20"/>
                      <w:szCs w:val="20"/>
                    </w:rPr>
                    <w:br/>
                    <w:t>完成</w:t>
                  </w:r>
                  <w:r>
                    <w:rPr>
                      <w:rFonts w:asciiTheme="majorEastAsia" w:eastAsiaTheme="majorEastAsia" w:hAnsiTheme="majorEastAsia" w:cs="宋体" w:hint="eastAsia"/>
                      <w:kern w:val="0"/>
                      <w:sz w:val="20"/>
                      <w:szCs w:val="20"/>
                    </w:rPr>
                    <w:br/>
                    <w:t>情况</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一级指标</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二级指标</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三级指标</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预期指标值（包含数字及文字描述）</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实际完成指标值（包含数字及文字描述）</w:t>
                  </w:r>
                </w:p>
              </w:tc>
            </w:tr>
            <w:tr w:rsidR="00C82FC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项目完成指标</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数量指标</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全民健康体检信息系统建设率</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50%以上</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90%</w:t>
                  </w:r>
                </w:p>
              </w:tc>
            </w:tr>
            <w:tr w:rsidR="00C82FCF">
              <w:trPr>
                <w:trHeight w:val="504"/>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居民健康档案化电子建档率</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75%以上</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90%</w:t>
                  </w:r>
                </w:p>
              </w:tc>
            </w:tr>
            <w:tr w:rsidR="00C82FC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全民健康体检设备到位率</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70%以上</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100%</w:t>
                  </w:r>
                </w:p>
              </w:tc>
            </w:tr>
            <w:tr w:rsidR="00C82FC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质量指标</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项目资金支付及时性</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及时</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及时</w:t>
                  </w:r>
                </w:p>
              </w:tc>
            </w:tr>
            <w:tr w:rsidR="00C82FC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指标2：</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r>
            <w:tr w:rsidR="00C82FC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时效指标</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工作 完成时限</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12月</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12月</w:t>
                  </w:r>
                </w:p>
              </w:tc>
            </w:tr>
            <w:tr w:rsidR="00C82FC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成本指标</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体检费用补贴区间</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8到18元</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8到18元</w:t>
                  </w:r>
                </w:p>
              </w:tc>
            </w:tr>
            <w:tr w:rsidR="00C82FC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tcBorders>
                    <w:top w:val="single" w:sz="4" w:space="0" w:color="auto"/>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人均体检费</w:t>
                  </w:r>
                </w:p>
              </w:tc>
              <w:tc>
                <w:tcPr>
                  <w:tcW w:w="2060" w:type="dxa"/>
                  <w:tcBorders>
                    <w:top w:val="single" w:sz="4" w:space="0" w:color="auto"/>
                    <w:left w:val="single" w:sz="4" w:space="0" w:color="auto"/>
                    <w:bottom w:val="single" w:sz="4" w:space="0" w:color="000000"/>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100元</w:t>
                  </w:r>
                </w:p>
              </w:tc>
              <w:tc>
                <w:tcPr>
                  <w:tcW w:w="1780" w:type="dxa"/>
                  <w:tcBorders>
                    <w:top w:val="single" w:sz="4" w:space="0" w:color="auto"/>
                    <w:left w:val="single" w:sz="4" w:space="0" w:color="auto"/>
                    <w:bottom w:val="single" w:sz="4" w:space="0" w:color="000000"/>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100元</w:t>
                  </w:r>
                </w:p>
              </w:tc>
            </w:tr>
            <w:tr w:rsidR="00C82FC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项目效果指标</w:t>
                  </w:r>
                </w:p>
              </w:tc>
              <w:tc>
                <w:tcPr>
                  <w:tcW w:w="1360" w:type="dxa"/>
                  <w:vMerge w:val="restart"/>
                  <w:tcBorders>
                    <w:top w:val="single" w:sz="4" w:space="0" w:color="000000"/>
                    <w:left w:val="single" w:sz="4" w:space="0" w:color="000000"/>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经济效益</w:t>
                  </w:r>
                  <w:r>
                    <w:rPr>
                      <w:rFonts w:asciiTheme="majorEastAsia" w:eastAsiaTheme="majorEastAsia" w:hAnsiTheme="majorEastAsia" w:cs="宋体" w:hint="eastAsia"/>
                      <w:kern w:val="0"/>
                      <w:sz w:val="20"/>
                      <w:szCs w:val="20"/>
                    </w:rPr>
                    <w:br/>
                    <w:t>指标</w:t>
                  </w:r>
                </w:p>
              </w:tc>
              <w:tc>
                <w:tcPr>
                  <w:tcW w:w="1960" w:type="dxa"/>
                  <w:gridSpan w:val="2"/>
                  <w:tcBorders>
                    <w:top w:val="single" w:sz="4" w:space="0" w:color="000000"/>
                    <w:left w:val="single" w:sz="4" w:space="0" w:color="auto"/>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指标1：</w:t>
                  </w:r>
                </w:p>
              </w:tc>
              <w:tc>
                <w:tcPr>
                  <w:tcW w:w="2060" w:type="dxa"/>
                  <w:tcBorders>
                    <w:top w:val="single" w:sz="4" w:space="0" w:color="000000"/>
                    <w:left w:val="single" w:sz="4" w:space="0" w:color="auto"/>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c>
                <w:tcPr>
                  <w:tcW w:w="1780" w:type="dxa"/>
                  <w:tcBorders>
                    <w:top w:val="single" w:sz="4" w:space="0" w:color="000000"/>
                    <w:left w:val="single" w:sz="4" w:space="0" w:color="auto"/>
                    <w:bottom w:val="single" w:sz="4" w:space="0" w:color="auto"/>
                    <w:right w:val="single" w:sz="4" w:space="0" w:color="000000"/>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r>
            <w:tr w:rsidR="00C82FCF">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000000"/>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tcBorders>
                    <w:top w:val="single" w:sz="4" w:space="0" w:color="auto"/>
                    <w:left w:val="single" w:sz="4" w:space="0" w:color="000000"/>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指标2：</w:t>
                  </w:r>
                </w:p>
              </w:tc>
              <w:tc>
                <w:tcPr>
                  <w:tcW w:w="2060" w:type="dxa"/>
                  <w:tcBorders>
                    <w:top w:val="single" w:sz="4" w:space="0" w:color="auto"/>
                    <w:left w:val="single" w:sz="4" w:space="0" w:color="auto"/>
                    <w:bottom w:val="single" w:sz="4" w:space="0" w:color="000000"/>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c>
                <w:tcPr>
                  <w:tcW w:w="1780" w:type="dxa"/>
                  <w:tcBorders>
                    <w:top w:val="single" w:sz="4" w:space="0" w:color="auto"/>
                    <w:left w:val="single" w:sz="4" w:space="0" w:color="auto"/>
                    <w:bottom w:val="single" w:sz="4" w:space="0" w:color="000000"/>
                    <w:right w:val="single" w:sz="4" w:space="0" w:color="000000"/>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r>
            <w:tr w:rsidR="00C82FCF">
              <w:trPr>
                <w:trHeight w:val="480"/>
              </w:trPr>
              <w:tc>
                <w:tcPr>
                  <w:tcW w:w="720" w:type="dxa"/>
                  <w:vMerge/>
                  <w:tcBorders>
                    <w:top w:val="single" w:sz="4" w:space="0" w:color="auto"/>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val="restart"/>
                  <w:tcBorders>
                    <w:top w:val="single" w:sz="4" w:space="0" w:color="000000"/>
                    <w:left w:val="single" w:sz="4" w:space="0" w:color="auto"/>
                    <w:bottom w:val="single" w:sz="4" w:space="0" w:color="000000"/>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社会效益</w:t>
                  </w:r>
                  <w:r>
                    <w:rPr>
                      <w:rFonts w:asciiTheme="majorEastAsia" w:eastAsiaTheme="majorEastAsia" w:hAnsiTheme="majorEastAsia" w:cs="宋体" w:hint="eastAsia"/>
                      <w:kern w:val="0"/>
                      <w:sz w:val="20"/>
                      <w:szCs w:val="20"/>
                    </w:rPr>
                    <w:br/>
                    <w:t>指标</w:t>
                  </w:r>
                </w:p>
              </w:tc>
              <w:tc>
                <w:tcPr>
                  <w:tcW w:w="1960" w:type="dxa"/>
                  <w:gridSpan w:val="2"/>
                  <w:tcBorders>
                    <w:top w:val="single" w:sz="4" w:space="0" w:color="000000"/>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居民健康保健意识知晓率</w:t>
                  </w:r>
                </w:p>
              </w:tc>
              <w:tc>
                <w:tcPr>
                  <w:tcW w:w="2060" w:type="dxa"/>
                  <w:tcBorders>
                    <w:top w:val="single" w:sz="4" w:space="0" w:color="000000"/>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80%以上</w:t>
                  </w:r>
                </w:p>
              </w:tc>
              <w:tc>
                <w:tcPr>
                  <w:tcW w:w="1780" w:type="dxa"/>
                  <w:tcBorders>
                    <w:top w:val="single" w:sz="4" w:space="0" w:color="000000"/>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90%</w:t>
                  </w:r>
                </w:p>
              </w:tc>
            </w:tr>
            <w:tr w:rsidR="00C82FCF">
              <w:trPr>
                <w:trHeight w:val="480"/>
              </w:trPr>
              <w:tc>
                <w:tcPr>
                  <w:tcW w:w="72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居民健康水平提高</w:t>
                  </w:r>
                </w:p>
              </w:tc>
              <w:tc>
                <w:tcPr>
                  <w:tcW w:w="2060" w:type="dxa"/>
                  <w:tcBorders>
                    <w:top w:val="nil"/>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逐步提高</w:t>
                  </w:r>
                </w:p>
              </w:tc>
              <w:tc>
                <w:tcPr>
                  <w:tcW w:w="1780" w:type="dxa"/>
                  <w:tcBorders>
                    <w:top w:val="nil"/>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逐步提高</w:t>
                  </w:r>
                </w:p>
              </w:tc>
            </w:tr>
            <w:tr w:rsidR="00C82FCF">
              <w:trPr>
                <w:trHeight w:val="480"/>
              </w:trPr>
              <w:tc>
                <w:tcPr>
                  <w:tcW w:w="72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w:t>
                  </w:r>
                  <w:bookmarkStart w:id="0" w:name="_GoBack"/>
                  <w:bookmarkEnd w:id="0"/>
                  <w:r>
                    <w:rPr>
                      <w:rFonts w:asciiTheme="majorEastAsia" w:eastAsiaTheme="majorEastAsia" w:hAnsiTheme="majorEastAsia" w:cs="宋体" w:hint="eastAsia"/>
                      <w:kern w:val="0"/>
                      <w:sz w:val="20"/>
                      <w:szCs w:val="20"/>
                    </w:rPr>
                    <w:t>标1：</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r>
            <w:tr w:rsidR="00C82FCF">
              <w:trPr>
                <w:trHeight w:val="480"/>
              </w:trPr>
              <w:tc>
                <w:tcPr>
                  <w:tcW w:w="72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指标2：</w:t>
                  </w:r>
                </w:p>
              </w:tc>
              <w:tc>
                <w:tcPr>
                  <w:tcW w:w="206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r>
            <w:tr w:rsidR="00C82FCF">
              <w:trPr>
                <w:trHeight w:val="480"/>
              </w:trPr>
              <w:tc>
                <w:tcPr>
                  <w:tcW w:w="72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可持续影响</w:t>
                  </w:r>
                  <w:r>
                    <w:rPr>
                      <w:rFonts w:asciiTheme="majorEastAsia" w:eastAsiaTheme="majorEastAsia" w:hAnsiTheme="majorEastAsia"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指标1：</w:t>
                  </w:r>
                </w:p>
              </w:tc>
              <w:tc>
                <w:tcPr>
                  <w:tcW w:w="206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r>
            <w:tr w:rsidR="00C82FCF">
              <w:trPr>
                <w:trHeight w:val="480"/>
              </w:trPr>
              <w:tc>
                <w:tcPr>
                  <w:tcW w:w="72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指标2：</w:t>
                  </w:r>
                </w:p>
              </w:tc>
              <w:tc>
                <w:tcPr>
                  <w:tcW w:w="206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r>
            <w:tr w:rsidR="00C82FCF">
              <w:trPr>
                <w:trHeight w:val="480"/>
              </w:trPr>
              <w:tc>
                <w:tcPr>
                  <w:tcW w:w="72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w:t>
                  </w:r>
                  <w:r>
                    <w:rPr>
                      <w:rFonts w:asciiTheme="majorEastAsia" w:eastAsiaTheme="majorEastAsia" w:hAnsiTheme="majorEastAsia"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居民满意度</w:t>
                  </w:r>
                </w:p>
              </w:tc>
              <w:tc>
                <w:tcPr>
                  <w:tcW w:w="2060" w:type="dxa"/>
                  <w:tcBorders>
                    <w:top w:val="nil"/>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80%以上</w:t>
                  </w:r>
                </w:p>
              </w:tc>
              <w:tc>
                <w:tcPr>
                  <w:tcW w:w="1780" w:type="dxa"/>
                  <w:tcBorders>
                    <w:top w:val="nil"/>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100%</w:t>
                  </w:r>
                </w:p>
              </w:tc>
            </w:tr>
            <w:tr w:rsidR="00C82FCF">
              <w:trPr>
                <w:trHeight w:val="480"/>
              </w:trPr>
              <w:tc>
                <w:tcPr>
                  <w:tcW w:w="72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2FCF" w:rsidRDefault="00C82FCF">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2FCF" w:rsidRDefault="00B3403C">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指标2：</w:t>
                  </w:r>
                </w:p>
              </w:tc>
              <w:tc>
                <w:tcPr>
                  <w:tcW w:w="206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C82FCF" w:rsidRDefault="00C82FCF">
                  <w:pPr>
                    <w:widowControl/>
                    <w:jc w:val="center"/>
                    <w:rPr>
                      <w:rFonts w:asciiTheme="majorEastAsia" w:eastAsiaTheme="majorEastAsia" w:hAnsiTheme="majorEastAsia" w:cs="宋体"/>
                      <w:kern w:val="0"/>
                      <w:sz w:val="20"/>
                      <w:szCs w:val="20"/>
                    </w:rPr>
                  </w:pPr>
                </w:p>
              </w:tc>
            </w:tr>
          </w:tbl>
          <w:p w:rsidR="00C82FCF" w:rsidRDefault="00C82FCF">
            <w:pPr>
              <w:spacing w:line="540" w:lineRule="exact"/>
              <w:jc w:val="center"/>
              <w:rPr>
                <w:rStyle w:val="a8"/>
                <w:rFonts w:asciiTheme="majorEastAsia" w:eastAsiaTheme="majorEastAsia" w:hAnsiTheme="majorEastAsia"/>
                <w:b w:val="0"/>
                <w:spacing w:val="-4"/>
                <w:sz w:val="32"/>
                <w:szCs w:val="32"/>
              </w:rPr>
            </w:pPr>
          </w:p>
          <w:p w:rsidR="00C82FCF" w:rsidRDefault="00C82FCF">
            <w:pPr>
              <w:spacing w:line="540" w:lineRule="exact"/>
              <w:ind w:firstLine="567"/>
              <w:rPr>
                <w:rStyle w:val="a8"/>
                <w:rFonts w:asciiTheme="majorEastAsia" w:eastAsiaTheme="majorEastAsia" w:hAnsiTheme="majorEastAsia"/>
                <w:b w:val="0"/>
                <w:spacing w:val="-4"/>
                <w:sz w:val="32"/>
                <w:szCs w:val="32"/>
              </w:rPr>
            </w:pPr>
          </w:p>
          <w:p w:rsidR="00C82FCF" w:rsidRDefault="00C82FCF">
            <w:pPr>
              <w:widowControl/>
              <w:rPr>
                <w:rFonts w:asciiTheme="majorEastAsia" w:eastAsiaTheme="majorEastAsia" w:hAnsiTheme="majorEastAsia" w:cs="宋体"/>
                <w:b/>
                <w:bCs/>
                <w:kern w:val="0"/>
                <w:sz w:val="32"/>
                <w:szCs w:val="32"/>
              </w:rPr>
            </w:pPr>
          </w:p>
        </w:tc>
      </w:tr>
    </w:tbl>
    <w:p w:rsidR="00C82FCF" w:rsidRDefault="00C82FCF">
      <w:pPr>
        <w:spacing w:line="540" w:lineRule="exact"/>
        <w:rPr>
          <w:rStyle w:val="a8"/>
          <w:rFonts w:asciiTheme="majorEastAsia" w:eastAsiaTheme="majorEastAsia" w:hAnsiTheme="majorEastAsia"/>
          <w:b w:val="0"/>
          <w:spacing w:val="-4"/>
          <w:sz w:val="32"/>
          <w:szCs w:val="32"/>
        </w:rPr>
      </w:pPr>
    </w:p>
    <w:p w:rsidR="00C82FCF" w:rsidRDefault="00C82FCF">
      <w:pPr>
        <w:spacing w:line="540" w:lineRule="exact"/>
        <w:ind w:firstLine="567"/>
        <w:rPr>
          <w:rStyle w:val="a8"/>
          <w:rFonts w:asciiTheme="majorEastAsia" w:eastAsiaTheme="majorEastAsia" w:hAnsiTheme="majorEastAsia"/>
          <w:b w:val="0"/>
          <w:spacing w:val="-4"/>
          <w:sz w:val="32"/>
          <w:szCs w:val="32"/>
        </w:rPr>
      </w:pPr>
    </w:p>
    <w:sectPr w:rsidR="00C82FCF" w:rsidSect="00C82FCF">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7E2" w:rsidRDefault="009727E2" w:rsidP="00C82FCF">
      <w:r>
        <w:separator/>
      </w:r>
    </w:p>
  </w:endnote>
  <w:endnote w:type="continuationSeparator" w:id="1">
    <w:p w:rsidR="009727E2" w:rsidRDefault="009727E2" w:rsidP="00C82F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C82FCF" w:rsidRDefault="00D841F3">
        <w:pPr>
          <w:pStyle w:val="a4"/>
          <w:jc w:val="center"/>
        </w:pPr>
        <w:r>
          <w:fldChar w:fldCharType="begin"/>
        </w:r>
        <w:r w:rsidR="00B3403C">
          <w:instrText>PAGE   \* MERGEFORMAT</w:instrText>
        </w:r>
        <w:r>
          <w:fldChar w:fldCharType="separate"/>
        </w:r>
        <w:r w:rsidR="00B72D89" w:rsidRPr="00B72D89">
          <w:rPr>
            <w:noProof/>
            <w:lang w:val="zh-CN"/>
          </w:rPr>
          <w:t>1</w:t>
        </w:r>
        <w:r>
          <w:fldChar w:fldCharType="end"/>
        </w:r>
      </w:p>
    </w:sdtContent>
  </w:sdt>
  <w:p w:rsidR="00C82FCF" w:rsidRDefault="00C82FC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7E2" w:rsidRDefault="009727E2" w:rsidP="00C82FCF">
      <w:r>
        <w:separator/>
      </w:r>
    </w:p>
  </w:footnote>
  <w:footnote w:type="continuationSeparator" w:id="1">
    <w:p w:rsidR="009727E2" w:rsidRDefault="009727E2" w:rsidP="00C82F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56465"/>
    <w:rsid w:val="00121AE4"/>
    <w:rsid w:val="00146AAD"/>
    <w:rsid w:val="001B3A40"/>
    <w:rsid w:val="001F5F55"/>
    <w:rsid w:val="002574E5"/>
    <w:rsid w:val="00361451"/>
    <w:rsid w:val="003908B7"/>
    <w:rsid w:val="004366A8"/>
    <w:rsid w:val="00502BA7"/>
    <w:rsid w:val="005162F1"/>
    <w:rsid w:val="00535153"/>
    <w:rsid w:val="00554F82"/>
    <w:rsid w:val="0056390D"/>
    <w:rsid w:val="005719B0"/>
    <w:rsid w:val="005D10D6"/>
    <w:rsid w:val="006E266F"/>
    <w:rsid w:val="006E6BB4"/>
    <w:rsid w:val="00855E3A"/>
    <w:rsid w:val="008D23CA"/>
    <w:rsid w:val="00922CB9"/>
    <w:rsid w:val="0094403C"/>
    <w:rsid w:val="00971DB1"/>
    <w:rsid w:val="009727E2"/>
    <w:rsid w:val="009E5CD9"/>
    <w:rsid w:val="00A26421"/>
    <w:rsid w:val="00A4293B"/>
    <w:rsid w:val="00A67D50"/>
    <w:rsid w:val="00A841B9"/>
    <w:rsid w:val="00A8691A"/>
    <w:rsid w:val="00AA04CD"/>
    <w:rsid w:val="00AC1946"/>
    <w:rsid w:val="00B3403C"/>
    <w:rsid w:val="00B40063"/>
    <w:rsid w:val="00B41F61"/>
    <w:rsid w:val="00B72D89"/>
    <w:rsid w:val="00BA46E6"/>
    <w:rsid w:val="00BB012C"/>
    <w:rsid w:val="00C56C72"/>
    <w:rsid w:val="00C82FCF"/>
    <w:rsid w:val="00CA6457"/>
    <w:rsid w:val="00D17F2E"/>
    <w:rsid w:val="00D30354"/>
    <w:rsid w:val="00D841F3"/>
    <w:rsid w:val="00DF42A0"/>
    <w:rsid w:val="00E769FE"/>
    <w:rsid w:val="00EA2CBE"/>
    <w:rsid w:val="00EC3C5E"/>
    <w:rsid w:val="00F32FEE"/>
    <w:rsid w:val="00FB10BB"/>
    <w:rsid w:val="034A531F"/>
    <w:rsid w:val="046E418A"/>
    <w:rsid w:val="07342E05"/>
    <w:rsid w:val="0C9078B3"/>
    <w:rsid w:val="0EA2042F"/>
    <w:rsid w:val="199F1202"/>
    <w:rsid w:val="1BE06B3D"/>
    <w:rsid w:val="1BFE0A0D"/>
    <w:rsid w:val="2E180C6E"/>
    <w:rsid w:val="33A76E15"/>
    <w:rsid w:val="33C80308"/>
    <w:rsid w:val="470B355B"/>
    <w:rsid w:val="4AD11232"/>
    <w:rsid w:val="50A76FC4"/>
    <w:rsid w:val="5776414B"/>
    <w:rsid w:val="5CD41D7B"/>
    <w:rsid w:val="654B3882"/>
    <w:rsid w:val="6F8F6EBE"/>
    <w:rsid w:val="76D26631"/>
    <w:rsid w:val="77780A4D"/>
    <w:rsid w:val="787F1021"/>
    <w:rsid w:val="793623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FCF"/>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C82FCF"/>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C82FCF"/>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C82FCF"/>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C82FCF"/>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C82FCF"/>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C82FCF"/>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C82FCF"/>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C82FCF"/>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C82FCF"/>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82FCF"/>
    <w:rPr>
      <w:sz w:val="18"/>
      <w:szCs w:val="18"/>
    </w:rPr>
  </w:style>
  <w:style w:type="paragraph" w:styleId="a4">
    <w:name w:val="footer"/>
    <w:basedOn w:val="a"/>
    <w:link w:val="Char0"/>
    <w:uiPriority w:val="99"/>
    <w:unhideWhenUsed/>
    <w:qFormat/>
    <w:rsid w:val="00C82FCF"/>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C82FCF"/>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C82FCF"/>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C82FCF"/>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C82FCF"/>
    <w:rPr>
      <w:b/>
      <w:bCs/>
    </w:rPr>
  </w:style>
  <w:style w:type="character" w:styleId="a9">
    <w:name w:val="Emphasis"/>
    <w:basedOn w:val="a0"/>
    <w:uiPriority w:val="20"/>
    <w:qFormat/>
    <w:rsid w:val="00C82FCF"/>
    <w:rPr>
      <w:rFonts w:asciiTheme="minorHAnsi" w:hAnsiTheme="minorHAnsi"/>
      <w:b/>
      <w:i/>
      <w:iCs/>
    </w:rPr>
  </w:style>
  <w:style w:type="character" w:customStyle="1" w:styleId="1Char">
    <w:name w:val="标题 1 Char"/>
    <w:basedOn w:val="a0"/>
    <w:link w:val="1"/>
    <w:uiPriority w:val="9"/>
    <w:qFormat/>
    <w:rsid w:val="00C82FCF"/>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C82FCF"/>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C82FCF"/>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C82FCF"/>
    <w:rPr>
      <w:b/>
      <w:bCs/>
      <w:sz w:val="28"/>
      <w:szCs w:val="28"/>
    </w:rPr>
  </w:style>
  <w:style w:type="character" w:customStyle="1" w:styleId="5Char">
    <w:name w:val="标题 5 Char"/>
    <w:basedOn w:val="a0"/>
    <w:link w:val="5"/>
    <w:uiPriority w:val="9"/>
    <w:semiHidden/>
    <w:qFormat/>
    <w:rsid w:val="00C82FCF"/>
    <w:rPr>
      <w:b/>
      <w:bCs/>
      <w:i/>
      <w:iCs/>
      <w:sz w:val="26"/>
      <w:szCs w:val="26"/>
    </w:rPr>
  </w:style>
  <w:style w:type="character" w:customStyle="1" w:styleId="6Char">
    <w:name w:val="标题 6 Char"/>
    <w:basedOn w:val="a0"/>
    <w:link w:val="6"/>
    <w:uiPriority w:val="9"/>
    <w:semiHidden/>
    <w:qFormat/>
    <w:rsid w:val="00C82FCF"/>
    <w:rPr>
      <w:b/>
      <w:bCs/>
    </w:rPr>
  </w:style>
  <w:style w:type="character" w:customStyle="1" w:styleId="7Char">
    <w:name w:val="标题 7 Char"/>
    <w:basedOn w:val="a0"/>
    <w:link w:val="7"/>
    <w:uiPriority w:val="9"/>
    <w:semiHidden/>
    <w:qFormat/>
    <w:rsid w:val="00C82FCF"/>
    <w:rPr>
      <w:sz w:val="24"/>
      <w:szCs w:val="24"/>
    </w:rPr>
  </w:style>
  <w:style w:type="character" w:customStyle="1" w:styleId="8Char">
    <w:name w:val="标题 8 Char"/>
    <w:basedOn w:val="a0"/>
    <w:link w:val="8"/>
    <w:uiPriority w:val="9"/>
    <w:semiHidden/>
    <w:qFormat/>
    <w:rsid w:val="00C82FCF"/>
    <w:rPr>
      <w:i/>
      <w:iCs/>
      <w:sz w:val="24"/>
      <w:szCs w:val="24"/>
    </w:rPr>
  </w:style>
  <w:style w:type="character" w:customStyle="1" w:styleId="9Char">
    <w:name w:val="标题 9 Char"/>
    <w:basedOn w:val="a0"/>
    <w:link w:val="9"/>
    <w:uiPriority w:val="9"/>
    <w:semiHidden/>
    <w:qFormat/>
    <w:rsid w:val="00C82FCF"/>
    <w:rPr>
      <w:rFonts w:asciiTheme="majorHAnsi" w:eastAsiaTheme="majorEastAsia" w:hAnsiTheme="majorHAnsi"/>
    </w:rPr>
  </w:style>
  <w:style w:type="character" w:customStyle="1" w:styleId="Char3">
    <w:name w:val="标题 Char"/>
    <w:basedOn w:val="a0"/>
    <w:link w:val="a7"/>
    <w:uiPriority w:val="10"/>
    <w:qFormat/>
    <w:rsid w:val="00C82FCF"/>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C82FCF"/>
    <w:rPr>
      <w:rFonts w:asciiTheme="majorHAnsi" w:eastAsiaTheme="majorEastAsia" w:hAnsiTheme="majorHAnsi"/>
      <w:sz w:val="24"/>
      <w:szCs w:val="24"/>
    </w:rPr>
  </w:style>
  <w:style w:type="paragraph" w:styleId="aa">
    <w:name w:val="No Spacing"/>
    <w:basedOn w:val="a"/>
    <w:uiPriority w:val="1"/>
    <w:qFormat/>
    <w:rsid w:val="00C82FCF"/>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C82FCF"/>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C82FCF"/>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C82FCF"/>
    <w:rPr>
      <w:i/>
      <w:sz w:val="24"/>
      <w:szCs w:val="24"/>
    </w:rPr>
  </w:style>
  <w:style w:type="paragraph" w:styleId="ad">
    <w:name w:val="Intense Quote"/>
    <w:basedOn w:val="a"/>
    <w:next w:val="a"/>
    <w:link w:val="Char5"/>
    <w:uiPriority w:val="30"/>
    <w:qFormat/>
    <w:rsid w:val="00C82FCF"/>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C82FCF"/>
    <w:rPr>
      <w:b/>
      <w:i/>
      <w:sz w:val="24"/>
    </w:rPr>
  </w:style>
  <w:style w:type="character" w:customStyle="1" w:styleId="10">
    <w:name w:val="不明显强调1"/>
    <w:uiPriority w:val="19"/>
    <w:qFormat/>
    <w:rsid w:val="00C82FCF"/>
    <w:rPr>
      <w:i/>
      <w:color w:val="595959" w:themeColor="text1" w:themeTint="A6"/>
    </w:rPr>
  </w:style>
  <w:style w:type="character" w:customStyle="1" w:styleId="11">
    <w:name w:val="明显强调1"/>
    <w:basedOn w:val="a0"/>
    <w:uiPriority w:val="21"/>
    <w:qFormat/>
    <w:rsid w:val="00C82FCF"/>
    <w:rPr>
      <w:b/>
      <w:i/>
      <w:sz w:val="24"/>
      <w:szCs w:val="24"/>
      <w:u w:val="single"/>
    </w:rPr>
  </w:style>
  <w:style w:type="character" w:customStyle="1" w:styleId="12">
    <w:name w:val="不明显参考1"/>
    <w:basedOn w:val="a0"/>
    <w:uiPriority w:val="31"/>
    <w:qFormat/>
    <w:rsid w:val="00C82FCF"/>
    <w:rPr>
      <w:sz w:val="24"/>
      <w:szCs w:val="24"/>
      <w:u w:val="single"/>
    </w:rPr>
  </w:style>
  <w:style w:type="character" w:customStyle="1" w:styleId="13">
    <w:name w:val="明显参考1"/>
    <w:basedOn w:val="a0"/>
    <w:uiPriority w:val="32"/>
    <w:qFormat/>
    <w:rsid w:val="00C82FCF"/>
    <w:rPr>
      <w:b/>
      <w:sz w:val="24"/>
      <w:u w:val="single"/>
    </w:rPr>
  </w:style>
  <w:style w:type="character" w:customStyle="1" w:styleId="14">
    <w:name w:val="书籍标题1"/>
    <w:basedOn w:val="a0"/>
    <w:uiPriority w:val="33"/>
    <w:qFormat/>
    <w:rsid w:val="00C82FCF"/>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C82FCF"/>
    <w:pPr>
      <w:outlineLvl w:val="9"/>
    </w:pPr>
    <w:rPr>
      <w:lang w:eastAsia="en-US" w:bidi="en-US"/>
    </w:rPr>
  </w:style>
  <w:style w:type="character" w:customStyle="1" w:styleId="Char1">
    <w:name w:val="页眉 Char"/>
    <w:basedOn w:val="a0"/>
    <w:link w:val="a5"/>
    <w:uiPriority w:val="99"/>
    <w:qFormat/>
    <w:rsid w:val="00C82FCF"/>
    <w:rPr>
      <w:rFonts w:ascii="Calibri" w:eastAsia="宋体" w:hAnsi="Calibri"/>
      <w:kern w:val="2"/>
      <w:sz w:val="18"/>
      <w:szCs w:val="18"/>
    </w:rPr>
  </w:style>
  <w:style w:type="character" w:customStyle="1" w:styleId="Char0">
    <w:name w:val="页脚 Char"/>
    <w:basedOn w:val="a0"/>
    <w:link w:val="a4"/>
    <w:uiPriority w:val="99"/>
    <w:qFormat/>
    <w:rsid w:val="00C82FCF"/>
    <w:rPr>
      <w:rFonts w:ascii="Calibri" w:eastAsia="宋体" w:hAnsi="Calibri"/>
      <w:kern w:val="2"/>
      <w:sz w:val="18"/>
      <w:szCs w:val="18"/>
    </w:rPr>
  </w:style>
  <w:style w:type="character" w:customStyle="1" w:styleId="Char">
    <w:name w:val="批注框文本 Char"/>
    <w:basedOn w:val="a0"/>
    <w:link w:val="a3"/>
    <w:uiPriority w:val="99"/>
    <w:semiHidden/>
    <w:qFormat/>
    <w:rsid w:val="00C82FCF"/>
    <w:rPr>
      <w:rFonts w:ascii="Times New Roman" w:eastAsia="宋体" w:hAnsi="Times New Roman"/>
      <w:kern w:val="2"/>
      <w:sz w:val="18"/>
      <w:szCs w:val="18"/>
    </w:rPr>
  </w:style>
  <w:style w:type="paragraph" w:customStyle="1" w:styleId="CharCharCharCharCharCharCharCharChar">
    <w:name w:val="Char Char Char Char Char Char Char Char Char"/>
    <w:basedOn w:val="a"/>
    <w:qFormat/>
    <w:rsid w:val="00C82FCF"/>
    <w:pPr>
      <w:widowControl/>
      <w:spacing w:after="160" w:line="240" w:lineRule="exact"/>
      <w:ind w:firstLineChars="200" w:firstLine="21"/>
      <w:jc w:val="left"/>
    </w:pPr>
    <w:rPr>
      <w:rFonts w:ascii="Arial" w:eastAsia="Times New Roman" w:hAnsi="Arial" w:cs="Verdana"/>
      <w:b/>
      <w:kern w:val="0"/>
      <w:sz w:val="24"/>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516</Words>
  <Characters>2946</Characters>
  <Application>Microsoft Office Word</Application>
  <DocSecurity>0</DocSecurity>
  <Lines>24</Lines>
  <Paragraphs>6</Paragraphs>
  <ScaleCrop>false</ScaleCrop>
  <Company>巴州人口计生委</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cp:lastModifiedBy>
  <cp:revision>25</cp:revision>
  <cp:lastPrinted>2018-12-31T10:56:00Z</cp:lastPrinted>
  <dcterms:created xsi:type="dcterms:W3CDTF">2018-08-15T02:06:00Z</dcterms:created>
  <dcterms:modified xsi:type="dcterms:W3CDTF">2019-11-22T08:05:00Z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