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巴州安全生产监督管理局财政支出绩效自评报告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2018年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640" w:leftChars="400"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项目名称：201</w:t>
      </w:r>
      <w:r>
        <w:rPr>
          <w:rFonts w:hint="eastAsia" w:hAnsi="宋体" w:eastAsia="仿宋_GB2312" w:cs="宋体"/>
          <w:kern w:val="0"/>
          <w:sz w:val="36"/>
          <w:szCs w:val="36"/>
          <w:lang w:val="en-US" w:eastAsia="zh-CN"/>
        </w:rPr>
        <w:t>7</w:t>
      </w:r>
      <w:r>
        <w:rPr>
          <w:rFonts w:hint="eastAsia" w:hAnsi="宋体" w:eastAsia="仿宋_GB2312" w:cs="宋体"/>
          <w:kern w:val="0"/>
          <w:sz w:val="36"/>
          <w:szCs w:val="36"/>
        </w:rPr>
        <w:t>年安全生产目标管理考核先进单位表彰经费</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实施单位（公章）：巴州安全生产监督管理局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项目负责人（签章）：张宇</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15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巴州安全生产监督管理局</w:t>
      </w:r>
      <w:r>
        <w:rPr>
          <w:rStyle w:val="17"/>
          <w:rFonts w:ascii="仿宋" w:hAnsi="仿宋" w:eastAsia="仿宋"/>
          <w:b w:val="0"/>
          <w:spacing w:val="-4"/>
          <w:sz w:val="32"/>
          <w:szCs w:val="32"/>
        </w:rPr>
        <w:t>承担全州安全生产工作的综合监督管理和指导协调职责。负责非煤矿山生产、危险化学品企业安全生产监督管理工作；负责组织安全生产大检查和专项督查；负责安全生产应急救援、宣传教育、职业健康监管工作，对全州工矿商贸企业安全生产进行综合监管。</w:t>
      </w:r>
    </w:p>
    <w:p>
      <w:pPr>
        <w:spacing w:line="540" w:lineRule="exact"/>
        <w:ind w:firstLine="564" w:firstLineChars="181"/>
        <w:rPr>
          <w:rStyle w:val="17"/>
          <w:rFonts w:ascii="仿宋" w:hAnsi="仿宋" w:eastAsia="仿宋"/>
          <w:b w:val="0"/>
          <w:spacing w:val="-4"/>
          <w:sz w:val="32"/>
          <w:szCs w:val="32"/>
        </w:rPr>
      </w:pPr>
      <w:r>
        <w:rPr>
          <w:rStyle w:val="17"/>
          <w:rFonts w:ascii="仿宋" w:hAnsi="仿宋" w:eastAsia="仿宋"/>
          <w:b w:val="0"/>
          <w:spacing w:val="-4"/>
          <w:sz w:val="32"/>
          <w:szCs w:val="32"/>
        </w:rPr>
        <w:t>巴州安全生产监督管理局无下属单位且无汇总下属单位预算事宜。</w:t>
      </w:r>
    </w:p>
    <w:p>
      <w:pPr>
        <w:spacing w:line="540" w:lineRule="exact"/>
        <w:ind w:firstLine="564" w:firstLineChars="181"/>
        <w:rPr>
          <w:rStyle w:val="17"/>
          <w:rFonts w:ascii="仿宋" w:hAnsi="仿宋" w:eastAsia="仿宋"/>
          <w:b w:val="0"/>
          <w:spacing w:val="-4"/>
          <w:sz w:val="32"/>
          <w:szCs w:val="32"/>
        </w:rPr>
      </w:pPr>
      <w:r>
        <w:rPr>
          <w:rStyle w:val="17"/>
          <w:rFonts w:ascii="仿宋" w:hAnsi="仿宋" w:eastAsia="仿宋"/>
          <w:b w:val="0"/>
          <w:spacing w:val="-4"/>
          <w:sz w:val="32"/>
          <w:szCs w:val="32"/>
        </w:rPr>
        <w:t>本级下设6个处室，分别是：行业管理科、办公室、危化科、非煤矿山科、宣教科、应急办</w:t>
      </w:r>
      <w:r>
        <w:rPr>
          <w:rStyle w:val="17"/>
          <w:rFonts w:hint="eastAsia" w:ascii="仿宋" w:hAnsi="仿宋" w:eastAsia="仿宋"/>
          <w:b w:val="0"/>
          <w:spacing w:val="-4"/>
          <w:sz w:val="32"/>
          <w:szCs w:val="32"/>
        </w:rPr>
        <w:t>、</w:t>
      </w:r>
      <w:r>
        <w:rPr>
          <w:rStyle w:val="17"/>
          <w:rFonts w:ascii="仿宋" w:hAnsi="仿宋" w:eastAsia="仿宋"/>
          <w:b w:val="0"/>
          <w:spacing w:val="-4"/>
          <w:sz w:val="32"/>
          <w:szCs w:val="32"/>
        </w:rPr>
        <w:t>巴州安全生产监察支队。</w:t>
      </w:r>
    </w:p>
    <w:p>
      <w:pPr>
        <w:spacing w:line="540" w:lineRule="exact"/>
        <w:ind w:firstLine="564" w:firstLineChars="181"/>
        <w:rPr>
          <w:rStyle w:val="17"/>
          <w:rFonts w:ascii="仿宋" w:hAnsi="仿宋" w:eastAsia="仿宋"/>
          <w:b w:val="0"/>
          <w:spacing w:val="-4"/>
          <w:sz w:val="32"/>
          <w:szCs w:val="32"/>
        </w:rPr>
      </w:pPr>
      <w:r>
        <w:rPr>
          <w:rStyle w:val="17"/>
          <w:rFonts w:ascii="仿宋" w:hAnsi="仿宋" w:eastAsia="仿宋"/>
          <w:b w:val="0"/>
          <w:spacing w:val="-4"/>
          <w:sz w:val="32"/>
          <w:szCs w:val="32"/>
        </w:rPr>
        <w:t>编制数29个，实有人数</w:t>
      </w:r>
      <w:r>
        <w:rPr>
          <w:rStyle w:val="17"/>
          <w:rFonts w:hint="eastAsia" w:ascii="仿宋" w:hAnsi="仿宋" w:eastAsia="仿宋"/>
          <w:b w:val="0"/>
          <w:spacing w:val="-4"/>
          <w:sz w:val="32"/>
          <w:szCs w:val="32"/>
        </w:rPr>
        <w:t>30</w:t>
      </w:r>
      <w:r>
        <w:rPr>
          <w:rStyle w:val="17"/>
          <w:rFonts w:ascii="仿宋" w:hAnsi="仿宋" w:eastAsia="仿宋"/>
          <w:b w:val="0"/>
          <w:spacing w:val="-4"/>
          <w:sz w:val="32"/>
          <w:szCs w:val="32"/>
        </w:rPr>
        <w:t>人，其中：在职2</w:t>
      </w:r>
      <w:r>
        <w:rPr>
          <w:rStyle w:val="17"/>
          <w:rFonts w:hint="eastAsia" w:ascii="仿宋" w:hAnsi="仿宋" w:eastAsia="仿宋"/>
          <w:b w:val="0"/>
          <w:spacing w:val="-4"/>
          <w:sz w:val="32"/>
          <w:szCs w:val="32"/>
        </w:rPr>
        <w:t>3</w:t>
      </w:r>
      <w:r>
        <w:rPr>
          <w:rStyle w:val="17"/>
          <w:rFonts w:ascii="仿宋" w:hAnsi="仿宋" w:eastAsia="仿宋"/>
          <w:b w:val="0"/>
          <w:spacing w:val="-4"/>
          <w:sz w:val="32"/>
          <w:szCs w:val="32"/>
        </w:rPr>
        <w:t>人，</w:t>
      </w:r>
      <w:r>
        <w:rPr>
          <w:rStyle w:val="17"/>
          <w:rFonts w:hint="eastAsia" w:ascii="仿宋" w:hAnsi="仿宋" w:eastAsia="仿宋"/>
          <w:b w:val="0"/>
          <w:spacing w:val="-4"/>
          <w:sz w:val="32"/>
          <w:szCs w:val="32"/>
        </w:rPr>
        <w:t>减少2</w:t>
      </w:r>
      <w:r>
        <w:rPr>
          <w:rStyle w:val="17"/>
          <w:rFonts w:ascii="仿宋" w:hAnsi="仿宋" w:eastAsia="仿宋"/>
          <w:b w:val="0"/>
          <w:spacing w:val="-4"/>
          <w:sz w:val="32"/>
          <w:szCs w:val="32"/>
        </w:rPr>
        <w:t xml:space="preserve">人；退休 </w:t>
      </w:r>
      <w:r>
        <w:rPr>
          <w:rStyle w:val="17"/>
          <w:rFonts w:hint="eastAsia" w:ascii="仿宋" w:hAnsi="仿宋" w:eastAsia="仿宋"/>
          <w:b w:val="0"/>
          <w:spacing w:val="-4"/>
          <w:sz w:val="32"/>
          <w:szCs w:val="32"/>
        </w:rPr>
        <w:t>7</w:t>
      </w:r>
      <w:r>
        <w:rPr>
          <w:rStyle w:val="17"/>
          <w:rFonts w:ascii="仿宋" w:hAnsi="仿宋" w:eastAsia="仿宋"/>
          <w:b w:val="0"/>
          <w:spacing w:val="-4"/>
          <w:sz w:val="32"/>
          <w:szCs w:val="32"/>
        </w:rPr>
        <w:t xml:space="preserve"> 人，增加2人；离休0 人，增加或减少</w:t>
      </w:r>
      <w:r>
        <w:rPr>
          <w:rStyle w:val="17"/>
          <w:rFonts w:hint="eastAsia" w:ascii="仿宋" w:hAnsi="仿宋" w:eastAsia="仿宋"/>
          <w:b w:val="0"/>
          <w:spacing w:val="-4"/>
          <w:sz w:val="32"/>
          <w:szCs w:val="32"/>
        </w:rPr>
        <w:t>0</w:t>
      </w:r>
      <w:r>
        <w:rPr>
          <w:rStyle w:val="17"/>
          <w:rFonts w:ascii="仿宋" w:hAnsi="仿宋" w:eastAsia="仿宋"/>
          <w:b w:val="0"/>
          <w:spacing w:val="-4"/>
          <w:sz w:val="32"/>
          <w:szCs w:val="32"/>
        </w:rPr>
        <w:t>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项目的预期目标：进一步提升企业、部门安全生产监管责任意识，不突破自治区、州安委会事故指标。项目无跨年度预期总目标及阶段性目标。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579" w:firstLineChars="181"/>
        <w:rPr>
          <w:rFonts w:hAnsi="宋体" w:eastAsia="仿宋_GB2312" w:cs="宋体"/>
          <w:kern w:val="0"/>
          <w:sz w:val="32"/>
          <w:szCs w:val="32"/>
        </w:rPr>
      </w:pPr>
      <w:r>
        <w:rPr>
          <w:rFonts w:hint="eastAsia" w:hAnsi="宋体" w:eastAsia="仿宋_GB2312" w:cs="宋体"/>
          <w:kern w:val="0"/>
          <w:sz w:val="32"/>
          <w:szCs w:val="32"/>
        </w:rPr>
        <w:t>该项目资金于</w:t>
      </w:r>
      <w:r>
        <w:rPr>
          <w:rFonts w:hint="eastAsia" w:hAnsi="宋体" w:eastAsia="仿宋_GB2312" w:cs="宋体"/>
          <w:kern w:val="0"/>
          <w:sz w:val="32"/>
          <w:szCs w:val="32"/>
          <w:lang w:eastAsia="zh-CN"/>
        </w:rPr>
        <w:t>2018年</w:t>
      </w:r>
      <w:r>
        <w:rPr>
          <w:rFonts w:hint="eastAsia" w:hAnsi="宋体" w:eastAsia="仿宋_GB2312" w:cs="宋体"/>
          <w:kern w:val="0"/>
          <w:sz w:val="32"/>
          <w:szCs w:val="32"/>
        </w:rPr>
        <w:t>财政资金全额拨付，资金已全部到位。</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40" w:firstLineChars="200"/>
        <w:rPr>
          <w:rStyle w:val="17"/>
          <w:rFonts w:ascii="仿宋" w:hAnsi="仿宋" w:eastAsia="仿宋_GB2312"/>
          <w:b w:val="0"/>
          <w:spacing w:val="-4"/>
          <w:sz w:val="32"/>
          <w:szCs w:val="32"/>
        </w:rPr>
      </w:pPr>
      <w:r>
        <w:rPr>
          <w:rFonts w:hint="eastAsia" w:hAnsi="宋体" w:eastAsia="仿宋_GB2312" w:cs="宋体"/>
          <w:kern w:val="0"/>
          <w:sz w:val="32"/>
          <w:szCs w:val="32"/>
        </w:rPr>
        <w:t>截止到</w:t>
      </w:r>
      <w:r>
        <w:rPr>
          <w:rFonts w:hint="eastAsia" w:hAnsi="宋体" w:eastAsia="仿宋_GB2312" w:cs="宋体"/>
          <w:kern w:val="0"/>
          <w:sz w:val="32"/>
          <w:szCs w:val="32"/>
          <w:lang w:eastAsia="zh-CN"/>
        </w:rPr>
        <w:t>2018年</w:t>
      </w:r>
      <w:r>
        <w:rPr>
          <w:rFonts w:hint="eastAsia" w:hAnsi="宋体" w:eastAsia="仿宋_GB2312" w:cs="宋体"/>
          <w:kern w:val="0"/>
          <w:sz w:val="32"/>
          <w:szCs w:val="32"/>
        </w:rPr>
        <w:t>12月31日，2016年安全生产目标管理考核先进单位表彰经费2万元，主要用于工资福利支出。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lang w:eastAsia="zh-CN"/>
        </w:rPr>
        <w:t>2018年</w:t>
      </w:r>
      <w:r>
        <w:rPr>
          <w:rStyle w:val="17"/>
          <w:rFonts w:hint="eastAsia" w:ascii="仿宋" w:hAnsi="仿宋" w:eastAsia="仿宋"/>
          <w:b w:val="0"/>
          <w:spacing w:val="-4"/>
          <w:sz w:val="32"/>
          <w:szCs w:val="32"/>
        </w:rPr>
        <w:t>该项目所有资金实行专款专用。项目支出均有相关的授权审批，资金拨付严格审批程序，使用规范，会计核算结果真实、准确。项目单位建立健全项目财务管理制度和会计核算制度，此次绩效评价过程中未发现有截留、挤占或挪用项目资金的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该项目属于</w:t>
      </w:r>
      <w:r>
        <w:rPr>
          <w:rStyle w:val="17"/>
          <w:rFonts w:hint="eastAsia" w:ascii="仿宋" w:hAnsi="仿宋" w:eastAsia="仿宋"/>
          <w:b w:val="0"/>
          <w:spacing w:val="-4"/>
          <w:sz w:val="32"/>
          <w:szCs w:val="32"/>
          <w:lang w:eastAsia="zh-CN"/>
        </w:rPr>
        <w:t>2018年</w:t>
      </w:r>
      <w:r>
        <w:rPr>
          <w:rStyle w:val="17"/>
          <w:rFonts w:hint="eastAsia" w:ascii="仿宋" w:hAnsi="仿宋" w:eastAsia="仿宋"/>
          <w:b w:val="0"/>
          <w:spacing w:val="-4"/>
          <w:sz w:val="32"/>
          <w:szCs w:val="32"/>
        </w:rPr>
        <w:t>州人民政府奖励2016年安全生产目标考核先进单位的项目资金，不需要招投标，由本单位自行组织实施。实施过程都是按照自治区、自治州制定的制度来执行。</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项目目标设定依据充分、明确、合理，项目建设符合自治区、自治州政府相关规定。项目实施过程中，根据我单位实际情况制定相应的措施。实现了项目管理与过程管理的有机结合。</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本项目预算拨付2万元，全部用于工资福利支出，按照《新疆维吾尔自治区安全生产目标管理办法的通知》规定，奖金的30%用于奖励安全生产责任单位主要负责人，其余部分由责任单位党政主要负责人奖励安全生产工作突出的有关人员。该项目的预期目标已完成，</w:t>
      </w:r>
      <w:r>
        <w:rPr>
          <w:rStyle w:val="17"/>
          <w:rFonts w:hint="eastAsia" w:ascii="仿宋" w:hAnsi="仿宋" w:eastAsia="仿宋"/>
          <w:b w:val="0"/>
          <w:spacing w:val="-4"/>
          <w:sz w:val="32"/>
          <w:szCs w:val="32"/>
          <w:lang w:eastAsia="zh-CN"/>
        </w:rPr>
        <w:t>2018年</w:t>
      </w:r>
      <w:r>
        <w:rPr>
          <w:rStyle w:val="17"/>
          <w:rFonts w:hint="eastAsia" w:ascii="仿宋" w:hAnsi="仿宋" w:eastAsia="仿宋"/>
          <w:b w:val="0"/>
          <w:spacing w:val="-4"/>
          <w:sz w:val="32"/>
          <w:szCs w:val="32"/>
        </w:rPr>
        <w:t>度各项指标不突破自治区、州安委会事故指标。财政</w:t>
      </w:r>
      <w:r>
        <w:rPr>
          <w:rStyle w:val="17"/>
          <w:rFonts w:hint="eastAsia" w:ascii="仿宋" w:hAnsi="仿宋" w:eastAsia="仿宋"/>
          <w:b w:val="0"/>
          <w:spacing w:val="-4"/>
          <w:sz w:val="32"/>
          <w:szCs w:val="32"/>
          <w:lang w:eastAsia="zh-CN"/>
        </w:rPr>
        <w:t>2018年</w:t>
      </w:r>
      <w:r>
        <w:rPr>
          <w:rStyle w:val="17"/>
          <w:rFonts w:hint="eastAsia" w:ascii="仿宋" w:hAnsi="仿宋" w:eastAsia="仿宋"/>
          <w:b w:val="0"/>
          <w:spacing w:val="-4"/>
          <w:sz w:val="32"/>
          <w:szCs w:val="32"/>
        </w:rPr>
        <w:t>拨付的该项目经费，对财政资金实施全过程监督。</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lang w:eastAsia="zh-CN"/>
        </w:rPr>
        <w:t>2018年</w:t>
      </w:r>
      <w:r>
        <w:rPr>
          <w:rFonts w:hint="eastAsia" w:ascii="仿宋" w:hAnsi="仿宋" w:eastAsia="仿宋"/>
          <w:spacing w:val="-4"/>
          <w:sz w:val="32"/>
          <w:szCs w:val="32"/>
        </w:rPr>
        <w:t>绩效项目目标全部完成。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rPr>
          <w:rFonts w:ascii="楷体" w:hAnsi="楷体" w:eastAsia="楷体"/>
          <w:bCs/>
          <w:spacing w:val="-4"/>
          <w:sz w:val="32"/>
          <w:szCs w:val="32"/>
        </w:rPr>
      </w:pPr>
      <w:r>
        <w:rPr>
          <w:rFonts w:hint="eastAsia" w:ascii="楷体" w:hAnsi="楷体" w:eastAsia="楷体"/>
          <w:bCs/>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由于绩效自评是一项开展不久的工作任务，项目支出运行实践经验还欠缺，我单位相关人员配备还明显不足，相关制度建设还有待进一步加强，在编制预算与执行中，我单位将尽可能的用有限的经费平衡每年的工作任务，尽量做到科学、合理的分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楷体" w:hAnsi="楷体" w:eastAsia="楷体"/>
          <w:bCs/>
          <w:spacing w:val="-4"/>
          <w:sz w:val="32"/>
          <w:szCs w:val="32"/>
        </w:rPr>
      </w:pPr>
      <w:r>
        <w:rPr>
          <w:rFonts w:hint="eastAsia" w:ascii="楷体" w:hAnsi="楷体" w:eastAsia="楷体"/>
          <w:bCs/>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该项目整体发挥的社会效益明显，极大的提高了安全监管人员的工作积极性，</w:t>
      </w:r>
      <w:r>
        <w:rPr>
          <w:rStyle w:val="17"/>
          <w:rFonts w:hint="eastAsia" w:ascii="仿宋" w:hAnsi="仿宋" w:eastAsia="仿宋"/>
          <w:b w:val="0"/>
          <w:spacing w:val="-4"/>
          <w:sz w:val="32"/>
          <w:szCs w:val="32"/>
        </w:rPr>
        <w:t>进一步提升企业、部门安全生产监管责任意识，事故起数、死亡人数、受伤人数不突破自治区安委会下达的各项指标。经评价小组综合分析，项目平均分为98分。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《巴音郭楞蒙古自治州财政项目支出绩效自评表》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vAlign w:val="center"/>
          </w:tcPr>
          <w:p>
            <w:pPr>
              <w:widowControl/>
              <w:spacing w:line="276" w:lineRule="auto"/>
              <w:jc w:val="center"/>
              <w:rPr>
                <w:rFonts w:ascii="宋体" w:hAnsi="宋体" w:cs="宋体"/>
                <w:b/>
                <w:bCs/>
                <w:kern w:val="0"/>
                <w:sz w:val="32"/>
                <w:szCs w:val="32"/>
              </w:rPr>
            </w:pPr>
            <w:r>
              <w:rPr>
                <w:rFonts w:hint="eastAsia" w:ascii="宋体" w:hAnsi="宋体" w:cs="宋体"/>
                <w:b/>
                <w:bCs/>
                <w:kern w:val="0"/>
                <w:sz w:val="32"/>
                <w:szCs w:val="32"/>
                <w:u w:val="single"/>
              </w:rPr>
              <w:t>巴州</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vAlign w:val="center"/>
          </w:tcPr>
          <w:p>
            <w:pPr>
              <w:widowControl/>
              <w:spacing w:line="276" w:lineRule="auto"/>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eastAsia="zh-CN"/>
              </w:rPr>
              <w:t>2018年</w:t>
            </w:r>
            <w:r>
              <w:rPr>
                <w:rFonts w:hint="eastAsia" w:ascii="宋体" w:hAnsi="宋体" w:cs="宋体"/>
                <w:kern w:val="0"/>
                <w:sz w:val="24"/>
              </w:rPr>
              <w:t>度）</w:t>
            </w:r>
          </w:p>
        </w:tc>
      </w:tr>
      <w:tr>
        <w:tblPrEx>
          <w:tblLayout w:type="fixed"/>
          <w:tblCellMar>
            <w:top w:w="0" w:type="dxa"/>
            <w:left w:w="108" w:type="dxa"/>
            <w:bottom w:w="0" w:type="dxa"/>
            <w:right w:w="108" w:type="dxa"/>
          </w:tblCellMar>
        </w:tblPrEx>
        <w:trPr>
          <w:trHeight w:val="285" w:hRule="atLeast"/>
        </w:trPr>
        <w:tc>
          <w:tcPr>
            <w:tcW w:w="720" w:type="dxa"/>
            <w:vAlign w:val="center"/>
          </w:tcPr>
          <w:p>
            <w:pPr>
              <w:widowControl/>
              <w:spacing w:line="276" w:lineRule="auto"/>
              <w:jc w:val="left"/>
              <w:rPr>
                <w:rFonts w:asciiTheme="minorHAnsi" w:hAnsiTheme="minorHAnsi" w:cstheme="minorBidi"/>
                <w:szCs w:val="22"/>
              </w:rPr>
            </w:pPr>
          </w:p>
        </w:tc>
        <w:tc>
          <w:tcPr>
            <w:tcW w:w="1140" w:type="dxa"/>
            <w:vAlign w:val="center"/>
          </w:tcPr>
          <w:p>
            <w:pPr>
              <w:widowControl/>
              <w:spacing w:line="276" w:lineRule="auto"/>
              <w:jc w:val="left"/>
              <w:rPr>
                <w:rFonts w:asciiTheme="minorHAnsi" w:hAnsiTheme="minorHAnsi" w:cstheme="minorBidi"/>
                <w:szCs w:val="22"/>
              </w:rPr>
            </w:pPr>
          </w:p>
        </w:tc>
        <w:tc>
          <w:tcPr>
            <w:tcW w:w="1360" w:type="dxa"/>
            <w:vAlign w:val="center"/>
          </w:tcPr>
          <w:p>
            <w:pPr>
              <w:widowControl/>
              <w:spacing w:line="276" w:lineRule="auto"/>
              <w:jc w:val="left"/>
              <w:rPr>
                <w:rFonts w:asciiTheme="minorHAnsi" w:hAnsiTheme="minorHAnsi" w:cstheme="minorBidi"/>
                <w:szCs w:val="22"/>
              </w:rPr>
            </w:pPr>
          </w:p>
        </w:tc>
        <w:tc>
          <w:tcPr>
            <w:tcW w:w="1080" w:type="dxa"/>
            <w:vAlign w:val="center"/>
          </w:tcPr>
          <w:p>
            <w:pPr>
              <w:widowControl/>
              <w:spacing w:line="276" w:lineRule="auto"/>
              <w:jc w:val="left"/>
              <w:rPr>
                <w:rFonts w:asciiTheme="minorHAnsi" w:hAnsiTheme="minorHAnsi" w:cstheme="minorBidi"/>
                <w:szCs w:val="22"/>
              </w:rPr>
            </w:pPr>
          </w:p>
        </w:tc>
        <w:tc>
          <w:tcPr>
            <w:tcW w:w="880" w:type="dxa"/>
            <w:vAlign w:val="center"/>
          </w:tcPr>
          <w:p>
            <w:pPr>
              <w:widowControl/>
              <w:spacing w:line="276" w:lineRule="auto"/>
              <w:jc w:val="left"/>
              <w:rPr>
                <w:rFonts w:asciiTheme="minorHAnsi" w:hAnsiTheme="minorHAnsi" w:cstheme="minorBidi"/>
                <w:szCs w:val="22"/>
              </w:rPr>
            </w:pPr>
          </w:p>
        </w:tc>
        <w:tc>
          <w:tcPr>
            <w:tcW w:w="2060" w:type="dxa"/>
            <w:vAlign w:val="center"/>
          </w:tcPr>
          <w:p>
            <w:pPr>
              <w:widowControl/>
              <w:spacing w:line="276" w:lineRule="auto"/>
              <w:jc w:val="left"/>
              <w:rPr>
                <w:rFonts w:asciiTheme="minorHAnsi" w:hAnsiTheme="minorHAnsi" w:cstheme="minorBidi"/>
                <w:szCs w:val="22"/>
              </w:rPr>
            </w:pPr>
          </w:p>
        </w:tc>
        <w:tc>
          <w:tcPr>
            <w:tcW w:w="1780" w:type="dxa"/>
            <w:vAlign w:val="center"/>
          </w:tcPr>
          <w:p>
            <w:pPr>
              <w:widowControl/>
              <w:spacing w:line="276" w:lineRule="auto"/>
              <w:jc w:val="left"/>
              <w:rPr>
                <w:rFonts w:asciiTheme="minorHAnsi" w:hAnsiTheme="minorHAnsi" w:cstheme="minorBidi"/>
                <w:szCs w:val="22"/>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201</w:t>
            </w:r>
            <w:r>
              <w:rPr>
                <w:rFonts w:hint="eastAsia" w:ascii="宋体" w:hAnsi="宋体" w:cs="宋体"/>
                <w:kern w:val="0"/>
                <w:sz w:val="20"/>
                <w:szCs w:val="20"/>
                <w:lang w:val="en-US" w:eastAsia="zh-CN"/>
              </w:rPr>
              <w:t>7</w:t>
            </w:r>
            <w:r>
              <w:rPr>
                <w:rFonts w:hint="eastAsia" w:ascii="宋体" w:hAnsi="宋体" w:cs="宋体"/>
                <w:kern w:val="0"/>
                <w:sz w:val="20"/>
                <w:szCs w:val="20"/>
              </w:rPr>
              <w:t>年安全生产目标管理考核先进单位表彰经费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巴州安全生产监督管理局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2　</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2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　2</w:t>
            </w:r>
          </w:p>
        </w:tc>
        <w:tc>
          <w:tcPr>
            <w:tcW w:w="2060" w:type="dxa"/>
            <w:tcBorders>
              <w:top w:val="nil"/>
              <w:left w:val="nil"/>
              <w:bottom w:val="nil"/>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2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spacing w:line="276" w:lineRule="auto"/>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kern w:val="0"/>
                <w:sz w:val="20"/>
                <w:szCs w:val="20"/>
              </w:rPr>
            </w:pPr>
            <w:r>
              <w:rPr>
                <w:rFonts w:hint="eastAsia" w:ascii="宋体" w:hAnsi="宋体" w:cs="宋体"/>
                <w:bCs/>
                <w:kern w:val="0"/>
                <w:sz w:val="20"/>
                <w:szCs w:val="20"/>
              </w:rPr>
              <w:t>年度</w:t>
            </w:r>
            <w:r>
              <w:rPr>
                <w:rFonts w:hint="eastAsia" w:ascii="宋体" w:hAnsi="宋体" w:cs="宋体"/>
                <w:bCs/>
                <w:kern w:val="0"/>
                <w:sz w:val="20"/>
                <w:szCs w:val="20"/>
              </w:rPr>
              <w:br w:type="textWrapping"/>
            </w:r>
            <w:r>
              <w:rPr>
                <w:rFonts w:hint="eastAsia" w:ascii="宋体" w:hAnsi="宋体" w:cs="宋体"/>
                <w:bCs/>
                <w:kern w:val="0"/>
                <w:sz w:val="20"/>
                <w:szCs w:val="20"/>
              </w:rPr>
              <w:t>目标</w:t>
            </w:r>
            <w:r>
              <w:rPr>
                <w:rFonts w:hint="eastAsia" w:ascii="宋体" w:hAnsi="宋体" w:cs="宋体"/>
                <w:bCs/>
                <w:kern w:val="0"/>
                <w:sz w:val="20"/>
                <w:szCs w:val="20"/>
              </w:rPr>
              <w:br w:type="textWrapping"/>
            </w:r>
            <w:r>
              <w:rPr>
                <w:rFonts w:hint="eastAsia" w:ascii="宋体" w:hAnsi="宋体" w:cs="宋体"/>
                <w:bCs/>
                <w:kern w:val="0"/>
                <w:sz w:val="20"/>
                <w:szCs w:val="20"/>
              </w:rPr>
              <w:t>完成</w:t>
            </w:r>
            <w:r>
              <w:rPr>
                <w:rFonts w:hint="eastAsia" w:ascii="宋体" w:hAnsi="宋体" w:cs="宋体"/>
                <w:bCs/>
                <w:kern w:val="0"/>
                <w:sz w:val="20"/>
                <w:szCs w:val="20"/>
              </w:rPr>
              <w:br w:type="textWrapping"/>
            </w:r>
            <w:r>
              <w:rPr>
                <w:rFonts w:hint="eastAsia" w:ascii="宋体" w:hAnsi="宋体" w:cs="宋体"/>
                <w:bCs/>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bCs/>
                <w:kern w:val="0"/>
                <w:sz w:val="20"/>
                <w:szCs w:val="20"/>
              </w:rPr>
            </w:pPr>
            <w:r>
              <w:rPr>
                <w:rFonts w:hint="eastAsia" w:ascii="宋体" w:hAnsi="宋体" w:cs="宋体"/>
                <w:bCs/>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spacing w:line="276" w:lineRule="auto"/>
              <w:jc w:val="left"/>
              <w:rPr>
                <w:rFonts w:ascii="宋体" w:hAnsi="宋体" w:cs="宋体"/>
                <w:bCs/>
                <w:kern w:val="0"/>
                <w:sz w:val="20"/>
                <w:szCs w:val="20"/>
              </w:rPr>
            </w:pPr>
            <w:r>
              <w:rPr>
                <w:rFonts w:hint="eastAsia" w:ascii="宋体" w:hAnsi="宋体" w:cs="宋体"/>
                <w:bCs/>
                <w:kern w:val="0"/>
                <w:sz w:val="20"/>
                <w:szCs w:val="20"/>
              </w:rPr>
              <w:t>　进一步提升企业安全生产监管责任意识，</w:t>
            </w:r>
            <w:r>
              <w:rPr>
                <w:rFonts w:hint="eastAsia" w:ascii="宋体" w:hAnsi="宋体" w:cs="宋体"/>
                <w:kern w:val="0"/>
                <w:sz w:val="20"/>
                <w:szCs w:val="20"/>
              </w:rPr>
              <w:t>事故起数、死亡人数、受伤人数不突破自治区安委会各项指标。</w:t>
            </w:r>
          </w:p>
        </w:tc>
        <w:tc>
          <w:tcPr>
            <w:tcW w:w="3840" w:type="dxa"/>
            <w:gridSpan w:val="2"/>
            <w:tcBorders>
              <w:top w:val="single" w:color="auto" w:sz="4" w:space="0"/>
              <w:left w:val="nil"/>
              <w:bottom w:val="single" w:color="auto" w:sz="4" w:space="0"/>
              <w:right w:val="single" w:color="000000" w:sz="4" w:space="0"/>
            </w:tcBorders>
          </w:tcPr>
          <w:p>
            <w:pPr>
              <w:widowControl/>
              <w:spacing w:line="276" w:lineRule="auto"/>
              <w:jc w:val="left"/>
              <w:rPr>
                <w:rFonts w:asciiTheme="minorHAnsi" w:hAnsiTheme="minorHAnsi" w:cstheme="minorBidi"/>
                <w:szCs w:val="22"/>
              </w:rPr>
            </w:pPr>
            <w:r>
              <w:rPr>
                <w:rFonts w:hint="eastAsia" w:ascii="宋体" w:hAnsi="宋体" w:cs="宋体"/>
                <w:bCs/>
                <w:kern w:val="0"/>
                <w:sz w:val="20"/>
                <w:szCs w:val="20"/>
              </w:rPr>
              <w:t>事故起数、死亡人数、受伤人数不突破自治区安委会下达的各项指标。</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奖励人数</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主要领导及安全生产工作突出的有关人员</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99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项目按期完成率</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99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hint="eastAsia" w:ascii="宋体" w:hAnsi="宋体" w:cs="宋体"/>
                <w:kern w:val="0"/>
                <w:sz w:val="20"/>
                <w:szCs w:val="20"/>
                <w:lang w:eastAsia="zh-CN"/>
              </w:rPr>
            </w:pPr>
            <w:r>
              <w:rPr>
                <w:rFonts w:hint="eastAsia" w:ascii="宋体" w:hAnsi="宋体" w:cs="宋体"/>
                <w:kern w:val="0"/>
                <w:sz w:val="20"/>
                <w:szCs w:val="20"/>
                <w:lang w:eastAsia="zh-CN"/>
              </w:rPr>
              <w:t>奖金的30%用于奖励责任单位党政主要负责人</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hint="default" w:ascii="宋体" w:hAnsi="宋体" w:cs="宋体"/>
                <w:kern w:val="0"/>
                <w:sz w:val="20"/>
                <w:szCs w:val="20"/>
                <w:lang w:val="en-US" w:eastAsia="zh-CN"/>
              </w:rPr>
            </w:pPr>
            <w:r>
              <w:rPr>
                <w:rFonts w:hint="eastAsia" w:ascii="宋体" w:hAnsi="宋体" w:cs="宋体"/>
                <w:kern w:val="0"/>
                <w:sz w:val="20"/>
                <w:szCs w:val="20"/>
                <w:lang w:val="en-US" w:eastAsia="zh-CN"/>
              </w:rPr>
              <w:t>30%</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30%</w:t>
            </w:r>
            <w:bookmarkStart w:id="0" w:name="_GoBack"/>
            <w:bookmarkEnd w:id="0"/>
          </w:p>
        </w:tc>
      </w:tr>
      <w:tr>
        <w:tblPrEx>
          <w:tblLayout w:type="fixed"/>
          <w:tblCellMar>
            <w:top w:w="0" w:type="dxa"/>
            <w:left w:w="108" w:type="dxa"/>
            <w:bottom w:w="0" w:type="dxa"/>
            <w:right w:w="108" w:type="dxa"/>
          </w:tblCellMar>
        </w:tblPrEx>
        <w:trPr>
          <w:trHeight w:val="98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经费保障</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=2万元</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hint="eastAsia" w:ascii="宋体" w:hAnsi="宋体" w:cs="宋体"/>
                <w:kern w:val="0"/>
                <w:sz w:val="20"/>
                <w:szCs w:val="20"/>
              </w:rPr>
            </w:pPr>
            <w:r>
              <w:rPr>
                <w:rFonts w:hint="eastAsia" w:ascii="宋体" w:hAnsi="宋体" w:cs="宋体"/>
                <w:kern w:val="0"/>
                <w:sz w:val="20"/>
                <w:szCs w:val="20"/>
                <w:lang w:val="en-US" w:eastAsia="zh-CN"/>
              </w:rPr>
              <w:t>2万元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ind w:firstLine="200" w:firstLineChars="100"/>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2018年底前完成</w:t>
            </w:r>
          </w:p>
        </w:tc>
        <w:tc>
          <w:tcPr>
            <w:tcW w:w="2060"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lang w:val="en-US" w:eastAsia="zh-CN"/>
              </w:rPr>
              <w:t>2018年底前完成</w:t>
            </w:r>
          </w:p>
        </w:tc>
        <w:tc>
          <w:tcPr>
            <w:tcW w:w="1780" w:type="dxa"/>
            <w:tcBorders>
              <w:top w:val="nil"/>
              <w:left w:val="nil"/>
              <w:bottom w:val="single" w:color="auto" w:sz="4" w:space="0"/>
              <w:right w:val="single" w:color="auto" w:sz="4" w:space="0"/>
            </w:tcBorders>
            <w:vAlign w:val="center"/>
          </w:tcPr>
          <w:p>
            <w:pPr>
              <w:widowControl/>
              <w:spacing w:line="276" w:lineRule="auto"/>
              <w:ind w:firstLine="200" w:firstLineChars="100"/>
              <w:jc w:val="left"/>
              <w:rPr>
                <w:rFonts w:ascii="宋体" w:hAnsi="宋体" w:cs="宋体"/>
                <w:kern w:val="0"/>
                <w:sz w:val="20"/>
                <w:szCs w:val="20"/>
              </w:rPr>
            </w:pPr>
            <w:r>
              <w:rPr>
                <w:rFonts w:hint="eastAsia" w:ascii="宋体" w:hAnsi="宋体" w:cs="宋体"/>
                <w:kern w:val="0"/>
                <w:sz w:val="20"/>
                <w:szCs w:val="20"/>
              </w:rPr>
              <w:t>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xml:space="preserve"> 指标1：安全生产监管责任意识</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有明显提升</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xml:space="preserve"> 指标2：事故起数死亡总人数、受伤人数指标</w:t>
            </w:r>
          </w:p>
        </w:tc>
        <w:tc>
          <w:tcPr>
            <w:tcW w:w="206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不突破</w:t>
            </w:r>
            <w:r>
              <w:rPr>
                <w:rFonts w:hint="eastAsia" w:ascii="宋体" w:hAnsi="宋体" w:cs="宋体"/>
                <w:bCs/>
                <w:kern w:val="0"/>
                <w:sz w:val="20"/>
                <w:szCs w:val="20"/>
              </w:rPr>
              <w:t>不突破自治区安委会下达的各项指标。</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未突破</w:t>
            </w:r>
            <w:r>
              <w:rPr>
                <w:rFonts w:hint="eastAsia" w:ascii="宋体" w:hAnsi="宋体" w:cs="宋体"/>
                <w:bCs/>
                <w:kern w:val="0"/>
                <w:sz w:val="20"/>
                <w:szCs w:val="20"/>
              </w:rPr>
              <w:t>自治区安委会下达的各项指标。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企业对监管人员执法满意率</w:t>
            </w:r>
          </w:p>
        </w:tc>
        <w:tc>
          <w:tcPr>
            <w:tcW w:w="2060" w:type="dxa"/>
            <w:tcBorders>
              <w:top w:val="nil"/>
              <w:left w:val="nil"/>
              <w:bottom w:val="single" w:color="auto" w:sz="4" w:space="0"/>
              <w:right w:val="single" w:color="auto" w:sz="4" w:space="0"/>
            </w:tcBorders>
            <w:vAlign w:val="center"/>
          </w:tcPr>
          <w:p>
            <w:pPr>
              <w:widowControl/>
              <w:spacing w:line="276" w:lineRule="auto"/>
              <w:jc w:val="center"/>
              <w:rPr>
                <w:rFonts w:ascii="宋体" w:hAnsi="宋体" w:cs="宋体"/>
                <w:kern w:val="0"/>
                <w:sz w:val="20"/>
                <w:szCs w:val="20"/>
              </w:rPr>
            </w:pPr>
            <w:r>
              <w:rPr>
                <w:rFonts w:hint="eastAsia" w:ascii="宋体" w:hAnsi="宋体" w:cs="宋体"/>
                <w:kern w:val="0"/>
                <w:sz w:val="20"/>
                <w:szCs w:val="20"/>
              </w:rPr>
              <w:t>满意度90%　</w:t>
            </w:r>
          </w:p>
        </w:tc>
        <w:tc>
          <w:tcPr>
            <w:tcW w:w="1780" w:type="dxa"/>
            <w:tcBorders>
              <w:top w:val="nil"/>
              <w:left w:val="nil"/>
              <w:bottom w:val="single" w:color="auto" w:sz="4" w:space="0"/>
              <w:right w:val="single" w:color="auto" w:sz="4" w:space="0"/>
            </w:tcBorders>
            <w:vAlign w:val="center"/>
          </w:tcPr>
          <w:p>
            <w:pPr>
              <w:widowControl/>
              <w:spacing w:line="276" w:lineRule="auto"/>
              <w:jc w:val="left"/>
              <w:rPr>
                <w:rFonts w:ascii="宋体" w:hAnsi="宋体" w:cs="宋体"/>
                <w:kern w:val="0"/>
                <w:sz w:val="20"/>
                <w:szCs w:val="20"/>
              </w:rPr>
            </w:pPr>
            <w:r>
              <w:rPr>
                <w:rFonts w:hint="eastAsia" w:ascii="宋体" w:hAnsi="宋体" w:cs="宋体"/>
                <w:kern w:val="0"/>
                <w:sz w:val="20"/>
                <w:szCs w:val="20"/>
              </w:rPr>
              <w:t>　满意率98%</w:t>
            </w:r>
          </w:p>
        </w:tc>
      </w:tr>
    </w:tbl>
    <w:p>
      <w:pPr>
        <w:spacing w:line="540" w:lineRule="exact"/>
        <w:ind w:firstLine="567"/>
        <w:rPr>
          <w:rStyle w:val="17"/>
          <w:rFonts w:ascii="仿宋" w:hAnsi="仿宋" w:eastAsia="仿宋"/>
          <w:b w:val="0"/>
          <w:spacing w:val="-4"/>
          <w:sz w:val="32"/>
          <w:szCs w:val="32"/>
        </w:rPr>
      </w:pPr>
    </w:p>
    <w:p>
      <w:pPr>
        <w:spacing w:line="540" w:lineRule="exact"/>
        <w:ind w:firstLine="564" w:firstLineChars="181"/>
        <w:rPr>
          <w:rStyle w:val="17"/>
          <w:rFonts w:ascii="仿宋" w:hAnsi="仿宋" w:eastAsia="仿宋"/>
          <w:b w:val="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6A93"/>
    <w:rsid w:val="00056465"/>
    <w:rsid w:val="00121AE4"/>
    <w:rsid w:val="00146AAD"/>
    <w:rsid w:val="0017594A"/>
    <w:rsid w:val="001B3A40"/>
    <w:rsid w:val="001C0D1A"/>
    <w:rsid w:val="002574E5"/>
    <w:rsid w:val="00265F91"/>
    <w:rsid w:val="002827D3"/>
    <w:rsid w:val="002B4809"/>
    <w:rsid w:val="002E7A55"/>
    <w:rsid w:val="00376F53"/>
    <w:rsid w:val="003908B7"/>
    <w:rsid w:val="003B2B47"/>
    <w:rsid w:val="003D4A0C"/>
    <w:rsid w:val="004366A8"/>
    <w:rsid w:val="004575DC"/>
    <w:rsid w:val="00490105"/>
    <w:rsid w:val="00490C15"/>
    <w:rsid w:val="00502BA7"/>
    <w:rsid w:val="005105E5"/>
    <w:rsid w:val="005162F1"/>
    <w:rsid w:val="00523360"/>
    <w:rsid w:val="00535153"/>
    <w:rsid w:val="00554F82"/>
    <w:rsid w:val="005636E8"/>
    <w:rsid w:val="0056390D"/>
    <w:rsid w:val="00564331"/>
    <w:rsid w:val="005719B0"/>
    <w:rsid w:val="005D10D6"/>
    <w:rsid w:val="005D7BDA"/>
    <w:rsid w:val="0067177E"/>
    <w:rsid w:val="00674985"/>
    <w:rsid w:val="006A451F"/>
    <w:rsid w:val="006E6BB4"/>
    <w:rsid w:val="0072755A"/>
    <w:rsid w:val="007723A3"/>
    <w:rsid w:val="0077337C"/>
    <w:rsid w:val="00784961"/>
    <w:rsid w:val="007D3D0F"/>
    <w:rsid w:val="008424E6"/>
    <w:rsid w:val="00855E3A"/>
    <w:rsid w:val="008710E7"/>
    <w:rsid w:val="00886A51"/>
    <w:rsid w:val="00910E4C"/>
    <w:rsid w:val="00911E5E"/>
    <w:rsid w:val="00922CB9"/>
    <w:rsid w:val="0098640A"/>
    <w:rsid w:val="009A5E81"/>
    <w:rsid w:val="009E5CD9"/>
    <w:rsid w:val="00A26421"/>
    <w:rsid w:val="00A366DA"/>
    <w:rsid w:val="00A4293B"/>
    <w:rsid w:val="00A67D50"/>
    <w:rsid w:val="00A8691A"/>
    <w:rsid w:val="00A95EC4"/>
    <w:rsid w:val="00AB4338"/>
    <w:rsid w:val="00AC1946"/>
    <w:rsid w:val="00AF5521"/>
    <w:rsid w:val="00B14BA1"/>
    <w:rsid w:val="00B40063"/>
    <w:rsid w:val="00B41F61"/>
    <w:rsid w:val="00BA46E6"/>
    <w:rsid w:val="00BE1FA5"/>
    <w:rsid w:val="00C55489"/>
    <w:rsid w:val="00C56C72"/>
    <w:rsid w:val="00C62242"/>
    <w:rsid w:val="00C902B7"/>
    <w:rsid w:val="00CA6457"/>
    <w:rsid w:val="00D17F2E"/>
    <w:rsid w:val="00D30354"/>
    <w:rsid w:val="00D51EC9"/>
    <w:rsid w:val="00DF42A0"/>
    <w:rsid w:val="00E02A0F"/>
    <w:rsid w:val="00E769FE"/>
    <w:rsid w:val="00E80822"/>
    <w:rsid w:val="00E81976"/>
    <w:rsid w:val="00E839E4"/>
    <w:rsid w:val="00EA2CBE"/>
    <w:rsid w:val="00EF0DEE"/>
    <w:rsid w:val="00F203B3"/>
    <w:rsid w:val="00F32FEE"/>
    <w:rsid w:val="00FB10BB"/>
    <w:rsid w:val="12FC13DA"/>
    <w:rsid w:val="387D4A33"/>
    <w:rsid w:val="3FC731D7"/>
    <w:rsid w:val="54BA32EF"/>
    <w:rsid w:val="68D37C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 w:type="character" w:customStyle="1" w:styleId="46">
    <w:name w:val="闻政-正文三级标题 Char"/>
    <w:link w:val="47"/>
    <w:uiPriority w:val="3"/>
    <w:rPr>
      <w:rFonts w:ascii="Times New Roman" w:hAnsi="Times New Roman" w:eastAsia="仿宋_GB2312"/>
      <w:b/>
      <w:sz w:val="28"/>
      <w:szCs w:val="28"/>
    </w:rPr>
  </w:style>
  <w:style w:type="paragraph" w:customStyle="1" w:styleId="47">
    <w:name w:val="闻政-正文三级标题"/>
    <w:basedOn w:val="1"/>
    <w:next w:val="48"/>
    <w:link w:val="46"/>
    <w:qFormat/>
    <w:uiPriority w:val="3"/>
    <w:pPr>
      <w:widowControl/>
      <w:spacing w:before="120" w:after="60" w:line="500" w:lineRule="exact"/>
      <w:ind w:left="200" w:leftChars="200"/>
    </w:pPr>
    <w:rPr>
      <w:rFonts w:eastAsia="仿宋_GB2312"/>
      <w:b/>
      <w:kern w:val="0"/>
      <w:sz w:val="28"/>
      <w:szCs w:val="28"/>
    </w:rPr>
  </w:style>
  <w:style w:type="paragraph" w:customStyle="1" w:styleId="48">
    <w:name w:val="闻政-正文段落文字"/>
    <w:basedOn w:val="1"/>
    <w:link w:val="51"/>
    <w:qFormat/>
    <w:uiPriority w:val="3"/>
    <w:pPr>
      <w:spacing w:line="500" w:lineRule="exact"/>
      <w:ind w:firstLine="200" w:firstLineChars="200"/>
    </w:pPr>
    <w:rPr>
      <w:rFonts w:eastAsia="仿宋_GB2312"/>
      <w:kern w:val="0"/>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3"/>
    <w:next w:val="48"/>
    <w:link w:val="49"/>
    <w:qFormat/>
    <w:uiPriority w:val="3"/>
    <w:pPr>
      <w:keepLines/>
      <w:widowControl w:val="0"/>
      <w:spacing w:before="120" w:line="500" w:lineRule="exact"/>
      <w:ind w:left="200" w:leftChars="200"/>
    </w:pPr>
    <w:rPr>
      <w:rFonts w:ascii="Times New Roman" w:hAnsi="Times New Roman" w:eastAsia="仿宋_GB2312"/>
      <w:i w:val="0"/>
      <w:iCs w:val="0"/>
      <w:szCs w:val="32"/>
    </w:rPr>
  </w:style>
  <w:style w:type="character" w:customStyle="1" w:styleId="51">
    <w:name w:val="闻政-正文段落文字 Char"/>
    <w:link w:val="48"/>
    <w:uiPriority w:val="3"/>
    <w:rPr>
      <w:rFonts w:ascii="Times New Roman" w:hAnsi="Times New Roman"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326</Words>
  <Characters>1863</Characters>
  <Lines>15</Lines>
  <Paragraphs>4</Paragraphs>
  <TotalTime>0</TotalTime>
  <ScaleCrop>false</ScaleCrop>
  <LinksUpToDate>false</LinksUpToDate>
  <CharactersWithSpaces>2185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郭玲珑</cp:lastModifiedBy>
  <cp:lastPrinted>2018-12-31T10:56:00Z</cp:lastPrinted>
  <dcterms:modified xsi:type="dcterms:W3CDTF">2019-10-29T05:47:24Z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