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u w:val="single"/>
        </w:rPr>
        <w:t>巴州</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r>
        <w:rPr>
          <w:rFonts w:ascii="方正小标宋_GBK" w:hAnsi="宋体" w:eastAsia="方正小标宋_GBK" w:cs="宋体"/>
          <w:kern w:val="0"/>
          <w:sz w:val="36"/>
          <w:szCs w:val="36"/>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cs="宋体"/>
          <w:kern w:val="0"/>
          <w:sz w:val="36"/>
          <w:szCs w:val="36"/>
        </w:rPr>
        <w:t xml:space="preserve">  </w:t>
      </w:r>
      <w:r>
        <w:rPr>
          <w:rFonts w:hint="eastAsia" w:hAnsi="宋体" w:cs="宋体"/>
          <w:kern w:val="0"/>
          <w:sz w:val="36"/>
          <w:szCs w:val="36"/>
        </w:rPr>
        <w:t xml:space="preserve">   项目名称：自治州科技兴农项目经费</w:t>
      </w:r>
    </w:p>
    <w:p>
      <w:pPr>
        <w:spacing w:line="700" w:lineRule="exact"/>
        <w:jc w:val="left"/>
        <w:rPr>
          <w:rFonts w:hAnsi="宋体" w:eastAsia="仿宋_GB2312" w:cs="宋体"/>
          <w:kern w:val="0"/>
          <w:sz w:val="36"/>
          <w:szCs w:val="36"/>
        </w:rPr>
      </w:pPr>
      <w:r>
        <w:rPr>
          <w:rFonts w:hAnsi="宋体" w:cs="宋体"/>
          <w:kern w:val="0"/>
          <w:sz w:val="36"/>
          <w:szCs w:val="36"/>
        </w:rPr>
        <w:t xml:space="preserve">     </w:t>
      </w:r>
      <w:r>
        <w:rPr>
          <w:rFonts w:hint="eastAsia" w:hAnsi="宋体" w:cs="宋体"/>
          <w:kern w:val="0"/>
          <w:sz w:val="36"/>
          <w:szCs w:val="36"/>
        </w:rPr>
        <w:t>实施单位（公章）：巴州科技局</w:t>
      </w:r>
    </w:p>
    <w:p>
      <w:pPr>
        <w:spacing w:line="700" w:lineRule="exact"/>
        <w:ind w:firstLine="849" w:firstLineChars="236"/>
        <w:jc w:val="left"/>
        <w:rPr>
          <w:rFonts w:hAnsi="宋体" w:eastAsia="仿宋_GB2312" w:cs="宋体"/>
          <w:kern w:val="0"/>
          <w:sz w:val="36"/>
          <w:szCs w:val="36"/>
        </w:rPr>
      </w:pPr>
      <w:r>
        <w:rPr>
          <w:rFonts w:hint="eastAsia" w:hAnsi="宋体" w:cs="宋体"/>
          <w:kern w:val="0"/>
          <w:sz w:val="36"/>
          <w:szCs w:val="36"/>
        </w:rPr>
        <w:t>主管部门（公章）：巴州科技局</w:t>
      </w:r>
    </w:p>
    <w:p>
      <w:pPr>
        <w:spacing w:line="700" w:lineRule="exact"/>
        <w:ind w:firstLine="849" w:firstLineChars="236"/>
        <w:jc w:val="left"/>
        <w:rPr>
          <w:rFonts w:hAnsi="宋体" w:eastAsia="仿宋_GB2312" w:cs="宋体"/>
          <w:kern w:val="0"/>
          <w:sz w:val="36"/>
          <w:szCs w:val="36"/>
        </w:rPr>
      </w:pPr>
      <w:r>
        <w:rPr>
          <w:rFonts w:hint="eastAsia" w:hAnsi="宋体" w:cs="宋体"/>
          <w:kern w:val="0"/>
          <w:sz w:val="36"/>
          <w:szCs w:val="36"/>
        </w:rPr>
        <w:t>项目负责人（签章）：帕尔海提.克日木</w:t>
      </w:r>
    </w:p>
    <w:p>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w:t>
      </w:r>
      <w:r>
        <w:rPr>
          <w:rFonts w:hAnsi="宋体" w:cs="宋体"/>
          <w:kern w:val="0"/>
          <w:sz w:val="36"/>
          <w:szCs w:val="36"/>
        </w:rPr>
        <w:t xml:space="preserve">    </w:t>
      </w:r>
      <w:r>
        <w:rPr>
          <w:rFonts w:hint="eastAsia" w:hAnsi="宋体" w:cs="宋体"/>
          <w:kern w:val="0"/>
          <w:sz w:val="36"/>
          <w:szCs w:val="36"/>
        </w:rPr>
        <w:t>2019</w:t>
      </w:r>
      <w:r>
        <w:rPr>
          <w:rFonts w:hAnsi="宋体" w:cs="宋体"/>
          <w:kern w:val="0"/>
          <w:sz w:val="36"/>
          <w:szCs w:val="36"/>
        </w:rPr>
        <w:t xml:space="preserve"> </w:t>
      </w:r>
      <w:r>
        <w:rPr>
          <w:rFonts w:hint="eastAsia" w:hAnsi="宋体" w:cs="宋体"/>
          <w:kern w:val="0"/>
          <w:sz w:val="36"/>
          <w:szCs w:val="36"/>
        </w:rPr>
        <w:t>年1月15日</w:t>
      </w:r>
    </w:p>
    <w:p>
      <w:pPr>
        <w:spacing w:line="540" w:lineRule="exact"/>
        <w:jc w:val="center"/>
        <w:rPr>
          <w:rFonts w:hAnsi="宋体" w:eastAsia="仿宋_GB2312" w:cs="宋体"/>
          <w:kern w:val="0"/>
          <w:sz w:val="30"/>
          <w:szCs w:val="30"/>
        </w:rPr>
      </w:pPr>
    </w:p>
    <w:p>
      <w:pPr>
        <w:spacing w:line="540" w:lineRule="exact"/>
        <w:rPr>
          <w:rStyle w:val="21"/>
          <w:rFonts w:ascii="黑体" w:hAnsi="黑体" w:eastAsia="黑体"/>
          <w:b w:val="0"/>
          <w:spacing w:val="-4"/>
          <w:sz w:val="32"/>
          <w:szCs w:val="32"/>
        </w:rPr>
      </w:pP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（一）项目单位基本情况</w:t>
      </w:r>
    </w:p>
    <w:p>
      <w:pPr>
        <w:adjustRightInd w:val="0"/>
        <w:snapToGrid w:val="0"/>
        <w:spacing w:line="560" w:lineRule="atLeast"/>
        <w:ind w:firstLine="640" w:firstLineChars="200"/>
        <w:rPr>
          <w:rFonts w:ascii="仿宋" w:hAnsi="仿宋" w:eastAsia="仿宋"/>
          <w:sz w:val="32"/>
          <w:szCs w:val="32"/>
        </w:rPr>
      </w:pPr>
      <w:r>
        <w:rPr>
          <w:rFonts w:hint="eastAsia" w:ascii="仿宋" w:hAnsi="仿宋" w:eastAsia="仿宋"/>
          <w:sz w:val="32"/>
          <w:szCs w:val="32"/>
        </w:rPr>
        <w:t>巴州科技局是巴音郭楞蒙古自治州人民政府负责组织、协调、管理、实施全州科学技术工作的职能部门。成立于</w:t>
      </w:r>
      <w:r>
        <w:rPr>
          <w:rFonts w:ascii="仿宋" w:hAnsi="仿宋" w:eastAsia="仿宋"/>
          <w:sz w:val="32"/>
          <w:szCs w:val="32"/>
        </w:rPr>
        <w:t>1960</w:t>
      </w:r>
      <w:r>
        <w:rPr>
          <w:rFonts w:hint="eastAsia" w:ascii="仿宋" w:hAnsi="仿宋" w:eastAsia="仿宋"/>
          <w:sz w:val="32"/>
          <w:szCs w:val="32"/>
        </w:rPr>
        <w:t>年</w:t>
      </w:r>
      <w:r>
        <w:rPr>
          <w:rFonts w:ascii="仿宋" w:hAnsi="仿宋" w:eastAsia="仿宋"/>
          <w:sz w:val="32"/>
          <w:szCs w:val="32"/>
        </w:rPr>
        <w:t>1</w:t>
      </w:r>
      <w:r>
        <w:rPr>
          <w:rFonts w:hint="eastAsia" w:ascii="仿宋" w:hAnsi="仿宋" w:eastAsia="仿宋"/>
          <w:sz w:val="32"/>
          <w:szCs w:val="32"/>
        </w:rPr>
        <w:t>月，原名巴州科学技术委员会，</w:t>
      </w:r>
      <w:r>
        <w:rPr>
          <w:rFonts w:ascii="仿宋" w:hAnsi="仿宋" w:eastAsia="仿宋"/>
          <w:sz w:val="32"/>
          <w:szCs w:val="32"/>
        </w:rPr>
        <w:t>2002</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月机构改革，巴州科学技术委员会更名为巴州科学技术局。</w:t>
      </w:r>
    </w:p>
    <w:p>
      <w:pPr>
        <w:adjustRightInd w:val="0"/>
        <w:snapToGrid w:val="0"/>
        <w:spacing w:line="560" w:lineRule="atLeast"/>
        <w:ind w:firstLine="643" w:firstLineChars="200"/>
        <w:rPr>
          <w:rFonts w:ascii="仿宋" w:hAnsi="仿宋" w:eastAsia="仿宋"/>
          <w:b/>
          <w:sz w:val="32"/>
          <w:szCs w:val="32"/>
        </w:rPr>
      </w:pPr>
      <w:r>
        <w:rPr>
          <w:rFonts w:hint="eastAsia" w:ascii="仿宋" w:hAnsi="仿宋" w:eastAsia="仿宋"/>
          <w:b/>
          <w:sz w:val="32"/>
          <w:szCs w:val="32"/>
        </w:rPr>
        <w:t>1.主要职能</w:t>
      </w:r>
    </w:p>
    <w:p>
      <w:pPr>
        <w:snapToGrid w:val="0"/>
        <w:spacing w:line="560" w:lineRule="atLeast"/>
        <w:ind w:left="640"/>
        <w:rPr>
          <w:rFonts w:ascii="仿宋" w:hAnsi="仿宋" w:eastAsia="仿宋"/>
          <w:sz w:val="32"/>
          <w:szCs w:val="32"/>
        </w:rPr>
      </w:pPr>
      <w:r>
        <w:rPr>
          <w:rFonts w:hint="eastAsia" w:ascii="仿宋" w:hAnsi="仿宋" w:eastAsia="仿宋"/>
          <w:sz w:val="32"/>
          <w:szCs w:val="32"/>
        </w:rPr>
        <w:t>1）贯彻执行党和国家、自治区、自治州关于科技工作的方针、政策和法律法规；牵头拟订自治州的科技发展规划、政策，参与起草有关自治州单行条例，拟订规范性文件，并组织实施和监督检查。研究确定全州科技发展的布局和优先领域。</w:t>
      </w:r>
    </w:p>
    <w:p>
      <w:pPr>
        <w:snapToGrid w:val="0"/>
        <w:spacing w:line="560" w:lineRule="atLeast"/>
        <w:ind w:left="640"/>
        <w:rPr>
          <w:rFonts w:ascii="仿宋" w:hAnsi="仿宋" w:eastAsia="仿宋"/>
          <w:sz w:val="32"/>
          <w:szCs w:val="32"/>
        </w:rPr>
      </w:pPr>
      <w:r>
        <w:rPr>
          <w:rFonts w:hint="eastAsia" w:ascii="仿宋" w:hAnsi="仿宋" w:eastAsia="仿宋"/>
          <w:sz w:val="32"/>
          <w:szCs w:val="32"/>
        </w:rPr>
        <w:t>2）组织制定自治州重点科研、科技兴农、科技兴州项目计划，并组织实施；管理国家、自治区在巴州实施的重大科技项目。</w:t>
      </w:r>
    </w:p>
    <w:p>
      <w:pPr>
        <w:snapToGrid w:val="0"/>
        <w:spacing w:line="560" w:lineRule="atLeast"/>
        <w:ind w:left="64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）负责编制全州高新技术产业发展规划及年度计划，负责推荐高新技术企业的认定工作；会同有关部门拟订自治州高新技术产业发展政策，指导自治州域内高新技术开发区建设。</w:t>
      </w:r>
    </w:p>
    <w:p>
      <w:pPr>
        <w:snapToGrid w:val="0"/>
        <w:spacing w:line="560" w:lineRule="atLeast"/>
        <w:ind w:left="64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）协调全州科学技术服务工作，促进科技咨询、评估等社会中介组织的发展，推进科技服务体系的建立。</w:t>
      </w:r>
    </w:p>
    <w:p>
      <w:pPr>
        <w:snapToGrid w:val="0"/>
        <w:spacing w:line="560" w:lineRule="atLeast"/>
        <w:ind w:left="64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会同有关部门拟订自治州促进产学研结合的相关政策、制定科技成果推广政策，指导科技成果转化工作，组织相关重大科技成果应用示范。指导和管理全州民办科技工作，负责审批新高民办科技机构和民营科技企业。</w:t>
      </w:r>
    </w:p>
    <w:p>
      <w:pPr>
        <w:snapToGrid w:val="0"/>
        <w:spacing w:line="560" w:lineRule="atLeast"/>
        <w:ind w:left="64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研究提出自治州科技体制改革的政策和重大措施建议，推进科技体制改革工作，指导协调自治州各有关部门和各县市科技体制改革工作。研究提出加强全州科技创新体系建设的政策措施，推动企业自主创新能力建设。</w:t>
      </w:r>
    </w:p>
    <w:p>
      <w:pPr>
        <w:snapToGrid w:val="0"/>
        <w:spacing w:line="560" w:lineRule="atLeast"/>
        <w:ind w:left="64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）负责本部门预算中的科技经费预决算及经费使用的监督管理；会同有关部门提出科技资源合理配置的重大政策和抠措施建议，优化科技资源配置。</w:t>
      </w:r>
    </w:p>
    <w:p>
      <w:pPr>
        <w:snapToGrid w:val="0"/>
        <w:spacing w:line="560" w:lineRule="atLeast"/>
        <w:ind w:left="64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负责自治州科学技术奖评审的组织工作，会同有关部门拟订自治州科技人才队伍建设规划，提出相关政策建议，开展科技管理干部、科研学术带头人以及其他科技人员的重点培养工作；协同有关部门提出充分发挥科技人员积极性、创造性，促进科技人才成长的政策措施。</w:t>
      </w:r>
    </w:p>
    <w:p>
      <w:pPr>
        <w:snapToGrid w:val="0"/>
        <w:spacing w:line="560" w:lineRule="atLeast"/>
        <w:ind w:left="64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制定自治州科普规划和政策，拟订促进技术市场、技术中介组织发展政策，制定科技保密管理办法，负责相关科技评估管理和科技统计管理，负责自治州科技信息、科技宣传等工作，促进自治州科技信息网络建设。</w:t>
      </w:r>
    </w:p>
    <w:p>
      <w:pPr>
        <w:snapToGrid w:val="0"/>
        <w:spacing w:line="560" w:lineRule="atLeast"/>
        <w:ind w:left="64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)承办自治州人民政府交办的其他事项。</w:t>
      </w:r>
    </w:p>
    <w:p>
      <w:pPr>
        <w:snapToGrid w:val="0"/>
        <w:spacing w:line="52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2．机构情况，包括当年变动情况及原因。</w:t>
      </w:r>
    </w:p>
    <w:p>
      <w:pPr>
        <w:snapToGrid w:val="0"/>
        <w:spacing w:line="560" w:lineRule="atLeast"/>
        <w:ind w:firstLine="640" w:firstLineChars="200"/>
        <w:rPr>
          <w:rFonts w:ascii="仿宋" w:hAnsi="仿宋" w:eastAsia="仿宋"/>
          <w:sz w:val="32"/>
          <w:szCs w:val="32"/>
        </w:rPr>
      </w:pPr>
      <w:r>
        <w:rPr>
          <w:rFonts w:hint="eastAsia" w:ascii="仿宋" w:hAnsi="仿宋" w:eastAsia="仿宋"/>
          <w:sz w:val="32"/>
          <w:szCs w:val="32"/>
        </w:rPr>
        <w:t>巴州科学技术局为正处县级国家行政机关，内设行政办公室、科技发展科、科技管理科、高新科四个行政科室、下属4个事业单位，自治州知识产权局、自治州科技兴州办公室、自治州科技情报所、自治州科技开发交流中心，其中：州知识产权局（副县级二级局、参照公务员管理的独立核算事业单位）、自治州科技兴州办公室（含专家顾问团办公室）为参公科室，下属科技情报研究所，科技开发交流中心等两个全额拨款事业科室。</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3．人员情况，包括当年变动情况及原因。</w:t>
      </w:r>
    </w:p>
    <w:p>
      <w:pPr>
        <w:snapToGrid w:val="0"/>
        <w:spacing w:line="560" w:lineRule="atLeast"/>
        <w:ind w:firstLine="640" w:firstLineChars="200"/>
        <w:rPr>
          <w:rFonts w:ascii="仿宋" w:hAnsi="仿宋" w:eastAsia="仿宋"/>
          <w:sz w:val="32"/>
          <w:szCs w:val="32"/>
        </w:rPr>
      </w:pPr>
      <w:r>
        <w:rPr>
          <w:rFonts w:hint="eastAsia" w:ascii="仿宋" w:hAnsi="仿宋" w:eastAsia="仿宋"/>
          <w:sz w:val="32"/>
          <w:szCs w:val="32"/>
        </w:rPr>
        <w:t>根据机构改革的要求，巴政府办[2002]146号文件核定巴州科学技术局核定编制数为38名，其中：局领导指数5名，科级领导职数6名，在职职工33名；退休人员22名；其他人员：遗属1人，援疆干部1名同工同酬1名。</w:t>
      </w:r>
    </w:p>
    <w:p>
      <w:pPr>
        <w:adjustRightInd w:val="0"/>
        <w:snapToGrid w:val="0"/>
        <w:spacing w:line="560" w:lineRule="atLeast"/>
        <w:ind w:firstLine="640" w:firstLineChars="200"/>
        <w:rPr>
          <w:rFonts w:ascii="仿宋" w:hAnsi="仿宋" w:eastAsia="仿宋"/>
          <w:sz w:val="32"/>
          <w:szCs w:val="32"/>
        </w:rPr>
      </w:pPr>
      <w:r>
        <w:rPr>
          <w:rFonts w:hint="eastAsia" w:ascii="仿宋" w:hAnsi="仿宋" w:eastAsia="仿宋"/>
          <w:sz w:val="32"/>
          <w:szCs w:val="32"/>
        </w:rPr>
        <w:t>1)行政人员：行政在职人员编制为13名，实有人数为10名，较去年同期一致、其主要原因是人员没有变化；年末行政离退休人数为14人，与上年比退休人无变化。</w:t>
      </w:r>
    </w:p>
    <w:p>
      <w:pPr>
        <w:adjustRightInd w:val="0"/>
        <w:snapToGrid w:val="0"/>
        <w:spacing w:line="560" w:lineRule="atLeast"/>
        <w:ind w:firstLine="640" w:firstLineChars="200"/>
        <w:rPr>
          <w:rFonts w:ascii="仿宋" w:hAnsi="仿宋" w:eastAsia="仿宋"/>
          <w:sz w:val="32"/>
          <w:szCs w:val="32"/>
        </w:rPr>
      </w:pPr>
      <w:r>
        <w:rPr>
          <w:rFonts w:hint="eastAsia" w:ascii="仿宋" w:hAnsi="仿宋" w:eastAsia="仿宋"/>
          <w:sz w:val="32"/>
          <w:szCs w:val="32"/>
        </w:rPr>
        <w:t>2)事业单位依照公务员管理人员：科技兴州办公室是依照公务员管理的事业单位，编制为3名，实有人数为2名；比去年同期一致，其主要原因无变化人数。</w:t>
      </w:r>
    </w:p>
    <w:p>
      <w:pPr>
        <w:adjustRightInd w:val="0"/>
        <w:snapToGrid w:val="0"/>
        <w:spacing w:line="560" w:lineRule="atLeast"/>
        <w:ind w:firstLine="640" w:firstLineChars="200"/>
        <w:rPr>
          <w:rStyle w:val="21"/>
          <w:rFonts w:ascii="仿宋" w:hAnsi="仿宋" w:eastAsia="仿宋"/>
          <w:b w:val="0"/>
          <w:bCs w:val="0"/>
          <w:sz w:val="32"/>
          <w:szCs w:val="32"/>
        </w:rPr>
      </w:pPr>
      <w:r>
        <w:rPr>
          <w:rFonts w:hint="eastAsia" w:ascii="仿宋" w:hAnsi="仿宋" w:eastAsia="仿宋"/>
          <w:sz w:val="32"/>
          <w:szCs w:val="32"/>
        </w:rPr>
        <w:t>3)事业人员：事业在职人员编制为22名，实有人数为22人，包括科技情报研究所（全额</w:t>
      </w:r>
      <w:r>
        <w:rPr>
          <w:rFonts w:hint="eastAsia" w:ascii="仿宋" w:hAnsi="仿宋" w:eastAsia="仿宋"/>
          <w:sz w:val="32"/>
          <w:szCs w:val="32"/>
          <w:lang w:eastAsia="zh-CN"/>
        </w:rPr>
        <w:t>拨款</w:t>
      </w:r>
      <w:r>
        <w:rPr>
          <w:rFonts w:hint="eastAsia" w:ascii="仿宋" w:hAnsi="仿宋" w:eastAsia="仿宋"/>
          <w:sz w:val="32"/>
          <w:szCs w:val="32"/>
        </w:rPr>
        <w:t>事业单位）编制为12名，退休2名、科技开发交流中心（全额</w:t>
      </w:r>
      <w:r>
        <w:rPr>
          <w:rFonts w:hint="eastAsia" w:ascii="仿宋" w:hAnsi="仿宋" w:eastAsia="仿宋"/>
          <w:sz w:val="32"/>
          <w:szCs w:val="32"/>
          <w:lang w:eastAsia="zh-CN"/>
        </w:rPr>
        <w:t>拨款</w:t>
      </w:r>
      <w:bookmarkStart w:id="0" w:name="_GoBack"/>
      <w:bookmarkEnd w:id="0"/>
      <w:r>
        <w:rPr>
          <w:rFonts w:hint="eastAsia" w:ascii="仿宋" w:hAnsi="仿宋" w:eastAsia="仿宋"/>
          <w:sz w:val="32"/>
          <w:szCs w:val="32"/>
        </w:rPr>
        <w:t>事业单位）10名，退休6名，比去年同期一致。</w:t>
      </w:r>
    </w:p>
    <w:p>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（二）项目预算绩效目标设定情况</w:t>
      </w:r>
    </w:p>
    <w:p>
      <w:pPr>
        <w:spacing w:line="540" w:lineRule="exact"/>
        <w:ind w:firstLine="640" w:firstLineChars="200"/>
        <w:rPr>
          <w:rStyle w:val="21"/>
          <w:rFonts w:ascii="仿宋" w:hAnsi="仿宋" w:eastAsia="仿宋"/>
          <w:b w:val="0"/>
          <w:spacing w:val="-4"/>
          <w:sz w:val="32"/>
          <w:szCs w:val="32"/>
        </w:rPr>
      </w:pPr>
      <w:r>
        <w:rPr>
          <w:rFonts w:hint="eastAsia" w:ascii="仿宋_GB2312" w:hAnsi="仿宋" w:eastAsia="仿宋_GB2312" w:cs="仿宋"/>
          <w:color w:val="000000"/>
          <w:sz w:val="32"/>
          <w:szCs w:val="32"/>
        </w:rPr>
        <w:t>以全面贯彻落实乡村振兴战略、中央农村工作会议精神和自治区、自治州党委 “三农”工作总体部署和要求，以社会稳定和长治久安总目标为统领，以推进农业供给侧结构性改革为主线，</w:t>
      </w:r>
      <w:r>
        <w:rPr>
          <w:rFonts w:hint="eastAsia" w:ascii="仿宋_GB2312" w:hAnsi="仿宋" w:eastAsia="仿宋_GB2312"/>
          <w:color w:val="000000"/>
          <w:sz w:val="32"/>
          <w:szCs w:val="32"/>
        </w:rPr>
        <w:t>以绿色生态为导向,</w:t>
      </w:r>
      <w:r>
        <w:rPr>
          <w:rFonts w:hint="eastAsia" w:ascii="仿宋_GB2312" w:hAnsi="仿宋" w:eastAsia="仿宋_GB2312" w:cs="仿宋"/>
          <w:color w:val="000000"/>
          <w:sz w:val="32"/>
          <w:szCs w:val="32"/>
        </w:rPr>
        <w:t>以科技精准扶贫精准脱贫为重点，坚持科技兴农、质量兴农、绿色发展之路。加快农业产业转型升级，大力发展适销对路的优质农产品，大幅提高优质农产品比重，促进农业增效、农民增收，全面推进美丽乡村、幸福乡村建设。</w:t>
      </w:r>
    </w:p>
    <w:p>
      <w:pPr>
        <w:pStyle w:val="17"/>
        <w:snapToGrid w:val="0"/>
        <w:spacing w:line="560" w:lineRule="atLeast"/>
        <w:ind w:firstLine="627" w:firstLineChars="200"/>
        <w:rPr>
          <w:rStyle w:val="21"/>
          <w:rFonts w:ascii="仿宋" w:hAnsi="仿宋" w:eastAsia="仿宋"/>
          <w:bCs w:val="0"/>
          <w:spacing w:val="-4"/>
          <w:sz w:val="32"/>
          <w:szCs w:val="32"/>
        </w:rPr>
      </w:pPr>
      <w:r>
        <w:rPr>
          <w:rStyle w:val="21"/>
          <w:rFonts w:hint="eastAsia" w:ascii="仿宋" w:hAnsi="仿宋" w:eastAsia="仿宋"/>
          <w:bCs w:val="0"/>
          <w:spacing w:val="-4"/>
          <w:sz w:val="32"/>
          <w:szCs w:val="32"/>
        </w:rPr>
        <w:t>主要内容、涉及范围：</w:t>
      </w:r>
    </w:p>
    <w:p>
      <w:pPr>
        <w:pStyle w:val="17"/>
        <w:snapToGrid w:val="0"/>
        <w:spacing w:line="560" w:lineRule="atLeast"/>
        <w:ind w:firstLine="640" w:firstLineChars="200"/>
        <w:rPr>
          <w:rFonts w:ascii="楷体_GB2312" w:hAnsi="仿宋" w:eastAsia="楷体_GB2312" w:cs="仿宋"/>
          <w:color w:val="000000"/>
          <w:sz w:val="32"/>
          <w:szCs w:val="32"/>
        </w:rPr>
      </w:pPr>
      <w:r>
        <w:rPr>
          <w:rFonts w:hint="eastAsia" w:ascii="楷体_GB2312" w:hAnsi="仿宋" w:eastAsia="楷体_GB2312" w:cs="仿宋"/>
          <w:color w:val="000000"/>
          <w:sz w:val="32"/>
          <w:szCs w:val="32"/>
        </w:rPr>
        <w:t>（一）种植业</w:t>
      </w:r>
    </w:p>
    <w:p>
      <w:pPr>
        <w:pStyle w:val="17"/>
        <w:snapToGrid w:val="0"/>
        <w:spacing w:line="560" w:lineRule="atLeas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1、小麦品种区划研究</w:t>
      </w:r>
    </w:p>
    <w:p>
      <w:pPr>
        <w:pStyle w:val="17"/>
        <w:snapToGrid w:val="0"/>
        <w:spacing w:line="560" w:lineRule="atLeas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2、机采棉推广</w:t>
      </w:r>
    </w:p>
    <w:p>
      <w:pPr>
        <w:pStyle w:val="17"/>
        <w:snapToGrid w:val="0"/>
        <w:spacing w:line="560" w:lineRule="atLeas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3、饲草饲料</w:t>
      </w:r>
      <w:r>
        <w:rPr>
          <w:rFonts w:ascii="仿宋_GB2312" w:hAnsi="仿宋" w:eastAsia="仿宋_GB2312" w:cs="仿宋"/>
          <w:color w:val="000000"/>
          <w:sz w:val="32"/>
          <w:szCs w:val="32"/>
        </w:rPr>
        <w:t>新品种</w:t>
      </w:r>
      <w:r>
        <w:rPr>
          <w:rFonts w:hint="eastAsia" w:ascii="仿宋_GB2312" w:hAnsi="仿宋" w:eastAsia="仿宋_GB2312" w:cs="仿宋"/>
          <w:color w:val="000000"/>
          <w:sz w:val="32"/>
          <w:szCs w:val="32"/>
        </w:rPr>
        <w:t>种植</w:t>
      </w:r>
      <w:r>
        <w:rPr>
          <w:rFonts w:ascii="仿宋_GB2312" w:hAnsi="仿宋" w:eastAsia="仿宋_GB2312" w:cs="仿宋"/>
          <w:color w:val="000000"/>
          <w:sz w:val="32"/>
          <w:szCs w:val="32"/>
        </w:rPr>
        <w:t>示范推广</w:t>
      </w:r>
    </w:p>
    <w:p>
      <w:pPr>
        <w:pStyle w:val="17"/>
        <w:snapToGrid w:val="0"/>
        <w:spacing w:line="560" w:lineRule="atLeas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4、特色农产品种植</w:t>
      </w:r>
      <w:r>
        <w:rPr>
          <w:rFonts w:ascii="仿宋_GB2312" w:hAnsi="仿宋" w:eastAsia="仿宋_GB2312" w:cs="仿宋"/>
          <w:color w:val="000000"/>
          <w:sz w:val="32"/>
          <w:szCs w:val="32"/>
        </w:rPr>
        <w:t>示范</w:t>
      </w:r>
      <w:r>
        <w:rPr>
          <w:rFonts w:hint="eastAsia" w:ascii="仿宋_GB2312" w:hAnsi="仿宋" w:eastAsia="仿宋_GB2312" w:cs="仿宋"/>
          <w:color w:val="000000"/>
          <w:sz w:val="32"/>
          <w:szCs w:val="32"/>
        </w:rPr>
        <w:t>推广</w:t>
      </w:r>
    </w:p>
    <w:p>
      <w:pPr>
        <w:pStyle w:val="17"/>
        <w:snapToGrid w:val="0"/>
        <w:spacing w:line="560" w:lineRule="atLeast"/>
        <w:ind w:firstLine="640" w:firstLineChars="200"/>
        <w:rPr>
          <w:rFonts w:ascii="楷体_GB2312" w:hAnsi="仿宋" w:eastAsia="楷体_GB2312" w:cs="仿宋"/>
          <w:color w:val="000000"/>
          <w:sz w:val="32"/>
          <w:szCs w:val="32"/>
        </w:rPr>
      </w:pPr>
      <w:r>
        <w:rPr>
          <w:rFonts w:hint="eastAsia" w:ascii="楷体_GB2312" w:hAnsi="仿宋" w:eastAsia="楷体_GB2312" w:cs="仿宋"/>
          <w:color w:val="000000"/>
          <w:sz w:val="32"/>
          <w:szCs w:val="32"/>
        </w:rPr>
        <w:t>（二）林果业</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1、林果标准化栽培技术示范与推广</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2、林果自然灾害</w:t>
      </w:r>
      <w:r>
        <w:rPr>
          <w:rFonts w:hint="eastAsia" w:ascii="仿宋_GB2312" w:hAnsi="仿宋" w:eastAsia="仿宋_GB2312" w:cs="仿宋"/>
          <w:color w:val="000000"/>
          <w:sz w:val="32"/>
          <w:szCs w:val="32"/>
        </w:rPr>
        <w:t>、病虫害</w:t>
      </w:r>
      <w:r>
        <w:rPr>
          <w:rFonts w:ascii="仿宋_GB2312" w:hAnsi="仿宋" w:eastAsia="仿宋_GB2312" w:cs="仿宋"/>
          <w:color w:val="000000"/>
          <w:sz w:val="32"/>
          <w:szCs w:val="32"/>
        </w:rPr>
        <w:t>防控技术示范推广</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3、林果间作高效模式创新与示范推广</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4、有机林果产品标准化种植</w:t>
      </w:r>
    </w:p>
    <w:p>
      <w:pPr>
        <w:pStyle w:val="17"/>
        <w:snapToGrid w:val="0"/>
        <w:spacing w:line="560" w:lineRule="atLeast"/>
        <w:ind w:firstLine="640" w:firstLineChars="200"/>
        <w:rPr>
          <w:rFonts w:ascii="楷体_GB2312" w:hAnsi="仿宋" w:eastAsia="楷体_GB2312" w:cs="仿宋"/>
          <w:color w:val="000000"/>
          <w:sz w:val="32"/>
          <w:szCs w:val="32"/>
        </w:rPr>
      </w:pPr>
      <w:r>
        <w:rPr>
          <w:rFonts w:hint="eastAsia" w:ascii="楷体_GB2312" w:hAnsi="仿宋" w:eastAsia="楷体_GB2312" w:cs="仿宋"/>
          <w:color w:val="000000"/>
          <w:sz w:val="32"/>
          <w:szCs w:val="32"/>
        </w:rPr>
        <w:t>（三）畜牧业</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1、优质牧草高产高效栽培技术示范推广</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2、畜禽良种引进、改良和快速扩繁技术示范与推广</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3、畜禽规模化标准化</w:t>
      </w:r>
      <w:r>
        <w:rPr>
          <w:rFonts w:hint="eastAsia" w:ascii="仿宋_GB2312" w:hAnsi="仿宋" w:eastAsia="仿宋_GB2312" w:cs="仿宋"/>
          <w:color w:val="000000"/>
          <w:sz w:val="32"/>
          <w:szCs w:val="32"/>
        </w:rPr>
        <w:t>绿色</w:t>
      </w:r>
      <w:r>
        <w:rPr>
          <w:rFonts w:ascii="仿宋_GB2312" w:hAnsi="仿宋" w:eastAsia="仿宋_GB2312" w:cs="仿宋"/>
          <w:color w:val="000000"/>
          <w:sz w:val="32"/>
          <w:szCs w:val="32"/>
        </w:rPr>
        <w:t>养殖技术示范与推广</w:t>
      </w:r>
    </w:p>
    <w:p>
      <w:pPr>
        <w:pStyle w:val="17"/>
        <w:snapToGrid w:val="0"/>
        <w:spacing w:line="560" w:lineRule="atLeast"/>
        <w:ind w:firstLine="640" w:firstLineChars="200"/>
        <w:rPr>
          <w:rFonts w:ascii="仿宋_GB2312" w:hAnsi="仿宋" w:eastAsia="仿宋_GB2312" w:cs="仿宋"/>
          <w:color w:val="000000"/>
          <w:sz w:val="32"/>
          <w:szCs w:val="32"/>
        </w:rPr>
      </w:pPr>
      <w:r>
        <w:rPr>
          <w:rFonts w:ascii="仿宋_GB2312" w:hAnsi="仿宋" w:eastAsia="仿宋_GB2312" w:cs="仿宋"/>
          <w:color w:val="000000"/>
          <w:sz w:val="32"/>
          <w:szCs w:val="32"/>
        </w:rPr>
        <w:t>4、农作物秸秆饲料加工技术创新与产业化示范推广</w:t>
      </w:r>
    </w:p>
    <w:p>
      <w:pPr>
        <w:pStyle w:val="17"/>
        <w:snapToGrid w:val="0"/>
        <w:spacing w:line="560" w:lineRule="atLeas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5</w:t>
      </w:r>
      <w:r>
        <w:rPr>
          <w:rFonts w:ascii="仿宋_GB2312" w:hAnsi="仿宋" w:eastAsia="仿宋_GB2312" w:cs="仿宋"/>
          <w:color w:val="000000"/>
          <w:sz w:val="32"/>
          <w:szCs w:val="32"/>
        </w:rPr>
        <w:t>、重大动物疫病防控技术应用</w:t>
      </w:r>
    </w:p>
    <w:p>
      <w:pPr>
        <w:pStyle w:val="17"/>
        <w:snapToGrid w:val="0"/>
        <w:spacing w:line="560" w:lineRule="atLeast"/>
        <w:ind w:firstLine="640" w:firstLineChars="200"/>
        <w:rPr>
          <w:rFonts w:ascii="楷体_GB2312" w:hAnsi="仿宋" w:eastAsia="楷体_GB2312" w:cs="仿宋"/>
          <w:color w:val="000000"/>
          <w:sz w:val="32"/>
          <w:szCs w:val="32"/>
        </w:rPr>
      </w:pPr>
      <w:r>
        <w:rPr>
          <w:rFonts w:hint="eastAsia" w:ascii="楷体_GB2312" w:hAnsi="仿宋" w:eastAsia="楷体_GB2312" w:cs="仿宋"/>
          <w:color w:val="000000"/>
          <w:sz w:val="32"/>
          <w:szCs w:val="32"/>
        </w:rPr>
        <w:t>（四）水利</w:t>
      </w:r>
    </w:p>
    <w:p>
      <w:pPr>
        <w:pStyle w:val="17"/>
        <w:snapToGrid w:val="0"/>
        <w:spacing w:line="560" w:lineRule="atLeast"/>
        <w:ind w:firstLine="800" w:firstLineChars="250"/>
        <w:rPr>
          <w:rFonts w:ascii="仿宋_GB2312" w:hAnsi="仿宋" w:eastAsia="仿宋_GB2312" w:cs="仿宋"/>
          <w:color w:val="000000"/>
          <w:sz w:val="32"/>
          <w:szCs w:val="32"/>
        </w:rPr>
      </w:pPr>
      <w:r>
        <w:rPr>
          <w:rFonts w:ascii="仿宋_GB2312" w:hAnsi="仿宋" w:eastAsia="仿宋_GB2312" w:cs="仿宋"/>
          <w:color w:val="000000"/>
          <w:sz w:val="32"/>
          <w:szCs w:val="32"/>
        </w:rPr>
        <w:t>1、高效节水灌溉</w:t>
      </w:r>
      <w:r>
        <w:rPr>
          <w:rFonts w:hint="eastAsia" w:ascii="仿宋_GB2312" w:hAnsi="仿宋" w:eastAsia="仿宋_GB2312" w:cs="仿宋"/>
          <w:color w:val="000000"/>
          <w:sz w:val="32"/>
          <w:szCs w:val="32"/>
        </w:rPr>
        <w:t>施肥</w:t>
      </w:r>
      <w:r>
        <w:rPr>
          <w:rFonts w:ascii="仿宋_GB2312" w:hAnsi="仿宋" w:eastAsia="仿宋_GB2312" w:cs="仿宋"/>
          <w:color w:val="000000"/>
          <w:sz w:val="32"/>
          <w:szCs w:val="32"/>
        </w:rPr>
        <w:t>技术示范推广</w:t>
      </w:r>
    </w:p>
    <w:p>
      <w:pPr>
        <w:pStyle w:val="17"/>
        <w:snapToGrid w:val="0"/>
        <w:spacing w:line="560" w:lineRule="atLeast"/>
        <w:ind w:firstLine="800" w:firstLineChars="250"/>
        <w:rPr>
          <w:rFonts w:ascii="仿宋_GB2312" w:hAnsi="仿宋" w:eastAsia="仿宋_GB2312" w:cs="仿宋"/>
          <w:color w:val="000000"/>
          <w:sz w:val="32"/>
          <w:szCs w:val="32"/>
        </w:rPr>
      </w:pPr>
      <w:r>
        <w:rPr>
          <w:rFonts w:hint="eastAsia" w:ascii="仿宋_GB2312" w:hAnsi="仿宋" w:eastAsia="仿宋_GB2312" w:cs="仿宋"/>
          <w:color w:val="000000"/>
          <w:sz w:val="32"/>
          <w:szCs w:val="32"/>
        </w:rPr>
        <w:t>2</w:t>
      </w:r>
      <w:r>
        <w:rPr>
          <w:rFonts w:ascii="仿宋_GB2312" w:hAnsi="仿宋" w:eastAsia="仿宋_GB2312" w:cs="仿宋"/>
          <w:color w:val="000000"/>
          <w:sz w:val="32"/>
          <w:szCs w:val="32"/>
        </w:rPr>
        <w:t>、特色水产养殖模式创新与示范推广</w:t>
      </w:r>
    </w:p>
    <w:p>
      <w:pPr>
        <w:pStyle w:val="17"/>
        <w:snapToGrid w:val="0"/>
        <w:spacing w:line="560" w:lineRule="atLeast"/>
        <w:ind w:firstLine="640" w:firstLineChars="200"/>
        <w:rPr>
          <w:rFonts w:ascii="楷体_GB2312" w:hAnsi="仿宋" w:eastAsia="楷体_GB2312" w:cs="仿宋"/>
          <w:color w:val="000000"/>
          <w:sz w:val="32"/>
          <w:szCs w:val="32"/>
        </w:rPr>
      </w:pPr>
      <w:r>
        <w:rPr>
          <w:rFonts w:hint="eastAsia" w:ascii="楷体_GB2312" w:hAnsi="仿宋" w:eastAsia="楷体_GB2312" w:cs="仿宋"/>
          <w:color w:val="000000"/>
          <w:sz w:val="32"/>
          <w:szCs w:val="32"/>
        </w:rPr>
        <w:t>（五）农机</w:t>
      </w:r>
    </w:p>
    <w:p>
      <w:pPr>
        <w:pStyle w:val="17"/>
        <w:snapToGrid w:val="0"/>
        <w:spacing w:line="560" w:lineRule="atLeast"/>
        <w:ind w:firstLine="800" w:firstLineChars="250"/>
        <w:rPr>
          <w:rFonts w:ascii="仿宋_GB2312" w:hAnsi="仿宋" w:eastAsia="仿宋_GB2312" w:cs="仿宋"/>
          <w:color w:val="000000"/>
          <w:sz w:val="32"/>
          <w:szCs w:val="32"/>
        </w:rPr>
      </w:pPr>
      <w:r>
        <w:rPr>
          <w:rFonts w:hint="eastAsia" w:ascii="仿宋_GB2312" w:hAnsi="仿宋" w:eastAsia="仿宋_GB2312" w:cs="仿宋"/>
          <w:color w:val="000000"/>
          <w:sz w:val="32"/>
          <w:szCs w:val="32"/>
        </w:rPr>
        <w:t>1、棉花、粮食种植机械装备推广、设施农业机械化推广</w:t>
      </w:r>
    </w:p>
    <w:p>
      <w:pPr>
        <w:pStyle w:val="17"/>
        <w:snapToGrid w:val="0"/>
        <w:spacing w:line="560" w:lineRule="atLeast"/>
        <w:ind w:firstLine="800" w:firstLineChars="250"/>
        <w:rPr>
          <w:rFonts w:ascii="仿宋_GB2312" w:hAnsi="仿宋" w:eastAsia="仿宋_GB2312" w:cs="仿宋"/>
          <w:color w:val="000000"/>
          <w:sz w:val="32"/>
          <w:szCs w:val="32"/>
        </w:rPr>
      </w:pPr>
      <w:r>
        <w:rPr>
          <w:rFonts w:hint="eastAsia" w:ascii="仿宋_GB2312" w:hAnsi="仿宋" w:eastAsia="仿宋_GB2312" w:cs="仿宋"/>
          <w:color w:val="000000"/>
          <w:sz w:val="32"/>
          <w:szCs w:val="32"/>
        </w:rPr>
        <w:t>2、林果、畜牧特色农业机械化新技术的引进示范、推广</w:t>
      </w:r>
    </w:p>
    <w:p>
      <w:pPr>
        <w:pStyle w:val="17"/>
        <w:snapToGrid w:val="0"/>
        <w:spacing w:line="560" w:lineRule="atLeast"/>
        <w:ind w:firstLine="640" w:firstLineChars="200"/>
        <w:rPr>
          <w:rFonts w:ascii="楷体_GB2312" w:hAnsi="仿宋" w:eastAsia="楷体_GB2312" w:cs="仿宋"/>
          <w:color w:val="000000"/>
          <w:sz w:val="32"/>
          <w:szCs w:val="32"/>
        </w:rPr>
      </w:pPr>
      <w:r>
        <w:rPr>
          <w:rFonts w:hint="eastAsia" w:ascii="楷体_GB2312" w:hAnsi="仿宋" w:eastAsia="楷体_GB2312" w:cs="仿宋"/>
          <w:color w:val="000000"/>
          <w:sz w:val="32"/>
          <w:szCs w:val="32"/>
        </w:rPr>
        <w:t>（六）气象</w:t>
      </w:r>
    </w:p>
    <w:p>
      <w:pPr>
        <w:pStyle w:val="17"/>
        <w:snapToGrid w:val="0"/>
        <w:spacing w:line="560" w:lineRule="atLeast"/>
        <w:ind w:firstLine="800" w:firstLineChars="25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人工影响天气、防灾减灾预测预报。</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spacing w:line="54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科技兴州领导小组办公室管理的科技兴农项目工作经费由州财政足额拨付。项目资金全部来自财政资金，项目补助资金本着“合理、合法、合情”和取得最大效益的原则进行分配。资金分配与项目实施方案相一致，资金的管理推行政府采购制度，资金拨付后，严格按照年度计划确定的用途和建设内容使用资金，专款专用，无挤占、挪用、串用财政资金的现象，严格按照国家的专项资金使用要求进行支出，无弄虚作假、虚列支出的情况，充分发挥了林业项目资金的作用。</w:t>
      </w:r>
    </w:p>
    <w:p>
      <w:pPr>
        <w:spacing w:line="54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做到专款专用，确保项目资金使用效率。全年没有出现项目资金使用财务违纪违规现象。</w:t>
      </w:r>
    </w:p>
    <w:p>
      <w:pPr>
        <w:spacing w:line="54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spacing w:line="540" w:lineRule="exact"/>
        <w:ind w:firstLine="624" w:firstLineChars="200"/>
        <w:rPr>
          <w:rStyle w:val="21"/>
          <w:rFonts w:ascii="仿宋" w:hAnsi="仿宋" w:eastAsia="仿宋_GB2312"/>
          <w:b w:val="0"/>
          <w:spacing w:val="-4"/>
          <w:sz w:val="32"/>
          <w:szCs w:val="32"/>
        </w:rPr>
      </w:pPr>
      <w:r>
        <w:rPr>
          <w:rStyle w:val="21"/>
          <w:rFonts w:ascii="仿宋" w:hAnsi="仿宋" w:eastAsia="仿宋"/>
          <w:b w:val="0"/>
          <w:spacing w:val="-4"/>
          <w:sz w:val="32"/>
          <w:szCs w:val="32"/>
        </w:rPr>
        <w:t>2018</w:t>
      </w:r>
      <w:r>
        <w:rPr>
          <w:rStyle w:val="21"/>
          <w:rFonts w:hint="eastAsia" w:ascii="仿宋" w:hAnsi="仿宋" w:eastAsia="仿宋"/>
          <w:b w:val="0"/>
          <w:spacing w:val="-4"/>
          <w:sz w:val="32"/>
          <w:szCs w:val="32"/>
        </w:rPr>
        <w:t>年科技兴农项目</w:t>
      </w:r>
      <w:r>
        <w:rPr>
          <w:rFonts w:hint="eastAsia" w:eastAsia="仿宋_GB2312"/>
          <w:sz w:val="32"/>
        </w:rPr>
        <w:t>共安排项目</w:t>
      </w:r>
      <w:r>
        <w:rPr>
          <w:rFonts w:eastAsia="仿宋_GB2312"/>
          <w:sz w:val="32"/>
        </w:rPr>
        <w:t>6</w:t>
      </w:r>
      <w:r>
        <w:rPr>
          <w:rFonts w:hint="eastAsia" w:eastAsia="仿宋_GB2312"/>
          <w:sz w:val="32"/>
        </w:rPr>
        <w:t>项，其中农业1项，林业1项，畜牧兽医1项，水利1项，农机1项，气象1项，项目经费20万元。</w:t>
      </w:r>
    </w:p>
    <w:p>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spacing w:line="540" w:lineRule="exact"/>
        <w:ind w:firstLine="640"/>
        <w:rPr>
          <w:rFonts w:ascii="仿宋" w:hAnsi="仿宋" w:eastAsia="仿宋"/>
          <w:bCs/>
          <w:spacing w:val="-4"/>
          <w:sz w:val="32"/>
          <w:szCs w:val="32"/>
        </w:rPr>
      </w:pPr>
      <w:r>
        <w:rPr>
          <w:rFonts w:hint="eastAsia" w:ascii="仿宋" w:hAnsi="仿宋" w:eastAsia="仿宋"/>
          <w:bCs/>
          <w:spacing w:val="-4"/>
          <w:sz w:val="32"/>
          <w:szCs w:val="32"/>
        </w:rPr>
        <w:t>项目资金管理实行严格的定额管理，专款专用。资金分配与项目预算相一致，资金拨付后，严格按照年度投资计划确定的用途和建设内容使用资金，专款专用，足额拨付给各项目承担单位。无挤占、挪用、串用财政资金的现象，严格按照资金使用要求进行支出，无弄虚作假、虚列支出的情况，充分发挥了项目资金的作用。</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spacing w:line="54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资金的实际支出与计划规定的用途一致，资金收支平衡，对项目资金专项管理。严格控制项目支出，没有违纪违规问题。财务制度健全，财务信息真实完整。</w:t>
      </w:r>
    </w:p>
    <w:p>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spacing w:line="700" w:lineRule="exact"/>
        <w:ind w:firstLine="736" w:firstLineChars="236"/>
        <w:jc w:val="left"/>
        <w:rPr>
          <w:rStyle w:val="21"/>
          <w:rFonts w:ascii="仿宋" w:hAnsi="仿宋" w:eastAsia="仿宋"/>
          <w:b w:val="0"/>
          <w:spacing w:val="-4"/>
          <w:sz w:val="32"/>
          <w:szCs w:val="32"/>
        </w:rPr>
      </w:pPr>
      <w:r>
        <w:rPr>
          <w:rStyle w:val="21"/>
          <w:rFonts w:hint="eastAsia" w:ascii="仿宋" w:hAnsi="仿宋" w:eastAsia="仿宋"/>
          <w:b w:val="0"/>
          <w:spacing w:val="-4"/>
          <w:sz w:val="32"/>
          <w:szCs w:val="32"/>
        </w:rPr>
        <w:t>为确保项目顺利实施，由巴州科技局党组副书记、局长</w:t>
      </w:r>
      <w:r>
        <w:rPr>
          <w:rFonts w:hint="eastAsia" w:hAnsi="宋体" w:cs="宋体"/>
          <w:kern w:val="0"/>
          <w:sz w:val="36"/>
          <w:szCs w:val="36"/>
        </w:rPr>
        <w:t>帕</w:t>
      </w:r>
      <w:r>
        <w:rPr>
          <w:rStyle w:val="21"/>
          <w:rFonts w:hint="eastAsia" w:ascii="仿宋" w:hAnsi="仿宋" w:eastAsia="仿宋"/>
          <w:b w:val="0"/>
          <w:spacing w:val="-4"/>
          <w:sz w:val="32"/>
          <w:szCs w:val="32"/>
        </w:rPr>
        <w:t>尔海提.克日木负总则，解决协调人员、资金等方面问题，定期或不定期召开项目实施情况汇报会，及时解决项目实施过程中存在的问题和困难，确保项目顺利开展。资金拨付后，严格按照财政预算、年度投资计划确定的用途和建设内容使用资金，专户储存，专款专用。切实保证了项目的顺利实施。</w:t>
      </w:r>
    </w:p>
    <w:p>
      <w:pPr>
        <w:spacing w:line="540" w:lineRule="exact"/>
        <w:ind w:firstLine="640"/>
        <w:rPr>
          <w:rStyle w:val="21"/>
          <w:rFonts w:ascii="黑体" w:hAnsi="黑体" w:eastAsia="黑体"/>
        </w:rPr>
      </w:pPr>
      <w:r>
        <w:rPr>
          <w:rStyle w:val="21"/>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atLeast"/>
        <w:ind w:firstLine="640" w:firstLineChars="200"/>
        <w:rPr>
          <w:rFonts w:ascii="方正仿宋_GBK" w:eastAsia="方正仿宋_GBK" w:hAnsiTheme="minorEastAsia" w:cstheme="minorEastAsia"/>
          <w:sz w:val="32"/>
          <w:szCs w:val="32"/>
        </w:rPr>
      </w:pPr>
      <w:r>
        <w:rPr>
          <w:rFonts w:hint="eastAsia" w:ascii="仿宋" w:hAnsi="仿宋" w:eastAsia="仿宋" w:cs="??_GB2312"/>
          <w:sz w:val="32"/>
          <w:szCs w:val="32"/>
        </w:rPr>
        <w:t>自治州</w:t>
      </w:r>
      <w:r>
        <w:rPr>
          <w:rFonts w:ascii="仿宋" w:hAnsi="仿宋" w:eastAsia="仿宋" w:cs="??_GB2312"/>
          <w:sz w:val="32"/>
          <w:szCs w:val="32"/>
        </w:rPr>
        <w:t>2018</w:t>
      </w:r>
      <w:r>
        <w:rPr>
          <w:rFonts w:hint="eastAsia" w:ascii="仿宋" w:hAnsi="仿宋" w:eastAsia="仿宋" w:cs="??_GB2312"/>
          <w:sz w:val="32"/>
          <w:szCs w:val="32"/>
        </w:rPr>
        <w:t>年科技兴农计划共安排项目</w:t>
      </w:r>
      <w:r>
        <w:rPr>
          <w:rFonts w:ascii="仿宋" w:hAnsi="仿宋" w:eastAsia="仿宋" w:cs="??_GB2312"/>
          <w:sz w:val="32"/>
          <w:szCs w:val="32"/>
        </w:rPr>
        <w:t>6</w:t>
      </w:r>
      <w:r>
        <w:rPr>
          <w:rFonts w:hint="eastAsia" w:ascii="仿宋" w:hAnsi="仿宋" w:eastAsia="仿宋" w:cs="??_GB2312"/>
          <w:sz w:val="32"/>
          <w:szCs w:val="32"/>
        </w:rPr>
        <w:t>项，其中农业</w:t>
      </w:r>
      <w:r>
        <w:rPr>
          <w:rFonts w:ascii="仿宋" w:hAnsi="仿宋" w:eastAsia="仿宋" w:cs="??_GB2312"/>
          <w:sz w:val="32"/>
          <w:szCs w:val="32"/>
        </w:rPr>
        <w:t>1</w:t>
      </w:r>
      <w:r>
        <w:rPr>
          <w:rFonts w:hint="eastAsia" w:ascii="仿宋" w:hAnsi="仿宋" w:eastAsia="仿宋" w:cs="??_GB2312"/>
          <w:sz w:val="32"/>
          <w:szCs w:val="32"/>
        </w:rPr>
        <w:t>项，林业</w:t>
      </w:r>
      <w:r>
        <w:rPr>
          <w:rFonts w:ascii="仿宋" w:hAnsi="仿宋" w:eastAsia="仿宋" w:cs="??_GB2312"/>
          <w:sz w:val="32"/>
          <w:szCs w:val="32"/>
        </w:rPr>
        <w:t>1</w:t>
      </w:r>
      <w:r>
        <w:rPr>
          <w:rFonts w:hint="eastAsia" w:ascii="仿宋" w:hAnsi="仿宋" w:eastAsia="仿宋" w:cs="??_GB2312"/>
          <w:sz w:val="32"/>
          <w:szCs w:val="32"/>
        </w:rPr>
        <w:t>项</w:t>
      </w:r>
      <w:r>
        <w:rPr>
          <w:rFonts w:ascii="仿宋" w:hAnsi="仿宋" w:eastAsia="仿宋" w:cs="??_GB2312"/>
          <w:sz w:val="32"/>
          <w:szCs w:val="32"/>
        </w:rPr>
        <w:t>,</w:t>
      </w:r>
      <w:r>
        <w:rPr>
          <w:rFonts w:hint="eastAsia" w:ascii="仿宋" w:hAnsi="仿宋" w:eastAsia="仿宋" w:cs="??_GB2312"/>
          <w:sz w:val="32"/>
          <w:szCs w:val="32"/>
        </w:rPr>
        <w:t>畜牧</w:t>
      </w:r>
      <w:r>
        <w:rPr>
          <w:rFonts w:ascii="仿宋" w:hAnsi="仿宋" w:eastAsia="仿宋" w:cs="??_GB2312"/>
          <w:sz w:val="32"/>
          <w:szCs w:val="32"/>
        </w:rPr>
        <w:t>1</w:t>
      </w:r>
      <w:r>
        <w:rPr>
          <w:rFonts w:hint="eastAsia" w:ascii="仿宋" w:hAnsi="仿宋" w:eastAsia="仿宋" w:cs="??_GB2312"/>
          <w:sz w:val="32"/>
          <w:szCs w:val="32"/>
        </w:rPr>
        <w:t>项，水利</w:t>
      </w:r>
      <w:r>
        <w:rPr>
          <w:rFonts w:ascii="仿宋" w:hAnsi="仿宋" w:eastAsia="仿宋" w:cs="??_GB2312"/>
          <w:sz w:val="32"/>
          <w:szCs w:val="32"/>
        </w:rPr>
        <w:t>1</w:t>
      </w:r>
      <w:r>
        <w:rPr>
          <w:rFonts w:hint="eastAsia" w:ascii="仿宋" w:hAnsi="仿宋" w:eastAsia="仿宋" w:cs="??_GB2312"/>
          <w:sz w:val="32"/>
          <w:szCs w:val="32"/>
        </w:rPr>
        <w:t>项</w:t>
      </w:r>
      <w:r>
        <w:rPr>
          <w:rFonts w:ascii="仿宋" w:hAnsi="仿宋" w:eastAsia="仿宋" w:cs="??_GB2312"/>
          <w:sz w:val="32"/>
          <w:szCs w:val="32"/>
        </w:rPr>
        <w:t>,</w:t>
      </w:r>
      <w:r>
        <w:rPr>
          <w:rFonts w:hint="eastAsia" w:ascii="仿宋" w:hAnsi="仿宋" w:eastAsia="仿宋" w:cs="??_GB2312"/>
          <w:sz w:val="32"/>
          <w:szCs w:val="32"/>
        </w:rPr>
        <w:t>农机</w:t>
      </w:r>
      <w:r>
        <w:rPr>
          <w:rFonts w:ascii="仿宋" w:hAnsi="仿宋" w:eastAsia="仿宋" w:cs="??_GB2312"/>
          <w:sz w:val="32"/>
          <w:szCs w:val="32"/>
        </w:rPr>
        <w:t>1</w:t>
      </w:r>
      <w:r>
        <w:rPr>
          <w:rFonts w:hint="eastAsia" w:ascii="仿宋" w:hAnsi="仿宋" w:eastAsia="仿宋" w:cs="??_GB2312"/>
          <w:sz w:val="32"/>
          <w:szCs w:val="32"/>
        </w:rPr>
        <w:t>项，气象</w:t>
      </w:r>
      <w:r>
        <w:rPr>
          <w:rFonts w:ascii="仿宋" w:hAnsi="仿宋" w:eastAsia="仿宋" w:cs="??_GB2312"/>
          <w:sz w:val="32"/>
          <w:szCs w:val="32"/>
        </w:rPr>
        <w:t>1</w:t>
      </w:r>
      <w:r>
        <w:rPr>
          <w:rFonts w:hint="eastAsia" w:ascii="仿宋" w:hAnsi="仿宋" w:eastAsia="仿宋" w:cs="??_GB2312"/>
          <w:sz w:val="32"/>
          <w:szCs w:val="32"/>
        </w:rPr>
        <w:t>项，主要是围绕农牧业结构调整，达到高产、优质、节本增效，增加农牧民收入为目的开展工作。在州委、州人民政府的正确领导下，在各级党政领导、科技人员和广大农牧民的共同努力下，自治州</w:t>
      </w:r>
      <w:r>
        <w:rPr>
          <w:rFonts w:ascii="仿宋" w:hAnsi="仿宋" w:eastAsia="仿宋" w:cs="??_GB2312"/>
          <w:sz w:val="32"/>
          <w:szCs w:val="32"/>
        </w:rPr>
        <w:t>2018</w:t>
      </w:r>
      <w:r>
        <w:rPr>
          <w:rFonts w:hint="eastAsia" w:ascii="仿宋" w:hAnsi="仿宋" w:eastAsia="仿宋" w:cs="??_GB2312"/>
          <w:sz w:val="32"/>
          <w:szCs w:val="32"/>
        </w:rPr>
        <w:t>年科技兴农计划取得了较好的成绩，为发展农村经济、农业增效、农民增收起到了示范带动作用。</w:t>
      </w:r>
      <w:r>
        <w:rPr>
          <w:rFonts w:hint="eastAsia" w:ascii="方正仿宋_GBK" w:eastAsia="方正仿宋_GBK" w:hAnsiTheme="minorEastAsia" w:cstheme="minorEastAsia"/>
          <w:sz w:val="32"/>
          <w:szCs w:val="32"/>
        </w:rPr>
        <w:t>通过科技兴农项目的实施实现</w:t>
      </w:r>
      <w:r>
        <w:rPr>
          <w:rFonts w:hint="eastAsia" w:eastAsia="方正仿宋_GBK" w:asciiTheme="minorHAnsi" w:hAnsiTheme="minorHAnsi" w:cstheme="minorEastAsia"/>
          <w:sz w:val="32"/>
          <w:szCs w:val="32"/>
        </w:rPr>
        <w:t>在巴州建立25.8万亩</w:t>
      </w:r>
      <w:r>
        <w:rPr>
          <w:rFonts w:hint="eastAsia" w:ascii="方正仿宋_GBK" w:eastAsia="方正仿宋_GBK" w:hAnsiTheme="minorEastAsia" w:cstheme="minorEastAsia"/>
          <w:kern w:val="0"/>
          <w:sz w:val="32"/>
          <w:szCs w:val="32"/>
        </w:rPr>
        <w:t>中高端品质原棉生产基地；</w:t>
      </w:r>
      <w:r>
        <w:rPr>
          <w:rFonts w:hint="eastAsia" w:ascii="方正仿宋_GBK" w:eastAsia="方正仿宋_GBK" w:hAnsiTheme="minorEastAsia" w:cstheme="minorEastAsia"/>
          <w:sz w:val="32"/>
          <w:szCs w:val="32"/>
        </w:rPr>
        <w:t>完成酿酒葡萄标准化栽培技术示范园推广基地1.4万亩，辐射带动周边酿酒葡萄基地</w:t>
      </w:r>
      <w:r>
        <w:rPr>
          <w:rFonts w:ascii="方正仿宋_GBK" w:eastAsia="方正仿宋_GBK" w:hAnsiTheme="minorEastAsia" w:cstheme="minorEastAsia"/>
          <w:sz w:val="32"/>
          <w:szCs w:val="32"/>
        </w:rPr>
        <w:t>6</w:t>
      </w:r>
      <w:r>
        <w:rPr>
          <w:rFonts w:hint="eastAsia" w:ascii="方正仿宋_GBK" w:eastAsia="方正仿宋_GBK" w:hAnsiTheme="minorEastAsia" w:cstheme="minorEastAsia"/>
          <w:sz w:val="32"/>
          <w:szCs w:val="32"/>
        </w:rPr>
        <w:t>万亩目标任务；完成人工种植牧草燕麦、紫花苜蓿1.38万亩；完成焉耆县七个星镇、永宁镇共22个水源，1.53万亩地进行自动化滴灌工程建设；完成</w:t>
      </w:r>
      <w:r>
        <w:rPr>
          <w:rFonts w:hint="eastAsia" w:ascii="方正仿宋_GBK" w:eastAsia="方正仿宋_GBK" w:hAnsiTheme="minorEastAsia" w:cstheme="minorEastAsia"/>
          <w:kern w:val="0"/>
          <w:sz w:val="32"/>
          <w:szCs w:val="32"/>
        </w:rPr>
        <w:t>土壤深松机械作业面积50万亩，</w:t>
      </w:r>
      <w:r>
        <w:rPr>
          <w:rFonts w:hint="eastAsia" w:ascii="方正仿宋_GBK" w:eastAsia="方正仿宋_GBK" w:hAnsiTheme="minorEastAsia" w:cstheme="minorEastAsia"/>
          <w:sz w:val="32"/>
          <w:szCs w:val="32"/>
        </w:rPr>
        <w:t>投入深松机具90台套；完成了库尔勒市10个乡镇气象资料订正，建立了订正模型，建立了香梨花期预测模型、气象产量预报等模型，开发完成库尔勒香梨气象服务技术系统。据不完全统计科技兴农项目的实施共节本增收产生经济效益9106.17万元，生态效益和经济效益十分显著。</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numPr>
          <w:ilvl w:val="0"/>
          <w:numId w:val="1"/>
        </w:num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主要经验及做法：</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各项目承担单位通过科技兴农项目进行了科技培训。科技培训紧密结合“科技之冬”活动，妥善落实培训师资、教材、场所和资金。采取以短期培训为主，长短结合，理论联系实际，因人施教。建立健全培训档案等方式，提高了培训效果，增强了各族农牧民学习、吸收和运用科学技术的自觉性。</w:t>
      </w:r>
    </w:p>
    <w:p>
      <w:pPr>
        <w:spacing w:line="540" w:lineRule="exact"/>
        <w:ind w:firstLine="627" w:firstLineChars="200"/>
        <w:rPr>
          <w:rFonts w:ascii="仿宋" w:hAnsi="仿宋" w:eastAsia="仿宋"/>
          <w:sz w:val="32"/>
          <w:szCs w:val="32"/>
        </w:rPr>
      </w:pPr>
      <w:r>
        <w:rPr>
          <w:rFonts w:hint="eastAsia" w:ascii="楷体" w:hAnsi="楷体" w:eastAsia="楷体"/>
          <w:b/>
          <w:spacing w:val="-4"/>
          <w:sz w:val="32"/>
          <w:szCs w:val="32"/>
        </w:rPr>
        <w:t>存在问题和建议：</w:t>
      </w:r>
    </w:p>
    <w:p>
      <w:pPr>
        <w:adjustRightInd w:val="0"/>
        <w:snapToGrid w:val="0"/>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1、项目实施过程中，有的单位因经费紧张，在开展技术服务不能完全到位，工作不细致，影响项目实施质量。</w:t>
      </w:r>
    </w:p>
    <w:p>
      <w:pPr>
        <w:adjustRightInd w:val="0"/>
        <w:snapToGrid w:val="0"/>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2、有的单位沿用以前方法推广应用新技术，创新力度不够，效果不明显。</w:t>
      </w:r>
    </w:p>
    <w:p>
      <w:pPr>
        <w:adjustRightInd w:val="0"/>
        <w:snapToGrid w:val="0"/>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3、由于工作任务量大，各项目没能如期进行验收，影响了下一步项目评审。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六、项目评价工作情况</w:t>
      </w:r>
    </w:p>
    <w:p>
      <w:pPr>
        <w:pStyle w:val="12"/>
        <w:snapToGrid w:val="0"/>
        <w:spacing w:line="560" w:lineRule="atLeast"/>
        <w:ind w:firstLine="640"/>
        <w:rPr>
          <w:rFonts w:ascii="仿宋" w:hAnsi="仿宋" w:eastAsia="仿宋"/>
          <w:sz w:val="32"/>
          <w:szCs w:val="32"/>
        </w:rPr>
      </w:pPr>
      <w:r>
        <w:rPr>
          <w:rFonts w:hint="eastAsia" w:ascii="仿宋" w:hAnsi="仿宋" w:eastAsia="仿宋"/>
          <w:bCs/>
          <w:sz w:val="32"/>
          <w:szCs w:val="32"/>
        </w:rPr>
        <w:t>今年以来自治州境内的龙头企业主动跟科技部门合作，借“科技兴农”的大舞台，组织技术人员根据原料质量标准编写教材和宣传材料，深入乡村，培训种植、养殖农户、受到基层干部和农民的欢迎。二是充分发挥农牧民文化技术学校主力军作用，全面提高农牧民素质。组织当地技术人员为农牧民进行专题讲座或现场咨询、指导和科技示范户进行现身说法，通过短期培训，使农民掌握新品种、新技术的基本特点和关键技术，了解农产品市场信息和相关知识，解决农牧民生产中存在的关键难问题。三是结合我州实际，举办相关技术培训班13场次，共培训技术骨干149人，农牧民4876人，并达到了良好的效果。</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spacing w:line="540" w:lineRule="exact"/>
        <w:ind w:firstLine="567"/>
        <w:rPr>
          <w:rStyle w:val="21"/>
          <w:rFonts w:ascii="仿宋" w:hAnsi="仿宋" w:eastAsia="仿宋"/>
          <w:b w:val="0"/>
          <w:spacing w:val="-4"/>
          <w:sz w:val="32"/>
          <w:szCs w:val="32"/>
        </w:rPr>
      </w:pPr>
      <w:r>
        <w:rPr>
          <w:rStyle w:val="21"/>
          <w:rFonts w:hint="eastAsia" w:ascii="仿宋" w:hAnsi="仿宋" w:eastAsia="仿宋"/>
          <w:b w:val="0"/>
          <w:spacing w:val="-4"/>
          <w:sz w:val="32"/>
          <w:szCs w:val="32"/>
        </w:rPr>
        <w:t>《巴州地区财政项目支出绩效自评表》</w:t>
      </w: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u w:val="single"/>
              </w:rPr>
            </w:pPr>
          </w:p>
          <w:p>
            <w:pPr>
              <w:widowControl/>
              <w:jc w:val="center"/>
              <w:rPr>
                <w:rFonts w:ascii="宋体" w:hAnsi="宋体" w:cs="宋体"/>
                <w:b/>
                <w:bCs/>
                <w:kern w:val="0"/>
                <w:sz w:val="32"/>
                <w:szCs w:val="32"/>
                <w:u w:val="single"/>
              </w:rPr>
            </w:pPr>
          </w:p>
          <w:p>
            <w:pPr>
              <w:widowControl/>
              <w:rPr>
                <w:rFonts w:ascii="宋体" w:hAnsi="宋体" w:cs="宋体"/>
                <w:b/>
                <w:bCs/>
                <w:kern w:val="0"/>
                <w:sz w:val="32"/>
                <w:szCs w:val="32"/>
                <w:u w:val="single"/>
              </w:rPr>
            </w:pPr>
          </w:p>
          <w:p>
            <w:pPr>
              <w:widowControl/>
              <w:jc w:val="center"/>
              <w:rPr>
                <w:rFonts w:ascii="宋体" w:hAnsi="宋体" w:cs="宋体"/>
                <w:b/>
                <w:bCs/>
                <w:kern w:val="0"/>
                <w:sz w:val="32"/>
                <w:szCs w:val="32"/>
              </w:rPr>
            </w:pPr>
            <w:r>
              <w:rPr>
                <w:rFonts w:hint="eastAsia" w:ascii="宋体" w:hAnsi="宋体" w:cs="宋体"/>
                <w:b/>
                <w:bCs/>
                <w:kern w:val="0"/>
                <w:sz w:val="32"/>
                <w:szCs w:val="32"/>
                <w:u w:val="single"/>
              </w:rPr>
              <w:t>巴州地区</w:t>
            </w:r>
            <w:r>
              <w:rPr>
                <w:rFonts w:hint="eastAsia" w:ascii="宋体" w:hAnsi="宋体" w:cs="宋体"/>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科技兴农项目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巴州科技局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18.46万元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18.46万元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color w:val="000000"/>
                <w:kern w:val="0"/>
                <w:sz w:val="20"/>
                <w:szCs w:val="20"/>
              </w:rPr>
              <w:t>旨在推广成熟、高产、优质、高效、安全的农、林、牧、渔、农机、气象良种及综合应用技术，对农业增产、农业增效、农民增收有重大推动作用，加快农业科技成果转化，使自治州农牧业朝着优质、高效和可持续方向以展的科技项目，全年共安排6个项目，20万元资金。　</w:t>
            </w:r>
          </w:p>
        </w:tc>
        <w:tc>
          <w:tcPr>
            <w:tcW w:w="3840" w:type="dxa"/>
            <w:gridSpan w:val="2"/>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cs="宋体"/>
                <w:kern w:val="0"/>
                <w:sz w:val="20"/>
                <w:szCs w:val="20"/>
              </w:rPr>
            </w:pPr>
            <w:r>
              <w:rPr>
                <w:rFonts w:hint="eastAsia" w:ascii="宋体" w:hAnsi="宋体" w:cs="宋体"/>
                <w:color w:val="000000"/>
                <w:kern w:val="0"/>
                <w:sz w:val="20"/>
                <w:szCs w:val="20"/>
              </w:rPr>
              <w:t>此项工作加快了农业科技成果转化，使自治州农牧业朝着优质、高效和可持续方向以展，全年共安排6个项目，18.46万元资金。　　</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每年安排科技项目</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≥6个</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6个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举办相关技术培训班</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≥13场次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13场次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培训技术骨干</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149人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科技兴农项目经费保障率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2018年12月31日前</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2018年12月31日前</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color w:val="000000"/>
                <w:kern w:val="0"/>
                <w:sz w:val="20"/>
                <w:szCs w:val="20"/>
              </w:rPr>
              <w:t>科技兴农项目经费</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农牧业现代化</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得到推进</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得到推进</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广大群众满意度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20"/>
                <w:szCs w:val="20"/>
              </w:rPr>
              <w:t>≥90%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w:t>
            </w:r>
          </w:p>
        </w:tc>
      </w:tr>
    </w:tbl>
    <w:p>
      <w:pPr>
        <w:spacing w:line="540" w:lineRule="exact"/>
        <w:rPr>
          <w:rStyle w:val="21"/>
          <w:rFonts w:ascii="仿宋" w:hAnsi="仿宋" w:eastAsia="仿宋"/>
          <w:b w:val="0"/>
          <w:color w:val="C0504D" w:themeColor="accent2"/>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F61EC7-0A2E-4EAD-A093-DAF5D7DC53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94B4825-3092-4909-96B0-A802D3016AA6}"/>
  </w:font>
  <w:font w:name="Cambria">
    <w:panose1 w:val="02040503050406030204"/>
    <w:charset w:val="00"/>
    <w:family w:val="roman"/>
    <w:pitch w:val="default"/>
    <w:sig w:usb0="E00006FF" w:usb1="420024FF" w:usb2="0200000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embedRegular r:id="rId3" w:fontKey="{FFBC3C12-11AE-410F-923D-F49F1D6A3B07}"/>
  </w:font>
  <w:font w:name="华文中宋">
    <w:panose1 w:val="02010600040101010101"/>
    <w:charset w:val="86"/>
    <w:family w:val="auto"/>
    <w:pitch w:val="default"/>
    <w:sig w:usb0="00000287" w:usb1="080F0000" w:usb2="00000000" w:usb3="00000000" w:csb0="0004009F" w:csb1="DFD70000"/>
    <w:embedRegular r:id="rId4" w:fontKey="{CB2FEF1A-73FE-4A91-A97E-429F4DD9766A}"/>
  </w:font>
  <w:font w:name="方正小标宋_GBK">
    <w:panose1 w:val="02000000000000000000"/>
    <w:charset w:val="86"/>
    <w:family w:val="script"/>
    <w:pitch w:val="default"/>
    <w:sig w:usb0="A00002BF" w:usb1="38CF7CFA" w:usb2="00082016" w:usb3="00000000" w:csb0="00040001" w:csb1="00000000"/>
    <w:embedRegular r:id="rId5" w:fontKey="{D5FE568B-E708-4D1E-A87B-161075AF31DE}"/>
  </w:font>
  <w:font w:name="仿宋_GB2312">
    <w:altName w:val="仿宋"/>
    <w:panose1 w:val="02010609030101010101"/>
    <w:charset w:val="86"/>
    <w:family w:val="modern"/>
    <w:pitch w:val="default"/>
    <w:sig w:usb0="00000000" w:usb1="00000000" w:usb2="00000010" w:usb3="00000000" w:csb0="00040000" w:csb1="00000000"/>
    <w:embedRegular r:id="rId6" w:fontKey="{01B6687E-D6C0-4D7B-8BDC-DC9478A30538}"/>
  </w:font>
  <w:font w:name="楷体">
    <w:panose1 w:val="02010609060101010101"/>
    <w:charset w:val="86"/>
    <w:family w:val="modern"/>
    <w:pitch w:val="default"/>
    <w:sig w:usb0="800002BF" w:usb1="38CF7CFA" w:usb2="00000016" w:usb3="00000000" w:csb0="00040001" w:csb1="00000000"/>
    <w:embedRegular r:id="rId7" w:fontKey="{54C65E8C-D400-4383-B5AC-0709E7A255FC}"/>
  </w:font>
  <w:font w:name="楷体_GB2312">
    <w:altName w:val="楷体"/>
    <w:panose1 w:val="02010609030101010101"/>
    <w:charset w:val="86"/>
    <w:family w:val="modern"/>
    <w:pitch w:val="default"/>
    <w:sig w:usb0="00000000" w:usb1="00000000" w:usb2="00000010" w:usb3="00000000" w:csb0="00040000" w:csb1="00000000"/>
    <w:embedRegular r:id="rId8" w:fontKey="{2B32A919-D257-437D-A0CB-B3B791C2AE7F}"/>
  </w:font>
  <w:font w:name="方正仿宋_GBK">
    <w:panose1 w:val="02000000000000000000"/>
    <w:charset w:val="86"/>
    <w:family w:val="script"/>
    <w:pitch w:val="default"/>
    <w:sig w:usb0="A00002BF" w:usb1="38CF7CFA" w:usb2="00082016" w:usb3="00000000" w:csb0="00040001" w:csb1="00000000"/>
    <w:embedRegular r:id="rId9" w:fontKey="{B2BC49FA-3AC9-4242-A66C-F4E40410AF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1</w:t>
    </w:r>
    <w:r>
      <w:rPr>
        <w:lang w:val="zh-CN"/>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CF32B8"/>
    <w:multiLevelType w:val="singleLevel"/>
    <w:tmpl w:val="6DCF32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333D0"/>
    <w:rsid w:val="00056465"/>
    <w:rsid w:val="001038E6"/>
    <w:rsid w:val="00121AE4"/>
    <w:rsid w:val="00146AAD"/>
    <w:rsid w:val="00155018"/>
    <w:rsid w:val="001B3A40"/>
    <w:rsid w:val="001C66C5"/>
    <w:rsid w:val="001F02E9"/>
    <w:rsid w:val="00237B4A"/>
    <w:rsid w:val="002574E5"/>
    <w:rsid w:val="00283E0B"/>
    <w:rsid w:val="002D32E4"/>
    <w:rsid w:val="003535F5"/>
    <w:rsid w:val="00366DC6"/>
    <w:rsid w:val="003908B7"/>
    <w:rsid w:val="00390DA8"/>
    <w:rsid w:val="003D6C0C"/>
    <w:rsid w:val="00405455"/>
    <w:rsid w:val="004124C5"/>
    <w:rsid w:val="00434943"/>
    <w:rsid w:val="004366A8"/>
    <w:rsid w:val="00464615"/>
    <w:rsid w:val="004A5A0D"/>
    <w:rsid w:val="00502BA7"/>
    <w:rsid w:val="0051508A"/>
    <w:rsid w:val="005162F1"/>
    <w:rsid w:val="00535153"/>
    <w:rsid w:val="00554F82"/>
    <w:rsid w:val="0056390D"/>
    <w:rsid w:val="005719B0"/>
    <w:rsid w:val="005D10D6"/>
    <w:rsid w:val="00625E01"/>
    <w:rsid w:val="006543A7"/>
    <w:rsid w:val="00676EFE"/>
    <w:rsid w:val="00677AC8"/>
    <w:rsid w:val="006C12D2"/>
    <w:rsid w:val="006C13B4"/>
    <w:rsid w:val="006E6BB4"/>
    <w:rsid w:val="00737BEE"/>
    <w:rsid w:val="00855E3A"/>
    <w:rsid w:val="0087536D"/>
    <w:rsid w:val="008C656C"/>
    <w:rsid w:val="008D7D1D"/>
    <w:rsid w:val="00922CB9"/>
    <w:rsid w:val="009E5CD9"/>
    <w:rsid w:val="00A03FC2"/>
    <w:rsid w:val="00A26421"/>
    <w:rsid w:val="00A4293B"/>
    <w:rsid w:val="00A67D50"/>
    <w:rsid w:val="00A8691A"/>
    <w:rsid w:val="00AB6767"/>
    <w:rsid w:val="00AC1946"/>
    <w:rsid w:val="00B36898"/>
    <w:rsid w:val="00B40063"/>
    <w:rsid w:val="00B41F61"/>
    <w:rsid w:val="00B43B0F"/>
    <w:rsid w:val="00BA46E6"/>
    <w:rsid w:val="00C01964"/>
    <w:rsid w:val="00C56C72"/>
    <w:rsid w:val="00C62F57"/>
    <w:rsid w:val="00C75C3E"/>
    <w:rsid w:val="00C931E7"/>
    <w:rsid w:val="00C95B1F"/>
    <w:rsid w:val="00CA0E9C"/>
    <w:rsid w:val="00CA377B"/>
    <w:rsid w:val="00CA6457"/>
    <w:rsid w:val="00CA65AB"/>
    <w:rsid w:val="00CC4DD0"/>
    <w:rsid w:val="00D17F2E"/>
    <w:rsid w:val="00D30354"/>
    <w:rsid w:val="00D314CA"/>
    <w:rsid w:val="00D75E6D"/>
    <w:rsid w:val="00DA7439"/>
    <w:rsid w:val="00DD76C6"/>
    <w:rsid w:val="00DE094B"/>
    <w:rsid w:val="00DF42A0"/>
    <w:rsid w:val="00DF45B3"/>
    <w:rsid w:val="00E06CB6"/>
    <w:rsid w:val="00E769FE"/>
    <w:rsid w:val="00EA2CBE"/>
    <w:rsid w:val="00EE04C7"/>
    <w:rsid w:val="00EF07F0"/>
    <w:rsid w:val="00F32FEE"/>
    <w:rsid w:val="00F97415"/>
    <w:rsid w:val="00FB10BB"/>
    <w:rsid w:val="00FB19F5"/>
    <w:rsid w:val="00FC4D82"/>
    <w:rsid w:val="03E33203"/>
    <w:rsid w:val="05907700"/>
    <w:rsid w:val="150D0003"/>
    <w:rsid w:val="28C44D40"/>
    <w:rsid w:val="32AE3986"/>
    <w:rsid w:val="340112D5"/>
    <w:rsid w:val="34153D51"/>
    <w:rsid w:val="3EC76377"/>
    <w:rsid w:val="4ADE2F1B"/>
    <w:rsid w:val="509220E2"/>
    <w:rsid w:val="5DAF27D6"/>
    <w:rsid w:val="5E38567A"/>
    <w:rsid w:val="60812ECC"/>
    <w:rsid w:val="675B2FED"/>
    <w:rsid w:val="73741BF8"/>
    <w:rsid w:val="77413C3F"/>
    <w:rsid w:val="799C0B02"/>
    <w:rsid w:val="7CCA2E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qFormat="1"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4"/>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5"/>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6"/>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7"/>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8"/>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9"/>
    <w:qFormat/>
    <w:uiPriority w:val="99"/>
    <w:pPr>
      <w:widowControl/>
      <w:spacing w:before="240" w:after="60"/>
      <w:jc w:val="left"/>
      <w:outlineLvl w:val="6"/>
    </w:pPr>
    <w:rPr>
      <w:rFonts w:ascii="Calibri" w:hAnsi="Calibri"/>
      <w:kern w:val="0"/>
      <w:sz w:val="24"/>
    </w:rPr>
  </w:style>
  <w:style w:type="paragraph" w:styleId="9">
    <w:name w:val="heading 8"/>
    <w:basedOn w:val="1"/>
    <w:next w:val="1"/>
    <w:link w:val="30"/>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1"/>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unhideWhenUsed/>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11">
    <w:name w:val="Document Map"/>
    <w:basedOn w:val="1"/>
    <w:link w:val="50"/>
    <w:semiHidden/>
    <w:qFormat/>
    <w:uiPriority w:val="99"/>
    <w:pPr>
      <w:shd w:val="clear" w:color="auto" w:fill="000080"/>
    </w:pPr>
  </w:style>
  <w:style w:type="paragraph" w:styleId="12">
    <w:name w:val="Body Text Indent"/>
    <w:basedOn w:val="1"/>
    <w:qFormat/>
    <w:locked/>
    <w:uiPriority w:val="99"/>
    <w:pPr>
      <w:ind w:firstLine="600" w:firstLineChars="200"/>
    </w:pPr>
    <w:rPr>
      <w:rFonts w:ascii="??_GB2312" w:hAnsi="宋体" w:eastAsia="Times New Roman"/>
      <w:sz w:val="30"/>
      <w:szCs w:val="28"/>
    </w:rPr>
  </w:style>
  <w:style w:type="paragraph" w:styleId="13">
    <w:name w:val="Balloon Text"/>
    <w:basedOn w:val="1"/>
    <w:link w:val="48"/>
    <w:semiHidden/>
    <w:qFormat/>
    <w:uiPriority w:val="99"/>
    <w:rPr>
      <w:sz w:val="18"/>
      <w:szCs w:val="18"/>
    </w:rPr>
  </w:style>
  <w:style w:type="paragraph" w:styleId="14">
    <w:name w:val="footer"/>
    <w:basedOn w:val="1"/>
    <w:link w:val="47"/>
    <w:uiPriority w:val="99"/>
    <w:pPr>
      <w:tabs>
        <w:tab w:val="center" w:pos="4153"/>
        <w:tab w:val="right" w:pos="8306"/>
      </w:tabs>
      <w:snapToGrid w:val="0"/>
      <w:jc w:val="left"/>
    </w:pPr>
    <w:rPr>
      <w:rFonts w:ascii="Calibri" w:hAnsi="Calibri"/>
      <w:sz w:val="18"/>
      <w:szCs w:val="18"/>
    </w:rPr>
  </w:style>
  <w:style w:type="paragraph" w:styleId="15">
    <w:name w:val="header"/>
    <w:basedOn w:val="1"/>
    <w:link w:val="46"/>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99"/>
    <w:pPr>
      <w:widowControl/>
      <w:spacing w:after="60"/>
      <w:jc w:val="center"/>
      <w:outlineLvl w:val="1"/>
    </w:pPr>
    <w:rPr>
      <w:rFonts w:ascii="Cambria" w:hAnsi="Cambria"/>
      <w:kern w:val="0"/>
      <w:sz w:val="24"/>
    </w:rPr>
  </w:style>
  <w:style w:type="paragraph" w:styleId="17">
    <w:name w:val="Normal (Web)"/>
    <w:basedOn w:val="1"/>
    <w:unhideWhenUsed/>
    <w:qFormat/>
    <w:locked/>
    <w:uiPriority w:val="99"/>
    <w:rPr>
      <w:sz w:val="24"/>
    </w:rPr>
  </w:style>
  <w:style w:type="paragraph" w:styleId="18">
    <w:name w:val="Title"/>
    <w:basedOn w:val="1"/>
    <w:next w:val="1"/>
    <w:link w:val="32"/>
    <w:qFormat/>
    <w:uiPriority w:val="99"/>
    <w:pPr>
      <w:widowControl/>
      <w:spacing w:before="240" w:after="60"/>
      <w:jc w:val="center"/>
      <w:outlineLvl w:val="0"/>
    </w:pPr>
    <w:rPr>
      <w:rFonts w:ascii="Cambria" w:hAnsi="Cambria"/>
      <w:b/>
      <w:bCs/>
      <w:kern w:val="28"/>
      <w:sz w:val="32"/>
      <w:szCs w:val="32"/>
    </w:rPr>
  </w:style>
  <w:style w:type="character" w:styleId="21">
    <w:name w:val="Strong"/>
    <w:basedOn w:val="20"/>
    <w:qFormat/>
    <w:uiPriority w:val="99"/>
    <w:rPr>
      <w:rFonts w:cs="Times New Roman"/>
      <w:b/>
      <w:bCs/>
    </w:rPr>
  </w:style>
  <w:style w:type="character" w:styleId="22">
    <w:name w:val="Emphasis"/>
    <w:basedOn w:val="20"/>
    <w:qFormat/>
    <w:uiPriority w:val="99"/>
    <w:rPr>
      <w:rFonts w:ascii="Calibri" w:hAnsi="Calibri" w:cs="Times New Roman"/>
      <w:b/>
      <w:i/>
      <w:iCs/>
    </w:rPr>
  </w:style>
  <w:style w:type="character" w:customStyle="1" w:styleId="23">
    <w:name w:val="标题 1 Char"/>
    <w:basedOn w:val="20"/>
    <w:link w:val="2"/>
    <w:qFormat/>
    <w:locked/>
    <w:uiPriority w:val="99"/>
    <w:rPr>
      <w:rFonts w:ascii="Cambria" w:hAnsi="Cambria" w:eastAsia="宋体" w:cs="Times New Roman"/>
      <w:b/>
      <w:bCs/>
      <w:kern w:val="32"/>
      <w:sz w:val="32"/>
      <w:szCs w:val="32"/>
    </w:rPr>
  </w:style>
  <w:style w:type="character" w:customStyle="1" w:styleId="24">
    <w:name w:val="标题 2 Char"/>
    <w:basedOn w:val="20"/>
    <w:link w:val="3"/>
    <w:semiHidden/>
    <w:qFormat/>
    <w:locked/>
    <w:uiPriority w:val="99"/>
    <w:rPr>
      <w:rFonts w:ascii="Cambria" w:hAnsi="Cambria" w:eastAsia="宋体" w:cs="Times New Roman"/>
      <w:b/>
      <w:bCs/>
      <w:i/>
      <w:iCs/>
      <w:sz w:val="28"/>
      <w:szCs w:val="28"/>
    </w:rPr>
  </w:style>
  <w:style w:type="character" w:customStyle="1" w:styleId="25">
    <w:name w:val="标题 3 Char"/>
    <w:basedOn w:val="20"/>
    <w:link w:val="4"/>
    <w:semiHidden/>
    <w:qFormat/>
    <w:locked/>
    <w:uiPriority w:val="99"/>
    <w:rPr>
      <w:rFonts w:ascii="Cambria" w:hAnsi="Cambria" w:eastAsia="宋体" w:cs="Times New Roman"/>
      <w:b/>
      <w:bCs/>
      <w:sz w:val="26"/>
      <w:szCs w:val="26"/>
    </w:rPr>
  </w:style>
  <w:style w:type="character" w:customStyle="1" w:styleId="26">
    <w:name w:val="标题 4 Char"/>
    <w:basedOn w:val="20"/>
    <w:link w:val="5"/>
    <w:semiHidden/>
    <w:qFormat/>
    <w:locked/>
    <w:uiPriority w:val="99"/>
    <w:rPr>
      <w:rFonts w:cs="Times New Roman"/>
      <w:b/>
      <w:bCs/>
      <w:sz w:val="28"/>
      <w:szCs w:val="28"/>
    </w:rPr>
  </w:style>
  <w:style w:type="character" w:customStyle="1" w:styleId="27">
    <w:name w:val="标题 5 Char"/>
    <w:basedOn w:val="20"/>
    <w:link w:val="6"/>
    <w:semiHidden/>
    <w:qFormat/>
    <w:locked/>
    <w:uiPriority w:val="99"/>
    <w:rPr>
      <w:rFonts w:cs="Times New Roman"/>
      <w:b/>
      <w:bCs/>
      <w:i/>
      <w:iCs/>
      <w:sz w:val="26"/>
      <w:szCs w:val="26"/>
    </w:rPr>
  </w:style>
  <w:style w:type="character" w:customStyle="1" w:styleId="28">
    <w:name w:val="标题 6 Char"/>
    <w:basedOn w:val="20"/>
    <w:link w:val="7"/>
    <w:semiHidden/>
    <w:qFormat/>
    <w:locked/>
    <w:uiPriority w:val="99"/>
    <w:rPr>
      <w:rFonts w:cs="Times New Roman"/>
      <w:b/>
      <w:bCs/>
    </w:rPr>
  </w:style>
  <w:style w:type="character" w:customStyle="1" w:styleId="29">
    <w:name w:val="标题 7 Char"/>
    <w:basedOn w:val="20"/>
    <w:link w:val="8"/>
    <w:semiHidden/>
    <w:qFormat/>
    <w:locked/>
    <w:uiPriority w:val="99"/>
    <w:rPr>
      <w:rFonts w:cs="Times New Roman"/>
      <w:sz w:val="24"/>
      <w:szCs w:val="24"/>
    </w:rPr>
  </w:style>
  <w:style w:type="character" w:customStyle="1" w:styleId="30">
    <w:name w:val="标题 8 Char"/>
    <w:basedOn w:val="20"/>
    <w:link w:val="9"/>
    <w:semiHidden/>
    <w:qFormat/>
    <w:locked/>
    <w:uiPriority w:val="99"/>
    <w:rPr>
      <w:rFonts w:cs="Times New Roman"/>
      <w:i/>
      <w:iCs/>
      <w:sz w:val="24"/>
      <w:szCs w:val="24"/>
    </w:rPr>
  </w:style>
  <w:style w:type="character" w:customStyle="1" w:styleId="31">
    <w:name w:val="标题 9 Char"/>
    <w:basedOn w:val="20"/>
    <w:link w:val="10"/>
    <w:semiHidden/>
    <w:qFormat/>
    <w:locked/>
    <w:uiPriority w:val="99"/>
    <w:rPr>
      <w:rFonts w:ascii="Cambria" w:hAnsi="Cambria" w:eastAsia="宋体" w:cs="Times New Roman"/>
    </w:rPr>
  </w:style>
  <w:style w:type="character" w:customStyle="1" w:styleId="32">
    <w:name w:val="标题 Char"/>
    <w:basedOn w:val="20"/>
    <w:link w:val="18"/>
    <w:qFormat/>
    <w:locked/>
    <w:uiPriority w:val="99"/>
    <w:rPr>
      <w:rFonts w:ascii="Cambria" w:hAnsi="Cambria" w:eastAsia="宋体" w:cs="Times New Roman"/>
      <w:b/>
      <w:bCs/>
      <w:kern w:val="28"/>
      <w:sz w:val="32"/>
      <w:szCs w:val="32"/>
    </w:rPr>
  </w:style>
  <w:style w:type="character" w:customStyle="1" w:styleId="33">
    <w:name w:val="副标题 Char"/>
    <w:basedOn w:val="20"/>
    <w:link w:val="16"/>
    <w:qFormat/>
    <w:locked/>
    <w:uiPriority w:val="99"/>
    <w:rPr>
      <w:rFonts w:ascii="Cambria" w:hAnsi="Cambria" w:eastAsia="宋体" w:cs="Times New Roman"/>
      <w:sz w:val="24"/>
      <w:szCs w:val="24"/>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引用 Char"/>
    <w:basedOn w:val="20"/>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20"/>
    <w:link w:val="38"/>
    <w:qFormat/>
    <w:locked/>
    <w:uiPriority w:val="99"/>
    <w:rPr>
      <w:rFonts w:cs="Times New Roman"/>
      <w:b/>
      <w:i/>
      <w:sz w:val="24"/>
    </w:rPr>
  </w:style>
  <w:style w:type="character" w:customStyle="1" w:styleId="40">
    <w:name w:val="不明显强调1"/>
    <w:basedOn w:val="20"/>
    <w:qFormat/>
    <w:uiPriority w:val="99"/>
    <w:rPr>
      <w:rFonts w:cs="Times New Roman"/>
      <w:i/>
      <w:color w:val="5A5A5A"/>
    </w:rPr>
  </w:style>
  <w:style w:type="character" w:customStyle="1" w:styleId="41">
    <w:name w:val="明显强调1"/>
    <w:basedOn w:val="20"/>
    <w:qFormat/>
    <w:uiPriority w:val="99"/>
    <w:rPr>
      <w:rFonts w:cs="Times New Roman"/>
      <w:b/>
      <w:i/>
      <w:sz w:val="24"/>
      <w:szCs w:val="24"/>
      <w:u w:val="single"/>
    </w:rPr>
  </w:style>
  <w:style w:type="character" w:customStyle="1" w:styleId="42">
    <w:name w:val="不明显参考1"/>
    <w:basedOn w:val="20"/>
    <w:qFormat/>
    <w:uiPriority w:val="99"/>
    <w:rPr>
      <w:rFonts w:cs="Times New Roman"/>
      <w:sz w:val="24"/>
      <w:szCs w:val="24"/>
      <w:u w:val="single"/>
    </w:rPr>
  </w:style>
  <w:style w:type="character" w:customStyle="1" w:styleId="43">
    <w:name w:val="明显参考1"/>
    <w:basedOn w:val="20"/>
    <w:qFormat/>
    <w:uiPriority w:val="99"/>
    <w:rPr>
      <w:rFonts w:cs="Times New Roman"/>
      <w:b/>
      <w:sz w:val="24"/>
      <w:u w:val="single"/>
    </w:rPr>
  </w:style>
  <w:style w:type="character" w:customStyle="1" w:styleId="44">
    <w:name w:val="书籍标题1"/>
    <w:basedOn w:val="20"/>
    <w:qFormat/>
    <w:uiPriority w:val="99"/>
    <w:rPr>
      <w:rFonts w:ascii="Cambria" w:hAnsi="Cambria" w:eastAsia="宋体" w:cs="Times New Roman"/>
      <w:b/>
      <w:i/>
      <w:sz w:val="24"/>
      <w:szCs w:val="24"/>
    </w:rPr>
  </w:style>
  <w:style w:type="paragraph" w:customStyle="1" w:styleId="45">
    <w:name w:val="TOC 标题1"/>
    <w:basedOn w:val="2"/>
    <w:next w:val="1"/>
    <w:qFormat/>
    <w:uiPriority w:val="99"/>
    <w:pPr>
      <w:outlineLvl w:val="9"/>
    </w:pPr>
    <w:rPr>
      <w:lang w:eastAsia="en-US"/>
    </w:rPr>
  </w:style>
  <w:style w:type="character" w:customStyle="1" w:styleId="46">
    <w:name w:val="页眉 Char"/>
    <w:basedOn w:val="20"/>
    <w:link w:val="15"/>
    <w:qFormat/>
    <w:locked/>
    <w:uiPriority w:val="99"/>
    <w:rPr>
      <w:rFonts w:ascii="Calibri" w:hAnsi="Calibri" w:eastAsia="宋体" w:cs="Times New Roman"/>
      <w:kern w:val="2"/>
      <w:sz w:val="18"/>
      <w:szCs w:val="18"/>
    </w:rPr>
  </w:style>
  <w:style w:type="character" w:customStyle="1" w:styleId="47">
    <w:name w:val="页脚 Char"/>
    <w:basedOn w:val="20"/>
    <w:link w:val="14"/>
    <w:qFormat/>
    <w:locked/>
    <w:uiPriority w:val="99"/>
    <w:rPr>
      <w:rFonts w:ascii="Calibri" w:hAnsi="Calibri" w:eastAsia="宋体" w:cs="Times New Roman"/>
      <w:kern w:val="2"/>
      <w:sz w:val="18"/>
      <w:szCs w:val="18"/>
    </w:rPr>
  </w:style>
  <w:style w:type="character" w:customStyle="1" w:styleId="48">
    <w:name w:val="批注框文本 Char"/>
    <w:basedOn w:val="20"/>
    <w:link w:val="13"/>
    <w:semiHidden/>
    <w:qFormat/>
    <w:locked/>
    <w:uiPriority w:val="99"/>
    <w:rPr>
      <w:rFonts w:ascii="Times New Roman" w:hAnsi="Times New Roman" w:eastAsia="宋体" w:cs="Times New Roman"/>
      <w:kern w:val="2"/>
      <w:sz w:val="18"/>
      <w:szCs w:val="18"/>
    </w:rPr>
  </w:style>
  <w:style w:type="paragraph" w:customStyle="1" w:styleId="49">
    <w:name w:val="Char Char1 Char Char Char Char Char1 Char Char Char Char"/>
    <w:basedOn w:val="11"/>
    <w:qFormat/>
    <w:uiPriority w:val="99"/>
  </w:style>
  <w:style w:type="character" w:customStyle="1" w:styleId="50">
    <w:name w:val="文档结构图 Char"/>
    <w:basedOn w:val="20"/>
    <w:link w:val="11"/>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721</Words>
  <Characters>4113</Characters>
  <Lines>34</Lines>
  <Paragraphs>9</Paragraphs>
  <TotalTime>15</TotalTime>
  <ScaleCrop>false</ScaleCrop>
  <LinksUpToDate>false</LinksUpToDate>
  <CharactersWithSpaces>4825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2019-01-23T07:48:00Z</dcterms:created>
  <dc:creator>赵 恺（预算处）</dc:creator>
  <cp:lastModifiedBy>Qxb</cp:lastModifiedBy>
  <cp:lastPrinted>2018-12-31T10:56:00Z</cp:lastPrinted>
  <dcterms:modified xsi:type="dcterms:W3CDTF">2023-12-18T09:35:42Z</dcterms:modified>
  <dc:title>附件2：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455264974D7D4B5F803E9AC529F46743_12</vt:lpwstr>
  </property>
</Properties>
</file>