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color w:val="000000" w:themeColor="text1"/>
          <w:kern w:val="2"/>
          <w:sz w:val="28"/>
          <w:szCs w:val="28"/>
          <w:lang w:val="en-US" w:eastAsia="zh-CN" w:bidi="ar-SA"/>
          <w14:textFill>
            <w14:solidFill>
              <w14:schemeClr w14:val="tx1"/>
            </w14:solidFill>
          </w14:textFill>
        </w:rPr>
        <w:id w:val="147462861"/>
        <w15:color w:val="DBDBDB"/>
        <w:docPartObj>
          <w:docPartGallery w:val="Table of Contents"/>
          <w:docPartUnique/>
        </w:docPartObj>
      </w:sdtPr>
      <w:sdtEndPr>
        <w:rPr>
          <w:rFonts w:hint="default" w:ascii="Times New Roman" w:hAnsi="Times New Roman" w:eastAsia="黑体" w:cs="Times New Roman"/>
          <w:b/>
          <w:bCs/>
          <w:color w:val="000000" w:themeColor="text1"/>
          <w:kern w:val="44"/>
          <w:sz w:val="30"/>
          <w:szCs w:val="30"/>
          <w:lang w:val="en-US" w:eastAsia="zh-CN" w:bidi="ar-SA"/>
          <w14:textFill>
            <w14:solidFill>
              <w14:schemeClr w14:val="tx1"/>
            </w14:solidFill>
          </w14:textFill>
        </w:rPr>
      </w:sdtEndPr>
      <w:sdtContent>
        <w:p w14:paraId="76D2652F">
          <w:pPr>
            <w:spacing w:before="0" w:beforeLines="0" w:after="0" w:afterLines="0" w:line="240" w:lineRule="auto"/>
            <w:ind w:left="0" w:leftChars="0" w:right="0" w:rightChars="0" w:firstLine="0" w:firstLineChars="0"/>
            <w:jc w:val="center"/>
            <w:rPr>
              <w:b/>
              <w:bCs/>
              <w:color w:val="000000" w:themeColor="text1"/>
              <w:sz w:val="28"/>
              <w:szCs w:val="28"/>
              <w14:textFill>
                <w14:solidFill>
                  <w14:schemeClr w14:val="tx1"/>
                </w14:solidFill>
              </w14:textFill>
            </w:rPr>
          </w:pPr>
          <w:r>
            <w:rPr>
              <w:rFonts w:ascii="宋体" w:hAnsi="宋体" w:eastAsia="宋体"/>
              <w:b/>
              <w:bCs/>
              <w:color w:val="000000" w:themeColor="text1"/>
              <w:sz w:val="28"/>
              <w:szCs w:val="28"/>
              <w14:textFill>
                <w14:solidFill>
                  <w14:schemeClr w14:val="tx1"/>
                </w14:solidFill>
              </w14:textFill>
            </w:rPr>
            <w:t>目录</w:t>
          </w:r>
        </w:p>
        <w:p w14:paraId="7E2D1DC5">
          <w:pPr>
            <w:pStyle w:val="18"/>
            <w:keepLines w:val="0"/>
            <w:pageBreakBefore w:val="0"/>
            <w:widowControl w:val="0"/>
            <w:tabs>
              <w:tab w:val="right" w:leader="dot" w:pos="8306"/>
            </w:tabs>
            <w:kinsoku/>
            <w:wordWrap/>
            <w:topLinePunct w:val="0"/>
            <w:autoSpaceDE/>
            <w:autoSpaceDN/>
            <w:bidi w:val="0"/>
            <w:adjustRightInd/>
            <w:snapToGrid w:val="0"/>
            <w:ind w:firstLine="0" w:firstLineChars="0"/>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TOC \o "1-1" \h \u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HYPERLINK \l _Toc26096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sz w:val="24"/>
              <w:szCs w:val="24"/>
              <w14:textFill>
                <w14:solidFill>
                  <w14:schemeClr w14:val="tx1"/>
                </w14:solidFill>
              </w14:textFill>
            </w:rPr>
            <w:t>一、建设项目基本情况</w:t>
          </w:r>
          <w:r>
            <w:rPr>
              <w:rFonts w:hint="default" w:ascii="Times New Roman" w:hAnsi="Times New Roman" w:eastAsia="宋体" w:cs="Times New Roman"/>
              <w:b w:val="0"/>
              <w:bCs/>
              <w:color w:val="000000" w:themeColor="text1"/>
              <w:sz w:val="24"/>
              <w:szCs w:val="24"/>
              <w14:textFill>
                <w14:solidFill>
                  <w14:schemeClr w14:val="tx1"/>
                </w14:solidFill>
              </w14:textFill>
            </w:rPr>
            <w:tab/>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PAGEREF _Toc26096 \h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t>1</w: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14:paraId="7FF8AC3A">
          <w:pPr>
            <w:pStyle w:val="18"/>
            <w:keepLines w:val="0"/>
            <w:pageBreakBefore w:val="0"/>
            <w:widowControl w:val="0"/>
            <w:tabs>
              <w:tab w:val="right" w:leader="dot" w:pos="8306"/>
            </w:tabs>
            <w:kinsoku/>
            <w:wordWrap/>
            <w:topLinePunct w:val="0"/>
            <w:autoSpaceDE/>
            <w:autoSpaceDN/>
            <w:bidi w:val="0"/>
            <w:adjustRightInd/>
            <w:snapToGrid w:val="0"/>
            <w:ind w:firstLine="0" w:firstLineChars="0"/>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HYPERLINK \l _Toc21987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sz w:val="24"/>
              <w:szCs w:val="24"/>
              <w14:textFill>
                <w14:solidFill>
                  <w14:schemeClr w14:val="tx1"/>
                </w14:solidFill>
              </w14:textFill>
            </w:rPr>
            <w:t>二、建设项目工程分析</w:t>
          </w:r>
          <w:r>
            <w:rPr>
              <w:rFonts w:hint="default" w:ascii="Times New Roman" w:hAnsi="Times New Roman" w:eastAsia="宋体" w:cs="Times New Roman"/>
              <w:b w:val="0"/>
              <w:bCs/>
              <w:color w:val="000000" w:themeColor="text1"/>
              <w:sz w:val="24"/>
              <w:szCs w:val="24"/>
              <w14:textFill>
                <w14:solidFill>
                  <w14:schemeClr w14:val="tx1"/>
                </w14:solidFill>
              </w14:textFill>
            </w:rPr>
            <w:tab/>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PAGEREF _Toc21987 \h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t>17</w: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14:paraId="4D13C11E">
          <w:pPr>
            <w:pStyle w:val="18"/>
            <w:keepLines w:val="0"/>
            <w:pageBreakBefore w:val="0"/>
            <w:widowControl w:val="0"/>
            <w:tabs>
              <w:tab w:val="right" w:leader="dot" w:pos="8306"/>
            </w:tabs>
            <w:kinsoku/>
            <w:wordWrap/>
            <w:topLinePunct w:val="0"/>
            <w:autoSpaceDE/>
            <w:autoSpaceDN/>
            <w:bidi w:val="0"/>
            <w:adjustRightInd/>
            <w:snapToGrid w:val="0"/>
            <w:ind w:firstLine="0" w:firstLineChars="0"/>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HYPERLINK \l _Toc7898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sz w:val="24"/>
              <w:szCs w:val="24"/>
              <w14:textFill>
                <w14:solidFill>
                  <w14:schemeClr w14:val="tx1"/>
                </w14:solidFill>
              </w14:textFill>
            </w:rPr>
            <w:t>三、区域环境质量现状、环境保护目标及评价标准</w:t>
          </w:r>
          <w:r>
            <w:rPr>
              <w:rFonts w:hint="default" w:ascii="Times New Roman" w:hAnsi="Times New Roman" w:eastAsia="宋体" w:cs="Times New Roman"/>
              <w:b w:val="0"/>
              <w:bCs/>
              <w:color w:val="000000" w:themeColor="text1"/>
              <w:sz w:val="24"/>
              <w:szCs w:val="24"/>
              <w14:textFill>
                <w14:solidFill>
                  <w14:schemeClr w14:val="tx1"/>
                </w14:solidFill>
              </w14:textFill>
            </w:rPr>
            <w:tab/>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PAGEREF _Toc7898 \h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t>38</w: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14:paraId="6D465EA5">
          <w:pPr>
            <w:pStyle w:val="18"/>
            <w:keepLines w:val="0"/>
            <w:pageBreakBefore w:val="0"/>
            <w:widowControl w:val="0"/>
            <w:tabs>
              <w:tab w:val="right" w:leader="dot" w:pos="8306"/>
            </w:tabs>
            <w:kinsoku/>
            <w:wordWrap/>
            <w:topLinePunct w:val="0"/>
            <w:autoSpaceDE/>
            <w:autoSpaceDN/>
            <w:bidi w:val="0"/>
            <w:adjustRightInd/>
            <w:snapToGrid w:val="0"/>
            <w:ind w:firstLine="0" w:firstLineChars="0"/>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HYPERLINK \l _Toc16752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sz w:val="24"/>
              <w:szCs w:val="24"/>
              <w14:textFill>
                <w14:solidFill>
                  <w14:schemeClr w14:val="tx1"/>
                </w14:solidFill>
              </w14:textFill>
            </w:rPr>
            <w:t>四、主要环境影响和保护措施</w:t>
          </w:r>
          <w:r>
            <w:rPr>
              <w:rFonts w:hint="default" w:ascii="Times New Roman" w:hAnsi="Times New Roman" w:eastAsia="宋体" w:cs="Times New Roman"/>
              <w:b w:val="0"/>
              <w:bCs/>
              <w:color w:val="000000" w:themeColor="text1"/>
              <w:sz w:val="24"/>
              <w:szCs w:val="24"/>
              <w14:textFill>
                <w14:solidFill>
                  <w14:schemeClr w14:val="tx1"/>
                </w14:solidFill>
              </w14:textFill>
            </w:rPr>
            <w:tab/>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PAGEREF _Toc16752 \h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t>44</w: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14:paraId="5B8BA7D8">
          <w:pPr>
            <w:pStyle w:val="18"/>
            <w:keepLines w:val="0"/>
            <w:pageBreakBefore w:val="0"/>
            <w:widowControl w:val="0"/>
            <w:tabs>
              <w:tab w:val="right" w:leader="dot" w:pos="8306"/>
            </w:tabs>
            <w:kinsoku/>
            <w:wordWrap/>
            <w:topLinePunct w:val="0"/>
            <w:autoSpaceDE/>
            <w:autoSpaceDN/>
            <w:bidi w:val="0"/>
            <w:adjustRightInd/>
            <w:snapToGrid w:val="0"/>
            <w:ind w:firstLine="0" w:firstLineChars="0"/>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HYPERLINK \l _Toc18795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sz w:val="24"/>
              <w:szCs w:val="24"/>
              <w14:textFill>
                <w14:solidFill>
                  <w14:schemeClr w14:val="tx1"/>
                </w14:solidFill>
              </w14:textFill>
            </w:rPr>
            <w:t>五、环境保护措施监督检查清单</w:t>
          </w:r>
          <w:r>
            <w:rPr>
              <w:rFonts w:hint="default" w:ascii="Times New Roman" w:hAnsi="Times New Roman" w:eastAsia="宋体" w:cs="Times New Roman"/>
              <w:b w:val="0"/>
              <w:bCs/>
              <w:color w:val="000000" w:themeColor="text1"/>
              <w:sz w:val="24"/>
              <w:szCs w:val="24"/>
              <w14:textFill>
                <w14:solidFill>
                  <w14:schemeClr w14:val="tx1"/>
                </w14:solidFill>
              </w14:textFill>
            </w:rPr>
            <w:tab/>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PAGEREF _Toc18795 \h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t>74</w: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14:paraId="3ED7BFA9">
          <w:pPr>
            <w:pStyle w:val="18"/>
            <w:keepLines w:val="0"/>
            <w:pageBreakBefore w:val="0"/>
            <w:widowControl w:val="0"/>
            <w:tabs>
              <w:tab w:val="right" w:leader="dot" w:pos="8306"/>
            </w:tabs>
            <w:kinsoku/>
            <w:wordWrap/>
            <w:topLinePunct w:val="0"/>
            <w:autoSpaceDE/>
            <w:autoSpaceDN/>
            <w:bidi w:val="0"/>
            <w:adjustRightInd/>
            <w:snapToGrid w:val="0"/>
            <w:ind w:firstLine="0" w:firstLineChars="0"/>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HYPERLINK \l _Toc27063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sz w:val="24"/>
              <w:szCs w:val="24"/>
              <w14:textFill>
                <w14:solidFill>
                  <w14:schemeClr w14:val="tx1"/>
                </w14:solidFill>
              </w14:textFill>
            </w:rPr>
            <w:t>六、结论</w:t>
          </w:r>
          <w:r>
            <w:rPr>
              <w:rFonts w:hint="default" w:ascii="Times New Roman" w:hAnsi="Times New Roman" w:eastAsia="宋体" w:cs="Times New Roman"/>
              <w:b w:val="0"/>
              <w:bCs/>
              <w:color w:val="000000" w:themeColor="text1"/>
              <w:sz w:val="24"/>
              <w:szCs w:val="24"/>
              <w14:textFill>
                <w14:solidFill>
                  <w14:schemeClr w14:val="tx1"/>
                </w14:solidFill>
              </w14:textFill>
            </w:rPr>
            <w:tab/>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PAGEREF _Toc27063 \h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t>79</w: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14:paraId="5F239D3F">
          <w:pPr>
            <w:pStyle w:val="18"/>
            <w:keepLines w:val="0"/>
            <w:pageBreakBefore w:val="0"/>
            <w:widowControl w:val="0"/>
            <w:tabs>
              <w:tab w:val="right" w:leader="dot" w:pos="8306"/>
            </w:tabs>
            <w:kinsoku/>
            <w:wordWrap/>
            <w:topLinePunct w:val="0"/>
            <w:autoSpaceDE/>
            <w:autoSpaceDN/>
            <w:bidi w:val="0"/>
            <w:adjustRightInd/>
            <w:snapToGrid w:val="0"/>
            <w:ind w:firstLine="0" w:firstLineChars="0"/>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HYPERLINK \l _Toc2505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sz w:val="24"/>
              <w:szCs w:val="24"/>
              <w14:textFill>
                <w14:solidFill>
                  <w14:schemeClr w14:val="tx1"/>
                </w14:solidFill>
              </w14:textFill>
            </w:rPr>
            <w:t>附表</w:t>
          </w:r>
          <w:r>
            <w:rPr>
              <w:rFonts w:hint="default" w:ascii="Times New Roman" w:hAnsi="Times New Roman" w:eastAsia="宋体" w:cs="Times New Roman"/>
              <w:b w:val="0"/>
              <w:bCs/>
              <w:color w:val="000000" w:themeColor="text1"/>
              <w:sz w:val="24"/>
              <w:szCs w:val="24"/>
              <w14:textFill>
                <w14:solidFill>
                  <w14:schemeClr w14:val="tx1"/>
                </w14:solidFill>
              </w14:textFill>
            </w:rPr>
            <w:tab/>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PAGEREF _Toc2505 \h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t>80</w: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14:paraId="6B4690F7">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0" w:firstLineChars="0"/>
            <w:jc w:val="both"/>
            <w:textAlignment w:val="auto"/>
            <w:outlineLvl w:val="9"/>
            <w:rPr>
              <w:rFonts w:hint="default" w:ascii="Times New Roman" w:hAnsi="Times New Roman" w:eastAsia="黑体" w:cs="Times New Roman"/>
              <w:b/>
              <w:bCs/>
              <w:color w:val="000000" w:themeColor="text1"/>
              <w:kern w:val="44"/>
              <w:sz w:val="30"/>
              <w:szCs w:val="30"/>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sdtContent>
    </w:sdt>
    <w:p w14:paraId="1447AD85">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w:t>
      </w:r>
    </w:p>
    <w:p w14:paraId="11D0C504">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附图1地理位置示意图</w:t>
      </w:r>
    </w:p>
    <w:p w14:paraId="79A8E5F5">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附图2周边关系示意图</w:t>
      </w:r>
    </w:p>
    <w:p w14:paraId="722377E1">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附图3环保目标评价范围示意图</w:t>
      </w:r>
    </w:p>
    <w:p w14:paraId="1B6D0409">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附图4引用现状监测点位示意图</w:t>
      </w:r>
    </w:p>
    <w:p w14:paraId="4523B738">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附图5平面布置图1-3层</w:t>
      </w:r>
    </w:p>
    <w:p w14:paraId="2AFE49B9">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附图6分区防渗示意图</w:t>
      </w:r>
    </w:p>
    <w:p w14:paraId="4B0F76F3">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附图7巴州三线一单管控单元图</w:t>
      </w:r>
    </w:p>
    <w:p w14:paraId="6F2153A9">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附图8项目区与开发区规划示意图</w:t>
      </w:r>
    </w:p>
    <w:p w14:paraId="32F2DCF0">
      <w:pPr>
        <w:rPr>
          <w:rFonts w:hint="default"/>
          <w:color w:val="000000" w:themeColor="text1"/>
          <w:lang w:val="en-US" w:eastAsia="zh-CN"/>
          <w14:textFill>
            <w14:solidFill>
              <w14:schemeClr w14:val="tx1"/>
            </w14:solidFill>
          </w14:textFill>
        </w:rPr>
      </w:pPr>
    </w:p>
    <w:p w14:paraId="12C3ACC8">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w:t>
      </w:r>
    </w:p>
    <w:p w14:paraId="2996EFE3">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附件1营业执照与法人身份证</w:t>
      </w:r>
    </w:p>
    <w:p w14:paraId="319EC7E8">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附件2环评编制委托书</w:t>
      </w:r>
    </w:p>
    <w:p w14:paraId="64F140A5">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附件3投资备案证</w:t>
      </w:r>
    </w:p>
    <w:p w14:paraId="482597D9">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附件4租用用地协议</w:t>
      </w:r>
    </w:p>
    <w:p w14:paraId="767DEE4E">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附件5租用大朴石油环评批复及验收备案文件</w:t>
      </w:r>
    </w:p>
    <w:p w14:paraId="1B95CBA5">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附件6引用现状监测数据</w:t>
      </w:r>
    </w:p>
    <w:p w14:paraId="0F3756CA">
      <w:pPr>
        <w:rPr>
          <w:rFonts w:hint="default"/>
          <w:color w:val="000000" w:themeColor="text1"/>
          <w:lang w:val="en-US" w:eastAsia="zh-CN"/>
          <w14:textFill>
            <w14:solidFill>
              <w14:schemeClr w14:val="tx1"/>
            </w14:solidFill>
          </w14:textFill>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color w:val="000000" w:themeColor="text1"/>
          <w:lang w:val="en-US" w:eastAsia="zh-CN"/>
          <w14:textFill>
            <w14:solidFill>
              <w14:schemeClr w14:val="tx1"/>
            </w14:solidFill>
          </w14:textFill>
        </w:rPr>
        <w:t>附件7库尔勒经济技术开发区工业废水处理回用厂环评、验收资料</w:t>
      </w:r>
    </w:p>
    <w:p w14:paraId="6D6C7F55">
      <w:pPr>
        <w:pStyle w:val="25"/>
        <w:spacing w:before="0" w:beforeAutospacing="0" w:after="0" w:afterAutospacing="0" w:line="240" w:lineRule="auto"/>
        <w:ind w:firstLine="600"/>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0" w:name="_Toc26096"/>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0"/>
    </w:p>
    <w:tbl>
      <w:tblPr>
        <w:tblStyle w:val="29"/>
        <w:tblW w:w="88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686"/>
        <w:gridCol w:w="1985"/>
        <w:gridCol w:w="1729"/>
        <w:gridCol w:w="3476"/>
      </w:tblGrid>
      <w:tr w14:paraId="3CAE34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686" w:type="dxa"/>
            <w:tcBorders>
              <w:tl2br w:val="nil"/>
              <w:tr2bl w:val="nil"/>
            </w:tcBorders>
            <w:tcMar>
              <w:top w:w="16" w:type="dxa"/>
              <w:left w:w="16" w:type="dxa"/>
              <w:right w:w="16" w:type="dxa"/>
            </w:tcMar>
            <w:vAlign w:val="center"/>
          </w:tcPr>
          <w:p w14:paraId="4203B6B5">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建设项目名称</w:t>
            </w:r>
          </w:p>
        </w:tc>
        <w:tc>
          <w:tcPr>
            <w:tcW w:w="7190" w:type="dxa"/>
            <w:gridSpan w:val="3"/>
            <w:tcBorders>
              <w:tl2br w:val="nil"/>
              <w:tr2bl w:val="nil"/>
            </w:tcBorders>
            <w:vAlign w:val="center"/>
          </w:tcPr>
          <w:p w14:paraId="0B7D2B75">
            <w:pPr>
              <w:adjustRightInd w:val="0"/>
              <w:snapToGrid w:val="0"/>
              <w:spacing w:line="240" w:lineRule="auto"/>
              <w:ind w:firstLine="0" w:firstLineChars="0"/>
              <w:jc w:val="center"/>
              <w:rPr>
                <w:color w:val="000000" w:themeColor="text1"/>
                <w14:textFill>
                  <w14:solidFill>
                    <w14:schemeClr w14:val="tx1"/>
                  </w14:solidFill>
                </w14:textFill>
              </w:rPr>
            </w:pPr>
            <w:bookmarkStart w:id="1" w:name="_Hlk147664199"/>
            <w:r>
              <w:rPr>
                <w:rFonts w:hint="eastAsia"/>
                <w:color w:val="000000" w:themeColor="text1"/>
                <w14:textFill>
                  <w14:solidFill>
                    <w14:schemeClr w14:val="tx1"/>
                  </w14:solidFill>
                </w14:textFill>
              </w:rPr>
              <w:t>超深油井装备动态模拟实验基地建设项目</w:t>
            </w:r>
            <w:bookmarkEnd w:id="1"/>
          </w:p>
        </w:tc>
      </w:tr>
      <w:tr w14:paraId="563EBC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686" w:type="dxa"/>
            <w:tcBorders>
              <w:tl2br w:val="nil"/>
              <w:tr2bl w:val="nil"/>
            </w:tcBorders>
            <w:tcMar>
              <w:top w:w="16" w:type="dxa"/>
              <w:left w:w="16" w:type="dxa"/>
              <w:right w:w="16" w:type="dxa"/>
            </w:tcMar>
            <w:vAlign w:val="center"/>
          </w:tcPr>
          <w:p w14:paraId="68DF0B13">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项目代码</w:t>
            </w:r>
          </w:p>
        </w:tc>
        <w:tc>
          <w:tcPr>
            <w:tcW w:w="7190" w:type="dxa"/>
            <w:gridSpan w:val="3"/>
            <w:tcBorders>
              <w:tl2br w:val="nil"/>
              <w:tr2bl w:val="nil"/>
            </w:tcBorders>
            <w:vAlign w:val="center"/>
          </w:tcPr>
          <w:p w14:paraId="10C7DEA9">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303-652871-06-01-172703</w:t>
            </w:r>
          </w:p>
        </w:tc>
      </w:tr>
      <w:tr w14:paraId="102E8B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686" w:type="dxa"/>
            <w:tcBorders>
              <w:tl2br w:val="nil"/>
              <w:tr2bl w:val="nil"/>
            </w:tcBorders>
            <w:tcMar>
              <w:top w:w="16" w:type="dxa"/>
              <w:left w:w="16" w:type="dxa"/>
              <w:right w:w="16" w:type="dxa"/>
            </w:tcMar>
            <w:vAlign w:val="center"/>
          </w:tcPr>
          <w:p w14:paraId="4E5D4CD2">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建设单位联系人</w:t>
            </w:r>
          </w:p>
        </w:tc>
        <w:tc>
          <w:tcPr>
            <w:tcW w:w="1985" w:type="dxa"/>
            <w:tcBorders>
              <w:tl2br w:val="nil"/>
              <w:tr2bl w:val="nil"/>
            </w:tcBorders>
            <w:vAlign w:val="center"/>
          </w:tcPr>
          <w:p w14:paraId="365B9D67">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陈逸冰</w:t>
            </w:r>
          </w:p>
        </w:tc>
        <w:tc>
          <w:tcPr>
            <w:tcW w:w="1729" w:type="dxa"/>
            <w:tcBorders>
              <w:tl2br w:val="nil"/>
              <w:tr2bl w:val="nil"/>
            </w:tcBorders>
            <w:vAlign w:val="center"/>
          </w:tcPr>
          <w:p w14:paraId="38572AED">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3476" w:type="dxa"/>
            <w:tcBorders>
              <w:tl2br w:val="nil"/>
              <w:tr2bl w:val="nil"/>
            </w:tcBorders>
            <w:vAlign w:val="center"/>
          </w:tcPr>
          <w:p w14:paraId="653ED5D6">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15001572622</w:t>
            </w:r>
          </w:p>
        </w:tc>
      </w:tr>
      <w:tr w14:paraId="6E7D27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686" w:type="dxa"/>
            <w:tcBorders>
              <w:tl2br w:val="nil"/>
              <w:tr2bl w:val="nil"/>
            </w:tcBorders>
            <w:tcMar>
              <w:top w:w="16" w:type="dxa"/>
              <w:left w:w="16" w:type="dxa"/>
              <w:right w:w="16" w:type="dxa"/>
            </w:tcMar>
            <w:vAlign w:val="center"/>
          </w:tcPr>
          <w:p w14:paraId="4557C138">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7190" w:type="dxa"/>
            <w:gridSpan w:val="3"/>
            <w:tcBorders>
              <w:tl2br w:val="nil"/>
              <w:tr2bl w:val="nil"/>
            </w:tcBorders>
            <w:vAlign w:val="center"/>
          </w:tcPr>
          <w:p w14:paraId="7CEAFC1C">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新疆维吾尔自治区巴音郭楞蒙古自治州库尔勒市经济技术开发区康盛路东一巷26号（大朴石油技术院内）</w:t>
            </w:r>
          </w:p>
        </w:tc>
      </w:tr>
      <w:tr w14:paraId="2E8B3D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686" w:type="dxa"/>
            <w:tcBorders>
              <w:tl2br w:val="nil"/>
              <w:tr2bl w:val="nil"/>
            </w:tcBorders>
            <w:tcMar>
              <w:top w:w="16" w:type="dxa"/>
              <w:left w:w="16" w:type="dxa"/>
              <w:right w:w="16" w:type="dxa"/>
            </w:tcMar>
            <w:vAlign w:val="center"/>
          </w:tcPr>
          <w:p w14:paraId="14BC9023">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地理坐标</w:t>
            </w:r>
          </w:p>
        </w:tc>
        <w:tc>
          <w:tcPr>
            <w:tcW w:w="7190" w:type="dxa"/>
            <w:gridSpan w:val="3"/>
            <w:tcBorders>
              <w:tl2br w:val="nil"/>
              <w:tr2bl w:val="nil"/>
            </w:tcBorders>
            <w:vAlign w:val="center"/>
          </w:tcPr>
          <w:p w14:paraId="2BCE518E">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E86°13′9.257″，N41°40′23.885″</w:t>
            </w:r>
          </w:p>
        </w:tc>
      </w:tr>
      <w:tr w14:paraId="21BE0A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70" w:hRule="atLeast"/>
          <w:jc w:val="center"/>
        </w:trPr>
        <w:tc>
          <w:tcPr>
            <w:tcW w:w="1686" w:type="dxa"/>
            <w:tcBorders>
              <w:tl2br w:val="nil"/>
              <w:tr2bl w:val="nil"/>
            </w:tcBorders>
            <w:tcMar>
              <w:top w:w="16" w:type="dxa"/>
              <w:left w:w="16" w:type="dxa"/>
              <w:right w:w="16" w:type="dxa"/>
            </w:tcMar>
            <w:vAlign w:val="center"/>
          </w:tcPr>
          <w:p w14:paraId="7FF7AB48">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国民经济</w:t>
            </w:r>
          </w:p>
          <w:p w14:paraId="3368EAE1">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1985" w:type="dxa"/>
            <w:tcBorders>
              <w:tl2br w:val="nil"/>
              <w:tr2bl w:val="nil"/>
            </w:tcBorders>
            <w:vAlign w:val="center"/>
          </w:tcPr>
          <w:p w14:paraId="6D01CFB3">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M7452检测服务</w:t>
            </w:r>
          </w:p>
        </w:tc>
        <w:tc>
          <w:tcPr>
            <w:tcW w:w="1729" w:type="dxa"/>
            <w:tcBorders>
              <w:tl2br w:val="nil"/>
              <w:tr2bl w:val="nil"/>
            </w:tcBorders>
            <w:vAlign w:val="center"/>
          </w:tcPr>
          <w:p w14:paraId="34D3DBEF">
            <w:pPr>
              <w:adjustRightInd w:val="0"/>
              <w:snapToGrid w:val="0"/>
              <w:spacing w:line="240" w:lineRule="auto"/>
              <w:ind w:firstLine="0" w:firstLineChars="0"/>
              <w:jc w:val="center"/>
              <w:rPr>
                <w:color w:val="000000" w:themeColor="text1"/>
                <w14:textFill>
                  <w14:solidFill>
                    <w14:schemeClr w14:val="tx1"/>
                  </w14:solidFill>
                </w14:textFill>
              </w:rPr>
            </w:pPr>
            <w:bookmarkStart w:id="2" w:name="_Hlk49843745"/>
            <w:r>
              <w:rPr>
                <w:color w:val="000000" w:themeColor="text1"/>
                <w14:textFill>
                  <w14:solidFill>
                    <w14:schemeClr w14:val="tx1"/>
                  </w14:solidFill>
                </w14:textFill>
              </w:rPr>
              <w:t>建设项目</w:t>
            </w:r>
          </w:p>
          <w:p w14:paraId="7D6F131C">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bookmarkEnd w:id="2"/>
          </w:p>
        </w:tc>
        <w:tc>
          <w:tcPr>
            <w:tcW w:w="3476" w:type="dxa"/>
            <w:tcBorders>
              <w:tl2br w:val="nil"/>
              <w:tr2bl w:val="nil"/>
            </w:tcBorders>
            <w:vAlign w:val="center"/>
          </w:tcPr>
          <w:p w14:paraId="4B5766B1">
            <w:pPr>
              <w:pStyle w:val="16"/>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四十五、研究和试验发展-98专业实验室、研发（试验）基地“其他（不产生实验废气、废水、危险废物的除外）”</w:t>
            </w:r>
          </w:p>
        </w:tc>
      </w:tr>
      <w:tr w14:paraId="072974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219" w:hRule="atLeast"/>
          <w:jc w:val="center"/>
        </w:trPr>
        <w:tc>
          <w:tcPr>
            <w:tcW w:w="1686" w:type="dxa"/>
            <w:tcBorders>
              <w:tl2br w:val="nil"/>
              <w:tr2bl w:val="nil"/>
            </w:tcBorders>
            <w:tcMar>
              <w:top w:w="16" w:type="dxa"/>
              <w:left w:w="16" w:type="dxa"/>
              <w:right w:w="16" w:type="dxa"/>
            </w:tcMar>
            <w:vAlign w:val="center"/>
          </w:tcPr>
          <w:p w14:paraId="7ABB8A78">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1985" w:type="dxa"/>
            <w:tcBorders>
              <w:tl2br w:val="nil"/>
              <w:tr2bl w:val="nil"/>
            </w:tcBorders>
            <w:vAlign w:val="center"/>
          </w:tcPr>
          <w:p w14:paraId="76E357C8">
            <w:pPr>
              <w:spacing w:line="240"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FE"/>
            </w:r>
            <w:r>
              <w:rPr>
                <w:color w:val="000000" w:themeColor="text1"/>
                <w14:textFill>
                  <w14:solidFill>
                    <w14:schemeClr w14:val="tx1"/>
                  </w14:solidFill>
                </w14:textFill>
              </w:rPr>
              <w:t>新建（迁建）</w:t>
            </w:r>
          </w:p>
          <w:p w14:paraId="5D5D4AEA">
            <w:pPr>
              <w:spacing w:line="240"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color w:val="000000" w:themeColor="text1"/>
                <w14:textFill>
                  <w14:solidFill>
                    <w14:schemeClr w14:val="tx1"/>
                  </w14:solidFill>
                </w14:textFill>
              </w:rPr>
              <w:t>改建</w:t>
            </w:r>
          </w:p>
          <w:p w14:paraId="4DC18F2E">
            <w:pPr>
              <w:spacing w:line="240"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color w:val="000000" w:themeColor="text1"/>
                <w14:textFill>
                  <w14:solidFill>
                    <w14:schemeClr w14:val="tx1"/>
                  </w14:solidFill>
                </w14:textFill>
              </w:rPr>
              <w:t>扩建</w:t>
            </w:r>
          </w:p>
          <w:p w14:paraId="11673E24">
            <w:pPr>
              <w:spacing w:line="240"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color w:val="000000" w:themeColor="text1"/>
                <w14:textFill>
                  <w14:solidFill>
                    <w14:schemeClr w14:val="tx1"/>
                  </w14:solidFill>
                </w14:textFill>
              </w:rPr>
              <w:t>技术改造</w:t>
            </w:r>
          </w:p>
        </w:tc>
        <w:tc>
          <w:tcPr>
            <w:tcW w:w="1729" w:type="dxa"/>
            <w:tcBorders>
              <w:tl2br w:val="nil"/>
              <w:tr2bl w:val="nil"/>
            </w:tcBorders>
            <w:vAlign w:val="center"/>
          </w:tcPr>
          <w:p w14:paraId="53F6C252">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建设项目</w:t>
            </w:r>
          </w:p>
          <w:p w14:paraId="24395C38">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申报情形</w:t>
            </w:r>
          </w:p>
        </w:tc>
        <w:tc>
          <w:tcPr>
            <w:tcW w:w="3476" w:type="dxa"/>
            <w:tcBorders>
              <w:tl2br w:val="nil"/>
              <w:tr2bl w:val="nil"/>
            </w:tcBorders>
            <w:vAlign w:val="center"/>
          </w:tcPr>
          <w:p w14:paraId="78FE6C24">
            <w:pPr>
              <w:spacing w:line="240"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FE"/>
            </w:r>
            <w:r>
              <w:rPr>
                <w:color w:val="000000" w:themeColor="text1"/>
                <w14:textFill>
                  <w14:solidFill>
                    <w14:schemeClr w14:val="tx1"/>
                  </w14:solidFill>
                </w14:textFill>
              </w:rPr>
              <w:t>首次申报项目</w:t>
            </w:r>
          </w:p>
          <w:p w14:paraId="61A2DC4A">
            <w:pPr>
              <w:spacing w:line="240"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color w:val="000000" w:themeColor="text1"/>
                <w14:textFill>
                  <w14:solidFill>
                    <w14:schemeClr w14:val="tx1"/>
                  </w14:solidFill>
                </w14:textFill>
              </w:rPr>
              <w:t>不予批准后再次申报项目</w:t>
            </w:r>
          </w:p>
          <w:p w14:paraId="6F8BD9F8">
            <w:pPr>
              <w:spacing w:line="240"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color w:val="000000" w:themeColor="text1"/>
                <w14:textFill>
                  <w14:solidFill>
                    <w14:schemeClr w14:val="tx1"/>
                  </w14:solidFill>
                </w14:textFill>
              </w:rPr>
              <w:t>超五年重新审核项目</w:t>
            </w:r>
          </w:p>
          <w:p w14:paraId="2C3FA517">
            <w:pPr>
              <w:spacing w:line="240" w:lineRule="auto"/>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A8"/>
            </w:r>
            <w:r>
              <w:rPr>
                <w:color w:val="000000" w:themeColor="text1"/>
                <w14:textFill>
                  <w14:solidFill>
                    <w14:schemeClr w14:val="tx1"/>
                  </w14:solidFill>
                </w14:textFill>
              </w:rPr>
              <w:t>重大变动重新报批项目</w:t>
            </w:r>
          </w:p>
        </w:tc>
      </w:tr>
      <w:tr w14:paraId="3FACF0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51" w:hRule="atLeast"/>
          <w:jc w:val="center"/>
        </w:trPr>
        <w:tc>
          <w:tcPr>
            <w:tcW w:w="1686" w:type="dxa"/>
            <w:tcBorders>
              <w:tl2br w:val="nil"/>
              <w:tr2bl w:val="nil"/>
            </w:tcBorders>
            <w:tcMar>
              <w:top w:w="16" w:type="dxa"/>
              <w:left w:w="16" w:type="dxa"/>
              <w:right w:w="16" w:type="dxa"/>
            </w:tcMar>
            <w:vAlign w:val="center"/>
          </w:tcPr>
          <w:p w14:paraId="796708BE">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项目审批（核准/备案）部门（选填）</w:t>
            </w:r>
          </w:p>
        </w:tc>
        <w:tc>
          <w:tcPr>
            <w:tcW w:w="1985" w:type="dxa"/>
            <w:tcBorders>
              <w:tl2br w:val="nil"/>
              <w:tr2bl w:val="nil"/>
            </w:tcBorders>
            <w:vAlign w:val="center"/>
          </w:tcPr>
          <w:p w14:paraId="2DFD6F3E">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库尔勒市经济技术开发区经济发展局</w:t>
            </w:r>
          </w:p>
        </w:tc>
        <w:tc>
          <w:tcPr>
            <w:tcW w:w="1729" w:type="dxa"/>
            <w:tcBorders>
              <w:tl2br w:val="nil"/>
              <w:tr2bl w:val="nil"/>
            </w:tcBorders>
            <w:vAlign w:val="center"/>
          </w:tcPr>
          <w:p w14:paraId="31232645">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项目审批（核准/备案）文号（选填）</w:t>
            </w:r>
          </w:p>
        </w:tc>
        <w:tc>
          <w:tcPr>
            <w:tcW w:w="3476" w:type="dxa"/>
            <w:tcBorders>
              <w:tl2br w:val="nil"/>
              <w:tr2bl w:val="nil"/>
            </w:tcBorders>
            <w:vAlign w:val="center"/>
          </w:tcPr>
          <w:p w14:paraId="4B1DD15D">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备案证编号：</w:t>
            </w:r>
            <w:r>
              <w:rPr>
                <w:color w:val="000000" w:themeColor="text1"/>
                <w14:textFill>
                  <w14:solidFill>
                    <w14:schemeClr w14:val="tx1"/>
                  </w14:solidFill>
                </w14:textFill>
              </w:rPr>
              <w:t>2023150</w:t>
            </w:r>
          </w:p>
        </w:tc>
      </w:tr>
      <w:tr w14:paraId="7C67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686" w:type="dxa"/>
            <w:tcBorders>
              <w:tl2br w:val="nil"/>
              <w:tr2bl w:val="nil"/>
            </w:tcBorders>
            <w:tcMar>
              <w:top w:w="16" w:type="dxa"/>
              <w:left w:w="16" w:type="dxa"/>
              <w:right w:w="16" w:type="dxa"/>
            </w:tcMar>
            <w:vAlign w:val="center"/>
          </w:tcPr>
          <w:p w14:paraId="7CDE7A86">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总投资（万元）</w:t>
            </w:r>
          </w:p>
        </w:tc>
        <w:tc>
          <w:tcPr>
            <w:tcW w:w="1985" w:type="dxa"/>
            <w:tcBorders>
              <w:tl2br w:val="nil"/>
              <w:tr2bl w:val="nil"/>
            </w:tcBorders>
            <w:vAlign w:val="center"/>
          </w:tcPr>
          <w:p w14:paraId="65A43D48">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60</w:t>
            </w:r>
            <w:r>
              <w:rPr>
                <w:rFonts w:hint="eastAsia"/>
                <w:color w:val="000000" w:themeColor="text1"/>
                <w14:textFill>
                  <w14:solidFill>
                    <w14:schemeClr w14:val="tx1"/>
                  </w14:solidFill>
                </w14:textFill>
              </w:rPr>
              <w:t>00</w:t>
            </w:r>
          </w:p>
        </w:tc>
        <w:tc>
          <w:tcPr>
            <w:tcW w:w="1729" w:type="dxa"/>
            <w:tcBorders>
              <w:tl2br w:val="nil"/>
              <w:tr2bl w:val="nil"/>
            </w:tcBorders>
            <w:tcMar>
              <w:top w:w="16" w:type="dxa"/>
              <w:left w:w="16" w:type="dxa"/>
              <w:right w:w="16" w:type="dxa"/>
            </w:tcMar>
            <w:vAlign w:val="center"/>
          </w:tcPr>
          <w:p w14:paraId="6C5E2B89">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环保投资（万元）</w:t>
            </w:r>
          </w:p>
        </w:tc>
        <w:tc>
          <w:tcPr>
            <w:tcW w:w="3476" w:type="dxa"/>
            <w:tcBorders>
              <w:tl2br w:val="nil"/>
              <w:tr2bl w:val="nil"/>
            </w:tcBorders>
            <w:vAlign w:val="center"/>
          </w:tcPr>
          <w:p w14:paraId="48993DC1">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44</w:t>
            </w:r>
          </w:p>
        </w:tc>
      </w:tr>
      <w:tr w14:paraId="0BD60A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686" w:type="dxa"/>
            <w:tcBorders>
              <w:tl2br w:val="nil"/>
              <w:tr2bl w:val="nil"/>
            </w:tcBorders>
            <w:tcMar>
              <w:top w:w="16" w:type="dxa"/>
              <w:left w:w="16" w:type="dxa"/>
              <w:right w:w="16" w:type="dxa"/>
            </w:tcMar>
            <w:vAlign w:val="center"/>
          </w:tcPr>
          <w:p w14:paraId="19C3E981">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环保投资占比（%）</w:t>
            </w:r>
          </w:p>
        </w:tc>
        <w:tc>
          <w:tcPr>
            <w:tcW w:w="1985" w:type="dxa"/>
            <w:tcBorders>
              <w:tl2br w:val="nil"/>
              <w:tr2bl w:val="nil"/>
            </w:tcBorders>
            <w:vAlign w:val="center"/>
          </w:tcPr>
          <w:p w14:paraId="3CD3580D">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0.73</w:t>
            </w:r>
          </w:p>
        </w:tc>
        <w:tc>
          <w:tcPr>
            <w:tcW w:w="1729" w:type="dxa"/>
            <w:tcBorders>
              <w:tl2br w:val="nil"/>
              <w:tr2bl w:val="nil"/>
            </w:tcBorders>
            <w:tcMar>
              <w:top w:w="16" w:type="dxa"/>
              <w:left w:w="16" w:type="dxa"/>
              <w:right w:w="16" w:type="dxa"/>
            </w:tcMar>
            <w:vAlign w:val="center"/>
          </w:tcPr>
          <w:p w14:paraId="21C95FD6">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施工工期</w:t>
            </w:r>
          </w:p>
        </w:tc>
        <w:tc>
          <w:tcPr>
            <w:tcW w:w="3476" w:type="dxa"/>
            <w:tcBorders>
              <w:tl2br w:val="nil"/>
              <w:tr2bl w:val="nil"/>
            </w:tcBorders>
            <w:vAlign w:val="center"/>
          </w:tcPr>
          <w:p w14:paraId="1A8B22E8">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个月</w:t>
            </w:r>
          </w:p>
        </w:tc>
      </w:tr>
      <w:tr w14:paraId="0B4DAE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686" w:type="dxa"/>
            <w:tcBorders>
              <w:tl2br w:val="nil"/>
              <w:tr2bl w:val="nil"/>
            </w:tcBorders>
            <w:tcMar>
              <w:top w:w="16" w:type="dxa"/>
              <w:left w:w="16" w:type="dxa"/>
              <w:right w:w="16" w:type="dxa"/>
            </w:tcMar>
            <w:vAlign w:val="center"/>
          </w:tcPr>
          <w:p w14:paraId="4D3A3D85">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是否开工建设</w:t>
            </w:r>
          </w:p>
        </w:tc>
        <w:tc>
          <w:tcPr>
            <w:tcW w:w="1985" w:type="dxa"/>
            <w:tcBorders>
              <w:tl2br w:val="nil"/>
              <w:tr2bl w:val="nil"/>
            </w:tcBorders>
            <w:vAlign w:val="center"/>
          </w:tcPr>
          <w:p w14:paraId="5C64D3C4">
            <w:pPr>
              <w:adjustRightInd w:val="0"/>
              <w:snapToGrid w:val="0"/>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w:char="00FE"/>
            </w:r>
            <w:r>
              <w:rPr>
                <w:color w:val="000000" w:themeColor="text1"/>
                <w14:textFill>
                  <w14:solidFill>
                    <w14:schemeClr w14:val="tx1"/>
                  </w14:solidFill>
                </w14:textFill>
              </w:rPr>
              <w:t>否</w:t>
            </w:r>
          </w:p>
          <w:p w14:paraId="11770335">
            <w:pPr>
              <w:adjustRightInd w:val="0"/>
              <w:snapToGrid w:val="0"/>
              <w:spacing w:line="240" w:lineRule="auto"/>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sym w:font="Wingdings" w:char="00A8"/>
            </w:r>
            <w:r>
              <w:rPr>
                <w:color w:val="000000" w:themeColor="text1"/>
                <w14:textFill>
                  <w14:solidFill>
                    <w14:schemeClr w14:val="tx1"/>
                  </w14:solidFill>
                </w14:textFill>
              </w:rPr>
              <w:t>是</w:t>
            </w:r>
            <w:r>
              <w:rPr>
                <w:color w:val="000000" w:themeColor="text1"/>
                <w:u w:val="single"/>
                <w14:textFill>
                  <w14:solidFill>
                    <w14:schemeClr w14:val="tx1"/>
                  </w14:solidFill>
                </w14:textFill>
              </w:rPr>
              <w:t>：</w:t>
            </w:r>
          </w:p>
        </w:tc>
        <w:tc>
          <w:tcPr>
            <w:tcW w:w="1729" w:type="dxa"/>
            <w:tcBorders>
              <w:tl2br w:val="nil"/>
              <w:tr2bl w:val="nil"/>
            </w:tcBorders>
            <w:tcMar>
              <w:top w:w="16" w:type="dxa"/>
              <w:left w:w="16" w:type="dxa"/>
              <w:right w:w="16" w:type="dxa"/>
            </w:tcMar>
            <w:vAlign w:val="center"/>
          </w:tcPr>
          <w:p w14:paraId="29824213">
            <w:pPr>
              <w:adjustRightInd w:val="0"/>
              <w:snapToGrid w:val="0"/>
              <w:spacing w:line="240" w:lineRule="auto"/>
              <w:ind w:firstLine="0" w:firstLineChars="0"/>
              <w:jc w:val="center"/>
              <w:rPr>
                <w:color w:val="000000" w:themeColor="text1"/>
                <w:spacing w:val="-6"/>
                <w14:textFill>
                  <w14:solidFill>
                    <w14:schemeClr w14:val="tx1"/>
                  </w14:solidFill>
                </w14:textFill>
              </w:rPr>
            </w:pPr>
            <w:r>
              <w:rPr>
                <w:color w:val="000000" w:themeColor="text1"/>
                <w:spacing w:val="-6"/>
                <w14:textFill>
                  <w14:solidFill>
                    <w14:schemeClr w14:val="tx1"/>
                  </w14:solidFill>
                </w14:textFill>
              </w:rPr>
              <w:t>用地（用海）</w:t>
            </w:r>
          </w:p>
          <w:p w14:paraId="3CA20E4F">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spacing w:val="-6"/>
                <w14:textFill>
                  <w14:solidFill>
                    <w14:schemeClr w14:val="tx1"/>
                  </w14:solidFill>
                </w14:textFill>
              </w:rPr>
              <w:t>面积（m</w:t>
            </w:r>
            <w:r>
              <w:rPr>
                <w:color w:val="000000" w:themeColor="text1"/>
                <w:spacing w:val="-6"/>
                <w:vertAlign w:val="superscript"/>
                <w14:textFill>
                  <w14:solidFill>
                    <w14:schemeClr w14:val="tx1"/>
                  </w14:solidFill>
                </w14:textFill>
              </w:rPr>
              <w:t>2</w:t>
            </w:r>
            <w:r>
              <w:rPr>
                <w:color w:val="000000" w:themeColor="text1"/>
                <w:spacing w:val="-6"/>
                <w14:textFill>
                  <w14:solidFill>
                    <w14:schemeClr w14:val="tx1"/>
                  </w14:solidFill>
                </w14:textFill>
              </w:rPr>
              <w:t>）</w:t>
            </w:r>
          </w:p>
        </w:tc>
        <w:tc>
          <w:tcPr>
            <w:tcW w:w="3476" w:type="dxa"/>
            <w:tcBorders>
              <w:tl2br w:val="nil"/>
              <w:tr2bl w:val="nil"/>
            </w:tcBorders>
            <w:vAlign w:val="center"/>
          </w:tcPr>
          <w:p w14:paraId="301B68C7">
            <w:pPr>
              <w:adjustRightInd w:val="0"/>
              <w:snapToGrid w:val="0"/>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344</w:t>
            </w:r>
          </w:p>
        </w:tc>
      </w:tr>
      <w:tr w14:paraId="2D2E6C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9" w:hRule="atLeast"/>
          <w:jc w:val="center"/>
        </w:trPr>
        <w:tc>
          <w:tcPr>
            <w:tcW w:w="1686" w:type="dxa"/>
            <w:tcBorders>
              <w:tl2br w:val="nil"/>
              <w:tr2bl w:val="nil"/>
            </w:tcBorders>
            <w:vAlign w:val="center"/>
          </w:tcPr>
          <w:p w14:paraId="2F4BFF79">
            <w:pPr>
              <w:autoSpaceDE w:val="0"/>
              <w:autoSpaceDN w:val="0"/>
              <w:adjustRightInd w:val="0"/>
              <w:snapToGrid w:val="0"/>
              <w:spacing w:line="240" w:lineRule="auto"/>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专项评价设置情况</w:t>
            </w:r>
          </w:p>
        </w:tc>
        <w:tc>
          <w:tcPr>
            <w:tcW w:w="7190" w:type="dxa"/>
            <w:gridSpan w:val="3"/>
            <w:tcBorders>
              <w:tl2br w:val="nil"/>
              <w:tr2bl w:val="nil"/>
            </w:tcBorders>
            <w:vAlign w:val="center"/>
          </w:tcPr>
          <w:p w14:paraId="33B76669">
            <w:pPr>
              <w:pStyle w:val="66"/>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本项目排放废气不含有有毒有害污染物</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、二噁英、苯并[a]芘、氰化物、氯气；本项目无工业废水外排</w:t>
            </w:r>
            <w:r>
              <w:rPr>
                <w:rFonts w:hint="eastAsia"/>
                <w:color w:val="000000" w:themeColor="text1"/>
                <w14:textFill>
                  <w14:solidFill>
                    <w14:schemeClr w14:val="tx1"/>
                  </w14:solidFill>
                </w14:textFill>
              </w:rPr>
              <w:t>，危险品储存量不超过临界量</w:t>
            </w:r>
            <w:r>
              <w:rPr>
                <w:color w:val="000000" w:themeColor="text1"/>
                <w14:textFill>
                  <w14:solidFill>
                    <w14:schemeClr w14:val="tx1"/>
                  </w14:solidFill>
                </w14:textFill>
              </w:rPr>
              <w:t>。</w:t>
            </w:r>
          </w:p>
          <w:p w14:paraId="1BD947F4">
            <w:pPr>
              <w:pStyle w:val="66"/>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bCs/>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根据《建设项目环境影响报告表编制技术指南（试行）》表1专项评价设置原则表，本项目不需做专项评价</w:t>
            </w:r>
            <w:r>
              <w:rPr>
                <w:color w:val="000000" w:themeColor="text1"/>
                <w14:textFill>
                  <w14:solidFill>
                    <w14:schemeClr w14:val="tx1"/>
                  </w14:solidFill>
                </w14:textFill>
              </w:rPr>
              <w:t>。</w:t>
            </w:r>
          </w:p>
        </w:tc>
      </w:tr>
      <w:tr w14:paraId="7B9644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686" w:type="dxa"/>
            <w:tcBorders>
              <w:tl2br w:val="nil"/>
              <w:tr2bl w:val="nil"/>
            </w:tcBorders>
            <w:vAlign w:val="center"/>
          </w:tcPr>
          <w:p w14:paraId="6D355542">
            <w:pPr>
              <w:autoSpaceDE w:val="0"/>
              <w:autoSpaceDN w:val="0"/>
              <w:adjustRightInd w:val="0"/>
              <w:snapToGrid w:val="0"/>
              <w:spacing w:line="240" w:lineRule="auto"/>
              <w:ind w:firstLine="0" w:firstLineChars="0"/>
              <w:jc w:val="center"/>
              <w:rPr>
                <w:color w:val="000000" w:themeColor="text1"/>
                <w:kern w:val="0"/>
                <w14:textFill>
                  <w14:solidFill>
                    <w14:schemeClr w14:val="tx1"/>
                  </w14:solidFill>
                </w14:textFill>
              </w:rPr>
            </w:pPr>
            <w:r>
              <w:rPr>
                <w:color w:val="000000" w:themeColor="text1"/>
                <w14:textFill>
                  <w14:solidFill>
                    <w14:schemeClr w14:val="tx1"/>
                  </w14:solidFill>
                </w14:textFill>
              </w:rPr>
              <w:t>规划情况</w:t>
            </w:r>
          </w:p>
        </w:tc>
        <w:tc>
          <w:tcPr>
            <w:tcW w:w="7190" w:type="dxa"/>
            <w:gridSpan w:val="3"/>
            <w:tcBorders>
              <w:tl2br w:val="nil"/>
              <w:tr2bl w:val="nil"/>
            </w:tcBorders>
            <w:vAlign w:val="center"/>
          </w:tcPr>
          <w:p w14:paraId="00F005E0">
            <w:pPr>
              <w:pStyle w:val="6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000000" w:themeColor="text1"/>
                <w:lang w:eastAsia="zh-CN"/>
                <w14:textFill>
                  <w14:solidFill>
                    <w14:schemeClr w14:val="tx1"/>
                  </w14:solidFill>
                </w14:textFill>
              </w:rPr>
            </w:pPr>
            <w:r>
              <w:rPr>
                <w:color w:val="000000" w:themeColor="text1"/>
                <w:kern w:val="0"/>
                <w14:textFill>
                  <w14:solidFill>
                    <w14:schemeClr w14:val="tx1"/>
                  </w14:solidFill>
                </w14:textFill>
              </w:rPr>
              <w:t>文件名称：</w:t>
            </w:r>
            <w:r>
              <w:rPr>
                <w:rFonts w:hint="eastAsia"/>
                <w:color w:val="000000" w:themeColor="text1"/>
                <w:kern w:val="0"/>
                <w14:textFill>
                  <w14:solidFill>
                    <w14:schemeClr w14:val="tx1"/>
                  </w14:solidFill>
                </w14:textFill>
              </w:rPr>
              <w:t>《库尔勒经济技术开发区总体规划》（2006-2025年）</w:t>
            </w:r>
            <w:r>
              <w:rPr>
                <w:rFonts w:hint="eastAsia"/>
                <w:color w:val="000000" w:themeColor="text1"/>
                <w:kern w:val="0"/>
                <w:lang w:eastAsia="zh-CN"/>
                <w14:textFill>
                  <w14:solidFill>
                    <w14:schemeClr w14:val="tx1"/>
                  </w14:solidFill>
                </w14:textFill>
              </w:rPr>
              <w:t>；</w:t>
            </w:r>
          </w:p>
          <w:p w14:paraId="1383302B">
            <w:pPr>
              <w:pStyle w:val="66"/>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000000" w:themeColor="text1"/>
                <w:kern w:val="0"/>
                <w14:textFill>
                  <w14:solidFill>
                    <w14:schemeClr w14:val="tx1"/>
                  </w14:solidFill>
                </w14:textFill>
              </w:rPr>
            </w:pPr>
            <w:r>
              <w:rPr>
                <w:rFonts w:hint="eastAsia"/>
                <w:color w:val="000000" w:themeColor="text1"/>
                <w:lang w:val="en-US" w:eastAsia="zh-CN"/>
                <w14:textFill>
                  <w14:solidFill>
                    <w14:schemeClr w14:val="tx1"/>
                  </w14:solidFill>
                </w14:textFill>
              </w:rPr>
              <w:t>审查意见：</w:t>
            </w:r>
            <w:r>
              <w:rPr>
                <w:rFonts w:hint="eastAsia"/>
                <w:color w:val="000000" w:themeColor="text1"/>
                <w14:textFill>
                  <w14:solidFill>
                    <w14:schemeClr w14:val="tx1"/>
                  </w14:solidFill>
                </w14:textFill>
              </w:rPr>
              <w:t>《关于库尔勒经济技术开发区总体规划的批复》（新政函〔2003〕12号），新疆维吾尔自治区人民政府</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2003年1月29日。</w:t>
            </w:r>
          </w:p>
        </w:tc>
      </w:tr>
      <w:tr w14:paraId="1B1D72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62" w:hRule="atLeast"/>
          <w:jc w:val="center"/>
        </w:trPr>
        <w:tc>
          <w:tcPr>
            <w:tcW w:w="1686" w:type="dxa"/>
            <w:tcBorders>
              <w:tl2br w:val="nil"/>
              <w:tr2bl w:val="nil"/>
            </w:tcBorders>
            <w:vAlign w:val="center"/>
          </w:tcPr>
          <w:p w14:paraId="54EF36A0">
            <w:pPr>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规划环境影响</w:t>
            </w:r>
          </w:p>
          <w:p w14:paraId="4BBAFDB2">
            <w:pPr>
              <w:adjustRightInd w:val="0"/>
              <w:snapToGrid w:val="0"/>
              <w:spacing w:line="240" w:lineRule="auto"/>
              <w:ind w:firstLine="0" w:firstLineChars="0"/>
              <w:jc w:val="center"/>
              <w:rPr>
                <w:color w:val="000000" w:themeColor="text1"/>
                <w:kern w:val="0"/>
                <w14:textFill>
                  <w14:solidFill>
                    <w14:schemeClr w14:val="tx1"/>
                  </w14:solidFill>
                </w14:textFill>
              </w:rPr>
            </w:pPr>
            <w:r>
              <w:rPr>
                <w:color w:val="000000" w:themeColor="text1"/>
                <w14:textFill>
                  <w14:solidFill>
                    <w14:schemeClr w14:val="tx1"/>
                  </w14:solidFill>
                </w14:textFill>
              </w:rPr>
              <w:t>评价情况</w:t>
            </w:r>
          </w:p>
        </w:tc>
        <w:tc>
          <w:tcPr>
            <w:tcW w:w="7190" w:type="dxa"/>
            <w:gridSpan w:val="3"/>
            <w:tcBorders>
              <w:tl2br w:val="nil"/>
              <w:tr2bl w:val="nil"/>
            </w:tcBorders>
            <w:vAlign w:val="center"/>
          </w:tcPr>
          <w:p w14:paraId="1AC0E41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14:textFill>
                  <w14:solidFill>
                    <w14:schemeClr w14:val="tx1"/>
                  </w14:solidFill>
                </w14:textFill>
              </w:rPr>
            </w:pPr>
            <w:r>
              <w:rPr>
                <w:color w:val="000000" w:themeColor="text1"/>
                <w:kern w:val="0"/>
                <w14:textFill>
                  <w14:solidFill>
                    <w14:schemeClr w14:val="tx1"/>
                  </w14:solidFill>
                </w14:textFill>
              </w:rPr>
              <w:t>文件名称：《库尔勒经济技术开发区总体规划环境影响报告书》（2006-2025年）；</w:t>
            </w:r>
          </w:p>
          <w:p w14:paraId="5DD71B95">
            <w:pPr>
              <w:pStyle w:val="67"/>
              <w:keepNext w:val="0"/>
              <w:keepLines w:val="0"/>
              <w:pageBreakBefore w:val="0"/>
              <w:widowControl w:val="0"/>
              <w:kinsoku/>
              <w:wordWrap/>
              <w:overflowPunct/>
              <w:topLinePunct w:val="0"/>
              <w:bidi w:val="0"/>
              <w:spacing w:line="360" w:lineRule="auto"/>
              <w:ind w:firstLine="480" w:firstLineChars="200"/>
              <w:jc w:val="left"/>
              <w:textAlignment w:val="auto"/>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审查机关：原新疆维吾尔自治区环境保护局；</w:t>
            </w:r>
          </w:p>
          <w:p w14:paraId="56DD689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14:textFill>
                  <w14:solidFill>
                    <w14:schemeClr w14:val="tx1"/>
                  </w14:solidFill>
                </w14:textFill>
              </w:rPr>
            </w:pPr>
            <w:r>
              <w:rPr>
                <w:color w:val="000000" w:themeColor="text1"/>
                <w:kern w:val="0"/>
                <w14:textFill>
                  <w14:solidFill>
                    <w14:schemeClr w14:val="tx1"/>
                  </w14:solidFill>
                </w14:textFill>
              </w:rPr>
              <w:t>审批文件及文号：2006年6月16日取得《库尔勒经济技术开发区总体规划环境影响报告书》（2006-2025年）审查意见，新环财函</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2006</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280号。</w:t>
            </w:r>
          </w:p>
        </w:tc>
      </w:tr>
      <w:tr w14:paraId="4F0184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79" w:hRule="atLeast"/>
          <w:jc w:val="center"/>
        </w:trPr>
        <w:tc>
          <w:tcPr>
            <w:tcW w:w="1686" w:type="dxa"/>
            <w:tcBorders>
              <w:tl2br w:val="nil"/>
              <w:tr2bl w:val="nil"/>
            </w:tcBorders>
            <w:vAlign w:val="center"/>
          </w:tcPr>
          <w:p w14:paraId="3E0C350C">
            <w:pPr>
              <w:autoSpaceDE w:val="0"/>
              <w:autoSpaceDN w:val="0"/>
              <w:adjustRightInd w:val="0"/>
              <w:snapToGrid w:val="0"/>
              <w:spacing w:line="240" w:lineRule="auto"/>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规划及规划环境影响评价符合性分析</w:t>
            </w:r>
          </w:p>
        </w:tc>
        <w:tc>
          <w:tcPr>
            <w:tcW w:w="7190" w:type="dxa"/>
            <w:gridSpan w:val="3"/>
            <w:tcBorders>
              <w:tl2br w:val="nil"/>
              <w:tr2bl w:val="nil"/>
            </w:tcBorders>
            <w:vAlign w:val="center"/>
          </w:tcPr>
          <w:p w14:paraId="3205CD0A">
            <w:pPr>
              <w:autoSpaceDE w:val="0"/>
              <w:autoSpaceDN w:val="0"/>
              <w:adjustRightInd w:val="0"/>
              <w:snapToGrid w:val="0"/>
              <w:ind w:firstLine="482"/>
              <w:rPr>
                <w:b/>
                <w:color w:val="000000" w:themeColor="text1"/>
                <w14:textFill>
                  <w14:solidFill>
                    <w14:schemeClr w14:val="tx1"/>
                  </w14:solidFill>
                </w14:textFill>
              </w:rPr>
            </w:pPr>
            <w:r>
              <w:rPr>
                <w:b/>
                <w:color w:val="000000" w:themeColor="text1"/>
                <w14:textFill>
                  <w14:solidFill>
                    <w14:schemeClr w14:val="tx1"/>
                  </w14:solidFill>
                </w14:textFill>
              </w:rPr>
              <w:t>1、与</w:t>
            </w:r>
            <w:r>
              <w:rPr>
                <w:b/>
                <w:color w:val="000000" w:themeColor="text1"/>
                <w:kern w:val="0"/>
                <w14:textFill>
                  <w14:solidFill>
                    <w14:schemeClr w14:val="tx1"/>
                  </w14:solidFill>
                </w14:textFill>
              </w:rPr>
              <w:t>《库尔勒经济技术开发区总体规划》（2006-2025年）符合性分析</w:t>
            </w:r>
          </w:p>
          <w:p w14:paraId="126EC24D">
            <w:pPr>
              <w:ind w:firstLine="480"/>
              <w:rPr>
                <w:color w:val="000000" w:themeColor="text1"/>
                <w14:textFill>
                  <w14:solidFill>
                    <w14:schemeClr w14:val="tx1"/>
                  </w14:solidFill>
                </w14:textFill>
              </w:rPr>
            </w:pPr>
            <w:r>
              <w:rPr>
                <w:color w:val="000000" w:themeColor="text1"/>
                <w14:textFill>
                  <w14:solidFill>
                    <w14:schemeClr w14:val="tx1"/>
                  </w14:solidFill>
                </w14:textFill>
              </w:rPr>
              <w:t>开发区规划实行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两心、三带、四轴、多片区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的空间发展格局，并将纺织服装产业、新能源及节能产业研发、智能装备制造业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智能制造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、临空经济、综合产业、农产品精深加工产业、文化教育创新作为未来开发区发展的主导产业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国家级经济技术开发区</w:t>
            </w:r>
            <w:r>
              <w:rPr>
                <w:rFonts w:hint="eastAsia"/>
                <w:color w:val="000000" w:themeColor="text1"/>
                <w14:textFill>
                  <w14:solidFill>
                    <w14:schemeClr w14:val="tx1"/>
                  </w14:solidFill>
                </w14:textFill>
              </w:rPr>
              <w:t>产业定位</w:t>
            </w:r>
            <w:r>
              <w:rPr>
                <w:color w:val="000000" w:themeColor="text1"/>
                <w14:textFill>
                  <w14:solidFill>
                    <w14:schemeClr w14:val="tx1"/>
                  </w14:solidFill>
                </w14:textFill>
              </w:rPr>
              <w:t>，形成纺织服装、装备制造、航天航空新兴产业、现代制造服务业、石油天然气精细化工、商贸物流、特色农副产品加工、石油技术服务及配套设备为一体的产业体系</w:t>
            </w:r>
            <w:r>
              <w:rPr>
                <w:rFonts w:hint="eastAsia"/>
                <w:color w:val="000000" w:themeColor="text1"/>
                <w14:textFill>
                  <w14:solidFill>
                    <w14:schemeClr w14:val="tx1"/>
                  </w14:solidFill>
                </w14:textFill>
              </w:rPr>
              <w:t>。</w:t>
            </w:r>
          </w:p>
          <w:p w14:paraId="647AB73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项目位于康盛路东侧属于</w:t>
            </w:r>
            <w:r>
              <w:rPr>
                <w:rFonts w:hint="eastAsia"/>
                <w:color w:val="000000" w:themeColor="text1"/>
                <w:lang w:eastAsia="zh-CN"/>
                <w14:textFill>
                  <w14:solidFill>
                    <w14:schemeClr w14:val="tx1"/>
                  </w14:solidFill>
                </w14:textFill>
              </w:rPr>
              <w:t>Ⅱ类</w:t>
            </w:r>
            <w:r>
              <w:rPr>
                <w:rFonts w:hint="eastAsia"/>
                <w:color w:val="000000" w:themeColor="text1"/>
                <w14:textFill>
                  <w14:solidFill>
                    <w14:schemeClr w14:val="tx1"/>
                  </w14:solidFill>
                </w14:textFill>
              </w:rPr>
              <w:t>工业用地，</w:t>
            </w:r>
            <w:r>
              <w:rPr>
                <w:rFonts w:hint="eastAsia"/>
                <w:color w:val="000000" w:themeColor="text1"/>
                <w:lang w:val="en-US" w:eastAsia="zh-CN"/>
                <w14:textFill>
                  <w14:solidFill>
                    <w14:schemeClr w14:val="tx1"/>
                  </w14:solidFill>
                </w14:textFill>
              </w:rPr>
              <w:t>位于北部综合片区</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进行</w:t>
            </w:r>
            <w:r>
              <w:rPr>
                <w:rFonts w:hint="eastAsia"/>
                <w:color w:val="000000" w:themeColor="text1"/>
                <w14:textFill>
                  <w14:solidFill>
                    <w14:schemeClr w14:val="tx1"/>
                  </w14:solidFill>
                </w14:textFill>
              </w:rPr>
              <w:t>石油金属管道和压力容器腐蚀检测，</w:t>
            </w:r>
            <w:r>
              <w:rPr>
                <w:rFonts w:hint="eastAsia"/>
                <w:color w:val="000000" w:themeColor="text1"/>
                <w:lang w:val="en-US" w:eastAsia="zh-CN"/>
                <w14:textFill>
                  <w14:solidFill>
                    <w14:schemeClr w14:val="tx1"/>
                  </w14:solidFill>
                </w14:textFill>
              </w:rPr>
              <w:t>属于</w:t>
            </w:r>
            <w:r>
              <w:rPr>
                <w:color w:val="000000" w:themeColor="text1"/>
                <w14:textFill>
                  <w14:solidFill>
                    <w14:schemeClr w14:val="tx1"/>
                  </w14:solidFill>
                </w14:textFill>
              </w:rPr>
              <w:t>石油技术服务</w:t>
            </w:r>
            <w:r>
              <w:rPr>
                <w:rFonts w:hint="eastAsia"/>
                <w:color w:val="000000" w:themeColor="text1"/>
                <w:lang w:val="en-US" w:eastAsia="zh-CN"/>
                <w14:textFill>
                  <w14:solidFill>
                    <w14:schemeClr w14:val="tx1"/>
                  </w14:solidFill>
                </w14:textFill>
              </w:rPr>
              <w:t>类项目，</w:t>
            </w:r>
            <w:r>
              <w:rPr>
                <w:rFonts w:hint="eastAsia"/>
                <w:color w:val="000000" w:themeColor="text1"/>
                <w14:textFill>
                  <w14:solidFill>
                    <w14:schemeClr w14:val="tx1"/>
                  </w14:solidFill>
                </w14:textFill>
              </w:rPr>
              <w:t>符合</w:t>
            </w:r>
            <w:r>
              <w:rPr>
                <w:rFonts w:hint="eastAsia"/>
                <w:color w:val="000000" w:themeColor="text1"/>
                <w:lang w:val="en-US" w:eastAsia="zh-CN"/>
                <w14:textFill>
                  <w14:solidFill>
                    <w14:schemeClr w14:val="tx1"/>
                  </w14:solidFill>
                </w14:textFill>
              </w:rPr>
              <w:t>库尔勒</w:t>
            </w:r>
            <w:r>
              <w:rPr>
                <w:rFonts w:hint="eastAsia"/>
                <w:color w:val="000000" w:themeColor="text1"/>
                <w14:textFill>
                  <w14:solidFill>
                    <w14:schemeClr w14:val="tx1"/>
                  </w14:solidFill>
                </w14:textFill>
              </w:rPr>
              <w:t>经济技术开发区总体规划。</w:t>
            </w:r>
          </w:p>
          <w:p w14:paraId="5BD5448A">
            <w:pPr>
              <w:autoSpaceDE w:val="0"/>
              <w:autoSpaceDN w:val="0"/>
              <w:adjustRightInd w:val="0"/>
              <w:snapToGrid w:val="0"/>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、与</w:t>
            </w:r>
            <w:r>
              <w:rPr>
                <w:b/>
                <w:color w:val="000000" w:themeColor="text1"/>
                <w:kern w:val="0"/>
                <w14:textFill>
                  <w14:solidFill>
                    <w14:schemeClr w14:val="tx1"/>
                  </w14:solidFill>
                </w14:textFill>
              </w:rPr>
              <w:t>《库尔勒经济技术开发区总体规划环境影响报告书》（2006-2025年）符合性分析</w:t>
            </w:r>
          </w:p>
          <w:p w14:paraId="468E2775">
            <w:pPr>
              <w:autoSpaceDE w:val="0"/>
              <w:autoSpaceDN w:val="0"/>
              <w:adjustRightInd w:val="0"/>
              <w:snapToGrid w:val="0"/>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根据《库尔勒经济技术开发区总体规划环境影响报告书》（规划期为2006-2025年），申请进入开发区的建设项目必须按照《报告书》相关要求有序建设，选址、布局应严格按《报告书》进行优化，保证安全防护距离</w:t>
            </w:r>
            <w:r>
              <w:rPr>
                <w:rFonts w:hint="eastAsia"/>
                <w:color w:val="000000" w:themeColor="text1"/>
                <w:kern w:val="0"/>
                <w:lang w:eastAsia="zh-CN"/>
                <w14:textFill>
                  <w14:solidFill>
                    <w14:schemeClr w14:val="tx1"/>
                  </w14:solidFill>
                </w14:textFill>
              </w:rPr>
              <w:t>；</w:t>
            </w:r>
            <w:r>
              <w:rPr>
                <w:color w:val="000000" w:themeColor="text1"/>
                <w:kern w:val="0"/>
                <w14:textFill>
                  <w14:solidFill>
                    <w14:schemeClr w14:val="tx1"/>
                  </w14:solidFill>
                </w14:textFill>
              </w:rPr>
              <w:t>必须符合国家有关产业政策和清洁生产要求严格执行环境影响评价和</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三同时</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制度。建立健全环境管理机构，完善各种环境管理制度、环境风险防控体系、污染防治制度和环境监控体系，确保环境安全。在园区基础设施和企业建设项目运营管理中须制定并落实事故风险防范措施和应急预案，配套完善的运行管理设施，防止污染事故的发生</w:t>
            </w:r>
            <w:r>
              <w:rPr>
                <w:rFonts w:hint="eastAsia"/>
                <w:color w:val="000000" w:themeColor="text1"/>
                <w:kern w:val="0"/>
                <w14:textFill>
                  <w14:solidFill>
                    <w14:schemeClr w14:val="tx1"/>
                  </w14:solidFill>
                </w14:textFill>
              </w:rPr>
              <w:t>。</w:t>
            </w:r>
          </w:p>
          <w:p w14:paraId="0E07326E">
            <w:pPr>
              <w:pStyle w:val="41"/>
              <w:keepNext w:val="0"/>
              <w:keepLines w:val="0"/>
              <w:suppressLineNumbers w:val="0"/>
              <w:spacing w:beforeAutospacing="0" w:afterAutospacing="0"/>
              <w:ind w:left="0" w:leftChars="0" w:firstLine="0" w:firstLineChars="0"/>
              <w:jc w:val="cente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表1-</w:t>
            </w:r>
            <w:r>
              <w:rPr>
                <w:rFonts w:hint="eastAsia"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1</w:t>
            </w: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规划环评审查意见的相符性分析</w:t>
            </w:r>
          </w:p>
          <w:tbl>
            <w:tblPr>
              <w:tblStyle w:val="29"/>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380"/>
              <w:gridCol w:w="2836"/>
              <w:gridCol w:w="739"/>
            </w:tblGrid>
            <w:tr w14:paraId="15022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429" w:type="pct"/>
                  <w:tcBorders>
                    <w:tl2br w:val="nil"/>
                    <w:tr2bl w:val="nil"/>
                  </w:tcBorders>
                  <w:noWrap w:val="0"/>
                  <w:vAlign w:val="center"/>
                </w:tcPr>
                <w:p w14:paraId="449A0FD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14:textFill>
                        <w14:solidFill>
                          <w14:schemeClr w14:val="tx1"/>
                        </w14:solidFill>
                      </w14:textFill>
                    </w:rPr>
                    <w:t>规划环评审查意见</w:t>
                  </w:r>
                </w:p>
              </w:tc>
              <w:tc>
                <w:tcPr>
                  <w:tcW w:w="2038" w:type="pct"/>
                  <w:tcBorders>
                    <w:tl2br w:val="nil"/>
                    <w:tr2bl w:val="nil"/>
                  </w:tcBorders>
                  <w:noWrap w:val="0"/>
                  <w:vAlign w:val="center"/>
                </w:tcPr>
                <w:p w14:paraId="235094B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14:textFill>
                        <w14:solidFill>
                          <w14:schemeClr w14:val="tx1"/>
                        </w14:solidFill>
                      </w14:textFill>
                    </w:rPr>
                    <w:t>本项目情况</w:t>
                  </w:r>
                </w:p>
              </w:tc>
              <w:tc>
                <w:tcPr>
                  <w:tcW w:w="531" w:type="pct"/>
                  <w:tcBorders>
                    <w:tl2br w:val="nil"/>
                    <w:tr2bl w:val="nil"/>
                  </w:tcBorders>
                  <w:noWrap w:val="0"/>
                  <w:vAlign w:val="center"/>
                </w:tcPr>
                <w:p w14:paraId="5B90D49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14:textFill>
                        <w14:solidFill>
                          <w14:schemeClr w14:val="tx1"/>
                        </w14:solidFill>
                      </w14:textFill>
                    </w:rPr>
                    <w:t>是否符合</w:t>
                  </w:r>
                </w:p>
              </w:tc>
            </w:tr>
            <w:tr w14:paraId="49027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429" w:type="pct"/>
                  <w:tcBorders>
                    <w:tl2br w:val="nil"/>
                    <w:tr2bl w:val="nil"/>
                  </w:tcBorders>
                  <w:noWrap w:val="0"/>
                  <w:vAlign w:val="center"/>
                </w:tcPr>
                <w:p w14:paraId="5A05A938">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14:textFill>
                        <w14:solidFill>
                          <w14:schemeClr w14:val="tx1"/>
                        </w14:solidFill>
                      </w14:textFill>
                    </w:rPr>
                    <w:t>申请进入开发区的建设项目必须按照《报告书》相关要求有序建设，选址、布局应严格按《报告书》进行优化，保证安全防护距离；必须符合国家有关产业政策和清洁生产要求，严格执行环境影响评价和“三同时”制度。</w:t>
                  </w:r>
                </w:p>
              </w:tc>
              <w:tc>
                <w:tcPr>
                  <w:tcW w:w="2038" w:type="pct"/>
                  <w:tcBorders>
                    <w:tl2br w:val="nil"/>
                    <w:tr2bl w:val="nil"/>
                  </w:tcBorders>
                  <w:noWrap w:val="0"/>
                  <w:vAlign w:val="center"/>
                </w:tcPr>
                <w:p w14:paraId="06D100C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eastAsia" w:eastAsia="新宋体" w:cs="Times New Roman"/>
                      <w:b w:val="0"/>
                      <w:bCs w:val="0"/>
                      <w:color w:val="000000" w:themeColor="text1"/>
                      <w:kern w:val="0"/>
                      <w:sz w:val="21"/>
                      <w:szCs w:val="21"/>
                      <w:lang w:val="en-US" w:eastAsia="zh-CN"/>
                      <w14:textFill>
                        <w14:solidFill>
                          <w14:schemeClr w14:val="tx1"/>
                        </w14:solidFill>
                      </w14:textFill>
                    </w:rPr>
                    <w:t>本项目符合库尔勒经济技术开发区规划中石油技术服务产业体系附属检测服务的要求，</w:t>
                  </w:r>
                  <w:r>
                    <w:rPr>
                      <w:rFonts w:hint="default" w:ascii="Times New Roman" w:hAnsi="Times New Roman" w:eastAsia="新宋体" w:cs="Times New Roman"/>
                      <w:b w:val="0"/>
                      <w:bCs w:val="0"/>
                      <w:color w:val="000000" w:themeColor="text1"/>
                      <w:kern w:val="0"/>
                      <w:sz w:val="21"/>
                      <w:szCs w:val="21"/>
                      <w14:textFill>
                        <w14:solidFill>
                          <w14:schemeClr w14:val="tx1"/>
                        </w14:solidFill>
                      </w14:textFill>
                    </w:rPr>
                    <w:t>已开展建设项目环境影响评价，并严格执行建设项目“三同时”环境管理制度。</w:t>
                  </w:r>
                </w:p>
              </w:tc>
              <w:tc>
                <w:tcPr>
                  <w:tcW w:w="531" w:type="pct"/>
                  <w:tcBorders>
                    <w:tl2br w:val="nil"/>
                    <w:tr2bl w:val="nil"/>
                  </w:tcBorders>
                  <w:noWrap w:val="0"/>
                  <w:vAlign w:val="center"/>
                </w:tcPr>
                <w:p w14:paraId="297C67F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lang w:val="en-US" w:eastAsia="zh-CN"/>
                      <w14:textFill>
                        <w14:solidFill>
                          <w14:schemeClr w14:val="tx1"/>
                        </w14:solidFill>
                      </w14:textFill>
                    </w:rPr>
                    <w:t>符合</w:t>
                  </w:r>
                </w:p>
              </w:tc>
            </w:tr>
            <w:tr w14:paraId="7F23A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429" w:type="pct"/>
                  <w:tcBorders>
                    <w:tl2br w:val="nil"/>
                    <w:tr2bl w:val="nil"/>
                  </w:tcBorders>
                  <w:noWrap w:val="0"/>
                  <w:vAlign w:val="center"/>
                </w:tcPr>
                <w:p w14:paraId="4549CEBB">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14:textFill>
                        <w14:solidFill>
                          <w14:schemeClr w14:val="tx1"/>
                        </w14:solidFill>
                      </w14:textFill>
                    </w:rPr>
                    <w:t>建立环境管理和环境监控体系，入驻项目要按照污染源自动监控体系并与环保局联网，加强开发区的综合环境管理和企业环境管理，实施开发区污染源和环境质量监控；加强开发区污染物排放的监管力度，满足区域环境质量和总量控制的要求，妥善处置开发区内产生的固体废物和危险废物。</w:t>
                  </w:r>
                </w:p>
              </w:tc>
              <w:tc>
                <w:tcPr>
                  <w:tcW w:w="2038" w:type="pct"/>
                  <w:tcBorders>
                    <w:tl2br w:val="nil"/>
                    <w:tr2bl w:val="nil"/>
                  </w:tcBorders>
                  <w:noWrap w:val="0"/>
                  <w:vAlign w:val="center"/>
                </w:tcPr>
                <w:p w14:paraId="1F69DCC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eastAsia" w:eastAsia="新宋体" w:cs="Times New Roman"/>
                      <w:b w:val="0"/>
                      <w:bCs w:val="0"/>
                      <w:color w:val="000000" w:themeColor="text1"/>
                      <w:kern w:val="0"/>
                      <w:sz w:val="21"/>
                      <w:szCs w:val="21"/>
                      <w:lang w:val="en-US" w:eastAsia="zh-CN"/>
                      <w14:textFill>
                        <w14:solidFill>
                          <w14:schemeClr w14:val="tx1"/>
                        </w14:solidFill>
                      </w14:textFill>
                    </w:rPr>
                    <w:t>本项目酸性废气、有机废气经通风橱，硫化氢废气由密闭管路收集一同经“碱喷淋+活性炭吸附”装置处理引至15m高排放；含酸液态危废、实验固态危废在危废暂存间收集后定期委托有危废处置资质单位拉运</w:t>
                  </w:r>
                  <w:r>
                    <w:rPr>
                      <w:rFonts w:hint="default" w:ascii="Times New Roman" w:hAnsi="Times New Roman" w:eastAsia="新宋体" w:cs="Times New Roman"/>
                      <w:b w:val="0"/>
                      <w:bCs w:val="0"/>
                      <w:color w:val="000000" w:themeColor="text1"/>
                      <w:kern w:val="0"/>
                      <w:sz w:val="21"/>
                      <w:szCs w:val="21"/>
                      <w14:textFill>
                        <w14:solidFill>
                          <w14:schemeClr w14:val="tx1"/>
                        </w14:solidFill>
                      </w14:textFill>
                    </w:rPr>
                    <w:t>。</w:t>
                  </w:r>
                </w:p>
              </w:tc>
              <w:tc>
                <w:tcPr>
                  <w:tcW w:w="531" w:type="pct"/>
                  <w:tcBorders>
                    <w:tl2br w:val="nil"/>
                    <w:tr2bl w:val="nil"/>
                  </w:tcBorders>
                  <w:noWrap w:val="0"/>
                  <w:vAlign w:val="center"/>
                </w:tcPr>
                <w:p w14:paraId="75B2A74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lang w:val="en-US" w:eastAsia="zh-CN"/>
                      <w14:textFill>
                        <w14:solidFill>
                          <w14:schemeClr w14:val="tx1"/>
                        </w14:solidFill>
                      </w14:textFill>
                    </w:rPr>
                    <w:t>符合</w:t>
                  </w:r>
                </w:p>
              </w:tc>
            </w:tr>
            <w:tr w14:paraId="65502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429" w:type="pct"/>
                  <w:tcBorders>
                    <w:tl2br w:val="nil"/>
                    <w:tr2bl w:val="nil"/>
                  </w:tcBorders>
                  <w:noWrap w:val="0"/>
                  <w:vAlign w:val="center"/>
                </w:tcPr>
                <w:p w14:paraId="601777A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14:textFill>
                        <w14:solidFill>
                          <w14:schemeClr w14:val="tx1"/>
                        </w14:solidFill>
                      </w14:textFill>
                    </w:rPr>
                    <w:t>建立健全环境管理机构，完善各种环境管理制度、环境风险防控体系、污染防治制度和环境监控体系，确保环境安全。在园区基础设施和企业建设项目运营管理中须制定并落实事故风险防范措施和应急预案，配套完善的运行管理设施，防止污染事故的发生。</w:t>
                  </w:r>
                </w:p>
              </w:tc>
              <w:tc>
                <w:tcPr>
                  <w:tcW w:w="2038" w:type="pct"/>
                  <w:tcBorders>
                    <w:tl2br w:val="nil"/>
                    <w:tr2bl w:val="nil"/>
                  </w:tcBorders>
                  <w:noWrap w:val="0"/>
                  <w:vAlign w:val="center"/>
                </w:tcPr>
                <w:p w14:paraId="3D95F6F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14:textFill>
                        <w14:solidFill>
                          <w14:schemeClr w14:val="tx1"/>
                        </w14:solidFill>
                      </w14:textFill>
                    </w:rPr>
                    <w:t>项目建成后按照相关规定落实完善各项事故防范、处理制度和措施。</w:t>
                  </w:r>
                </w:p>
              </w:tc>
              <w:tc>
                <w:tcPr>
                  <w:tcW w:w="531" w:type="pct"/>
                  <w:tcBorders>
                    <w:tl2br w:val="nil"/>
                    <w:tr2bl w:val="nil"/>
                  </w:tcBorders>
                  <w:noWrap w:val="0"/>
                  <w:vAlign w:val="center"/>
                </w:tcPr>
                <w:p w14:paraId="2BEF737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新宋体" w:cs="Times New Roman"/>
                      <w:b w:val="0"/>
                      <w:bCs w:val="0"/>
                      <w:color w:val="000000" w:themeColor="text1"/>
                      <w:kern w:val="0"/>
                      <w:sz w:val="21"/>
                      <w:szCs w:val="21"/>
                      <w:lang w:val="en-US" w:eastAsia="zh-CN"/>
                      <w14:textFill>
                        <w14:solidFill>
                          <w14:schemeClr w14:val="tx1"/>
                        </w14:solidFill>
                      </w14:textFill>
                    </w:rPr>
                    <w:t>符合</w:t>
                  </w:r>
                </w:p>
              </w:tc>
            </w:tr>
          </w:tbl>
          <w:p w14:paraId="294A979E">
            <w:pPr>
              <w:keepNext w:val="0"/>
              <w:keepLines w:val="0"/>
              <w:pageBreakBefore w:val="0"/>
              <w:widowControl/>
              <w:suppressLineNumbers w:val="0"/>
              <w:kinsoku w:val="0"/>
              <w:wordWrap/>
              <w:overflowPunct w:val="0"/>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新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新宋体" w:cs="Times New Roman"/>
                <w:b w:val="0"/>
                <w:bCs w:val="0"/>
                <w:color w:val="000000" w:themeColor="text1"/>
                <w:kern w:val="2"/>
                <w:sz w:val="24"/>
                <w:szCs w:val="24"/>
                <w:lang w:val="en-US" w:eastAsia="zh-CN" w:bidi="ar-SA"/>
                <w14:textFill>
                  <w14:solidFill>
                    <w14:schemeClr w14:val="tx1"/>
                  </w14:solidFill>
                </w14:textFill>
              </w:rPr>
              <w:t>综上，本项目建设符合《库尔勒经济技术开发区总体规划（2006-2025年）》《库尔勒经济技术开发区总体规划环境影响报告书》（2006-2025年）规划要求。</w:t>
            </w:r>
          </w:p>
          <w:p w14:paraId="15129E6C">
            <w:pPr>
              <w:keepNext w:val="0"/>
              <w:keepLines w:val="0"/>
              <w:pageBreakBefore w:val="0"/>
              <w:widowControl/>
              <w:suppressLineNumbers w:val="0"/>
              <w:kinsoku w:val="0"/>
              <w:wordWrap/>
              <w:overflowPunct w:val="0"/>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default" w:eastAsia="宋体"/>
                <w:color w:val="000000" w:themeColor="text1"/>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kern w:val="2"/>
                <w:sz w:val="24"/>
                <w:szCs w:val="24"/>
                <w:lang w:val="en-US" w:eastAsia="zh-CN" w:bidi="ar-SA"/>
                <w14:textFill>
                  <w14:solidFill>
                    <w14:schemeClr w14:val="tx1"/>
                  </w14:solidFill>
                </w14:textFill>
              </w:rPr>
              <w:t>本项目符合《库尔勒经济技术开发区总体规划（2006-2025年）》</w:t>
            </w:r>
            <w:r>
              <w:rPr>
                <w:rFonts w:hint="eastAsia" w:eastAsia="新宋体" w:cs="Times New Roman"/>
                <w:b w:val="0"/>
                <w:bCs w:val="0"/>
                <w:color w:val="000000" w:themeColor="text1"/>
                <w:kern w:val="2"/>
                <w:sz w:val="24"/>
                <w:szCs w:val="24"/>
                <w:lang w:val="en-US" w:eastAsia="zh-CN" w:bidi="ar-SA"/>
                <w14:textFill>
                  <w14:solidFill>
                    <w14:schemeClr w14:val="tx1"/>
                  </w14:solidFill>
                </w14:textFill>
              </w:rPr>
              <w:t>，</w:t>
            </w:r>
            <w:r>
              <w:rPr>
                <w:rFonts w:hint="eastAsia"/>
                <w:color w:val="000000" w:themeColor="text1"/>
                <w:lang w:val="en-US" w:eastAsia="zh-CN"/>
                <w14:textFill>
                  <w14:solidFill>
                    <w14:schemeClr w14:val="tx1"/>
                  </w14:solidFill>
                </w14:textFill>
              </w:rPr>
              <w:t>规划位置图见附图8。</w:t>
            </w:r>
          </w:p>
        </w:tc>
      </w:tr>
      <w:tr w14:paraId="46C547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15" w:hRule="atLeast"/>
          <w:jc w:val="center"/>
        </w:trPr>
        <w:tc>
          <w:tcPr>
            <w:tcW w:w="1686" w:type="dxa"/>
            <w:tcBorders>
              <w:tl2br w:val="nil"/>
              <w:tr2bl w:val="nil"/>
            </w:tcBorders>
            <w:vAlign w:val="center"/>
          </w:tcPr>
          <w:p w14:paraId="6AE02BE2">
            <w:pPr>
              <w:autoSpaceDE w:val="0"/>
              <w:autoSpaceDN w:val="0"/>
              <w:adjustRightInd w:val="0"/>
              <w:snapToGrid w:val="0"/>
              <w:spacing w:line="240" w:lineRule="auto"/>
              <w:ind w:firstLine="0" w:firstLineChars="0"/>
              <w:jc w:val="center"/>
              <w:rPr>
                <w:color w:val="000000" w:themeColor="text1"/>
                <w:kern w:val="0"/>
                <w14:textFill>
                  <w14:solidFill>
                    <w14:schemeClr w14:val="tx1"/>
                  </w14:solidFill>
                </w14:textFill>
              </w:rPr>
            </w:pPr>
            <w:r>
              <w:rPr>
                <w:color w:val="000000" w:themeColor="text1"/>
                <w:szCs w:val="32"/>
                <w14:textFill>
                  <w14:solidFill>
                    <w14:schemeClr w14:val="tx1"/>
                  </w14:solidFill>
                </w14:textFill>
              </w:rPr>
              <w:t>其他符合性分析</w:t>
            </w:r>
          </w:p>
        </w:tc>
        <w:tc>
          <w:tcPr>
            <w:tcW w:w="7190" w:type="dxa"/>
            <w:gridSpan w:val="3"/>
            <w:tcBorders>
              <w:tl2br w:val="nil"/>
              <w:tr2bl w:val="nil"/>
            </w:tcBorders>
            <w:vAlign w:val="center"/>
          </w:tcPr>
          <w:p w14:paraId="23D269C6">
            <w:pPr>
              <w:keepNext w:val="0"/>
              <w:keepLines w:val="0"/>
              <w:pageBreakBefore w:val="0"/>
              <w:widowControl w:val="0"/>
              <w:kinsoku/>
              <w:wordWrap/>
              <w:overflowPunct/>
              <w:topLinePunct w:val="0"/>
              <w:bidi w:val="0"/>
              <w:spacing w:line="360" w:lineRule="auto"/>
              <w:ind w:firstLine="482"/>
              <w:textAlignment w:val="auto"/>
              <w:rPr>
                <w:b/>
                <w:bCs/>
                <w:color w:val="000000" w:themeColor="text1"/>
                <w14:textFill>
                  <w14:solidFill>
                    <w14:schemeClr w14:val="tx1"/>
                  </w14:solidFill>
                </w14:textFill>
              </w:rPr>
            </w:pPr>
            <w:r>
              <w:rPr>
                <w:b/>
                <w:bCs/>
                <w:color w:val="000000" w:themeColor="text1"/>
                <w14:textFill>
                  <w14:solidFill>
                    <w14:schemeClr w14:val="tx1"/>
                  </w14:solidFill>
                </w14:textFill>
              </w:rPr>
              <w:t>1、产业政策符合性</w:t>
            </w:r>
            <w:r>
              <w:rPr>
                <w:rFonts w:hint="eastAsia"/>
                <w:b/>
                <w:bCs/>
                <w:color w:val="000000" w:themeColor="text1"/>
                <w14:textFill>
                  <w14:solidFill>
                    <w14:schemeClr w14:val="tx1"/>
                  </w14:solidFill>
                </w14:textFill>
              </w:rPr>
              <w:t>分析</w:t>
            </w:r>
          </w:p>
          <w:p w14:paraId="3DDBDE2B">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eastAsia="宋体"/>
                <w:color w:val="000000" w:themeColor="text1"/>
                <w:lang w:eastAsia="zh-CN" w:bidi="ar"/>
                <w14:textFill>
                  <w14:solidFill>
                    <w14:schemeClr w14:val="tx1"/>
                  </w14:solidFill>
                </w14:textFill>
              </w:rPr>
            </w:pPr>
            <w:r>
              <w:rPr>
                <w:color w:val="000000" w:themeColor="text1"/>
                <w14:textFill>
                  <w14:solidFill>
                    <w14:schemeClr w14:val="tx1"/>
                  </w14:solidFill>
                </w14:textFill>
              </w:rPr>
              <w:t>根据《产业结构调整指导目录》</w:t>
            </w:r>
            <w:r>
              <w:rPr>
                <w:rFonts w:hint="eastAsia"/>
                <w:color w:val="000000" w:themeColor="text1"/>
                <w14:textFill>
                  <w14:solidFill>
                    <w14:schemeClr w14:val="tx1"/>
                  </w14:solidFill>
                </w14:textFill>
              </w:rPr>
              <w:t>（2019年本）（20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中华人民共和国国家发展和改革委员会令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第49号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属于</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第</w:t>
            </w:r>
            <w:r>
              <w:rPr>
                <w:rFonts w:hint="eastAsia"/>
                <w:color w:val="000000" w:themeColor="text1"/>
                <w14:textFill>
                  <w14:solidFill>
                    <w14:schemeClr w14:val="tx1"/>
                  </w14:solidFill>
                </w14:textFill>
              </w:rPr>
              <w:t>三十一、科技服务业1．工业设计、气象、生物及医药、新材料、新能源、节能、环保、测绘、海洋等专业科技服务，标准化服务、计量测试、质量认证和检验检测服务，科技普及。</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不属于目录中</w:t>
            </w: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限制类</w:t>
            </w: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和</w:t>
            </w: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淘汰类</w:t>
            </w: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为</w:t>
            </w:r>
            <w:r>
              <w:rPr>
                <w:rFonts w:hint="eastAsia"/>
                <w:color w:val="000000" w:themeColor="text1"/>
                <w:lang w:bidi="ar"/>
                <w14:textFill>
                  <w14:solidFill>
                    <w14:schemeClr w14:val="tx1"/>
                  </w14:solidFill>
                </w14:textFill>
              </w:rPr>
              <w:t>鼓励</w:t>
            </w:r>
            <w:r>
              <w:rPr>
                <w:color w:val="000000" w:themeColor="text1"/>
                <w:lang w:bidi="ar"/>
                <w14:textFill>
                  <w14:solidFill>
                    <w14:schemeClr w14:val="tx1"/>
                  </w14:solidFill>
                </w14:textFill>
              </w:rPr>
              <w:t>类项目</w:t>
            </w:r>
            <w:r>
              <w:rPr>
                <w:rFonts w:hint="eastAsia"/>
                <w:color w:val="000000" w:themeColor="text1"/>
                <w:lang w:eastAsia="zh-CN" w:bidi="ar"/>
                <w14:textFill>
                  <w14:solidFill>
                    <w14:schemeClr w14:val="tx1"/>
                  </w14:solidFill>
                </w14:textFill>
              </w:rPr>
              <w:t>。</w:t>
            </w:r>
          </w:p>
          <w:p w14:paraId="5A7EDD38">
            <w:pPr>
              <w:keepNext w:val="0"/>
              <w:keepLines w:val="0"/>
              <w:pageBreakBefore w:val="0"/>
              <w:widowControl w:val="0"/>
              <w:kinsoku/>
              <w:wordWrap/>
              <w:overflowPunct/>
              <w:topLinePunct w:val="0"/>
              <w:bidi w:val="0"/>
              <w:spacing w:line="360" w:lineRule="auto"/>
              <w:ind w:firstLine="480"/>
              <w:textAlignment w:val="auto"/>
              <w:rPr>
                <w:rFonts w:hint="eastAsia" w:eastAsia="宋体"/>
                <w:color w:val="000000" w:themeColor="text1"/>
                <w:lang w:eastAsia="zh-CN" w:bidi="ar"/>
                <w14:textFill>
                  <w14:solidFill>
                    <w14:schemeClr w14:val="tx1"/>
                  </w14:solidFill>
                </w14:textFill>
              </w:rPr>
            </w:pPr>
            <w:r>
              <w:rPr>
                <w:rFonts w:hint="eastAsia"/>
                <w:color w:val="000000" w:themeColor="text1"/>
                <w:lang w:bidi="ar"/>
                <w14:textFill>
                  <w14:solidFill>
                    <w14:schemeClr w14:val="tx1"/>
                  </w14:solidFill>
                </w14:textFill>
              </w:rPr>
              <w:t>本项目行业类别为</w:t>
            </w:r>
            <w:r>
              <w:rPr>
                <w:rFonts w:hint="eastAsia"/>
                <w:color w:val="000000" w:themeColor="text1"/>
                <w14:textFill>
                  <w14:solidFill>
                    <w14:schemeClr w14:val="tx1"/>
                  </w14:solidFill>
                </w14:textFill>
              </w:rPr>
              <w:t>M7452检测服务</w:t>
            </w:r>
            <w:r>
              <w:rPr>
                <w:rFonts w:hint="eastAsia"/>
                <w:color w:val="000000" w:themeColor="text1"/>
                <w:lang w:bidi="ar"/>
                <w14:textFill>
                  <w14:solidFill>
                    <w14:schemeClr w14:val="tx1"/>
                  </w14:solidFill>
                </w14:textFill>
              </w:rPr>
              <w:t>，经对照《市场准入负面清单》（2022年版），本项目的建设不属于禁止准入类</w:t>
            </w:r>
            <w:r>
              <w:rPr>
                <w:rFonts w:hint="eastAsia"/>
                <w:color w:val="000000" w:themeColor="text1"/>
                <w:lang w:eastAsia="zh-CN" w:bidi="ar"/>
                <w14:textFill>
                  <w14:solidFill>
                    <w14:schemeClr w14:val="tx1"/>
                  </w14:solidFill>
                </w14:textFill>
              </w:rPr>
              <w:t>。</w:t>
            </w:r>
          </w:p>
          <w:p w14:paraId="21611C5E">
            <w:pPr>
              <w:keepNext w:val="0"/>
              <w:keepLines w:val="0"/>
              <w:pageBreakBefore w:val="0"/>
              <w:widowControl w:val="0"/>
              <w:kinsoku/>
              <w:wordWrap/>
              <w:overflowPunct/>
              <w:topLinePunct w:val="0"/>
              <w:bidi w:val="0"/>
              <w:spacing w:line="360" w:lineRule="auto"/>
              <w:ind w:firstLine="480"/>
              <w:textAlignment w:val="auto"/>
              <w:rPr>
                <w:color w:val="000000" w:themeColor="text1"/>
                <w14:textFill>
                  <w14:solidFill>
                    <w14:schemeClr w14:val="tx1"/>
                  </w14:solidFill>
                </w14:textFill>
              </w:rPr>
            </w:pPr>
            <w:r>
              <w:rPr>
                <w:color w:val="000000" w:themeColor="text1"/>
                <w:lang w:bidi="ar"/>
                <w14:textFill>
                  <w14:solidFill>
                    <w14:schemeClr w14:val="tx1"/>
                  </w14:solidFill>
                </w14:textFill>
              </w:rPr>
              <w:t>因此</w:t>
            </w:r>
            <w:r>
              <w:rPr>
                <w:rFonts w:hint="eastAsia"/>
                <w:color w:val="000000" w:themeColor="text1"/>
                <w:lang w:bidi="ar"/>
                <w14:textFill>
                  <w14:solidFill>
                    <w14:schemeClr w14:val="tx1"/>
                  </w14:solidFill>
                </w14:textFill>
              </w:rPr>
              <w:t>，</w:t>
            </w:r>
            <w:r>
              <w:rPr>
                <w:rFonts w:hint="eastAsia"/>
                <w:color w:val="000000" w:themeColor="text1"/>
                <w:lang w:val="en-US" w:eastAsia="zh-CN" w:bidi="ar"/>
                <w14:textFill>
                  <w14:solidFill>
                    <w14:schemeClr w14:val="tx1"/>
                  </w14:solidFill>
                </w14:textFill>
              </w:rPr>
              <w:t>本</w:t>
            </w:r>
            <w:r>
              <w:rPr>
                <w:color w:val="000000" w:themeColor="text1"/>
                <w:lang w:bidi="ar"/>
                <w14:textFill>
                  <w14:solidFill>
                    <w14:schemeClr w14:val="tx1"/>
                  </w14:solidFill>
                </w14:textFill>
              </w:rPr>
              <w:t>项目建设符合当前国家和地方的产业政策。</w:t>
            </w:r>
          </w:p>
          <w:p w14:paraId="43876416">
            <w:pPr>
              <w:spacing w:line="240" w:lineRule="auto"/>
              <w:ind w:firstLine="482"/>
              <w:rPr>
                <w:b/>
                <w:bCs/>
                <w:color w:val="000000" w:themeColor="text1"/>
                <w:kern w:val="0"/>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w:t>
            </w:r>
            <w:r>
              <w:rPr>
                <w:b/>
                <w:bCs/>
                <w:color w:val="000000" w:themeColor="text1"/>
                <w:kern w:val="0"/>
                <w14:textFill>
                  <w14:solidFill>
                    <w14:schemeClr w14:val="tx1"/>
                  </w14:solidFill>
                </w14:textFill>
              </w:rPr>
              <w:t>项目选址合理性分析</w:t>
            </w:r>
          </w:p>
          <w:p w14:paraId="6D95EA3F">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根据《库尔勒经济技术开发区总体规划图》，本项目所在地用地规划为M2二类工业用地（详见附图</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），且项目周边无风景名胜区、自然保护区、文物保护单位、饮用水源地等环境敏感保护目标。因此，本项目的选址符合</w:t>
            </w:r>
            <w:r>
              <w:rPr>
                <w:rFonts w:hint="eastAsia"/>
                <w:color w:val="000000" w:themeColor="text1"/>
                <w:lang w:val="en-US" w:eastAsia="zh-CN"/>
                <w14:textFill>
                  <w14:solidFill>
                    <w14:schemeClr w14:val="tx1"/>
                  </w14:solidFill>
                </w14:textFill>
              </w:rPr>
              <w:t>库尔勒经济技术开发区</w:t>
            </w:r>
            <w:r>
              <w:rPr>
                <w:rFonts w:hint="eastAsia"/>
                <w:color w:val="000000" w:themeColor="text1"/>
                <w14:textFill>
                  <w14:solidFill>
                    <w14:schemeClr w14:val="tx1"/>
                  </w14:solidFill>
                </w14:textFill>
              </w:rPr>
              <w:t>总体规划的要求。</w:t>
            </w:r>
          </w:p>
          <w:p w14:paraId="10EF6E57">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周边均为工业企业，周边敏感程度较低，项目区域基础设施完善，交通便利，便于检测产品运输，区域内环境质量较好</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本项目生产过程中产生的各类污染物均能得到合理处置、达标排放，不会对外界环境造成明显不利影响，对周围环境影响较小。</w:t>
            </w:r>
          </w:p>
          <w:p w14:paraId="4B41099A">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根据现场踏勘情况，项目选址位置为闲置厂房，项目建设不会对周边环境产生明显影响。</w:t>
            </w:r>
          </w:p>
          <w:p w14:paraId="792DF173">
            <w:pPr>
              <w:spacing w:line="240" w:lineRule="auto"/>
              <w:ind w:firstLine="482"/>
              <w:rPr>
                <w:b/>
                <w:color w:val="000000" w:themeColor="text1"/>
                <w:kern w:val="0"/>
                <w:szCs w:val="20"/>
                <w14:textFill>
                  <w14:solidFill>
                    <w14:schemeClr w14:val="tx1"/>
                  </w14:solidFill>
                </w14:textFill>
              </w:rPr>
            </w:pPr>
            <w:r>
              <w:rPr>
                <w:rFonts w:hint="eastAsia"/>
                <w:b/>
                <w:color w:val="000000" w:themeColor="text1"/>
                <w:kern w:val="0"/>
                <w:szCs w:val="20"/>
                <w14:textFill>
                  <w14:solidFill>
                    <w14:schemeClr w14:val="tx1"/>
                  </w14:solidFill>
                </w14:textFill>
              </w:rPr>
              <w:t>3、与相关政策法规符合性分析</w:t>
            </w:r>
          </w:p>
          <w:p w14:paraId="5A0F5198">
            <w:pPr>
              <w:spacing w:line="240" w:lineRule="auto"/>
              <w:ind w:firstLine="422"/>
              <w:jc w:val="center"/>
              <w:rPr>
                <w:b/>
                <w:color w:val="000000" w:themeColor="text1"/>
                <w:kern w:val="0"/>
                <w:sz w:val="21"/>
                <w:szCs w:val="16"/>
                <w14:textFill>
                  <w14:solidFill>
                    <w14:schemeClr w14:val="tx1"/>
                  </w14:solidFill>
                </w14:textFill>
              </w:rPr>
            </w:pPr>
            <w:r>
              <w:rPr>
                <w:rFonts w:hint="eastAsia"/>
                <w:b/>
                <w:color w:val="000000" w:themeColor="text1"/>
                <w:kern w:val="0"/>
                <w:sz w:val="21"/>
                <w:szCs w:val="16"/>
                <w14:textFill>
                  <w14:solidFill>
                    <w14:schemeClr w14:val="tx1"/>
                  </w14:solidFill>
                </w14:textFill>
              </w:rPr>
              <w:t>表1-</w:t>
            </w:r>
            <w:r>
              <w:rPr>
                <w:rFonts w:hint="eastAsia"/>
                <w:b/>
                <w:color w:val="000000" w:themeColor="text1"/>
                <w:kern w:val="0"/>
                <w:sz w:val="21"/>
                <w:szCs w:val="16"/>
                <w:lang w:val="en-US" w:eastAsia="zh-CN"/>
                <w14:textFill>
                  <w14:solidFill>
                    <w14:schemeClr w14:val="tx1"/>
                  </w14:solidFill>
                </w14:textFill>
              </w:rPr>
              <w:t>2</w:t>
            </w:r>
            <w:r>
              <w:rPr>
                <w:rFonts w:hint="eastAsia"/>
                <w:b/>
                <w:color w:val="000000" w:themeColor="text1"/>
                <w:kern w:val="0"/>
                <w:sz w:val="21"/>
                <w:szCs w:val="16"/>
                <w14:textFill>
                  <w14:solidFill>
                    <w14:schemeClr w14:val="tx1"/>
                  </w14:solidFill>
                </w14:textFill>
              </w:rPr>
              <w:t>与政策方案的符合性分析</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845"/>
              <w:gridCol w:w="2018"/>
              <w:gridCol w:w="985"/>
            </w:tblGrid>
            <w:tr w14:paraId="68D0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tcBorders>
                    <w:tl2br w:val="nil"/>
                    <w:tr2bl w:val="nil"/>
                  </w:tcBorders>
                  <w:vAlign w:val="center"/>
                </w:tcPr>
                <w:p w14:paraId="01C2A1A5">
                  <w:pPr>
                    <w:spacing w:line="240" w:lineRule="auto"/>
                    <w:ind w:firstLine="0" w:firstLineChars="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文件名称</w:t>
                  </w:r>
                </w:p>
              </w:tc>
              <w:tc>
                <w:tcPr>
                  <w:tcW w:w="2042" w:type="pct"/>
                  <w:tcBorders>
                    <w:tl2br w:val="nil"/>
                    <w:tr2bl w:val="nil"/>
                  </w:tcBorders>
                  <w:vAlign w:val="center"/>
                </w:tcPr>
                <w:p w14:paraId="7E9828A6">
                  <w:pPr>
                    <w:spacing w:line="240" w:lineRule="auto"/>
                    <w:ind w:firstLine="0" w:firstLineChars="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文件要求</w:t>
                  </w:r>
                </w:p>
              </w:tc>
              <w:tc>
                <w:tcPr>
                  <w:tcW w:w="1449" w:type="pct"/>
                  <w:tcBorders>
                    <w:tl2br w:val="nil"/>
                    <w:tr2bl w:val="nil"/>
                  </w:tcBorders>
                  <w:vAlign w:val="center"/>
                </w:tcPr>
                <w:p w14:paraId="275C532B">
                  <w:pPr>
                    <w:spacing w:line="240" w:lineRule="auto"/>
                    <w:ind w:firstLine="0" w:firstLineChars="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本项目情况</w:t>
                  </w:r>
                </w:p>
              </w:tc>
              <w:tc>
                <w:tcPr>
                  <w:tcW w:w="707" w:type="pct"/>
                  <w:tcBorders>
                    <w:tl2br w:val="nil"/>
                    <w:tr2bl w:val="nil"/>
                  </w:tcBorders>
                  <w:vAlign w:val="center"/>
                </w:tcPr>
                <w:p w14:paraId="446F68F0">
                  <w:pPr>
                    <w:spacing w:line="240" w:lineRule="auto"/>
                    <w:ind w:firstLine="0" w:firstLineChars="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符合性分析</w:t>
                  </w:r>
                </w:p>
              </w:tc>
            </w:tr>
            <w:tr w14:paraId="7C0C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tcBorders>
                    <w:tl2br w:val="nil"/>
                    <w:tr2bl w:val="nil"/>
                  </w:tcBorders>
                  <w:vAlign w:val="center"/>
                </w:tcPr>
                <w:p w14:paraId="791A787A">
                  <w:pPr>
                    <w:spacing w:line="240" w:lineRule="auto"/>
                    <w:ind w:firstLine="0" w:firstLineChars="0"/>
                    <w:jc w:val="center"/>
                    <w:rPr>
                      <w:bCs/>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《中华人民共和国大气污染防治法》</w:t>
                  </w:r>
                </w:p>
              </w:tc>
              <w:tc>
                <w:tcPr>
                  <w:tcW w:w="2042" w:type="pct"/>
                  <w:tcBorders>
                    <w:tl2br w:val="nil"/>
                    <w:tr2bl w:val="nil"/>
                  </w:tcBorders>
                  <w:vAlign w:val="center"/>
                </w:tcPr>
                <w:p w14:paraId="4FD5AAFB">
                  <w:pPr>
                    <w:widowControl/>
                    <w:spacing w:line="240" w:lineRule="auto"/>
                    <w:ind w:firstLine="0" w:firstLineChars="0"/>
                    <w:jc w:val="center"/>
                    <w:rPr>
                      <w:bCs/>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四十五条产生含挥发性有机物废气的生产和服务活动，应当在密闭空间或者设备中进行，并按照规定安装、使用污染防治设施；无法密闭的，应当采取措施减少废气排放。</w:t>
                  </w:r>
                </w:p>
              </w:tc>
              <w:tc>
                <w:tcPr>
                  <w:tcW w:w="1449" w:type="pct"/>
                  <w:tcBorders>
                    <w:tl2br w:val="nil"/>
                    <w:tr2bl w:val="nil"/>
                  </w:tcBorders>
                  <w:vAlign w:val="center"/>
                </w:tcPr>
                <w:p w14:paraId="4B804796">
                  <w:pPr>
                    <w:spacing w:line="240" w:lineRule="auto"/>
                    <w:ind w:firstLine="0" w:firstLineChars="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本项目</w:t>
                  </w:r>
                  <w:r>
                    <w:rPr>
                      <w:rFonts w:hint="eastAsia"/>
                      <w:bCs/>
                      <w:color w:val="000000" w:themeColor="text1"/>
                      <w:kern w:val="0"/>
                      <w:sz w:val="21"/>
                      <w:szCs w:val="21"/>
                      <w:lang w:val="en-US" w:eastAsia="zh-CN"/>
                      <w14:textFill>
                        <w14:solidFill>
                          <w14:schemeClr w14:val="tx1"/>
                        </w14:solidFill>
                      </w14:textFill>
                    </w:rPr>
                    <w:t>油井装备、管道腐蚀实验过程清洗用挥发性溶剂在厂房内通风橱进行，由密闭管道连接经“碱喷淋+活性炭吸附”处理后</w:t>
                  </w:r>
                  <w:r>
                    <w:rPr>
                      <w:rFonts w:hint="eastAsia"/>
                      <w:bCs/>
                      <w:color w:val="000000" w:themeColor="text1"/>
                      <w:kern w:val="0"/>
                      <w:sz w:val="21"/>
                      <w:szCs w:val="21"/>
                      <w14:textFill>
                        <w14:solidFill>
                          <w14:schemeClr w14:val="tx1"/>
                        </w14:solidFill>
                      </w14:textFill>
                    </w:rPr>
                    <w:t>可实现达标排放</w:t>
                  </w:r>
                  <w:r>
                    <w:rPr>
                      <w:rFonts w:hint="eastAsia"/>
                      <w:bCs/>
                      <w:color w:val="000000" w:themeColor="text1"/>
                      <w:kern w:val="0"/>
                      <w:sz w:val="21"/>
                      <w:szCs w:val="21"/>
                      <w:lang w:eastAsia="zh-CN"/>
                      <w14:textFill>
                        <w14:solidFill>
                          <w14:schemeClr w14:val="tx1"/>
                        </w14:solidFill>
                      </w14:textFill>
                    </w:rPr>
                    <w:t>。</w:t>
                  </w:r>
                </w:p>
              </w:tc>
              <w:tc>
                <w:tcPr>
                  <w:tcW w:w="707" w:type="pct"/>
                  <w:tcBorders>
                    <w:tl2br w:val="nil"/>
                    <w:tr2bl w:val="nil"/>
                  </w:tcBorders>
                  <w:vAlign w:val="center"/>
                </w:tcPr>
                <w:p w14:paraId="4B06BB36">
                  <w:pPr>
                    <w:spacing w:line="240" w:lineRule="auto"/>
                    <w:ind w:firstLine="0" w:firstLineChars="0"/>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符合</w:t>
                  </w:r>
                </w:p>
              </w:tc>
            </w:tr>
            <w:tr w14:paraId="7D27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tcBorders>
                    <w:tl2br w:val="nil"/>
                    <w:tr2bl w:val="nil"/>
                  </w:tcBorders>
                  <w:vAlign w:val="center"/>
                </w:tcPr>
                <w:p w14:paraId="19A25A6A">
                  <w:pPr>
                    <w:keepNext w:val="0"/>
                    <w:keepLines w:val="0"/>
                    <w:pageBreakBefore w:val="0"/>
                    <w:kinsoku/>
                    <w:wordWrap/>
                    <w:overflowPunct/>
                    <w:topLinePunct w:val="0"/>
                    <w:autoSpaceDE/>
                    <w:autoSpaceDN/>
                    <w:bidi w:val="0"/>
                    <w:adjustRightInd/>
                    <w:snapToGrid/>
                    <w:spacing w:line="280" w:lineRule="exact"/>
                    <w:ind w:right="0" w:rightChars="0" w:firstLine="0" w:firstLineChars="0"/>
                    <w:jc w:val="both"/>
                    <w:textAlignment w:val="auto"/>
                    <w:rPr>
                      <w:color w:val="000000" w:themeColor="text1"/>
                      <w:kern w:val="0"/>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《新疆维吾尔自治区环境保护条例》</w:t>
                  </w:r>
                </w:p>
              </w:tc>
              <w:tc>
                <w:tcPr>
                  <w:tcW w:w="2042" w:type="pct"/>
                  <w:tcBorders>
                    <w:tl2br w:val="nil"/>
                    <w:tr2bl w:val="nil"/>
                  </w:tcBorders>
                  <w:vAlign w:val="center"/>
                </w:tcPr>
                <w:p w14:paraId="7AED8303">
                  <w:pPr>
                    <w:keepNext w:val="0"/>
                    <w:keepLines w:val="0"/>
                    <w:pageBreakBefore w:val="0"/>
                    <w:widowControl w:val="0"/>
                    <w:kinsoku/>
                    <w:wordWrap/>
                    <w:overflowPunct/>
                    <w:topLinePunct w:val="0"/>
                    <w:autoSpaceDE/>
                    <w:autoSpaceDN/>
                    <w:bidi w:val="0"/>
                    <w:adjustRightInd/>
                    <w:snapToGrid/>
                    <w:spacing w:line="280" w:lineRule="exact"/>
                    <w:ind w:right="0" w:rightChars="0" w:firstLine="0" w:firstLineChars="0"/>
                    <w:jc w:val="both"/>
                    <w:textAlignment w:val="auto"/>
                    <w:rPr>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各类开发和建设活动应当符合环境保护规划和生态功能区划的要求，严格遵守生态保护红线的规定。</w:t>
                  </w:r>
                </w:p>
              </w:tc>
              <w:tc>
                <w:tcPr>
                  <w:tcW w:w="1449" w:type="pct"/>
                  <w:tcBorders>
                    <w:tl2br w:val="nil"/>
                    <w:tr2bl w:val="nil"/>
                  </w:tcBorders>
                  <w:vAlign w:val="center"/>
                </w:tcPr>
                <w:p w14:paraId="2AAC8510">
                  <w:pPr>
                    <w:keepNext w:val="0"/>
                    <w:keepLines w:val="0"/>
                    <w:pageBreakBefore w:val="0"/>
                    <w:widowControl w:val="0"/>
                    <w:kinsoku/>
                    <w:wordWrap/>
                    <w:overflowPunct/>
                    <w:topLinePunct w:val="0"/>
                    <w:autoSpaceDE/>
                    <w:autoSpaceDN/>
                    <w:bidi w:val="0"/>
                    <w:adjustRightInd/>
                    <w:snapToGrid/>
                    <w:spacing w:line="280" w:lineRule="exact"/>
                    <w:ind w:right="0" w:rightChars="0" w:firstLine="0" w:firstLineChars="0"/>
                    <w:jc w:val="both"/>
                    <w:textAlignment w:val="auto"/>
                    <w:rPr>
                      <w:rFonts w:hint="eastAsia"/>
                      <w:bCs/>
                      <w:color w:val="000000" w:themeColor="text1"/>
                      <w:kern w:val="0"/>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本项目符合环</w:t>
                  </w:r>
                  <w:r>
                    <w:rPr>
                      <w:rFonts w:hint="default" w:ascii="Times New Roman" w:hAnsi="Times New Roman" w:eastAsia="宋体" w:cs="Times New Roman"/>
                      <w:color w:val="000000" w:themeColor="text1"/>
                      <w:sz w:val="21"/>
                      <w:szCs w:val="21"/>
                      <w14:textFill>
                        <w14:solidFill>
                          <w14:schemeClr w14:val="tx1"/>
                        </w14:solidFill>
                      </w14:textFill>
                    </w:rPr>
                    <w:t>境保护规划和生态功能区划的要求</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不涉及生态保护红线</w:t>
                  </w:r>
                </w:p>
              </w:tc>
              <w:tc>
                <w:tcPr>
                  <w:tcW w:w="707" w:type="pct"/>
                  <w:tcBorders>
                    <w:tl2br w:val="nil"/>
                    <w:tr2bl w:val="nil"/>
                  </w:tcBorders>
                  <w:vAlign w:val="center"/>
                </w:tcPr>
                <w:p w14:paraId="4889B023">
                  <w:pPr>
                    <w:keepNext w:val="0"/>
                    <w:keepLines w:val="0"/>
                    <w:pageBreakBefore w:val="0"/>
                    <w:kinsoku/>
                    <w:wordWrap/>
                    <w:overflowPunct/>
                    <w:topLinePunct w:val="0"/>
                    <w:autoSpaceDE/>
                    <w:autoSpaceDN/>
                    <w:bidi w:val="0"/>
                    <w:adjustRightInd/>
                    <w:snapToGrid/>
                    <w:spacing w:line="280" w:lineRule="exact"/>
                    <w:ind w:right="0" w:rightChars="0" w:firstLine="0" w:firstLineChars="0"/>
                    <w:jc w:val="center"/>
                    <w:textAlignment w:val="auto"/>
                    <w:rPr>
                      <w:rFonts w:hint="eastAsia"/>
                      <w:bCs/>
                      <w:color w:val="000000" w:themeColor="text1"/>
                      <w:kern w:val="0"/>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2A01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tcBorders>
                    <w:tl2br w:val="nil"/>
                    <w:tr2bl w:val="nil"/>
                  </w:tcBorders>
                  <w:shd w:val="clear" w:color="auto" w:fill="auto"/>
                  <w:vAlign w:val="center"/>
                </w:tcPr>
                <w:p w14:paraId="0F9E2E28">
                  <w:pPr>
                    <w:widowControl/>
                    <w:spacing w:line="240" w:lineRule="auto"/>
                    <w:ind w:firstLine="0" w:firstLineChars="0"/>
                    <w:jc w:val="center"/>
                    <w:rPr>
                      <w:color w:val="000000" w:themeColor="text1"/>
                      <w:kern w:val="0"/>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《2022年度自治州大气污染防治“冬病夏治”工作推进方案》《巴音郭楞蒙古自治州重污染天气突发环境事件应急预案》</w:t>
                  </w:r>
                </w:p>
              </w:tc>
              <w:tc>
                <w:tcPr>
                  <w:tcW w:w="2042" w:type="pct"/>
                  <w:tcBorders>
                    <w:tl2br w:val="nil"/>
                    <w:tr2bl w:val="nil"/>
                  </w:tcBorders>
                  <w:shd w:val="clear" w:color="auto" w:fill="auto"/>
                  <w:vAlign w:val="center"/>
                </w:tcPr>
                <w:p w14:paraId="6AE21189">
                  <w:pPr>
                    <w:widowControl/>
                    <w:spacing w:line="240" w:lineRule="auto"/>
                    <w:ind w:firstLine="0" w:firstLineChars="0"/>
                    <w:jc w:val="center"/>
                    <w:rPr>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以库尔勒人民广场为中心，半径</w:t>
                  </w:r>
                  <w:r>
                    <w:rPr>
                      <w:color w:val="000000" w:themeColor="text1"/>
                      <w:kern w:val="0"/>
                      <w:sz w:val="21"/>
                      <w:szCs w:val="21"/>
                      <w14:textFill>
                        <w14:solidFill>
                          <w14:schemeClr w14:val="tx1"/>
                        </w14:solidFill>
                      </w14:textFill>
                    </w:rPr>
                    <w:t>50</w:t>
                  </w:r>
                  <w:r>
                    <w:rPr>
                      <w:rFonts w:hint="eastAsia"/>
                      <w:color w:val="000000" w:themeColor="text1"/>
                      <w:kern w:val="0"/>
                      <w:sz w:val="21"/>
                      <w:szCs w:val="21"/>
                      <w14:textFill>
                        <w14:solidFill>
                          <w14:schemeClr w14:val="tx1"/>
                        </w14:solidFill>
                      </w14:textFill>
                    </w:rPr>
                    <w:t>公里的范围，总面积</w:t>
                  </w:r>
                  <w:r>
                    <w:rPr>
                      <w:color w:val="000000" w:themeColor="text1"/>
                      <w:kern w:val="0"/>
                      <w:sz w:val="21"/>
                      <w:szCs w:val="21"/>
                      <w14:textFill>
                        <w14:solidFill>
                          <w14:schemeClr w14:val="tx1"/>
                        </w14:solidFill>
                      </w14:textFill>
                    </w:rPr>
                    <w:t>7850</w:t>
                  </w:r>
                  <w:r>
                    <w:rPr>
                      <w:rFonts w:hint="eastAsia"/>
                      <w:color w:val="000000" w:themeColor="text1"/>
                      <w:kern w:val="0"/>
                      <w:sz w:val="21"/>
                      <w:szCs w:val="21"/>
                      <w14:textFill>
                        <w14:solidFill>
                          <w14:schemeClr w14:val="tx1"/>
                        </w14:solidFill>
                      </w14:textFill>
                    </w:rPr>
                    <w:t>平方公里，主要包括库尔勒市和</w:t>
                  </w:r>
                  <w:r>
                    <w:rPr>
                      <w:rFonts w:hint="eastAsia"/>
                      <w:color w:val="000000" w:themeColor="text1"/>
                      <w:kern w:val="0"/>
                      <w:sz w:val="21"/>
                      <w:szCs w:val="21"/>
                      <w:lang w:eastAsia="zh-CN"/>
                      <w14:textFill>
                        <w14:solidFill>
                          <w14:schemeClr w14:val="tx1"/>
                        </w14:solidFill>
                      </w14:textFill>
                    </w:rPr>
                    <w:t>焉耆回族自治县</w:t>
                  </w:r>
                  <w:r>
                    <w:rPr>
                      <w:rFonts w:hint="eastAsia"/>
                      <w:color w:val="000000" w:themeColor="text1"/>
                      <w:kern w:val="0"/>
                      <w:sz w:val="21"/>
                      <w:szCs w:val="21"/>
                      <w14:textFill>
                        <w14:solidFill>
                          <w14:schemeClr w14:val="tx1"/>
                        </w14:solidFill>
                      </w14:textFill>
                    </w:rPr>
                    <w:t>、博湖县、和静县、尉犁县的部分行政区域划定为库尔勒大气联防联控区，作为我州大气污染治理重点区域。重点区域是以库尔勒人民广场为中心点，半径</w:t>
                  </w:r>
                  <w:r>
                    <w:rPr>
                      <w:color w:val="000000" w:themeColor="text1"/>
                      <w:kern w:val="0"/>
                      <w:sz w:val="21"/>
                      <w:szCs w:val="21"/>
                      <w14:textFill>
                        <w14:solidFill>
                          <w14:schemeClr w14:val="tx1"/>
                        </w14:solidFill>
                      </w14:textFill>
                    </w:rPr>
                    <w:t>25km</w:t>
                  </w:r>
                  <w:r>
                    <w:rPr>
                      <w:rFonts w:hint="eastAsia"/>
                      <w:color w:val="000000" w:themeColor="text1"/>
                      <w:kern w:val="0"/>
                      <w:sz w:val="21"/>
                      <w:szCs w:val="21"/>
                      <w14:textFill>
                        <w14:solidFill>
                          <w14:schemeClr w14:val="tx1"/>
                        </w14:solidFill>
                      </w14:textFill>
                    </w:rPr>
                    <w:t>范围，面积</w:t>
                  </w:r>
                  <w:r>
                    <w:rPr>
                      <w:color w:val="000000" w:themeColor="text1"/>
                      <w:kern w:val="0"/>
                      <w:sz w:val="21"/>
                      <w:szCs w:val="21"/>
                      <w14:textFill>
                        <w14:solidFill>
                          <w14:schemeClr w14:val="tx1"/>
                        </w14:solidFill>
                      </w14:textFill>
                    </w:rPr>
                    <w:t>962.5km2</w:t>
                  </w:r>
                  <w:r>
                    <w:rPr>
                      <w:rFonts w:hint="eastAsia"/>
                      <w:color w:val="000000" w:themeColor="text1"/>
                      <w:kern w:val="0"/>
                      <w:sz w:val="21"/>
                      <w:szCs w:val="21"/>
                      <w14:textFill>
                        <w14:solidFill>
                          <w14:schemeClr w14:val="tx1"/>
                        </w14:solidFill>
                      </w14:textFill>
                    </w:rPr>
                    <w:t>，包括库尔勒市城市建成区、库尔勒</w:t>
                  </w:r>
                  <w:r>
                    <w:rPr>
                      <w:rFonts w:hint="eastAsia"/>
                      <w:color w:val="000000" w:themeColor="text1"/>
                      <w:kern w:val="0"/>
                      <w:sz w:val="21"/>
                      <w:szCs w:val="21"/>
                      <w:lang w:val="en-US" w:eastAsia="zh-CN"/>
                      <w14:textFill>
                        <w14:solidFill>
                          <w14:schemeClr w14:val="tx1"/>
                        </w14:solidFill>
                      </w14:textFill>
                    </w:rPr>
                    <w:t>经济技术开发区</w:t>
                  </w:r>
                  <w:r>
                    <w:rPr>
                      <w:rFonts w:hint="eastAsia"/>
                      <w:color w:val="000000" w:themeColor="text1"/>
                      <w:kern w:val="0"/>
                      <w:sz w:val="21"/>
                      <w:szCs w:val="21"/>
                      <w14:textFill>
                        <w14:solidFill>
                          <w14:schemeClr w14:val="tx1"/>
                        </w14:solidFill>
                      </w14:textFill>
                    </w:rPr>
                    <w:t>和库尔勒塔什店循环经济产业开发区。</w:t>
                  </w:r>
                </w:p>
              </w:tc>
              <w:tc>
                <w:tcPr>
                  <w:tcW w:w="1449" w:type="pct"/>
                  <w:tcBorders>
                    <w:tl2br w:val="nil"/>
                    <w:tr2bl w:val="nil"/>
                  </w:tcBorders>
                  <w:shd w:val="clear" w:color="auto" w:fill="auto"/>
                  <w:vAlign w:val="center"/>
                </w:tcPr>
                <w:p w14:paraId="1625316C">
                  <w:pPr>
                    <w:widowControl/>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本项目位于库尔勒</w:t>
                  </w:r>
                  <w:r>
                    <w:rPr>
                      <w:rFonts w:hint="eastAsia"/>
                      <w:color w:val="000000" w:themeColor="text1"/>
                      <w:kern w:val="0"/>
                      <w:sz w:val="21"/>
                      <w:szCs w:val="21"/>
                      <w:lang w:val="en-US" w:eastAsia="zh-CN"/>
                      <w14:textFill>
                        <w14:solidFill>
                          <w14:schemeClr w14:val="tx1"/>
                        </w14:solidFill>
                      </w14:textFill>
                    </w:rPr>
                    <w:t>经济技术开发区康盛路东侧</w:t>
                  </w:r>
                  <w:r>
                    <w:rPr>
                      <w:rFonts w:hint="eastAsia"/>
                      <w:color w:val="000000" w:themeColor="text1"/>
                      <w:kern w:val="0"/>
                      <w:sz w:val="21"/>
                      <w:szCs w:val="21"/>
                      <w14:textFill>
                        <w14:solidFill>
                          <w14:schemeClr w14:val="tx1"/>
                        </w14:solidFill>
                      </w14:textFill>
                    </w:rPr>
                    <w:t>，处于库尔勒大气联防联控区，是大气污染治理重点区域，</w:t>
                  </w:r>
                  <w:r>
                    <w:rPr>
                      <w:rFonts w:hint="eastAsia"/>
                      <w:color w:val="000000" w:themeColor="text1"/>
                      <w:kern w:val="0"/>
                      <w:sz w:val="21"/>
                      <w:szCs w:val="21"/>
                      <w:lang w:val="en-US" w:eastAsia="zh-CN"/>
                      <w14:textFill>
                        <w14:solidFill>
                          <w14:schemeClr w14:val="tx1"/>
                        </w14:solidFill>
                      </w14:textFill>
                    </w:rPr>
                    <w:t>实验过程挥发性无组织废气执行《挥发性有机物无组织排放控制标准》（GB37822-2019）附录A特别排放限值。</w:t>
                  </w:r>
                </w:p>
              </w:tc>
              <w:tc>
                <w:tcPr>
                  <w:tcW w:w="707" w:type="pct"/>
                  <w:tcBorders>
                    <w:tl2br w:val="nil"/>
                    <w:tr2bl w:val="nil"/>
                  </w:tcBorders>
                  <w:shd w:val="clear" w:color="auto" w:fill="auto"/>
                  <w:vAlign w:val="center"/>
                </w:tcPr>
                <w:p w14:paraId="45CDE11E">
                  <w:pPr>
                    <w:widowControl/>
                    <w:spacing w:line="240" w:lineRule="auto"/>
                    <w:ind w:firstLine="0" w:firstLineChars="0"/>
                    <w:jc w:val="center"/>
                    <w:rPr>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6AD3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tcBorders>
                    <w:tl2br w:val="nil"/>
                    <w:tr2bl w:val="nil"/>
                  </w:tcBorders>
                  <w:vAlign w:val="center"/>
                </w:tcPr>
                <w:p w14:paraId="7788747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bCs/>
                      <w:color w:val="000000" w:themeColor="text1"/>
                      <w:kern w:val="0"/>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《关于印发&lt;2020年挥发性有机物治理攻坚方案&gt;的通知》（环大气</w:t>
                  </w:r>
                  <w:r>
                    <w:rPr>
                      <w:rFonts w:hint="eastAsia"/>
                      <w:b w:val="0"/>
                      <w:bCs w:val="0"/>
                      <w:color w:val="000000" w:themeColor="text1"/>
                      <w:sz w:val="21"/>
                      <w:szCs w:val="21"/>
                      <w:lang w:eastAsia="zh-CN"/>
                      <w14:textFill>
                        <w14:solidFill>
                          <w14:schemeClr w14:val="tx1"/>
                        </w14:solidFill>
                      </w14:textFill>
                    </w:rPr>
                    <w:t>〔2020〕33号</w:t>
                  </w:r>
                  <w:r>
                    <w:rPr>
                      <w:rFonts w:hint="eastAsia"/>
                      <w:b w:val="0"/>
                      <w:bCs w:val="0"/>
                      <w:color w:val="000000" w:themeColor="text1"/>
                      <w:sz w:val="21"/>
                      <w:szCs w:val="21"/>
                      <w14:textFill>
                        <w14:solidFill>
                          <w14:schemeClr w14:val="tx1"/>
                        </w14:solidFill>
                      </w14:textFill>
                    </w:rPr>
                    <w:t>）</w:t>
                  </w:r>
                </w:p>
              </w:tc>
              <w:tc>
                <w:tcPr>
                  <w:tcW w:w="2042" w:type="pct"/>
                  <w:tcBorders>
                    <w:tl2br w:val="nil"/>
                    <w:tr2bl w:val="nil"/>
                  </w:tcBorders>
                  <w:vAlign w:val="center"/>
                </w:tcPr>
                <w:p w14:paraId="15CAE73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宋体" w:hAnsi="宋体" w:cs="宋体"/>
                      <w:bCs/>
                      <w:color w:val="000000" w:themeColor="text1"/>
                      <w:kern w:val="0"/>
                      <w:sz w:val="21"/>
                      <w:szCs w:val="21"/>
                      <w:lang w:bidi="ar"/>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按照“应收尽收”的原则提升废气收集率。</w:t>
                  </w:r>
                  <w:r>
                    <w:rPr>
                      <w:rFonts w:hint="eastAsia" w:cs="Times New Roman"/>
                      <w:color w:val="000000" w:themeColor="text1"/>
                      <w:sz w:val="21"/>
                      <w:szCs w:val="21"/>
                      <w:lang w:val="en-US" w:eastAsia="zh-CN"/>
                      <w14:textFill>
                        <w14:solidFill>
                          <w14:schemeClr w14:val="tx1"/>
                        </w14:solidFill>
                      </w14:textFill>
                    </w:rPr>
                    <w:t>......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采用活性炭吸附技术的，应选择碘值不低于800毫克/克的活性炭，并按设计要求足量添加、及时更换。</w:t>
                  </w:r>
                </w:p>
              </w:tc>
              <w:tc>
                <w:tcPr>
                  <w:tcW w:w="1449" w:type="pct"/>
                  <w:tcBorders>
                    <w:tl2br w:val="nil"/>
                    <w:tr2bl w:val="nil"/>
                  </w:tcBorders>
                  <w:vAlign w:val="center"/>
                </w:tcPr>
                <w:p w14:paraId="37307C6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宋体" w:hAnsi="宋体" w:cs="宋体"/>
                      <w:bCs/>
                      <w:color w:val="000000" w:themeColor="text1"/>
                      <w:kern w:val="0"/>
                      <w:sz w:val="21"/>
                      <w:szCs w:val="21"/>
                      <w:lang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安装了密闭负压通风橱，风管密闭连接末端处理装置为“碱喷淋+活性炭吸附”装置处理。本项目实验过程产生的酸性废气、硫化氢及挥发性有机废气，活性炭吸附设施风速最低为1m/s，活性炭碘值不低于800毫克/克，最大填充量0.5t，定期更换保证活性。</w:t>
                  </w:r>
                </w:p>
              </w:tc>
              <w:tc>
                <w:tcPr>
                  <w:tcW w:w="707" w:type="pct"/>
                  <w:tcBorders>
                    <w:tl2br w:val="nil"/>
                    <w:tr2bl w:val="nil"/>
                  </w:tcBorders>
                  <w:vAlign w:val="center"/>
                </w:tcPr>
                <w:p w14:paraId="5ECBA8D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符合</w:t>
                  </w:r>
                </w:p>
              </w:tc>
            </w:tr>
            <w:tr w14:paraId="7BAA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tcBorders>
                    <w:tl2br w:val="nil"/>
                    <w:tr2bl w:val="nil"/>
                  </w:tcBorders>
                  <w:vAlign w:val="center"/>
                </w:tcPr>
                <w:p w14:paraId="46C6190C">
                  <w:pPr>
                    <w:pStyle w:val="66"/>
                    <w:numPr>
                      <w:ilvl w:val="0"/>
                      <w:numId w:val="0"/>
                    </w:numPr>
                    <w:spacing w:line="320" w:lineRule="exact"/>
                    <w:ind w:left="0" w:leftChars="0" w:firstLine="0" w:firstLineChars="0"/>
                    <w:jc w:val="center"/>
                    <w:rPr>
                      <w:rFonts w:hint="eastAsia"/>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《挥发性有机物无组织排放控制标准》（GB37822-2019）</w:t>
                  </w:r>
                </w:p>
              </w:tc>
              <w:tc>
                <w:tcPr>
                  <w:tcW w:w="2845" w:type="dxa"/>
                  <w:tcBorders>
                    <w:tl2br w:val="nil"/>
                    <w:tr2bl w:val="nil"/>
                  </w:tcBorders>
                  <w:vAlign w:val="center"/>
                </w:tcPr>
                <w:p w14:paraId="31874D3B">
                  <w:pPr>
                    <w:pStyle w:val="66"/>
                    <w:numPr>
                      <w:ilvl w:val="0"/>
                      <w:numId w:val="0"/>
                    </w:numPr>
                    <w:spacing w:line="320" w:lineRule="exact"/>
                    <w:ind w:left="0" w:leftChars="0" w:firstLine="0" w:firstLineChars="0"/>
                    <w:jc w:val="center"/>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VOCs物料应储存于密闭的容器、包装袋、储罐、储库、料仓中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018" w:type="dxa"/>
                  <w:tcBorders>
                    <w:tl2br w:val="nil"/>
                    <w:tr2bl w:val="nil"/>
                  </w:tcBorders>
                  <w:vAlign w:val="center"/>
                </w:tcPr>
                <w:p w14:paraId="6A1B0A23">
                  <w:pPr>
                    <w:pStyle w:val="66"/>
                    <w:numPr>
                      <w:ilvl w:val="0"/>
                      <w:numId w:val="0"/>
                    </w:numPr>
                    <w:spacing w:line="320" w:lineRule="exact"/>
                    <w:ind w:left="0" w:lef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涉及VOCs的化学试剂瓶装、桶装密封保存。</w:t>
                  </w:r>
                </w:p>
              </w:tc>
              <w:tc>
                <w:tcPr>
                  <w:tcW w:w="985" w:type="dxa"/>
                  <w:tcBorders>
                    <w:tl2br w:val="nil"/>
                    <w:tr2bl w:val="nil"/>
                  </w:tcBorders>
                  <w:vAlign w:val="center"/>
                </w:tcPr>
                <w:p w14:paraId="2B336B31">
                  <w:pPr>
                    <w:pStyle w:val="66"/>
                    <w:numPr>
                      <w:ilvl w:val="0"/>
                      <w:numId w:val="0"/>
                    </w:numPr>
                    <w:spacing w:line="320" w:lineRule="exact"/>
                    <w:ind w:left="0" w:leftChars="0" w:firstLine="0" w:firstLineChars="0"/>
                    <w:jc w:val="center"/>
                    <w:rPr>
                      <w:rFonts w:hint="eastAsia"/>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4C8C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tcBorders>
                    <w:tl2br w:val="nil"/>
                    <w:tr2bl w:val="nil"/>
                  </w:tcBorders>
                  <w:vAlign w:val="center"/>
                </w:tcPr>
                <w:p w14:paraId="164DDD1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Helvetica" w:hAnsi="Helvetica" w:eastAsia="Helvetica" w:cs="Helvetica"/>
                      <w:color w:val="000000" w:themeColor="text1"/>
                      <w:sz w:val="21"/>
                      <w:szCs w:val="21"/>
                      <w:shd w:val="clear" w:color="auto" w:fill="FFFFFF"/>
                      <w14:textFill>
                        <w14:solidFill>
                          <w14:schemeClr w14:val="tx1"/>
                        </w14:solidFill>
                      </w14:textFill>
                    </w:rPr>
                  </w:pPr>
                  <w:r>
                    <w:rPr>
                      <w:rFonts w:hint="eastAsia"/>
                      <w:b w:val="0"/>
                      <w:bCs w:val="0"/>
                      <w:color w:val="000000" w:themeColor="text1"/>
                      <w:sz w:val="21"/>
                      <w:szCs w:val="21"/>
                      <w14:textFill>
                        <w14:solidFill>
                          <w14:schemeClr w14:val="tx1"/>
                        </w14:solidFill>
                      </w14:textFill>
                    </w:rPr>
                    <w:t>《巴音郭楞蒙古自治州生态环境“十四五”规划》</w:t>
                  </w:r>
                </w:p>
              </w:tc>
              <w:tc>
                <w:tcPr>
                  <w:tcW w:w="2845" w:type="dxa"/>
                  <w:tcBorders>
                    <w:tl2br w:val="nil"/>
                    <w:tr2bl w:val="nil"/>
                  </w:tcBorders>
                  <w:vAlign w:val="center"/>
                </w:tcPr>
                <w:p w14:paraId="4D60292B">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eastAsia="Helvetica"/>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强重点行业VOCs协同控制。深入实施《自治州重点行业挥发性有机物综合治理方案》，切实推进重点行业VOCs污染治理。重点推进石化、化工、包装印刷、工业涂装等重点行业以及机动车、油品储运销等交通源VOCs污染防治，加强芳香烃、烯烃、炔烃、醛类等活性强的VOCs排放控制，持续削减重点企业VOCs排放量。建立健全以改善环境空气质量为核心的VOCs污染防治管理体系，加强石化、煤化工、表面处理、印刷、油气储罐等重点排放行业的精细化管控，持续实施LARD治理。强化新增污染物排放控制，推进VOCs与NOx等的协同减排，改善环境空气质量。开展化工行业泄漏检测与修复工作</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加大化工行业VOCs治理力度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推广使用低挥发性有机溶剂和涂料</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加强移动源、生活源VOCs管控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推进行业表面涂装工艺VOCs的污染控制。</w:t>
                  </w:r>
                </w:p>
              </w:tc>
              <w:tc>
                <w:tcPr>
                  <w:tcW w:w="2018" w:type="dxa"/>
                  <w:tcBorders>
                    <w:tl2br w:val="nil"/>
                    <w:tr2bl w:val="nil"/>
                  </w:tcBorders>
                  <w:vAlign w:val="center"/>
                </w:tcPr>
                <w:p w14:paraId="6C87A0C7">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Helvetica" w:hAnsi="Helvetica" w:eastAsia="Helvetica" w:cs="Helvetica"/>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本项目不属于《</w:t>
                  </w:r>
                  <w:r>
                    <w:rPr>
                      <w:rFonts w:hint="default" w:ascii="Times New Roman" w:hAnsi="Times New Roman" w:eastAsia="宋体" w:cs="Times New Roman"/>
                      <w:color w:val="000000" w:themeColor="text1"/>
                      <w:sz w:val="21"/>
                      <w:szCs w:val="21"/>
                      <w14:textFill>
                        <w14:solidFill>
                          <w14:schemeClr w14:val="tx1"/>
                        </w14:solidFill>
                      </w14:textFill>
                    </w:rPr>
                    <w:t>自治州重点行业挥发性有机物综合治理方案》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中的重点行业，本项目产生的废气中VOCs较少，经活性炭吸附处理后，对废气中VOCs的去除效率约</w:t>
                  </w:r>
                  <w:r>
                    <w:rPr>
                      <w:rFonts w:hint="eastAsia"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0%，达标排放，对周边环境空气质量的影响较小。</w:t>
                  </w:r>
                </w:p>
              </w:tc>
              <w:tc>
                <w:tcPr>
                  <w:tcW w:w="985" w:type="dxa"/>
                  <w:tcBorders>
                    <w:tl2br w:val="nil"/>
                    <w:tr2bl w:val="nil"/>
                  </w:tcBorders>
                  <w:vAlign w:val="center"/>
                </w:tcPr>
                <w:p w14:paraId="39FFAA9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bCs/>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3A5BB0D7">
            <w:pPr>
              <w:keepNext w:val="0"/>
              <w:keepLines w:val="0"/>
              <w:pageBreakBefore w:val="0"/>
              <w:widowControl/>
              <w:numPr>
                <w:ilvl w:val="0"/>
                <w:numId w:val="0"/>
              </w:numPr>
              <w:suppressLineNumbers w:val="0"/>
              <w:kinsoku w:val="0"/>
              <w:wordWrap/>
              <w:overflowPunct w:val="0"/>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新宋体" w:cs="Times New Roman"/>
                <w:b/>
                <w:bCs/>
                <w:color w:val="000000" w:themeColor="text1"/>
                <w:sz w:val="24"/>
                <w14:textFill>
                  <w14:solidFill>
                    <w14:schemeClr w14:val="tx1"/>
                  </w14:solidFill>
                </w14:textFill>
              </w:rPr>
            </w:pPr>
            <w:r>
              <w:rPr>
                <w:rFonts w:hint="eastAsia" w:eastAsia="新宋体" w:cs="Times New Roman"/>
                <w:b/>
                <w:bCs/>
                <w:color w:val="000000" w:themeColor="text1"/>
                <w:sz w:val="24"/>
                <w:lang w:val="en-US" w:eastAsia="zh-CN"/>
                <w14:textFill>
                  <w14:solidFill>
                    <w14:schemeClr w14:val="tx1"/>
                  </w14:solidFill>
                </w14:textFill>
              </w:rPr>
              <w:t>4</w:t>
            </w:r>
            <w:r>
              <w:rPr>
                <w:rFonts w:hint="default" w:ascii="Times New Roman" w:hAnsi="Times New Roman" w:eastAsia="新宋体" w:cs="Times New Roman"/>
                <w:b/>
                <w:bCs/>
                <w:color w:val="000000" w:themeColor="text1"/>
                <w:sz w:val="24"/>
                <w:lang w:val="en-US" w:eastAsia="zh-CN"/>
                <w14:textFill>
                  <w14:solidFill>
                    <w14:schemeClr w14:val="tx1"/>
                  </w14:solidFill>
                </w14:textFill>
              </w:rPr>
              <w:t>、</w:t>
            </w:r>
            <w:r>
              <w:rPr>
                <w:rFonts w:hint="default" w:ascii="Times New Roman" w:hAnsi="Times New Roman" w:eastAsia="新宋体" w:cs="Times New Roman"/>
                <w:b/>
                <w:bCs/>
                <w:color w:val="000000" w:themeColor="text1"/>
                <w:sz w:val="24"/>
                <w14:textFill>
                  <w14:solidFill>
                    <w14:schemeClr w14:val="tx1"/>
                  </w14:solidFill>
                </w14:textFill>
              </w:rPr>
              <w:t>项目“三线一单”符合性分析</w:t>
            </w:r>
          </w:p>
          <w:p w14:paraId="47B3696B">
            <w:pPr>
              <w:keepNext w:val="0"/>
              <w:keepLines w:val="0"/>
              <w:widowControl/>
              <w:suppressLineNumbers w:val="0"/>
              <w:autoSpaceDE w:val="0"/>
              <w:spacing w:before="0" w:beforeAutospacing="0" w:after="0" w:afterAutospacing="0" w:line="360" w:lineRule="auto"/>
              <w:ind w:left="0" w:right="0" w:firstLine="480" w:firstLineChars="200"/>
              <w:jc w:val="left"/>
              <w:rPr>
                <w:rFonts w:hint="default" w:ascii="Times New Roman" w:hAnsi="Times New Roman" w:eastAsia="新宋体" w:cs="Times New Roman"/>
                <w:color w:val="000000" w:themeColor="text1"/>
                <w:sz w:val="24"/>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2021年2月，新疆维吾尔自治区人民政府发布了《新疆维吾尔自治区“三线一单”生态环境分区管控方案》（新政发﹝2021﹞18号）。为落实其管控要求，2021年7月，新疆维吾尔自治区生态环境厅发布了《新疆维吾尔自治区七大片区“三线一单”生态环境分区管控要求》（新环环评发﹝2021﹞162号）。</w:t>
            </w:r>
          </w:p>
          <w:p w14:paraId="53369944">
            <w:pPr>
              <w:keepNext w:val="0"/>
              <w:keepLines w:val="0"/>
              <w:widowControl/>
              <w:suppressLineNumbers w:val="0"/>
              <w:autoSpaceDE w:val="0"/>
              <w:spacing w:before="0" w:beforeAutospacing="0" w:after="0" w:afterAutospacing="0"/>
              <w:ind w:left="0" w:right="0"/>
              <w:jc w:val="center"/>
              <w:rPr>
                <w:rFonts w:hint="default" w:ascii="Times New Roman" w:hAnsi="Times New Roman" w:eastAsia="新宋体" w:cs="Times New Roman"/>
                <w:b/>
                <w:bCs/>
                <w:color w:val="000000" w:themeColor="text1"/>
                <w:sz w:val="21"/>
                <w:szCs w:val="18"/>
                <w14:textFill>
                  <w14:solidFill>
                    <w14:schemeClr w14:val="tx1"/>
                  </w14:solidFill>
                </w14:textFill>
              </w:rPr>
            </w:pPr>
            <w:r>
              <w:rPr>
                <w:rFonts w:hint="default" w:ascii="Times New Roman" w:hAnsi="Times New Roman" w:eastAsia="新宋体" w:cs="Times New Roman"/>
                <w:b/>
                <w:bCs/>
                <w:color w:val="000000" w:themeColor="text1"/>
                <w:sz w:val="21"/>
                <w:szCs w:val="18"/>
                <w14:textFill>
                  <w14:solidFill>
                    <w14:schemeClr w14:val="tx1"/>
                  </w14:solidFill>
                </w14:textFill>
              </w:rPr>
              <w:t>表1-</w:t>
            </w:r>
            <w:r>
              <w:rPr>
                <w:rFonts w:hint="eastAsia" w:eastAsia="新宋体" w:cs="Times New Roman"/>
                <w:b/>
                <w:bCs/>
                <w:color w:val="000000" w:themeColor="text1"/>
                <w:sz w:val="21"/>
                <w:szCs w:val="18"/>
                <w:lang w:val="en-US" w:eastAsia="zh-CN"/>
                <w14:textFill>
                  <w14:solidFill>
                    <w14:schemeClr w14:val="tx1"/>
                  </w14:solidFill>
                </w14:textFill>
              </w:rPr>
              <w:t>3</w:t>
            </w:r>
            <w:r>
              <w:rPr>
                <w:rFonts w:hint="default" w:ascii="Times New Roman" w:hAnsi="Times New Roman" w:eastAsia="新宋体" w:cs="Times New Roman"/>
                <w:b/>
                <w:bCs/>
                <w:color w:val="000000" w:themeColor="text1"/>
                <w:sz w:val="21"/>
                <w:szCs w:val="18"/>
                <w14:textFill>
                  <w14:solidFill>
                    <w14:schemeClr w14:val="tx1"/>
                  </w14:solidFill>
                </w14:textFill>
              </w:rPr>
              <w:t>项目与自治区</w:t>
            </w:r>
            <w:r>
              <w:rPr>
                <w:rFonts w:hint="default" w:ascii="Times New Roman" w:hAnsi="Times New Roman" w:eastAsia="新宋体" w:cs="Times New Roman"/>
                <w:b/>
                <w:bCs/>
                <w:color w:val="000000" w:themeColor="text1"/>
                <w:sz w:val="21"/>
                <w:szCs w:val="18"/>
                <w:lang w:eastAsia="zh-CN"/>
                <w14:textFill>
                  <w14:solidFill>
                    <w14:schemeClr w14:val="tx1"/>
                  </w14:solidFill>
                </w14:textFill>
              </w:rPr>
              <w:t>“</w:t>
            </w:r>
            <w:r>
              <w:rPr>
                <w:rFonts w:hint="default" w:ascii="Times New Roman" w:hAnsi="Times New Roman" w:eastAsia="新宋体" w:cs="Times New Roman"/>
                <w:b/>
                <w:bCs/>
                <w:color w:val="000000" w:themeColor="text1"/>
                <w:sz w:val="21"/>
                <w:szCs w:val="18"/>
                <w14:textFill>
                  <w14:solidFill>
                    <w14:schemeClr w14:val="tx1"/>
                  </w14:solidFill>
                </w14:textFill>
              </w:rPr>
              <w:t>三线一单</w:t>
            </w:r>
            <w:r>
              <w:rPr>
                <w:rFonts w:hint="default" w:ascii="Times New Roman" w:hAnsi="Times New Roman" w:eastAsia="新宋体" w:cs="Times New Roman"/>
                <w:b/>
                <w:bCs/>
                <w:color w:val="000000" w:themeColor="text1"/>
                <w:sz w:val="21"/>
                <w:szCs w:val="18"/>
                <w:lang w:eastAsia="zh-CN"/>
                <w14:textFill>
                  <w14:solidFill>
                    <w14:schemeClr w14:val="tx1"/>
                  </w14:solidFill>
                </w14:textFill>
              </w:rPr>
              <w:t>”</w:t>
            </w:r>
            <w:r>
              <w:rPr>
                <w:rFonts w:hint="default" w:ascii="Times New Roman" w:hAnsi="Times New Roman" w:eastAsia="新宋体" w:cs="Times New Roman"/>
                <w:b/>
                <w:bCs/>
                <w:color w:val="000000" w:themeColor="text1"/>
                <w:sz w:val="21"/>
                <w:szCs w:val="18"/>
                <w14:textFill>
                  <w14:solidFill>
                    <w14:schemeClr w14:val="tx1"/>
                  </w14:solidFill>
                </w14:textFill>
              </w:rPr>
              <w:t>符合性分析一览表</w:t>
            </w:r>
          </w:p>
          <w:tbl>
            <w:tblPr>
              <w:tblStyle w:val="2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537"/>
              <w:gridCol w:w="2977"/>
              <w:gridCol w:w="444"/>
            </w:tblGrid>
            <w:tr w14:paraId="51480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542" w:type="pct"/>
                  <w:tcBorders>
                    <w:tl2br w:val="nil"/>
                    <w:tr2bl w:val="nil"/>
                  </w:tcBorders>
                  <w:vAlign w:val="center"/>
                </w:tcPr>
                <w:p w14:paraId="69C8D497">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“三线一单”要求</w:t>
                  </w:r>
                </w:p>
              </w:tc>
              <w:tc>
                <w:tcPr>
                  <w:tcW w:w="2138" w:type="pct"/>
                  <w:tcBorders>
                    <w:tl2br w:val="nil"/>
                    <w:tr2bl w:val="nil"/>
                  </w:tcBorders>
                  <w:vAlign w:val="center"/>
                </w:tcPr>
                <w:p w14:paraId="25AEDC21">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项目情况</w:t>
                  </w:r>
                </w:p>
              </w:tc>
              <w:tc>
                <w:tcPr>
                  <w:tcW w:w="319" w:type="pct"/>
                  <w:tcBorders>
                    <w:tl2br w:val="nil"/>
                    <w:tr2bl w:val="nil"/>
                  </w:tcBorders>
                  <w:vAlign w:val="center"/>
                </w:tcPr>
                <w:p w14:paraId="5FA0DB62">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结论</w:t>
                  </w:r>
                </w:p>
              </w:tc>
            </w:tr>
            <w:tr w14:paraId="5376B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542" w:type="pct"/>
                  <w:tcBorders>
                    <w:tl2br w:val="nil"/>
                    <w:tr2bl w:val="nil"/>
                  </w:tcBorders>
                  <w:vAlign w:val="center"/>
                </w:tcPr>
                <w:p w14:paraId="4E490359">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生态保护红线：按照“生态功能不降低、面积不减少、性质不改变”的基本要求，对划定的生态保护红线实施严格管控，保障和维护国家生态安全的底线和生命线。</w:t>
                  </w:r>
                </w:p>
              </w:tc>
              <w:tc>
                <w:tcPr>
                  <w:tcW w:w="2138" w:type="pct"/>
                  <w:tcBorders>
                    <w:tl2br w:val="nil"/>
                    <w:tr2bl w:val="nil"/>
                  </w:tcBorders>
                  <w:vAlign w:val="center"/>
                </w:tcPr>
                <w:p w14:paraId="288DB99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项目区周边无生态保护目标，不会造成生态功能降低、面积减少、性质改变，不触及自治区生态保护红线，符合自治区生态保护红线要求。</w:t>
                  </w:r>
                </w:p>
              </w:tc>
              <w:tc>
                <w:tcPr>
                  <w:tcW w:w="319" w:type="pct"/>
                  <w:tcBorders>
                    <w:tl2br w:val="nil"/>
                    <w:tr2bl w:val="nil"/>
                  </w:tcBorders>
                  <w:vAlign w:val="center"/>
                </w:tcPr>
                <w:p w14:paraId="01853978">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5E6B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542" w:type="pct"/>
                  <w:tcBorders>
                    <w:tl2br w:val="nil"/>
                    <w:tr2bl w:val="nil"/>
                  </w:tcBorders>
                  <w:vAlign w:val="center"/>
                </w:tcPr>
                <w:p w14:paraId="3DD4673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2138" w:type="pct"/>
                  <w:tcBorders>
                    <w:tl2br w:val="nil"/>
                    <w:tr2bl w:val="nil"/>
                  </w:tcBorders>
                  <w:vAlign w:val="center"/>
                </w:tcPr>
                <w:p w14:paraId="3C012CB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本项目废水经管网排入库尔勒经济技术开发区工业废水处理回用厂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，不进行地下水开采，生产过程中产生的污染物在经过相应措施治理后，不会对当地空气及土壤环境质量造成影响，符合自治区环境质量底线要求。</w:t>
                  </w:r>
                </w:p>
              </w:tc>
              <w:tc>
                <w:tcPr>
                  <w:tcW w:w="319" w:type="pct"/>
                  <w:tcBorders>
                    <w:tl2br w:val="nil"/>
                    <w:tr2bl w:val="nil"/>
                  </w:tcBorders>
                  <w:vAlign w:val="center"/>
                </w:tcPr>
                <w:p w14:paraId="1FB7FA3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7D45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542" w:type="pct"/>
                  <w:tcBorders>
                    <w:tl2br w:val="nil"/>
                    <w:tr2bl w:val="nil"/>
                  </w:tcBorders>
                  <w:vAlign w:val="center"/>
                </w:tcPr>
                <w:p w14:paraId="0E289D6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利用上线：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2138" w:type="pct"/>
                  <w:tcBorders>
                    <w:tl2br w:val="nil"/>
                    <w:tr2bl w:val="nil"/>
                  </w:tcBorders>
                  <w:vAlign w:val="center"/>
                </w:tcPr>
                <w:p w14:paraId="73C1AC32">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项目本身水、电资源使用量较少，且不位于4个国家级低碳试点城市中。不会突破自治区的资源利用上线。</w:t>
                  </w:r>
                </w:p>
              </w:tc>
              <w:tc>
                <w:tcPr>
                  <w:tcW w:w="319" w:type="pct"/>
                  <w:tcBorders>
                    <w:tl2br w:val="nil"/>
                    <w:tr2bl w:val="nil"/>
                  </w:tcBorders>
                  <w:vAlign w:val="center"/>
                </w:tcPr>
                <w:p w14:paraId="135223A7">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2EA1F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542" w:type="pct"/>
                  <w:tcBorders>
                    <w:tl2br w:val="nil"/>
                    <w:tr2bl w:val="nil"/>
                  </w:tcBorders>
                  <w:vAlign w:val="center"/>
                </w:tcPr>
                <w:p w14:paraId="1CED59FB">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生态环境准入清单：指基于环境管控单元，统筹考虑生态保护红线、环境质量底线、资源利用上线的管控要求，提出的空间布局、污染物排放、环境风险、资源开发利用等方面禁止和限制的环境准入要求。</w:t>
                  </w:r>
                </w:p>
              </w:tc>
              <w:tc>
                <w:tcPr>
                  <w:tcW w:w="2138" w:type="pct"/>
                  <w:tcBorders>
                    <w:tl2br w:val="nil"/>
                    <w:tr2bl w:val="nil"/>
                  </w:tcBorders>
                  <w:vAlign w:val="center"/>
                </w:tcPr>
                <w:p w14:paraId="7C0D030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本项目不属于综合生态保护红线、环境质量底线、资源利用上线的管控要求，符合自治区环境准入要求。</w:t>
                  </w:r>
                </w:p>
              </w:tc>
              <w:tc>
                <w:tcPr>
                  <w:tcW w:w="319" w:type="pct"/>
                  <w:tcBorders>
                    <w:tl2br w:val="nil"/>
                    <w:tr2bl w:val="nil"/>
                  </w:tcBorders>
                  <w:vAlign w:val="center"/>
                </w:tcPr>
                <w:p w14:paraId="1256A128">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0FE39C51">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新宋体" w:cs="Times New Roman"/>
                <w:color w:val="000000" w:themeColor="text1"/>
                <w:sz w:val="24"/>
                <w:lang w:val="en-US" w:eastAsia="zh-CN"/>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本项目与自治区七大片区天山南坡管控要求的符合性分析</w:t>
            </w:r>
            <w:r>
              <w:rPr>
                <w:rFonts w:hint="eastAsia" w:eastAsia="新宋体" w:cs="Times New Roman"/>
                <w:color w:val="000000" w:themeColor="text1"/>
                <w:sz w:val="24"/>
                <w:lang w:val="en-US" w:eastAsia="zh-CN"/>
                <w14:textFill>
                  <w14:solidFill>
                    <w14:schemeClr w14:val="tx1"/>
                  </w14:solidFill>
                </w14:textFill>
              </w:rPr>
              <w:t>如下：</w:t>
            </w:r>
          </w:p>
          <w:p w14:paraId="41090FA0">
            <w:pPr>
              <w:pStyle w:val="5"/>
              <w:keepNext w:val="0"/>
              <w:keepLines w:val="0"/>
              <w:suppressLineNumbers w:val="0"/>
              <w:bidi w:val="0"/>
              <w:spacing w:before="0" w:beforeAutospacing="0" w:after="0" w:afterAutospacing="0"/>
              <w:ind w:left="0" w:right="0"/>
              <w:jc w:val="cente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表1-</w:t>
            </w:r>
            <w:r>
              <w:rPr>
                <w:rFonts w:hint="eastAsia" w:eastAsia="新宋体" w:cs="Times New Roman"/>
                <w:b/>
                <w:bCs/>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与《自治区生态环境分区管控方案和七大片区管控要求》的符合性分析</w:t>
            </w:r>
          </w:p>
          <w:tbl>
            <w:tblPr>
              <w:tblStyle w:val="30"/>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5"/>
              <w:gridCol w:w="780"/>
              <w:gridCol w:w="3278"/>
              <w:gridCol w:w="2216"/>
            </w:tblGrid>
            <w:tr w14:paraId="3EB4A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5" w:type="pct"/>
                  <w:vMerge w:val="restart"/>
                  <w:tcBorders>
                    <w:tl2br w:val="nil"/>
                    <w:tr2bl w:val="nil"/>
                  </w:tcBorders>
                  <w:noWrap w:val="0"/>
                  <w:vAlign w:val="center"/>
                </w:tcPr>
                <w:p w14:paraId="222A447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生态环境分区管控</w:t>
                  </w:r>
                </w:p>
              </w:tc>
              <w:tc>
                <w:tcPr>
                  <w:tcW w:w="561" w:type="pct"/>
                  <w:tcBorders>
                    <w:tl2br w:val="nil"/>
                    <w:tr2bl w:val="nil"/>
                  </w:tcBorders>
                  <w:noWrap w:val="0"/>
                  <w:vAlign w:val="center"/>
                </w:tcPr>
                <w:p w14:paraId="364F4942">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管控类别</w:t>
                  </w:r>
                </w:p>
              </w:tc>
              <w:tc>
                <w:tcPr>
                  <w:tcW w:w="2358" w:type="pct"/>
                  <w:tcBorders>
                    <w:tl2br w:val="nil"/>
                    <w:tr2bl w:val="nil"/>
                  </w:tcBorders>
                  <w:noWrap w:val="0"/>
                  <w:vAlign w:val="center"/>
                </w:tcPr>
                <w:p w14:paraId="5DE3FD6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管控要求</w:t>
                  </w:r>
                </w:p>
              </w:tc>
              <w:tc>
                <w:tcPr>
                  <w:tcW w:w="1594" w:type="pct"/>
                  <w:tcBorders>
                    <w:tl2br w:val="nil"/>
                    <w:tr2bl w:val="nil"/>
                  </w:tcBorders>
                  <w:noWrap w:val="0"/>
                  <w:vAlign w:val="center"/>
                </w:tcPr>
                <w:p w14:paraId="6665548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符合性分析</w:t>
                  </w:r>
                </w:p>
              </w:tc>
            </w:tr>
            <w:tr w14:paraId="48272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5" w:type="pct"/>
                  <w:vMerge w:val="continue"/>
                  <w:tcBorders>
                    <w:tl2br w:val="nil"/>
                    <w:tr2bl w:val="nil"/>
                  </w:tcBorders>
                  <w:noWrap w:val="0"/>
                  <w:vAlign w:val="center"/>
                </w:tcPr>
                <w:p w14:paraId="3A40DCF5">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pct"/>
                  <w:vMerge w:val="restart"/>
                  <w:tcBorders>
                    <w:tl2br w:val="nil"/>
                    <w:tr2bl w:val="nil"/>
                  </w:tcBorders>
                  <w:noWrap w:val="0"/>
                  <w:vAlign w:val="center"/>
                </w:tcPr>
                <w:p w14:paraId="1F98671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空间布局约束</w:t>
                  </w:r>
                </w:p>
              </w:tc>
              <w:tc>
                <w:tcPr>
                  <w:tcW w:w="2358" w:type="pct"/>
                  <w:tcBorders>
                    <w:tl2br w:val="nil"/>
                    <w:tr2bl w:val="nil"/>
                  </w:tcBorders>
                  <w:noWrap w:val="0"/>
                  <w:vAlign w:val="center"/>
                </w:tcPr>
                <w:p w14:paraId="2872BBCD">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严格执行国家、自治区产业政策和环境准入要求，严禁“三高”项目进新疆，坚决遏制“两高”项目盲目发展。</w:t>
                  </w:r>
                </w:p>
              </w:tc>
              <w:tc>
                <w:tcPr>
                  <w:tcW w:w="1594" w:type="pct"/>
                  <w:tcBorders>
                    <w:tl2br w:val="nil"/>
                    <w:tr2bl w:val="nil"/>
                  </w:tcBorders>
                  <w:noWrap w:val="0"/>
                  <w:vAlign w:val="center"/>
                </w:tcPr>
                <w:p w14:paraId="12D505A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符合，本项目为</w:t>
                  </w:r>
                  <w:r>
                    <w:rPr>
                      <w:rFonts w:hint="eastAsia" w:eastAsia="宋体" w:cs="Times New Roman"/>
                      <w:color w:val="000000" w:themeColor="text1"/>
                      <w:sz w:val="21"/>
                      <w:szCs w:val="21"/>
                      <w:highlight w:val="none"/>
                      <w:lang w:val="en-US" w:eastAsia="zh-CN"/>
                      <w14:textFill>
                        <w14:solidFill>
                          <w14:schemeClr w14:val="tx1"/>
                        </w14:solidFill>
                      </w14:textFill>
                    </w:rPr>
                    <w:t>实验检测服务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，不属于“三高（高污染、高能耗、高环境风险）”及“两高”项目。</w:t>
                  </w:r>
                </w:p>
              </w:tc>
            </w:tr>
            <w:tr w14:paraId="4496B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5" w:type="pct"/>
                  <w:vMerge w:val="continue"/>
                  <w:tcBorders>
                    <w:tl2br w:val="nil"/>
                    <w:tr2bl w:val="nil"/>
                  </w:tcBorders>
                  <w:noWrap w:val="0"/>
                  <w:vAlign w:val="center"/>
                </w:tcPr>
                <w:p w14:paraId="0964C748">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pct"/>
                  <w:vMerge w:val="continue"/>
                  <w:tcBorders>
                    <w:tl2br w:val="nil"/>
                    <w:tr2bl w:val="nil"/>
                  </w:tcBorders>
                  <w:noWrap w:val="0"/>
                  <w:vAlign w:val="center"/>
                </w:tcPr>
                <w:p w14:paraId="7365351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58" w:type="pct"/>
                  <w:tcBorders>
                    <w:tl2br w:val="nil"/>
                    <w:tr2bl w:val="nil"/>
                  </w:tcBorders>
                  <w:noWrap w:val="0"/>
                  <w:vAlign w:val="center"/>
                </w:tcPr>
                <w:p w14:paraId="317CEF26">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不得在水源涵养区、饮用水水源保护区内和河流、湖泊、水库周围建设重化工、涉重金属等工业污染项目。</w:t>
                  </w:r>
                </w:p>
              </w:tc>
              <w:tc>
                <w:tcPr>
                  <w:tcW w:w="1594" w:type="pct"/>
                  <w:tcBorders>
                    <w:tl2br w:val="nil"/>
                    <w:tr2bl w:val="nil"/>
                  </w:tcBorders>
                  <w:noWrap w:val="0"/>
                  <w:vAlign w:val="center"/>
                </w:tcPr>
                <w:p w14:paraId="3C6B3DCB">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符合，本项目不属于重化工、涉重金属等工业污染项目</w:t>
                  </w:r>
                  <w:r>
                    <w:rPr>
                      <w:rFonts w:hint="eastAsia" w:cs="Times New Roman"/>
                      <w:color w:val="000000" w:themeColor="text1"/>
                      <w:sz w:val="21"/>
                      <w:szCs w:val="21"/>
                      <w:highlight w:val="none"/>
                      <w:lang w:val="en-US" w:eastAsia="zh-CN"/>
                      <w14:textFill>
                        <w14:solidFill>
                          <w14:schemeClr w14:val="tx1"/>
                        </w14:solidFill>
                      </w14:textFill>
                    </w:rPr>
                    <w:t>，不在所列区域建设。</w:t>
                  </w:r>
                </w:p>
              </w:tc>
            </w:tr>
            <w:tr w14:paraId="3A7B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5" w:type="pct"/>
                  <w:vMerge w:val="continue"/>
                  <w:tcBorders>
                    <w:tl2br w:val="nil"/>
                    <w:tr2bl w:val="nil"/>
                  </w:tcBorders>
                  <w:noWrap w:val="0"/>
                  <w:vAlign w:val="center"/>
                </w:tcPr>
                <w:p w14:paraId="0234788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pct"/>
                  <w:vMerge w:val="continue"/>
                  <w:tcBorders>
                    <w:tl2br w:val="nil"/>
                    <w:tr2bl w:val="nil"/>
                  </w:tcBorders>
                  <w:noWrap w:val="0"/>
                  <w:vAlign w:val="center"/>
                </w:tcPr>
                <w:p w14:paraId="63F7435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58" w:type="pct"/>
                  <w:tcBorders>
                    <w:tl2br w:val="nil"/>
                    <w:tr2bl w:val="nil"/>
                  </w:tcBorders>
                  <w:noWrap w:val="0"/>
                  <w:vAlign w:val="center"/>
                </w:tcPr>
                <w:p w14:paraId="620E0227">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推动项目集聚发展，新建、改建、扩建工业项目原则上应布置由县级及以上人民政府批准建立、环境保护基础设施完善的产业园区、工业聚集区或规划区，并且符合相关规划和规划环评要求。</w:t>
                  </w:r>
                </w:p>
              </w:tc>
              <w:tc>
                <w:tcPr>
                  <w:tcW w:w="1594" w:type="pct"/>
                  <w:tcBorders>
                    <w:tl2br w:val="nil"/>
                    <w:tr2bl w:val="nil"/>
                  </w:tcBorders>
                  <w:noWrap w:val="0"/>
                  <w:vAlign w:val="center"/>
                </w:tcPr>
                <w:p w14:paraId="6243DA4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符合，项目用地性质为工业用地，符合《库尔勒经济技术开发区总体规划》</w:t>
                  </w:r>
                  <w:r>
                    <w:rPr>
                      <w:rFonts w:hint="eastAsia" w:eastAsia="宋体" w:cs="Times New Roman"/>
                      <w:color w:val="000000" w:themeColor="text1"/>
                      <w:sz w:val="21"/>
                      <w:szCs w:val="21"/>
                      <w:highlight w:val="none"/>
                      <w:lang w:val="en-US" w:eastAsia="zh-CN"/>
                      <w14:textFill>
                        <w14:solidFill>
                          <w14:schemeClr w14:val="tx1"/>
                        </w14:solidFill>
                      </w14:textFill>
                    </w:rPr>
                    <w:t>及规划环评要求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D0A6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5" w:type="pct"/>
                  <w:vMerge w:val="continue"/>
                  <w:tcBorders>
                    <w:tl2br w:val="nil"/>
                    <w:tr2bl w:val="nil"/>
                  </w:tcBorders>
                  <w:noWrap w:val="0"/>
                  <w:vAlign w:val="center"/>
                </w:tcPr>
                <w:p w14:paraId="701B1819">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pct"/>
                  <w:vMerge w:val="restart"/>
                  <w:tcBorders>
                    <w:tl2br w:val="nil"/>
                    <w:tr2bl w:val="nil"/>
                  </w:tcBorders>
                  <w:noWrap w:val="0"/>
                  <w:vAlign w:val="center"/>
                </w:tcPr>
                <w:p w14:paraId="1855B9DF">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污染物排放管控</w:t>
                  </w:r>
                </w:p>
              </w:tc>
              <w:tc>
                <w:tcPr>
                  <w:tcW w:w="2358" w:type="pct"/>
                  <w:tcBorders>
                    <w:tl2br w:val="nil"/>
                    <w:tr2bl w:val="nil"/>
                  </w:tcBorders>
                  <w:noWrap w:val="0"/>
                  <w:vAlign w:val="center"/>
                </w:tcPr>
                <w:p w14:paraId="557C170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窑综合治理。加强“散乱污”企业综合整治。优化区域交通运输结构，加快货物运输绿色转型，做好车油联合管控。</w:t>
                  </w:r>
                </w:p>
              </w:tc>
              <w:tc>
                <w:tcPr>
                  <w:tcW w:w="1594" w:type="pct"/>
                  <w:tcBorders>
                    <w:tl2br w:val="nil"/>
                    <w:tr2bl w:val="nil"/>
                  </w:tcBorders>
                  <w:noWrap w:val="0"/>
                  <w:vAlign w:val="center"/>
                </w:tcPr>
                <w:p w14:paraId="4D89FE16">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eastAsia="宋体" w:cs="Times New Roman"/>
                      <w:color w:val="000000" w:themeColor="text1"/>
                      <w:sz w:val="21"/>
                      <w:szCs w:val="21"/>
                      <w:highlight w:val="none"/>
                      <w:lang w:val="en-US" w:eastAsia="zh-CN"/>
                      <w14:textFill>
                        <w14:solidFill>
                          <w14:schemeClr w14:val="tx1"/>
                        </w14:solidFill>
                      </w14:textFill>
                    </w:rPr>
                    <w:t>外送样、原料运输依托社会车辆；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不涉及所列燃煤锅炉及炉窑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2EB3B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5" w:type="pct"/>
                  <w:vMerge w:val="continue"/>
                  <w:tcBorders>
                    <w:tl2br w:val="nil"/>
                    <w:tr2bl w:val="nil"/>
                  </w:tcBorders>
                  <w:noWrap w:val="0"/>
                  <w:vAlign w:val="center"/>
                </w:tcPr>
                <w:p w14:paraId="3C6D2B1E">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pct"/>
                  <w:vMerge w:val="continue"/>
                  <w:tcBorders>
                    <w:tl2br w:val="nil"/>
                    <w:tr2bl w:val="nil"/>
                  </w:tcBorders>
                  <w:noWrap w:val="0"/>
                  <w:vAlign w:val="center"/>
                </w:tcPr>
                <w:p w14:paraId="0F72B652">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58" w:type="pct"/>
                  <w:tcBorders>
                    <w:tl2br w:val="nil"/>
                    <w:tr2bl w:val="nil"/>
                  </w:tcBorders>
                  <w:noWrap w:val="0"/>
                  <w:vAlign w:val="center"/>
                </w:tcPr>
                <w:p w14:paraId="77EB0FA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以改善流域水环境质量为核心，强化源头控制，“一河（湖）一策”精准施治，减少水污染物排放，持续改善水环境质量。强化园区（工业集聚区）“水污染防治，不断提高工业用水重复利用率。加快实施城镇污水处理设施提质增效，补齐生活污水收集和处理设施短板，提高再生水回用比例。持续推进农业农村污染防治。</w:t>
                  </w:r>
                </w:p>
              </w:tc>
              <w:tc>
                <w:tcPr>
                  <w:tcW w:w="1594" w:type="pct"/>
                  <w:tcBorders>
                    <w:tl2br w:val="nil"/>
                    <w:tr2bl w:val="nil"/>
                  </w:tcBorders>
                  <w:noWrap w:val="0"/>
                  <w:vAlign w:val="center"/>
                </w:tcPr>
                <w:p w14:paraId="172644B7">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符合，项目不涉及饮用水源等环境敏感区域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生活废水、纯水制备废水与超声废水经市政管网进入库尔勒经济技术开发区工业废水处理回用厂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A906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5" w:type="pct"/>
                  <w:vMerge w:val="continue"/>
                  <w:tcBorders>
                    <w:tl2br w:val="nil"/>
                    <w:tr2bl w:val="nil"/>
                  </w:tcBorders>
                  <w:noWrap w:val="0"/>
                  <w:vAlign w:val="center"/>
                </w:tcPr>
                <w:p w14:paraId="7F2E8310">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pct"/>
                  <w:vMerge w:val="continue"/>
                  <w:tcBorders>
                    <w:tl2br w:val="nil"/>
                    <w:tr2bl w:val="nil"/>
                  </w:tcBorders>
                  <w:noWrap w:val="0"/>
                  <w:vAlign w:val="center"/>
                </w:tcPr>
                <w:p w14:paraId="014F5DC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58" w:type="pct"/>
                  <w:tcBorders>
                    <w:tl2br w:val="nil"/>
                    <w:tr2bl w:val="nil"/>
                  </w:tcBorders>
                  <w:noWrap w:val="0"/>
                  <w:vAlign w:val="center"/>
                </w:tcPr>
                <w:p w14:paraId="7459D245">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提升土壤环境监管能力，加强污染地块安全利用监管。强化工矿用地管理，严格建设用地土壤环境风险管控。加强农用地土壤污染源头控制，科学施用化肥农药，提高农膜回收率。</w:t>
                  </w:r>
                </w:p>
              </w:tc>
              <w:tc>
                <w:tcPr>
                  <w:tcW w:w="1594" w:type="pct"/>
                  <w:tcBorders>
                    <w:tl2br w:val="nil"/>
                    <w:tr2bl w:val="nil"/>
                  </w:tcBorders>
                  <w:noWrap w:val="0"/>
                  <w:vAlign w:val="center"/>
                </w:tcPr>
                <w:p w14:paraId="4A3C52FE">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符合，本项目分区防渗，项目区相邻无农用地。</w:t>
                  </w:r>
                </w:p>
              </w:tc>
            </w:tr>
            <w:tr w14:paraId="26A5E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5" w:type="pct"/>
                  <w:vMerge w:val="continue"/>
                  <w:tcBorders>
                    <w:tl2br w:val="nil"/>
                    <w:tr2bl w:val="nil"/>
                  </w:tcBorders>
                  <w:noWrap w:val="0"/>
                  <w:vAlign w:val="center"/>
                </w:tcPr>
                <w:p w14:paraId="3733E331">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pct"/>
                  <w:tcBorders>
                    <w:tl2br w:val="nil"/>
                    <w:tr2bl w:val="nil"/>
                  </w:tcBorders>
                  <w:noWrap w:val="0"/>
                  <w:vAlign w:val="center"/>
                </w:tcPr>
                <w:p w14:paraId="773463A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环境风险防控</w:t>
                  </w:r>
                </w:p>
              </w:tc>
              <w:tc>
                <w:tcPr>
                  <w:tcW w:w="2358" w:type="pct"/>
                  <w:tcBorders>
                    <w:tl2br w:val="nil"/>
                    <w:tr2bl w:val="nil"/>
                  </w:tcBorders>
                  <w:noWrap w:val="0"/>
                  <w:vAlign w:val="center"/>
                </w:tcPr>
                <w:p w14:paraId="070B42E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禁止在化工园区外新建、扩建危险化学品生产项目。严格落实危险废物处置相关要求。加强重点流域水环境风险管控，保障水环境安全。</w:t>
                  </w:r>
                </w:p>
              </w:tc>
              <w:tc>
                <w:tcPr>
                  <w:tcW w:w="1594" w:type="pct"/>
                  <w:tcBorders>
                    <w:tl2br w:val="nil"/>
                    <w:tr2bl w:val="nil"/>
                  </w:tcBorders>
                  <w:noWrap w:val="0"/>
                  <w:vAlign w:val="center"/>
                </w:tcPr>
                <w:p w14:paraId="3347BAA1">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符合，本项目不属于危险化学品生产项目。</w:t>
                  </w:r>
                </w:p>
              </w:tc>
            </w:tr>
            <w:tr w14:paraId="146A0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5" w:type="pct"/>
                  <w:vMerge w:val="continue"/>
                  <w:tcBorders>
                    <w:tl2br w:val="nil"/>
                    <w:tr2bl w:val="nil"/>
                  </w:tcBorders>
                  <w:noWrap w:val="0"/>
                  <w:vAlign w:val="center"/>
                </w:tcPr>
                <w:p w14:paraId="6160E42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pct"/>
                  <w:tcBorders>
                    <w:tl2br w:val="nil"/>
                    <w:tr2bl w:val="nil"/>
                  </w:tcBorders>
                  <w:noWrap w:val="0"/>
                  <w:vAlign w:val="center"/>
                </w:tcPr>
                <w:p w14:paraId="7A3C1CA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资源利用效率</w:t>
                  </w:r>
                </w:p>
              </w:tc>
              <w:tc>
                <w:tcPr>
                  <w:tcW w:w="2358" w:type="pct"/>
                  <w:tcBorders>
                    <w:tl2br w:val="nil"/>
                    <w:tr2bl w:val="nil"/>
                  </w:tcBorders>
                  <w:noWrap w:val="0"/>
                  <w:vAlign w:val="center"/>
                </w:tcPr>
                <w:p w14:paraId="304774A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优化能源结构，控制煤炭等化石能源使用量，鼓励使用清洁能源，协同推进减污降碳。全面实施节水工程，合理开发利用水资源，提升水资源利用效率，保障生态用水，严防地下水超采。</w:t>
                  </w:r>
                </w:p>
              </w:tc>
              <w:tc>
                <w:tcPr>
                  <w:tcW w:w="1594" w:type="pct"/>
                  <w:tcBorders>
                    <w:tl2br w:val="nil"/>
                    <w:tr2bl w:val="nil"/>
                  </w:tcBorders>
                  <w:noWrap w:val="0"/>
                  <w:vAlign w:val="center"/>
                </w:tcPr>
                <w:p w14:paraId="3605FFD5">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eastAsia" w:eastAsia="宋体" w:cs="Times New Roman"/>
                      <w:color w:val="000000" w:themeColor="text1"/>
                      <w:sz w:val="21"/>
                      <w:szCs w:val="21"/>
                      <w:highlight w:val="none"/>
                      <w:lang w:val="en-US" w:eastAsia="zh-CN"/>
                      <w14:textFill>
                        <w14:solidFill>
                          <w14:schemeClr w14:val="tx1"/>
                        </w14:solidFill>
                      </w14:textFill>
                    </w:rPr>
                    <w:t>本项目用水依托现有供水管网，不涉及地下水开采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FB77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046" w:type="pct"/>
                  <w:gridSpan w:val="2"/>
                  <w:vMerge w:val="restart"/>
                  <w:tcBorders>
                    <w:tl2br w:val="nil"/>
                    <w:tr2bl w:val="nil"/>
                  </w:tcBorders>
                  <w:noWrap w:val="0"/>
                  <w:vAlign w:val="center"/>
                </w:tcPr>
                <w:p w14:paraId="7C012560">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天山南坡片区</w:t>
                  </w:r>
                </w:p>
              </w:tc>
              <w:tc>
                <w:tcPr>
                  <w:tcW w:w="2358" w:type="pct"/>
                  <w:tcBorders>
                    <w:tl2br w:val="nil"/>
                    <w:tr2bl w:val="nil"/>
                  </w:tcBorders>
                  <w:noWrap w:val="0"/>
                  <w:vAlign w:val="center"/>
                </w:tcPr>
                <w:p w14:paraId="7D53300E">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1594" w:type="pct"/>
                  <w:tcBorders>
                    <w:tl2br w:val="nil"/>
                    <w:tr2bl w:val="nil"/>
                  </w:tcBorders>
                  <w:noWrap w:val="0"/>
                  <w:vAlign w:val="center"/>
                </w:tcPr>
                <w:p w14:paraId="211DB47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符合，本项目不涉及所列情形。</w:t>
                  </w:r>
                </w:p>
              </w:tc>
            </w:tr>
            <w:tr w14:paraId="59A3B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046" w:type="pct"/>
                  <w:gridSpan w:val="2"/>
                  <w:vMerge w:val="continue"/>
                  <w:tcBorders>
                    <w:tl2br w:val="nil"/>
                    <w:tr2bl w:val="nil"/>
                  </w:tcBorders>
                  <w:noWrap w:val="0"/>
                  <w:vAlign w:val="center"/>
                </w:tcPr>
                <w:p w14:paraId="469830D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58" w:type="pct"/>
                  <w:tcBorders>
                    <w:tl2br w:val="nil"/>
                    <w:tr2bl w:val="nil"/>
                  </w:tcBorders>
                  <w:noWrap w:val="0"/>
                  <w:vAlign w:val="center"/>
                </w:tcPr>
                <w:p w14:paraId="6E8FD50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重点做好塔里木盆地北缘荒漠化防治。加强荒漠植被及河岸荒漠林保护，规范油气勘探开发作业，建立油田和公路扰动区域工程与生物相结合的防风固沙体系，逐步形成生态屏障。</w:t>
                  </w:r>
                </w:p>
              </w:tc>
              <w:tc>
                <w:tcPr>
                  <w:tcW w:w="1594" w:type="pct"/>
                  <w:tcBorders>
                    <w:tl2br w:val="nil"/>
                    <w:tr2bl w:val="nil"/>
                  </w:tcBorders>
                  <w:noWrap w:val="0"/>
                  <w:vAlign w:val="center"/>
                </w:tcPr>
                <w:p w14:paraId="20174C5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符合，本项目不涉及所列情形。</w:t>
                  </w:r>
                </w:p>
              </w:tc>
            </w:tr>
            <w:tr w14:paraId="7330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046" w:type="pct"/>
                  <w:gridSpan w:val="2"/>
                  <w:vMerge w:val="continue"/>
                  <w:tcBorders>
                    <w:tl2br w:val="nil"/>
                    <w:tr2bl w:val="nil"/>
                  </w:tcBorders>
                  <w:noWrap w:val="0"/>
                  <w:vAlign w:val="center"/>
                </w:tcPr>
                <w:p w14:paraId="051D1F2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58" w:type="pct"/>
                  <w:tcBorders>
                    <w:tl2br w:val="nil"/>
                    <w:tr2bl w:val="nil"/>
                  </w:tcBorders>
                  <w:noWrap w:val="0"/>
                  <w:vAlign w:val="center"/>
                </w:tcPr>
                <w:p w14:paraId="6721D2D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推进塔里木河流域用水结构调整，维护塔里木河、博斯腾湖基本生态用水。加强塔里木河流域水环境风险管控。加大博斯腾湖污染源头达标排放治理和监督力度，实施博斯腾湖综合治理。</w:t>
                  </w:r>
                </w:p>
              </w:tc>
              <w:tc>
                <w:tcPr>
                  <w:tcW w:w="1594" w:type="pct"/>
                  <w:tcBorders>
                    <w:tl2br w:val="nil"/>
                    <w:tr2bl w:val="nil"/>
                  </w:tcBorders>
                  <w:noWrap w:val="0"/>
                  <w:vAlign w:val="center"/>
                </w:tcPr>
                <w:p w14:paraId="6B69B9A2">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符合，本项目营运期</w:t>
                  </w:r>
                  <w:r>
                    <w:rPr>
                      <w:rFonts w:hint="eastAsia" w:eastAsia="宋体" w:cs="Times New Roman"/>
                      <w:color w:val="000000" w:themeColor="text1"/>
                      <w:sz w:val="21"/>
                      <w:szCs w:val="21"/>
                      <w:highlight w:val="none"/>
                      <w:lang w:val="en-US" w:eastAsia="zh-CN"/>
                      <w14:textFill>
                        <w14:solidFill>
                          <w14:schemeClr w14:val="tx1"/>
                        </w14:solidFill>
                      </w14:textFill>
                    </w:rPr>
                    <w:t>废水与地表水无直接水力联系</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11FE5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046" w:type="pct"/>
                  <w:gridSpan w:val="2"/>
                  <w:vMerge w:val="continue"/>
                  <w:tcBorders>
                    <w:tl2br w:val="nil"/>
                    <w:tr2bl w:val="nil"/>
                  </w:tcBorders>
                  <w:noWrap w:val="0"/>
                  <w:vAlign w:val="center"/>
                </w:tcPr>
                <w:p w14:paraId="0C922B8D">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58" w:type="pct"/>
                  <w:tcBorders>
                    <w:tl2br w:val="nil"/>
                    <w:tr2bl w:val="nil"/>
                  </w:tcBorders>
                  <w:noWrap w:val="0"/>
                  <w:vAlign w:val="center"/>
                </w:tcPr>
                <w:p w14:paraId="29FC3C2F">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加强油（气）资源开发区土壤环境污染综合整治。强化涉重金属行业污染防控与工业废物处理处置。</w:t>
                  </w:r>
                </w:p>
              </w:tc>
              <w:tc>
                <w:tcPr>
                  <w:tcW w:w="1594" w:type="pct"/>
                  <w:tcBorders>
                    <w:tl2br w:val="nil"/>
                    <w:tr2bl w:val="nil"/>
                  </w:tcBorders>
                  <w:noWrap w:val="0"/>
                  <w:vAlign w:val="center"/>
                </w:tcPr>
                <w:p w14:paraId="394EB57E">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w:t>
                  </w:r>
                  <w:r>
                    <w:rPr>
                      <w:rFonts w:hint="eastAsia" w:cs="Times New Roman"/>
                      <w:color w:val="000000" w:themeColor="text1"/>
                      <w:sz w:val="21"/>
                      <w:szCs w:val="21"/>
                      <w:highlight w:val="none"/>
                      <w:lang w:val="en-US" w:eastAsia="zh-CN"/>
                      <w14:textFill>
                        <w14:solidFill>
                          <w14:schemeClr w14:val="tx1"/>
                        </w14:solidFill>
                      </w14:textFill>
                    </w:rPr>
                    <w:t>实验</w:t>
                  </w:r>
                  <w:r>
                    <w:rPr>
                      <w:rFonts w:hint="eastAsia" w:eastAsia="宋体" w:cs="Times New Roman"/>
                      <w:color w:val="000000" w:themeColor="text1"/>
                      <w:sz w:val="21"/>
                      <w:szCs w:val="21"/>
                      <w:highlight w:val="none"/>
                      <w:lang w:val="en-US" w:eastAsia="zh-CN"/>
                      <w14:textFill>
                        <w14:solidFill>
                          <w14:schemeClr w14:val="tx1"/>
                        </w14:solidFill>
                      </w14:textFill>
                    </w:rPr>
                    <w:t>检测服务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，不属于油气资源开发区域和重金属行业。</w:t>
                  </w:r>
                </w:p>
              </w:tc>
            </w:tr>
          </w:tbl>
          <w:p w14:paraId="0E1923C8">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2024</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11</w:t>
            </w:r>
            <w:r>
              <w:rPr>
                <w:rFonts w:hint="eastAsia" w:ascii="宋体" w:hAnsi="宋体" w:eastAsia="宋体" w:cs="宋体"/>
                <w:color w:val="000000" w:themeColor="text1"/>
                <w:kern w:val="0"/>
                <w:sz w:val="24"/>
                <w:szCs w:val="24"/>
                <w:lang w:val="en-US" w:eastAsia="zh-CN" w:bidi="ar"/>
                <w14:textFill>
                  <w14:solidFill>
                    <w14:schemeClr w14:val="tx1"/>
                  </w14:solidFill>
                </w14:textFill>
              </w:rPr>
              <w:t>月，新疆维吾尔自治区生态环境厅发布了《关于印发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&lt;</w:t>
            </w:r>
            <w:r>
              <w:rPr>
                <w:rFonts w:hint="eastAsia" w:ascii="宋体" w:hAnsi="宋体" w:eastAsia="宋体" w:cs="宋体"/>
                <w:color w:val="000000" w:themeColor="text1"/>
                <w:kern w:val="0"/>
                <w:sz w:val="24"/>
                <w:szCs w:val="24"/>
                <w:lang w:val="en-US" w:eastAsia="zh-CN" w:bidi="ar"/>
                <w14:textFill>
                  <w14:solidFill>
                    <w14:schemeClr w14:val="tx1"/>
                  </w14:solidFill>
                </w14:textFill>
              </w:rPr>
              <w:t>新疆维吾尔自治区生态环境分区管控动态更新成果＞的通知》（新环环评发〔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2024</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157</w:t>
            </w:r>
            <w:r>
              <w:rPr>
                <w:rFonts w:hint="eastAsia" w:ascii="宋体" w:hAnsi="宋体" w:eastAsia="宋体" w:cs="宋体"/>
                <w:color w:val="000000" w:themeColor="text1"/>
                <w:kern w:val="0"/>
                <w:sz w:val="24"/>
                <w:szCs w:val="24"/>
                <w:lang w:val="en-US" w:eastAsia="zh-CN" w:bidi="ar"/>
                <w14:textFill>
                  <w14:solidFill>
                    <w14:schemeClr w14:val="tx1"/>
                  </w14:solidFill>
                </w14:textFill>
              </w:rPr>
              <w:t>号），与其符合性分析内容见表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eastAsia="宋体" w:cs="Times New Roman"/>
                <w:color w:val="000000" w:themeColor="text1"/>
                <w:kern w:val="0"/>
                <w:sz w:val="24"/>
                <w:szCs w:val="24"/>
                <w:lang w:val="en-US" w:eastAsia="zh-CN" w:bidi="ar"/>
                <w14:textFill>
                  <w14:solidFill>
                    <w14:schemeClr w14:val="tx1"/>
                  </w14:solidFill>
                </w14:textFill>
              </w:rPr>
              <w:t>5</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508E4A46">
            <w:pPr>
              <w:keepNext w:val="0"/>
              <w:keepLines w:val="0"/>
              <w:widowControl/>
              <w:suppressLineNumbers w:val="0"/>
              <w:spacing w:before="0" w:beforeAutospacing="0" w:after="0" w:afterAutospacing="0" w:line="360" w:lineRule="auto"/>
              <w:ind w:left="0" w:leftChars="0" w:right="0" w:firstLine="0" w:firstLineChars="0"/>
              <w:jc w:val="center"/>
              <w:rPr>
                <w:rFonts w:hint="default" w:ascii="Times New Roman" w:hAnsi="Times New Roman" w:eastAsia="新宋体" w:cs="Times New Roman"/>
                <w:b/>
                <w:bCs/>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14:textFill>
                  <w14:solidFill>
                    <w14:schemeClr w14:val="tx1"/>
                  </w14:solidFill>
                </w14:textFill>
              </w:rPr>
              <w:t>表1-</w:t>
            </w:r>
            <w:r>
              <w:rPr>
                <w:rFonts w:hint="eastAsia" w:eastAsia="新宋体"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新宋体" w:cs="Times New Roman"/>
                <w:b/>
                <w:bCs/>
                <w:color w:val="000000" w:themeColor="text1"/>
                <w:sz w:val="21"/>
                <w:szCs w:val="21"/>
                <w14:textFill>
                  <w14:solidFill>
                    <w14:schemeClr w14:val="tx1"/>
                  </w14:solidFill>
                </w14:textFill>
              </w:rPr>
              <w:t>与《新疆维吾尔自治区生态环境分区管控动态更新成果》</w:t>
            </w:r>
            <w:r>
              <w:rPr>
                <w:rFonts w:hint="eastAsia" w:eastAsia="新宋体" w:cs="Times New Roman"/>
                <w:b/>
                <w:bCs/>
                <w:color w:val="000000" w:themeColor="text1"/>
                <w:sz w:val="21"/>
                <w:szCs w:val="21"/>
                <w:lang w:eastAsia="zh-CN"/>
                <w14:textFill>
                  <w14:solidFill>
                    <w14:schemeClr w14:val="tx1"/>
                  </w14:solidFill>
                </w14:textFill>
              </w:rPr>
              <w:t>（</w:t>
            </w:r>
            <w:r>
              <w:rPr>
                <w:rFonts w:hint="eastAsia" w:eastAsia="新宋体" w:cs="Times New Roman"/>
                <w:b/>
                <w:bCs/>
                <w:color w:val="000000" w:themeColor="text1"/>
                <w:sz w:val="21"/>
                <w:szCs w:val="21"/>
                <w:lang w:val="en-US" w:eastAsia="zh-CN"/>
                <w14:textFill>
                  <w14:solidFill>
                    <w14:schemeClr w14:val="tx1"/>
                  </w14:solidFill>
                </w14:textFill>
              </w:rPr>
              <w:t>摘选部分涉及</w:t>
            </w:r>
            <w:r>
              <w:rPr>
                <w:rFonts w:hint="eastAsia" w:eastAsia="新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新宋体" w:cs="Times New Roman"/>
                <w:b/>
                <w:bCs/>
                <w:color w:val="000000" w:themeColor="text1"/>
                <w:sz w:val="21"/>
                <w:szCs w:val="21"/>
                <w14:textFill>
                  <w14:solidFill>
                    <w14:schemeClr w14:val="tx1"/>
                  </w14:solidFill>
                </w14:textFill>
              </w:rPr>
              <w:t>符合性分析</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511"/>
              <w:gridCol w:w="538"/>
              <w:gridCol w:w="2748"/>
              <w:gridCol w:w="2571"/>
            </w:tblGrid>
            <w:tr w14:paraId="49A4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Align w:val="center"/>
                </w:tcPr>
                <w:p w14:paraId="7D2D6850">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名称</w:t>
                  </w:r>
                </w:p>
              </w:tc>
              <w:tc>
                <w:tcPr>
                  <w:tcW w:w="752" w:type="pct"/>
                  <w:gridSpan w:val="2"/>
                  <w:vAlign w:val="center"/>
                </w:tcPr>
                <w:p w14:paraId="2C5D00F4">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管控维度</w:t>
                  </w:r>
                </w:p>
              </w:tc>
              <w:tc>
                <w:tcPr>
                  <w:tcW w:w="1973" w:type="pct"/>
                  <w:vAlign w:val="center"/>
                </w:tcPr>
                <w:p w14:paraId="1DB92245">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管控要求</w:t>
                  </w:r>
                </w:p>
              </w:tc>
              <w:tc>
                <w:tcPr>
                  <w:tcW w:w="1846" w:type="pct"/>
                  <w:vAlign w:val="center"/>
                </w:tcPr>
                <w:p w14:paraId="12A461FE">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本项目情况</w:t>
                  </w:r>
                </w:p>
              </w:tc>
            </w:tr>
            <w:tr w14:paraId="5014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restart"/>
                  <w:vAlign w:val="center"/>
                </w:tcPr>
                <w:p w14:paraId="15A61C78">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新疆维吾尔自治区生态环境分区管控</w:t>
                  </w:r>
                </w:p>
              </w:tc>
              <w:tc>
                <w:tcPr>
                  <w:tcW w:w="366" w:type="pct"/>
                  <w:vMerge w:val="restart"/>
                  <w:vAlign w:val="center"/>
                </w:tcPr>
                <w:p w14:paraId="736B4743">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A1空间布局约束</w:t>
                  </w:r>
                </w:p>
              </w:tc>
              <w:tc>
                <w:tcPr>
                  <w:tcW w:w="386" w:type="pct"/>
                  <w:vMerge w:val="restart"/>
                  <w:vAlign w:val="center"/>
                </w:tcPr>
                <w:p w14:paraId="13143F9C">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A1.1禁</w:t>
                  </w:r>
                </w:p>
                <w:p w14:paraId="35864509">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止开发建设的活动</w:t>
                  </w:r>
                </w:p>
              </w:tc>
              <w:tc>
                <w:tcPr>
                  <w:tcW w:w="1973" w:type="pct"/>
                  <w:vAlign w:val="center"/>
                </w:tcPr>
                <w:p w14:paraId="279BCC46">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【A1.1-1】禁止新建、扩建《产业结构调整指导目录（2024年本）》中淘汰类项目。禁止引入《市场准入负面清单（2022年版）》禁止准入类事项。</w:t>
                  </w:r>
                </w:p>
              </w:tc>
              <w:tc>
                <w:tcPr>
                  <w:tcW w:w="1846" w:type="pct"/>
                  <w:vAlign w:val="center"/>
                </w:tcPr>
                <w:p w14:paraId="3A83FDF6">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属于《产业结构调整指导目录（2024年本）》中鼓励类项目；本项目不属于工业生产行业，不涉及《部分行业淘汰落后生产工艺装备和产品指导目录（2010年本）》及《“高污染、高环境风险”产品名录》内容。</w:t>
                  </w:r>
                </w:p>
              </w:tc>
            </w:tr>
            <w:tr w14:paraId="1978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01F0CEAE">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2D67A90F">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vAlign w:val="center"/>
                </w:tcPr>
                <w:p w14:paraId="6F664FC2">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vAlign w:val="center"/>
                </w:tcPr>
                <w:p w14:paraId="1EB926AF">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【A1.1-2】禁止建设不符合国家和自治区环境保护标准的项目。</w:t>
                  </w:r>
                </w:p>
              </w:tc>
              <w:tc>
                <w:tcPr>
                  <w:tcW w:w="1846" w:type="pct"/>
                  <w:vAlign w:val="center"/>
                </w:tcPr>
                <w:p w14:paraId="0AB46A85">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符合。本项目营运期污染物执行标准符合国家环境保护标准。</w:t>
                  </w:r>
                </w:p>
              </w:tc>
            </w:tr>
            <w:tr w14:paraId="51BC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0140CED6">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75663791">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vAlign w:val="center"/>
                </w:tcPr>
                <w:p w14:paraId="32D35F88">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vAlign w:val="center"/>
                </w:tcPr>
                <w:p w14:paraId="1B631DD8">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【A1.1-3】禁止在饮用水水源保护区、风景名胜区、自然保护区的核心区和缓冲区、城镇居民区、文化教育科学研究区等人口集中区域</w:t>
                  </w:r>
                  <w:bookmarkStart w:id="21" w:name="_GoBack"/>
                  <w:r>
                    <w:rPr>
                      <w:rFonts w:hint="eastAsia" w:cs="Times New Roman"/>
                      <w:color w:val="000000" w:themeColor="text1"/>
                      <w:sz w:val="21"/>
                      <w:szCs w:val="21"/>
                      <w:highlight w:val="none"/>
                      <w:lang w:val="en-US" w:eastAsia="zh-CN"/>
                      <w14:textFill>
                        <w14:solidFill>
                          <w14:schemeClr w14:val="tx1"/>
                        </w14:solidFill>
                      </w14:textFill>
                    </w:rPr>
                    <w:t>以及</w:t>
                  </w:r>
                  <w:bookmarkEnd w:id="21"/>
                  <w:r>
                    <w:rPr>
                      <w:rFonts w:hint="eastAsia" w:cs="Times New Roman"/>
                      <w:color w:val="000000" w:themeColor="text1"/>
                      <w:sz w:val="21"/>
                      <w:szCs w:val="21"/>
                      <w:highlight w:val="none"/>
                      <w:lang w:val="en-US" w:eastAsia="zh-CN"/>
                      <w14:textFill>
                        <w14:solidFill>
                          <w14:schemeClr w14:val="tx1"/>
                        </w14:solidFill>
                      </w14:textFill>
                    </w:rPr>
                    <w:t>法律法规规定的其他禁止养殖区域建设畜禽养殖场、养殖小区。</w:t>
                  </w:r>
                </w:p>
              </w:tc>
              <w:tc>
                <w:tcPr>
                  <w:tcW w:w="1846" w:type="pct"/>
                  <w:vMerge w:val="restart"/>
                  <w:vAlign w:val="center"/>
                </w:tcPr>
                <w:p w14:paraId="1CC694F1">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符合。本项目选址不涉及所列区域。</w:t>
                  </w:r>
                </w:p>
              </w:tc>
            </w:tr>
            <w:tr w14:paraId="173E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4F1493D7">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2E9C8328">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vAlign w:val="center"/>
                </w:tcPr>
                <w:p w14:paraId="267ADC26">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vAlign w:val="center"/>
                </w:tcPr>
                <w:p w14:paraId="47369035">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【A1.1-4】禁止在水源涵养区、地下水源、饮用水源、自然保护区、风景名胜区、森林公园、重要湿地及人群密集区等生态敏感区域内进行煤炭、石油、天然气开发。</w:t>
                  </w:r>
                </w:p>
              </w:tc>
              <w:tc>
                <w:tcPr>
                  <w:tcW w:w="1846" w:type="pct"/>
                  <w:vMerge w:val="continue"/>
                  <w:vAlign w:val="center"/>
                </w:tcPr>
                <w:p w14:paraId="18454906">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r>
            <w:tr w14:paraId="7221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50B6DA8">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09E9DF75">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vAlign w:val="center"/>
                </w:tcPr>
                <w:p w14:paraId="62C56D0D">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vAlign w:val="center"/>
                </w:tcPr>
                <w:p w14:paraId="1FC52A94">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【A1.1-5】禁止下列破坏湿地及其生态功能的行为……</w:t>
                  </w:r>
                </w:p>
              </w:tc>
              <w:tc>
                <w:tcPr>
                  <w:tcW w:w="1846" w:type="pct"/>
                  <w:vAlign w:val="center"/>
                </w:tcPr>
                <w:p w14:paraId="3C923DB4">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符合。本项目为油井管道、设备质量检测，不属于管控要求所列破坏湿地及其生态功能的生产、开采活动。</w:t>
                  </w:r>
                </w:p>
              </w:tc>
            </w:tr>
            <w:tr w14:paraId="7AAF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0EC83B2">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0C0568E4">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restart"/>
                  <w:vAlign w:val="center"/>
                </w:tcPr>
                <w:p w14:paraId="2E2CE615">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A1.1禁</w:t>
                  </w:r>
                </w:p>
                <w:p w14:paraId="4684A2CB">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止开发</w:t>
                  </w:r>
                </w:p>
                <w:p w14:paraId="1266D2B0">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建设的</w:t>
                  </w:r>
                </w:p>
                <w:p w14:paraId="4C40BCF2">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活动</w:t>
                  </w:r>
                </w:p>
              </w:tc>
              <w:tc>
                <w:tcPr>
                  <w:tcW w:w="1973" w:type="pct"/>
                  <w:vAlign w:val="center"/>
                </w:tcPr>
                <w:p w14:paraId="56528909">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1846" w:type="pct"/>
                  <w:vMerge w:val="restart"/>
                  <w:vAlign w:val="center"/>
                </w:tcPr>
                <w:p w14:paraId="1746F4B4">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符合。本项目不属于高污染（排放）、高能（水）耗、高环境风险的工业项目。</w:t>
                  </w:r>
                </w:p>
              </w:tc>
            </w:tr>
            <w:tr w14:paraId="29E6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E66BED1">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4F5B3515">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vAlign w:val="center"/>
                </w:tcPr>
                <w:p w14:paraId="3284EF63">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vAlign w:val="center"/>
                </w:tcPr>
                <w:p w14:paraId="2AC53A4B">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【A1.1-7】①坚决遏制高耗能高排放低水平……</w:t>
                  </w:r>
                </w:p>
                <w:p w14:paraId="25E3A57B">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②重点行业企业纳入重污染天气绩效分级……</w:t>
                  </w:r>
                </w:p>
              </w:tc>
              <w:tc>
                <w:tcPr>
                  <w:tcW w:w="1846" w:type="pct"/>
                  <w:vMerge w:val="continue"/>
                  <w:vAlign w:val="center"/>
                </w:tcPr>
                <w:p w14:paraId="2FBBEDB6">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p>
              </w:tc>
            </w:tr>
            <w:tr w14:paraId="6E2B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3B6FB4B9">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6E85E698">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restart"/>
                  <w:vAlign w:val="center"/>
                </w:tcPr>
                <w:p w14:paraId="4C224E7E">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A1.2限制开发建设的活动</w:t>
                  </w:r>
                </w:p>
              </w:tc>
              <w:tc>
                <w:tcPr>
                  <w:tcW w:w="1973" w:type="pct"/>
                  <w:vAlign w:val="center"/>
                </w:tcPr>
                <w:p w14:paraId="04D53426">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【A1.2-1】严格控制缺水地区、水污染严重区域和敏感区域高耗水高污染行业发展。</w:t>
                  </w:r>
                </w:p>
              </w:tc>
              <w:tc>
                <w:tcPr>
                  <w:tcW w:w="1846" w:type="pct"/>
                  <w:vAlign w:val="center"/>
                </w:tcPr>
                <w:p w14:paraId="48007DC6">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符合。本项目不属于高耗水高污染行业。</w:t>
                  </w:r>
                </w:p>
              </w:tc>
            </w:tr>
            <w:tr w14:paraId="6A9A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60D9CD70">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3426DF0D">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vAlign w:val="center"/>
                </w:tcPr>
                <w:p w14:paraId="25253E76">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vAlign w:val="center"/>
                </w:tcPr>
                <w:p w14:paraId="2B8D7E6F">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【A1.2-2】建设项目用地原则上不得占用永久基本农田……</w:t>
                  </w:r>
                </w:p>
              </w:tc>
              <w:tc>
                <w:tcPr>
                  <w:tcW w:w="1846" w:type="pct"/>
                  <w:vAlign w:val="center"/>
                </w:tcPr>
                <w:p w14:paraId="6F3CCCE4">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符合。本项目不占用基本农田。</w:t>
                  </w:r>
                </w:p>
              </w:tc>
            </w:tr>
            <w:tr w14:paraId="461D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07F9C897">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72C491D8">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vAlign w:val="center"/>
                </w:tcPr>
                <w:p w14:paraId="62442055">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vAlign w:val="center"/>
                </w:tcPr>
                <w:p w14:paraId="25A8CF9D">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1846" w:type="pct"/>
                  <w:vAlign w:val="center"/>
                </w:tcPr>
                <w:p w14:paraId="0B636BBC">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符合。本地块不涉及用地性质变更等。</w:t>
                  </w:r>
                </w:p>
              </w:tc>
            </w:tr>
            <w:tr w14:paraId="4CDA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75F9F119">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54506864">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vAlign w:val="center"/>
                </w:tcPr>
                <w:p w14:paraId="02E75AD6">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vAlign w:val="center"/>
                </w:tcPr>
                <w:p w14:paraId="3D48207F">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【A1.3-2】对不符合国家产业政策、严重污染水环境的生产项目全部予以取缔。</w:t>
                  </w:r>
                </w:p>
              </w:tc>
              <w:tc>
                <w:tcPr>
                  <w:tcW w:w="1846" w:type="pct"/>
                  <w:vAlign w:val="center"/>
                </w:tcPr>
                <w:p w14:paraId="1303C301">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符合。本项目不涉及所列情形，营运期废水经管网排入污水处理厂，液态危废收集处置，不属于严重水污染环境项目。</w:t>
                  </w:r>
                </w:p>
              </w:tc>
            </w:tr>
            <w:tr w14:paraId="6C44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07A97A95">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1EDE8EAF">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Align w:val="center"/>
                </w:tcPr>
                <w:p w14:paraId="721568C9">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p>
                <w:p w14:paraId="426379B5">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A1.4其</w:t>
                  </w:r>
                </w:p>
                <w:p w14:paraId="3D93E967">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它布局</w:t>
                  </w:r>
                </w:p>
                <w:p w14:paraId="39107F9A">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要求</w:t>
                  </w:r>
                </w:p>
              </w:tc>
              <w:tc>
                <w:tcPr>
                  <w:tcW w:w="1973" w:type="pct"/>
                  <w:vAlign w:val="center"/>
                </w:tcPr>
                <w:p w14:paraId="123DB826">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846" w:type="pct"/>
                  <w:vAlign w:val="center"/>
                </w:tcPr>
                <w:p w14:paraId="232A8F6E">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符合。本项目与自治区区域主体功能区划目标相协调，符合库尔勒经济技术开发区总体规划及规划环评要求。</w:t>
                  </w:r>
                </w:p>
              </w:tc>
            </w:tr>
            <w:tr w14:paraId="31E2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restart"/>
                  <w:vAlign w:val="center"/>
                </w:tcPr>
                <w:p w14:paraId="03213B9B">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新疆维吾尔自治区生态环境分区管控</w:t>
                  </w:r>
                </w:p>
              </w:tc>
              <w:tc>
                <w:tcPr>
                  <w:tcW w:w="366" w:type="pct"/>
                  <w:vMerge w:val="restart"/>
                  <w:vAlign w:val="center"/>
                </w:tcPr>
                <w:p w14:paraId="70D0156F">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A2污染物排放管控</w:t>
                  </w:r>
                </w:p>
              </w:tc>
              <w:tc>
                <w:tcPr>
                  <w:tcW w:w="386" w:type="pct"/>
                  <w:vAlign w:val="center"/>
                </w:tcPr>
                <w:p w14:paraId="15203794">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A2.1污染物削减/替代要求</w:t>
                  </w:r>
                </w:p>
              </w:tc>
              <w:tc>
                <w:tcPr>
                  <w:tcW w:w="1973" w:type="pct"/>
                  <w:vAlign w:val="center"/>
                </w:tcPr>
                <w:p w14:paraId="01029C76">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2.1-1】新、改、扩建重点行业建设项目应符合“三线一单”、产业政策、区域环评、规划环评和行业环境准入管控要求。重点区域的新、改、扩建重点行业建设项目应遵循重点重金属污染物排放“减量替代”原则。</w:t>
                  </w:r>
                </w:p>
              </w:tc>
              <w:tc>
                <w:tcPr>
                  <w:tcW w:w="1846" w:type="pct"/>
                  <w:vAlign w:val="center"/>
                </w:tcPr>
                <w:p w14:paraId="238FEE13">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符合。本项目属于实验检测服务，不属于重点行业建设项目。</w:t>
                  </w:r>
                </w:p>
              </w:tc>
            </w:tr>
            <w:tr w14:paraId="6267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67A6C262">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5447B57B">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Align w:val="center"/>
                </w:tcPr>
                <w:p w14:paraId="6CC4330A">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A2.2污</w:t>
                  </w:r>
                </w:p>
                <w:p w14:paraId="1E4D9A15">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染控制</w:t>
                  </w:r>
                </w:p>
                <w:p w14:paraId="3D70699A">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措施要</w:t>
                  </w:r>
                </w:p>
                <w:p w14:paraId="0F54EB77">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求</w:t>
                  </w:r>
                </w:p>
              </w:tc>
              <w:tc>
                <w:tcPr>
                  <w:tcW w:w="1973" w:type="pct"/>
                  <w:vAlign w:val="center"/>
                </w:tcPr>
                <w:p w14:paraId="570A6CA8">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【A2.2-4】强化用水定额管理。推进地下水超采综合治理。开展河湖生态流量（水量）确定工作，强化生态用水保障。</w:t>
                  </w:r>
                </w:p>
              </w:tc>
              <w:tc>
                <w:tcPr>
                  <w:tcW w:w="1846" w:type="pct"/>
                  <w:vAlign w:val="center"/>
                </w:tcPr>
                <w:p w14:paraId="2D45165C">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符合。项目区内给水管网已接入，不涉及地下水开采及地表水体用水。</w:t>
                  </w:r>
                </w:p>
              </w:tc>
            </w:tr>
            <w:tr w14:paraId="2FE4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17A4D11C">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Align w:val="center"/>
                </w:tcPr>
                <w:p w14:paraId="574BCE4C">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A3环境风险防控</w:t>
                  </w:r>
                </w:p>
              </w:tc>
              <w:tc>
                <w:tcPr>
                  <w:tcW w:w="386" w:type="pct"/>
                  <w:vAlign w:val="center"/>
                </w:tcPr>
                <w:p w14:paraId="45AAD727">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A3.2联防联控要求</w:t>
                  </w:r>
                </w:p>
              </w:tc>
              <w:tc>
                <w:tcPr>
                  <w:tcW w:w="1973" w:type="pct"/>
                  <w:vAlign w:val="center"/>
                </w:tcPr>
                <w:p w14:paraId="46D98FC5">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3.2-4】加强环境风险预警防控。加强涉危险物企业、涉重金属企业、化工园区、集中式饮用水水源地及重点流域环境风险调查评估，实施分类分级风险管控，协同推进重点区域、流域生态环境污染综合防治、风险防控与生态修复。</w:t>
                  </w:r>
                </w:p>
              </w:tc>
              <w:tc>
                <w:tcPr>
                  <w:tcW w:w="1846" w:type="pct"/>
                  <w:vAlign w:val="center"/>
                </w:tcPr>
                <w:p w14:paraId="5A6BFAFB">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符合。本项目环境风险程度较低，本环评已针对营运期风险事件提出防范措施，本环评建设内容纳入环境应急预案风险评估，营运期定期按照应急预案内容进行应急演练，逐步提高应急演练范围与级别。</w:t>
                  </w:r>
                </w:p>
              </w:tc>
            </w:tr>
            <w:tr w14:paraId="2BE0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028E10BC">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restart"/>
                  <w:vAlign w:val="center"/>
                </w:tcPr>
                <w:p w14:paraId="324B8B0E">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A4资源利用要求</w:t>
                  </w:r>
                </w:p>
              </w:tc>
              <w:tc>
                <w:tcPr>
                  <w:tcW w:w="386" w:type="pct"/>
                  <w:vAlign w:val="center"/>
                </w:tcPr>
                <w:p w14:paraId="6062565C">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A4.2土地资源</w:t>
                  </w:r>
                </w:p>
              </w:tc>
              <w:tc>
                <w:tcPr>
                  <w:tcW w:w="1973" w:type="pct"/>
                  <w:vAlign w:val="center"/>
                </w:tcPr>
                <w:p w14:paraId="6A35C22F">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【A4.2-1】土地资源上线指标控制在最终批复的国土空间规划控制指标内。</w:t>
                  </w:r>
                </w:p>
              </w:tc>
              <w:tc>
                <w:tcPr>
                  <w:tcW w:w="1846" w:type="pct"/>
                  <w:vAlign w:val="center"/>
                </w:tcPr>
                <w:p w14:paraId="6D56BCC4">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符合。本项目租赁巴州大朴石油技术服务有限公司已建厂房占地面积344m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，用地性质为工业用地。</w:t>
                  </w:r>
                </w:p>
              </w:tc>
            </w:tr>
            <w:tr w14:paraId="6A1C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vMerge w:val="continue"/>
                  <w:vAlign w:val="center"/>
                </w:tcPr>
                <w:p w14:paraId="797FFC22">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vAlign w:val="center"/>
                </w:tcPr>
                <w:p w14:paraId="7093D12A">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p>
              </w:tc>
              <w:tc>
                <w:tcPr>
                  <w:tcW w:w="386" w:type="pct"/>
                  <w:vAlign w:val="center"/>
                </w:tcPr>
                <w:p w14:paraId="35CF9718">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A4.5资源综合</w:t>
                  </w:r>
                </w:p>
              </w:tc>
              <w:tc>
                <w:tcPr>
                  <w:tcW w:w="1973" w:type="pct"/>
                  <w:vAlign w:val="center"/>
                </w:tcPr>
                <w:p w14:paraId="10C33540">
                  <w:pPr>
                    <w:pStyle w:val="66"/>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846" w:type="pct"/>
                  <w:vAlign w:val="center"/>
                </w:tcPr>
                <w:p w14:paraId="275AA6D5">
                  <w:pPr>
                    <w:pStyle w:val="66"/>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营运期内报废废样、金属边角料外售资源回收单位，废氮气和硫化氢气瓶由供货单位回收；生活垃圾依托当地环卫部门统一拉运；实验废液、清洗废液、喷淋废液、废活性炭与化学试剂废包装物属于危险废物委托有处置资质单位处理。营运期内各类固废去向处置合理。</w:t>
                  </w:r>
                </w:p>
              </w:tc>
            </w:tr>
          </w:tbl>
          <w:p w14:paraId="5796378E">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新宋体" w:cs="Times New Roman"/>
                <w:color w:val="000000" w:themeColor="text1"/>
                <w:sz w:val="24"/>
                <w:lang w:eastAsia="zh-CN"/>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综上所述，项目符合《新疆维吾尔自治区“三线一单”生态环境分区管控方案》</w:t>
            </w:r>
            <w:r>
              <w:rPr>
                <w:rFonts w:hint="eastAsia" w:eastAsia="新宋体" w:cs="Times New Roman"/>
                <w:color w:val="000000" w:themeColor="text1"/>
                <w:sz w:val="24"/>
                <w:lang w:eastAsia="zh-CN"/>
                <w14:textFill>
                  <w14:solidFill>
                    <w14:schemeClr w14:val="tx1"/>
                  </w14:solidFill>
                </w14:textFill>
              </w:rPr>
              <w:t>《新疆维吾尔自治区生态环境分区管控动态更新成果》</w:t>
            </w:r>
            <w:r>
              <w:rPr>
                <w:rFonts w:hint="default" w:ascii="Times New Roman" w:hAnsi="Times New Roman" w:eastAsia="新宋体" w:cs="Times New Roman"/>
                <w:color w:val="000000" w:themeColor="text1"/>
                <w:sz w:val="24"/>
                <w:lang w:eastAsia="zh-CN"/>
                <w14:textFill>
                  <w14:solidFill>
                    <w14:schemeClr w14:val="tx1"/>
                  </w14:solidFill>
                </w14:textFill>
              </w:rPr>
              <w:t>和</w:t>
            </w:r>
            <w:r>
              <w:rPr>
                <w:rFonts w:hint="default" w:ascii="Times New Roman" w:hAnsi="Times New Roman" w:eastAsia="新宋体" w:cs="Times New Roman"/>
                <w:color w:val="000000" w:themeColor="text1"/>
                <w:sz w:val="24"/>
                <w:lang w:val="en-US" w:eastAsia="zh-CN"/>
                <w14:textFill>
                  <w14:solidFill>
                    <w14:schemeClr w14:val="tx1"/>
                  </w14:solidFill>
                </w14:textFill>
              </w:rPr>
              <w:t>《自治区生态环境分区管控方案和七大片区管控要求》</w:t>
            </w:r>
            <w:r>
              <w:rPr>
                <w:rFonts w:hint="default" w:ascii="Times New Roman" w:hAnsi="Times New Roman" w:eastAsia="新宋体" w:cs="Times New Roman"/>
                <w:color w:val="000000" w:themeColor="text1"/>
                <w:sz w:val="24"/>
                <w:lang w:eastAsia="zh-CN"/>
                <w14:textFill>
                  <w14:solidFill>
                    <w14:schemeClr w14:val="tx1"/>
                  </w14:solidFill>
                </w14:textFill>
              </w:rPr>
              <w:t>的要求。</w:t>
            </w:r>
          </w:p>
          <w:p w14:paraId="364709BF">
            <w:pPr>
              <w:pStyle w:val="5"/>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表1-</w:t>
            </w:r>
            <w:r>
              <w:rPr>
                <w:rFonts w:hint="eastAsia" w:eastAsia="新宋体" w:cs="Times New Roman"/>
                <w:b/>
                <w:bCs/>
                <w:color w:val="000000" w:themeColor="text1"/>
                <w:kern w:val="2"/>
                <w:sz w:val="21"/>
                <w:szCs w:val="21"/>
                <w:lang w:val="en-US" w:eastAsia="zh-CN" w:bidi="ar-SA"/>
                <w14:textFill>
                  <w14:solidFill>
                    <w14:schemeClr w14:val="tx1"/>
                  </w14:solidFill>
                </w14:textFill>
              </w:rPr>
              <w:t>6</w:t>
            </w: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与《巴音郭楞蒙古自治州“三线一单”生态环境分区管控方案》符合性</w:t>
            </w:r>
          </w:p>
          <w:tbl>
            <w:tblPr>
              <w:tblStyle w:val="30"/>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9"/>
              <w:gridCol w:w="3173"/>
              <w:gridCol w:w="2444"/>
              <w:gridCol w:w="854"/>
            </w:tblGrid>
            <w:tr w14:paraId="466AA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27" w:type="pct"/>
                  <w:gridSpan w:val="2"/>
                  <w:tcBorders>
                    <w:tl2br w:val="nil"/>
                    <w:tr2bl w:val="nil"/>
                  </w:tcBorders>
                  <w:noWrap w:val="0"/>
                  <w:vAlign w:val="center"/>
                </w:tcPr>
                <w:p w14:paraId="5FD003E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文件要求</w:t>
                  </w:r>
                </w:p>
              </w:tc>
              <w:tc>
                <w:tcPr>
                  <w:tcW w:w="1758" w:type="pct"/>
                  <w:tcBorders>
                    <w:tl2br w:val="nil"/>
                    <w:tr2bl w:val="nil"/>
                  </w:tcBorders>
                  <w:noWrap w:val="0"/>
                  <w:vAlign w:val="center"/>
                </w:tcPr>
                <w:p w14:paraId="0B2DBCF1">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拟建工程</w:t>
                  </w:r>
                </w:p>
              </w:tc>
              <w:tc>
                <w:tcPr>
                  <w:tcW w:w="614" w:type="pct"/>
                  <w:tcBorders>
                    <w:tl2br w:val="nil"/>
                    <w:tr2bl w:val="nil"/>
                  </w:tcBorders>
                  <w:noWrap w:val="0"/>
                  <w:vAlign w:val="center"/>
                </w:tcPr>
                <w:p w14:paraId="248BA38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符合性</w:t>
                  </w:r>
                </w:p>
              </w:tc>
            </w:tr>
            <w:tr w14:paraId="171EE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tcBorders>
                    <w:tl2br w:val="nil"/>
                    <w:tr2bl w:val="nil"/>
                  </w:tcBorders>
                  <w:noWrap w:val="0"/>
                  <w:vAlign w:val="center"/>
                </w:tcPr>
                <w:p w14:paraId="222764A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生态保护红线</w:t>
                  </w:r>
                </w:p>
              </w:tc>
              <w:tc>
                <w:tcPr>
                  <w:tcW w:w="2282" w:type="pct"/>
                  <w:tcBorders>
                    <w:tl2br w:val="nil"/>
                    <w:tr2bl w:val="nil"/>
                  </w:tcBorders>
                  <w:noWrap w:val="0"/>
                  <w:vAlign w:val="center"/>
                </w:tcPr>
                <w:p w14:paraId="0415C511">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按照“生态功能不降低、面积不减少、性质不改变”的基本要求，对划定的生态保护红线实施严格管控，保障和维护国家生态安全的底线和生命线。</w:t>
                  </w:r>
                </w:p>
              </w:tc>
              <w:tc>
                <w:tcPr>
                  <w:tcW w:w="1758" w:type="pct"/>
                  <w:tcBorders>
                    <w:tl2br w:val="nil"/>
                    <w:tr2bl w:val="nil"/>
                  </w:tcBorders>
                  <w:noWrap w:val="0"/>
                  <w:vAlign w:val="center"/>
                </w:tcPr>
                <w:p w14:paraId="2FD5B2BB">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位于</w:t>
                  </w:r>
                  <w:r>
                    <w:rPr>
                      <w:rFonts w:hint="eastAsia" w:eastAsia="宋体" w:cs="Times New Roman"/>
                      <w:color w:val="000000" w:themeColor="text1"/>
                      <w:sz w:val="21"/>
                      <w:szCs w:val="21"/>
                      <w:highlight w:val="none"/>
                      <w:lang w:val="en-US" w:eastAsia="zh-CN"/>
                      <w14:textFill>
                        <w14:solidFill>
                          <w14:schemeClr w14:val="tx1"/>
                        </w14:solidFill>
                      </w14:textFill>
                    </w:rPr>
                    <w:t>库尔勒经济技术开发区康盛路东侧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，项目不涉及生态保护红线区，总体符合分区管控的要求。</w:t>
                  </w:r>
                </w:p>
              </w:tc>
              <w:tc>
                <w:tcPr>
                  <w:tcW w:w="614" w:type="pct"/>
                  <w:tcBorders>
                    <w:tl2br w:val="nil"/>
                    <w:tr2bl w:val="nil"/>
                  </w:tcBorders>
                  <w:noWrap w:val="0"/>
                  <w:vAlign w:val="center"/>
                </w:tcPr>
                <w:p w14:paraId="20C16060">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C259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tcBorders>
                    <w:tl2br w:val="nil"/>
                    <w:tr2bl w:val="nil"/>
                  </w:tcBorders>
                  <w:noWrap w:val="0"/>
                  <w:vAlign w:val="center"/>
                </w:tcPr>
                <w:p w14:paraId="04EF2BE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环境质量底线</w:t>
                  </w:r>
                </w:p>
              </w:tc>
              <w:tc>
                <w:tcPr>
                  <w:tcW w:w="2282" w:type="pct"/>
                  <w:tcBorders>
                    <w:tl2br w:val="nil"/>
                    <w:tr2bl w:val="nil"/>
                  </w:tcBorders>
                  <w:noWrap w:val="0"/>
                  <w:vAlign w:val="center"/>
                </w:tcPr>
                <w:p w14:paraId="597FFA52">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州水环境质量持续改善，开都河、塔里木河、迪那河、车尔臣河、黄水沟5条河流13个监测断面稳定达到II类水（塔里木河氟化物不参与考核，其他指标均为Ⅱ类），孔雀河4个监测断面达到II类水，博斯腾湖17个重点点位中1、7、14监测点均值Ⅱ类，其余监测点均值Ⅳ类；受污染地表水体得到有效治理，饮用水安全保障水平持续提升，地下水超采得到严格控制，地下水水质保持稳定。全州环境空气质量有所提升，SO2、NO2浓度长期维持在较低水平，达到环境空气质量一级标准；逐步减少颗粒物排放，PM10、PM2.5平均浓度分别低于81μg/m、31.5μg/m（库尔勒市，扣除沙尘天气影响），空气优良天数比例大于75.2%（库尔勒市），重污染天数持续减少，沙尘影响严重地区做好防风固沙、生态环境保护修复等工作：全州土壤环境质量保持稳定，受污染耕地安全利用率达到98%以上，污染地块安全利用率不低于93%，土壤环境风险得到进一步管控。</w:t>
                  </w:r>
                </w:p>
              </w:tc>
              <w:tc>
                <w:tcPr>
                  <w:tcW w:w="1758" w:type="pct"/>
                  <w:tcBorders>
                    <w:tl2br w:val="nil"/>
                    <w:tr2bl w:val="nil"/>
                  </w:tcBorders>
                  <w:noWrap w:val="0"/>
                  <w:vAlign w:val="center"/>
                </w:tcPr>
                <w:p w14:paraId="739BF16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项目区大气环境质量执行《环境空气质量标准》（GB3095-2012）中二类限值要求，项目拟采取</w:t>
                  </w:r>
                  <w:r>
                    <w:rPr>
                      <w:rFonts w:hint="eastAsia" w:eastAsia="宋体" w:cs="Times New Roman"/>
                      <w:color w:val="000000" w:themeColor="text1"/>
                      <w:sz w:val="21"/>
                      <w:szCs w:val="21"/>
                      <w:highlight w:val="none"/>
                      <w:lang w:val="en-US" w:eastAsia="zh-CN"/>
                      <w14:textFill>
                        <w14:solidFill>
                          <w14:schemeClr w14:val="tx1"/>
                        </w14:solidFill>
                      </w14:textFill>
                    </w:rPr>
                    <w:t>“碱喷淋+活性炭吸附”处理营运期产生的酸性废气、硫化氢及挥发性废气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，对区域内环境影响较小，环境质量可以保持现有水平。</w:t>
                  </w:r>
                </w:p>
                <w:p w14:paraId="7B73882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废水经管网进入库尔勒经济技术开发区工业废水处理回用厂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实验废液等液态危废做危废处置，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对地表水环境无影响。</w:t>
                  </w:r>
                </w:p>
                <w:p w14:paraId="30DEC4A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项目区声环境执行《声环境质量标准》（GB3096-2008）中</w:t>
                  </w:r>
                  <w:r>
                    <w:rPr>
                      <w:rFonts w:hint="eastAsia"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类区标准，根据运营期影响分析，本工程通过采取降噪措施，厂界噪声可达标排放，对项目区声环境质量影响较小。</w:t>
                  </w:r>
                </w:p>
                <w:p w14:paraId="721331F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通过采取污染防治措施，项目运营期各类污染物均能达到国家排放标准要求，可将对环境质量的影响降到最小，不突破所在区域环境质量底线。</w:t>
                  </w:r>
                </w:p>
                <w:p w14:paraId="273303D1">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14" w:type="pct"/>
                  <w:tcBorders>
                    <w:tl2br w:val="nil"/>
                    <w:tr2bl w:val="nil"/>
                  </w:tcBorders>
                  <w:noWrap w:val="0"/>
                  <w:vAlign w:val="center"/>
                </w:tcPr>
                <w:p w14:paraId="0040A0BD">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87B6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tcBorders>
                    <w:tl2br w:val="nil"/>
                    <w:tr2bl w:val="nil"/>
                  </w:tcBorders>
                  <w:noWrap w:val="0"/>
                  <w:vAlign w:val="center"/>
                </w:tcPr>
                <w:p w14:paraId="363DDA4E">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资源利用上线</w:t>
                  </w:r>
                </w:p>
              </w:tc>
              <w:tc>
                <w:tcPr>
                  <w:tcW w:w="2282" w:type="pct"/>
                  <w:tcBorders>
                    <w:tl2br w:val="nil"/>
                    <w:tr2bl w:val="nil"/>
                  </w:tcBorders>
                  <w:noWrap w:val="0"/>
                  <w:vAlign w:val="center"/>
                </w:tcPr>
                <w:p w14:paraId="6661A27B">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强化节约集约利用，持续提升资源能源利用效率，水资源、土地资源、能源消耗等达到国家、自治区下达的总量和强度控制目标。加快低碳发展，提升碳汇能力，做好</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碳达峰碳中和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工作。</w:t>
                  </w:r>
                </w:p>
              </w:tc>
              <w:tc>
                <w:tcPr>
                  <w:tcW w:w="1758" w:type="pct"/>
                  <w:tcBorders>
                    <w:tl2br w:val="nil"/>
                    <w:tr2bl w:val="nil"/>
                  </w:tcBorders>
                  <w:noWrap w:val="0"/>
                  <w:vAlign w:val="center"/>
                </w:tcPr>
                <w:p w14:paraId="03E90459">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运营过程中消耗一定的水和电能，项目资源消耗量相对区域资源利用总量较少，本项目建成后通过内部管理、优化工艺，以“节能、降耗、减污”为目标，提高资源利用率，项目用水、用电不会突破资源利用上线，符合资源利用上线要求。</w:t>
                  </w:r>
                </w:p>
              </w:tc>
              <w:tc>
                <w:tcPr>
                  <w:tcW w:w="614" w:type="pct"/>
                  <w:tcBorders>
                    <w:tl2br w:val="nil"/>
                    <w:tr2bl w:val="nil"/>
                  </w:tcBorders>
                  <w:noWrap w:val="0"/>
                  <w:vAlign w:val="center"/>
                </w:tcPr>
                <w:p w14:paraId="19134782">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726B3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tcBorders>
                    <w:tl2br w:val="nil"/>
                    <w:tr2bl w:val="nil"/>
                  </w:tcBorders>
                  <w:noWrap w:val="0"/>
                  <w:vAlign w:val="center"/>
                </w:tcPr>
                <w:p w14:paraId="17BA0A4D">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环境管控单元</w:t>
                  </w:r>
                </w:p>
              </w:tc>
              <w:tc>
                <w:tcPr>
                  <w:tcW w:w="2282" w:type="pct"/>
                  <w:tcBorders>
                    <w:tl2br w:val="nil"/>
                    <w:tr2bl w:val="nil"/>
                  </w:tcBorders>
                  <w:noWrap w:val="0"/>
                  <w:vAlign w:val="center"/>
                </w:tcPr>
                <w:p w14:paraId="664EA899">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治州划定125个环境管控单元，分为优先保护单元、重点管控单元和一般管控单元等三个管控类别。优先保护单元包括生态保护红线和生态保护红线区以外的饮用水水源保护区、水源涵养区、防风固沙区、土地沙化防控区、水土流失防控区等一般生态空间管控区；重点管控区为城镇建成区、工业园区和开发强度大、污染排放强度高的工业聚集区等；一般管控单位包括优先保护单元和重点管控单元之外的其他区域。</w:t>
                  </w:r>
                </w:p>
              </w:tc>
              <w:tc>
                <w:tcPr>
                  <w:tcW w:w="1758" w:type="pct"/>
                  <w:tcBorders>
                    <w:tl2br w:val="nil"/>
                    <w:tr2bl w:val="nil"/>
                  </w:tcBorders>
                  <w:noWrap w:val="0"/>
                  <w:vAlign w:val="center"/>
                </w:tcPr>
                <w:p w14:paraId="3C525946">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根据关于印发《巴音郭楞蒙古自治州“三线一单”生态环境分区管控方案》的通知（巴政办发〔2021〕32号）中《方案》的相关规定，本项目位于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“库尔勒经济技术开发区-重点管控单元”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，本项目与巴音郭楞蒙古自治州“三线一单”生态环境准入清单中的分区管控要求的符合性分析见下表。</w:t>
                  </w:r>
                </w:p>
              </w:tc>
              <w:tc>
                <w:tcPr>
                  <w:tcW w:w="614" w:type="pct"/>
                  <w:tcBorders>
                    <w:tl2br w:val="nil"/>
                    <w:tr2bl w:val="nil"/>
                  </w:tcBorders>
                  <w:noWrap w:val="0"/>
                  <w:vAlign w:val="center"/>
                </w:tcPr>
                <w:p w14:paraId="78B02F1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51A2B84C">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新宋体" w:cs="Times New Roman"/>
                <w:color w:val="000000" w:themeColor="text1"/>
                <w:sz w:val="24"/>
                <w14:textFill>
                  <w14:solidFill>
                    <w14:schemeClr w14:val="tx1"/>
                  </w14:solidFill>
                </w14:textFill>
              </w:rPr>
            </w:pPr>
            <w:r>
              <w:rPr>
                <w:rFonts w:hint="default" w:ascii="Times New Roman" w:hAnsi="Times New Roman" w:eastAsia="新宋体" w:cs="Times New Roman"/>
                <w:color w:val="000000" w:themeColor="text1"/>
                <w:sz w:val="24"/>
                <w:lang w:val="en-US" w:eastAsia="zh-CN"/>
                <w14:textFill>
                  <w14:solidFill>
                    <w14:schemeClr w14:val="tx1"/>
                  </w14:solidFill>
                </w14:textFill>
              </w:rPr>
              <w:t>2021年6月30日，新疆巴音郭楞蒙古自治州人民政府印发的</w:t>
            </w:r>
            <w:r>
              <w:rPr>
                <w:rFonts w:hint="default" w:ascii="Times New Roman" w:hAnsi="Times New Roman" w:eastAsia="新宋体" w:cs="Times New Roman"/>
                <w:color w:val="000000" w:themeColor="text1"/>
                <w:sz w:val="24"/>
                <w14:textFill>
                  <w14:solidFill>
                    <w14:schemeClr w14:val="tx1"/>
                  </w14:solidFill>
                </w14:textFill>
              </w:rPr>
              <w:t>《巴州地区“三线一单”生态环境分区管控方案》（巴政办发﹝2021﹞32号）要求，本项目属于“</w:t>
            </w:r>
            <w:r>
              <w:rPr>
                <w:rFonts w:hint="default" w:ascii="Times New Roman" w:hAnsi="Times New Roman" w:eastAsia="新宋体" w:cs="Times New Roman"/>
                <w:color w:val="000000" w:themeColor="text1"/>
                <w:kern w:val="0"/>
                <w:sz w:val="24"/>
                <w14:textFill>
                  <w14:solidFill>
                    <w14:schemeClr w14:val="tx1"/>
                  </w14:solidFill>
                </w14:textFill>
              </w:rPr>
              <w:t>库尔勒经济技术开发区-重点管控单元</w:t>
            </w:r>
            <w:r>
              <w:rPr>
                <w:rFonts w:hint="default" w:ascii="Times New Roman" w:hAnsi="Times New Roman" w:eastAsia="新宋体" w:cs="Times New Roman"/>
                <w:color w:val="000000" w:themeColor="text1"/>
                <w:sz w:val="24"/>
                <w14:textFill>
                  <w14:solidFill>
                    <w14:schemeClr w14:val="tx1"/>
                  </w14:solidFill>
                </w14:textFill>
              </w:rPr>
              <w:t>”（</w:t>
            </w:r>
            <w:r>
              <w:rPr>
                <w:rFonts w:hint="default" w:ascii="Times New Roman" w:hAnsi="Times New Roman" w:eastAsia="新宋体" w:cs="Times New Roman"/>
                <w:color w:val="000000" w:themeColor="text1"/>
                <w:kern w:val="0"/>
                <w:sz w:val="24"/>
                <w:lang w:eastAsia="zh-CN"/>
                <w14:textFill>
                  <w14:solidFill>
                    <w14:schemeClr w14:val="tx1"/>
                  </w14:solidFill>
                </w14:textFill>
              </w:rPr>
              <w:t>ZH65280120016</w:t>
            </w:r>
            <w:r>
              <w:rPr>
                <w:rFonts w:hint="default" w:ascii="Times New Roman" w:hAnsi="Times New Roman" w:eastAsia="新宋体" w:cs="Times New Roman"/>
                <w:color w:val="000000" w:themeColor="text1"/>
                <w:sz w:val="24"/>
                <w14:textFill>
                  <w14:solidFill>
                    <w14:schemeClr w14:val="tx1"/>
                  </w14:solidFill>
                </w14:textFill>
              </w:rPr>
              <w:t>）</w:t>
            </w:r>
            <w:r>
              <w:rPr>
                <w:rFonts w:hint="default" w:ascii="Times New Roman" w:hAnsi="Times New Roman" w:eastAsia="新宋体" w:cs="Times New Roman"/>
                <w:color w:val="000000" w:themeColor="text1"/>
                <w:kern w:val="0"/>
                <w:sz w:val="24"/>
                <w14:textFill>
                  <w14:solidFill>
                    <w14:schemeClr w14:val="tx1"/>
                  </w14:solidFill>
                </w14:textFill>
              </w:rPr>
              <w:t>，</w:t>
            </w:r>
            <w:r>
              <w:rPr>
                <w:rFonts w:hint="default" w:ascii="Times New Roman" w:hAnsi="Times New Roman" w:eastAsia="新宋体" w:cs="Times New Roman"/>
                <w:color w:val="000000" w:themeColor="text1"/>
                <w:sz w:val="24"/>
                <w14:textFill>
                  <w14:solidFill>
                    <w14:schemeClr w14:val="tx1"/>
                  </w14:solidFill>
                </w14:textFill>
              </w:rPr>
              <w:t>项目与巴州地区三线一单红线图位置关系见附图4。本项目与</w:t>
            </w:r>
            <w:r>
              <w:rPr>
                <w:rFonts w:hint="default" w:ascii="Times New Roman" w:hAnsi="Times New Roman" w:eastAsia="新宋体" w:cs="Times New Roman"/>
                <w:color w:val="000000" w:themeColor="text1"/>
                <w:sz w:val="24"/>
                <w:lang w:val="en-US" w:eastAsia="zh-CN"/>
                <w14:textFill>
                  <w14:solidFill>
                    <w14:schemeClr w14:val="tx1"/>
                  </w14:solidFill>
                </w14:textFill>
              </w:rPr>
              <w:t>《巴音郭楞蒙古自治州生态环境准入清单》（2023年）</w:t>
            </w:r>
            <w:r>
              <w:rPr>
                <w:rFonts w:hint="default" w:ascii="Times New Roman" w:hAnsi="Times New Roman" w:eastAsia="新宋体" w:cs="Times New Roman"/>
                <w:color w:val="000000" w:themeColor="text1"/>
                <w:sz w:val="24"/>
                <w14:textFill>
                  <w14:solidFill>
                    <w14:schemeClr w14:val="tx1"/>
                  </w14:solidFill>
                </w14:textFill>
              </w:rPr>
              <w:t>符合性分析见下表。</w:t>
            </w:r>
          </w:p>
          <w:p w14:paraId="3E5522AD">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14:textFill>
                  <w14:solidFill>
                    <w14:schemeClr w14:val="tx1"/>
                  </w14:solidFill>
                </w14:textFill>
              </w:rPr>
              <w:t>表1-</w:t>
            </w:r>
            <w:r>
              <w:rPr>
                <w:rFonts w:hint="eastAsia" w:eastAsia="新宋体" w:cs="Times New Roman"/>
                <w:b/>
                <w:bCs/>
                <w:color w:val="000000" w:themeColor="text1"/>
                <w:sz w:val="21"/>
                <w:szCs w:val="21"/>
                <w:lang w:val="en-US" w:eastAsia="zh-CN"/>
                <w14:textFill>
                  <w14:solidFill>
                    <w14:schemeClr w14:val="tx1"/>
                  </w14:solidFill>
                </w14:textFill>
              </w:rPr>
              <w:t>7</w:t>
            </w:r>
            <w:r>
              <w:rPr>
                <w:rFonts w:hint="default" w:ascii="Times New Roman" w:hAnsi="Times New Roman" w:eastAsia="新宋体" w:cs="Times New Roman"/>
                <w:b/>
                <w:bCs/>
                <w:color w:val="000000" w:themeColor="text1"/>
                <w:sz w:val="21"/>
                <w:szCs w:val="21"/>
                <w14:textFill>
                  <w14:solidFill>
                    <w14:schemeClr w14:val="tx1"/>
                  </w14:solidFill>
                </w14:textFill>
              </w:rPr>
              <w:t>项目与</w:t>
            </w: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《巴音郭楞蒙古自治州生态环境准入清单》（2023年）</w:t>
            </w:r>
            <w:r>
              <w:rPr>
                <w:rFonts w:hint="default" w:ascii="Times New Roman" w:hAnsi="Times New Roman" w:eastAsia="新宋体" w:cs="Times New Roman"/>
                <w:b/>
                <w:bCs/>
                <w:color w:val="000000" w:themeColor="text1"/>
                <w:sz w:val="21"/>
                <w:szCs w:val="21"/>
                <w14:textFill>
                  <w14:solidFill>
                    <w14:schemeClr w14:val="tx1"/>
                  </w14:solidFill>
                </w14:textFill>
              </w:rPr>
              <w:t>符合性分析一览表</w:t>
            </w:r>
          </w:p>
          <w:tbl>
            <w:tblPr>
              <w:tblStyle w:val="29"/>
              <w:tblW w:w="498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888"/>
              <w:gridCol w:w="548"/>
              <w:gridCol w:w="3793"/>
              <w:gridCol w:w="1457"/>
              <w:gridCol w:w="244"/>
            </w:tblGrid>
            <w:tr w14:paraId="072E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40" w:type="pct"/>
                  <w:tcBorders>
                    <w:tl2br w:val="nil"/>
                    <w:tr2bl w:val="nil"/>
                  </w:tcBorders>
                  <w:vAlign w:val="center"/>
                </w:tcPr>
                <w:p w14:paraId="43C75107">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管控单元名称</w:t>
                  </w:r>
                </w:p>
              </w:tc>
              <w:tc>
                <w:tcPr>
                  <w:tcW w:w="3132" w:type="pct"/>
                  <w:gridSpan w:val="2"/>
                  <w:tcBorders>
                    <w:tl2br w:val="nil"/>
                    <w:tr2bl w:val="nil"/>
                  </w:tcBorders>
                  <w:vAlign w:val="center"/>
                </w:tcPr>
                <w:p w14:paraId="5F6A4EB7">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管控要求</w:t>
                  </w:r>
                </w:p>
              </w:tc>
              <w:tc>
                <w:tcPr>
                  <w:tcW w:w="1051" w:type="pct"/>
                  <w:tcBorders>
                    <w:tl2br w:val="nil"/>
                    <w:tr2bl w:val="nil"/>
                  </w:tcBorders>
                  <w:vAlign w:val="center"/>
                </w:tcPr>
                <w:p w14:paraId="04EC0BF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项目情况分析</w:t>
                  </w:r>
                </w:p>
              </w:tc>
              <w:tc>
                <w:tcPr>
                  <w:tcW w:w="176" w:type="pct"/>
                  <w:tcBorders>
                    <w:tl2br w:val="nil"/>
                    <w:tr2bl w:val="nil"/>
                  </w:tcBorders>
                  <w:vAlign w:val="center"/>
                </w:tcPr>
                <w:p w14:paraId="060A897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结论</w:t>
                  </w:r>
                </w:p>
              </w:tc>
            </w:tr>
            <w:tr w14:paraId="330AD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57" w:hRule="atLeast"/>
                <w:jc w:val="center"/>
              </w:trPr>
              <w:tc>
                <w:tcPr>
                  <w:tcW w:w="640" w:type="pct"/>
                  <w:vMerge w:val="restart"/>
                  <w:tcBorders>
                    <w:tl2br w:val="nil"/>
                    <w:tr2bl w:val="nil"/>
                  </w:tcBorders>
                  <w:vAlign w:val="center"/>
                </w:tcPr>
                <w:p w14:paraId="5678C86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库尔勒经济技术开发区-重点管控单元ZH65280120016</w:t>
                  </w:r>
                </w:p>
              </w:tc>
              <w:tc>
                <w:tcPr>
                  <w:tcW w:w="395" w:type="pct"/>
                  <w:tcBorders>
                    <w:tl2br w:val="nil"/>
                    <w:tr2bl w:val="nil"/>
                  </w:tcBorders>
                  <w:vAlign w:val="center"/>
                </w:tcPr>
                <w:p w14:paraId="014E470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空间布局约束</w:t>
                  </w:r>
                </w:p>
              </w:tc>
              <w:tc>
                <w:tcPr>
                  <w:tcW w:w="2737" w:type="pct"/>
                  <w:tcBorders>
                    <w:tl2br w:val="nil"/>
                    <w:tr2bl w:val="nil"/>
                  </w:tcBorders>
                  <w:vAlign w:val="center"/>
                </w:tcPr>
                <w:p w14:paraId="4C3914D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加大落后产能淘汰力度。对不符合国家产业政策、污染严重且经治理仍无法达标的工业企业实施关停并转。优化高耗水、重污染工业项目的布局与发展，逐步淘汰落后工艺和设备。淘汰效率低、能耗高、污染严重的小火电机组和小造纸业。</w:t>
                  </w:r>
                </w:p>
                <w:p w14:paraId="183D139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2.通过热电联产、集中供热等工程建设，除必要保留的以外，域内建成区全部淘汰10蒸吨及以下燃煤锅炉，禁止审批新建35蒸吨以下燃煤锅炉。</w:t>
                  </w:r>
                </w:p>
              </w:tc>
              <w:tc>
                <w:tcPr>
                  <w:tcW w:w="1051" w:type="pct"/>
                  <w:tcBorders>
                    <w:tl2br w:val="nil"/>
                    <w:tr2bl w:val="nil"/>
                  </w:tcBorders>
                  <w:vAlign w:val="center"/>
                </w:tcPr>
                <w:p w14:paraId="4D1F8F51">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本项目建设符合现行产业政策及规划文件，不属于所列高污染、高能耗等淘汰类企业；本项目生产用热来自高温高压釜，不涉及燃煤锅炉等建设。</w:t>
                  </w:r>
                </w:p>
              </w:tc>
              <w:tc>
                <w:tcPr>
                  <w:tcW w:w="176" w:type="pct"/>
                  <w:tcBorders>
                    <w:tl2br w:val="nil"/>
                    <w:tr2bl w:val="nil"/>
                  </w:tcBorders>
                  <w:vAlign w:val="center"/>
                </w:tcPr>
                <w:p w14:paraId="2CE94A3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488C0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243" w:hRule="atLeast"/>
                <w:jc w:val="center"/>
              </w:trPr>
              <w:tc>
                <w:tcPr>
                  <w:tcW w:w="640" w:type="pct"/>
                  <w:vMerge w:val="continue"/>
                  <w:tcBorders>
                    <w:tl2br w:val="nil"/>
                    <w:tr2bl w:val="nil"/>
                  </w:tcBorders>
                  <w:vAlign w:val="center"/>
                </w:tcPr>
                <w:p w14:paraId="7EBE2545">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5" w:type="pct"/>
                  <w:tcBorders>
                    <w:tl2br w:val="nil"/>
                    <w:tr2bl w:val="nil"/>
                  </w:tcBorders>
                  <w:vAlign w:val="center"/>
                </w:tcPr>
                <w:p w14:paraId="2FDA2F6D">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污染物排放管控</w:t>
                  </w:r>
                </w:p>
              </w:tc>
              <w:tc>
                <w:tcPr>
                  <w:tcW w:w="2737" w:type="pct"/>
                  <w:tcBorders>
                    <w:tl2br w:val="nil"/>
                    <w:tr2bl w:val="nil"/>
                  </w:tcBorders>
                  <w:vAlign w:val="center"/>
                </w:tcPr>
                <w:p w14:paraId="5C4D721F">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加强工业企业污染治理。开发区属于库尔勒大气联防联控区范围，火电、钢铁、水泥、石化行业和燃煤锅炉实施大气污染物特别排放限值。加强对除尘、脱硫、脱硝设施的监督管理，确保污染治理设施的高效稳定运行，使各类污染源大气污染物的排放达到国家和地方排放标准。火电行业：所有燃煤机组必须进行脱硫脱硝治理和高效除尘技术改造。石化行业：加快石化企业催化裂化装置脱硫以及动力车间脱硫、脱硝工作，加强挥发性有机物治理、恶臭治理。</w:t>
                  </w:r>
                </w:p>
                <w:p w14:paraId="4BE855AB">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实施挥发性有机物综合治理。在石化、有机化工、表面涂装、包装印刷等重点行业开展挥发性有机物综合治理，在石化行业开展“泄漏检测与修复”技术改造。建立挥发性有机物重点监管企业名录。推广使用水性涂料，鼓励生产、销售和使用低毒、低挥发性溶剂。积极推进加油站开展油气回收。</w:t>
                  </w:r>
                </w:p>
                <w:p w14:paraId="0E49EC5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保证污染治理设施稳定运行。对建成的库尔勒经济技术开发区工业废水处理回用厂、库尔勒纺织服装城污水处理及中水回用厂实施“全口径”水污染物排放总量控制。鼓励和支持污水处理收费产业化制度改革，推动处理后污水综合利用；加强污水处理厂的在线监测和环境监察，保障污水处理设施正常运行。</w:t>
                  </w:r>
                </w:p>
              </w:tc>
              <w:tc>
                <w:tcPr>
                  <w:tcW w:w="1051" w:type="pct"/>
                  <w:tcBorders>
                    <w:tl2br w:val="nil"/>
                    <w:tr2bl w:val="nil"/>
                  </w:tcBorders>
                  <w:vAlign w:val="center"/>
                </w:tcPr>
                <w:p w14:paraId="712FB0A8">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本项目属于联防联控区，</w:t>
                  </w:r>
                  <w:r>
                    <w:rPr>
                      <w:rFonts w:hint="eastAsia" w:eastAsia="宋体" w:cs="Times New Roman"/>
                      <w:color w:val="000000" w:themeColor="text1"/>
                      <w:sz w:val="21"/>
                      <w:szCs w:val="21"/>
                      <w:highlight w:val="none"/>
                      <w:lang w:val="en-US" w:eastAsia="zh-CN"/>
                      <w14:textFill>
                        <w14:solidFill>
                          <w14:schemeClr w14:val="tx1"/>
                        </w14:solidFill>
                      </w14:textFill>
                    </w:rPr>
                    <w:t>挥发性无组织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废气执行重点地区特别排放限值；项目区内无燃煤锅炉，不属于所列行业不涉及所列污染治理设施。</w:t>
                  </w:r>
                </w:p>
                <w:p w14:paraId="31A7310F">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含VOCs物料密封瓶或桶装收集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5A34BE39">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本项目生活污水、超声清洗废水及纯水制备废水排入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库尔勒经济技术开发区工业废水处理回用厂</w:t>
                  </w:r>
                  <w:r>
                    <w:rPr>
                      <w:rFonts w:hint="eastAsia" w:eastAsia="宋体" w:cs="Times New Roman"/>
                      <w:color w:val="000000" w:themeColor="text1"/>
                      <w:sz w:val="21"/>
                      <w:szCs w:val="21"/>
                      <w:highlight w:val="none"/>
                      <w:lang w:val="en-US" w:eastAsia="zh-CN"/>
                      <w14:textFill>
                        <w14:solidFill>
                          <w14:schemeClr w14:val="tx1"/>
                        </w14:solidFill>
                      </w14:textFill>
                    </w:rPr>
                    <w:t>不会对</w:t>
                  </w:r>
                  <w:r>
                    <w:rPr>
                      <w:rFonts w:hint="eastAsia" w:cs="Times New Roman"/>
                      <w:color w:val="000000" w:themeColor="text1"/>
                      <w:sz w:val="21"/>
                      <w:szCs w:val="21"/>
                      <w:highlight w:val="none"/>
                      <w:lang w:val="en-US" w:eastAsia="zh-CN"/>
                      <w14:textFill>
                        <w14:solidFill>
                          <w14:schemeClr w14:val="tx1"/>
                        </w14:solidFill>
                      </w14:textFill>
                    </w:rPr>
                    <w:t>污水处理厂</w:t>
                  </w:r>
                  <w:r>
                    <w:rPr>
                      <w:rFonts w:hint="eastAsia" w:eastAsia="宋体" w:cs="Times New Roman"/>
                      <w:color w:val="000000" w:themeColor="text1"/>
                      <w:sz w:val="21"/>
                      <w:szCs w:val="21"/>
                      <w:highlight w:val="none"/>
                      <w:lang w:val="en-US" w:eastAsia="zh-CN"/>
                      <w14:textFill>
                        <w14:solidFill>
                          <w14:schemeClr w14:val="tx1"/>
                        </w14:solidFill>
                      </w14:textFill>
                    </w:rPr>
                    <w:t>进水产生较大冲击。</w:t>
                  </w:r>
                </w:p>
                <w:p w14:paraId="4CB89C39">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本项目主要污染治理设施为</w:t>
                  </w:r>
                  <w:r>
                    <w:rPr>
                      <w:rFonts w:hint="eastAsia" w:eastAsia="宋体" w:cs="Times New Roman"/>
                      <w:color w:val="000000" w:themeColor="text1"/>
                      <w:sz w:val="21"/>
                      <w:szCs w:val="21"/>
                      <w:highlight w:val="none"/>
                      <w:lang w:val="en-US" w:eastAsia="zh-CN"/>
                      <w14:textFill>
                        <w14:solidFill>
                          <w14:schemeClr w14:val="tx1"/>
                        </w14:solidFill>
                      </w14:textFill>
                    </w:rPr>
                    <w:t>“碱喷淋塔+活性炭吸附”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，本项目实施后建立维保巡检制度，保证风机、</w:t>
                  </w:r>
                  <w:r>
                    <w:rPr>
                      <w:rFonts w:hint="eastAsia" w:eastAsia="宋体" w:cs="Times New Roman"/>
                      <w:color w:val="000000" w:themeColor="text1"/>
                      <w:sz w:val="21"/>
                      <w:szCs w:val="21"/>
                      <w:highlight w:val="none"/>
                      <w:lang w:val="en-US" w:eastAsia="zh-CN"/>
                      <w14:textFill>
                        <w14:solidFill>
                          <w14:schemeClr w14:val="tx1"/>
                        </w14:solidFill>
                      </w14:textFill>
                    </w:rPr>
                    <w:t>碱液、</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活性炭碘值有效，废气达标排放。</w:t>
                  </w:r>
                </w:p>
              </w:tc>
              <w:tc>
                <w:tcPr>
                  <w:tcW w:w="176" w:type="pct"/>
                  <w:tcBorders>
                    <w:tl2br w:val="nil"/>
                    <w:tr2bl w:val="nil"/>
                  </w:tcBorders>
                  <w:vAlign w:val="center"/>
                </w:tcPr>
                <w:p w14:paraId="6F6AA55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7A00A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126" w:hRule="atLeast"/>
                <w:jc w:val="center"/>
              </w:trPr>
              <w:tc>
                <w:tcPr>
                  <w:tcW w:w="640" w:type="pct"/>
                  <w:vMerge w:val="continue"/>
                  <w:tcBorders>
                    <w:tl2br w:val="nil"/>
                    <w:tr2bl w:val="nil"/>
                  </w:tcBorders>
                  <w:vAlign w:val="center"/>
                </w:tcPr>
                <w:p w14:paraId="5DF59F66">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5" w:type="pct"/>
                  <w:tcBorders>
                    <w:tl2br w:val="nil"/>
                    <w:tr2bl w:val="nil"/>
                  </w:tcBorders>
                  <w:vAlign w:val="center"/>
                </w:tcPr>
                <w:p w14:paraId="43D4AD19">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环境风险防控</w:t>
                  </w:r>
                </w:p>
              </w:tc>
              <w:tc>
                <w:tcPr>
                  <w:tcW w:w="2737" w:type="pct"/>
                  <w:tcBorders>
                    <w:tl2br w:val="nil"/>
                    <w:tr2bl w:val="nil"/>
                  </w:tcBorders>
                  <w:vAlign w:val="center"/>
                </w:tcPr>
                <w:p w14:paraId="1568969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3" w:name="_Hlk71702904"/>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1.危险废物无害化处置率达到100%。</w:t>
                  </w:r>
                </w:p>
                <w:p w14:paraId="14FDFDD7">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2.执行区域大气污染预警应急机制。建立区域重污染事件应急预案，构建区域联动一体的应急响应体系。</w:t>
                  </w:r>
                </w:p>
                <w:p w14:paraId="71A92A5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3.对使用和排放重金属、持久性有机物、危险废物和危险化学品的工业企业，实行分类管理和全过程监控。建立环保和企业相互对应配合、衔接的环境应急预案。</w:t>
                  </w:r>
                </w:p>
                <w:p w14:paraId="1E004867">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4.严格执行项目安全和卫生防护距离要求，项目卫生防护距离内不得规划、建设居民区、学校、医院等环境敏感目标，对于已存在的环境敏感目标要采取合理措施加以保护。</w:t>
                  </w:r>
                  <w:bookmarkEnd w:id="3"/>
                </w:p>
                <w:p w14:paraId="21D2CE15">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5.近期拟建的项目应布局园区南部片区东侧、南侧和东部片区，北部片区和南部片区西侧应布置轻工业，减少地周边敏感点的影响；尽量不引进高风险企业进驻园区。</w:t>
                  </w:r>
                </w:p>
              </w:tc>
              <w:tc>
                <w:tcPr>
                  <w:tcW w:w="1051" w:type="pct"/>
                  <w:tcBorders>
                    <w:tl2br w:val="nil"/>
                    <w:tr2bl w:val="nil"/>
                  </w:tcBorders>
                  <w:vAlign w:val="center"/>
                </w:tcPr>
                <w:p w14:paraId="05D9ED7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液态危废及活性炭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委托有资质单位处置，处置率可达100%。</w:t>
                  </w:r>
                </w:p>
                <w:p w14:paraId="4EA83C8A">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cs="Times New Roman"/>
                      <w:color w:val="000000" w:themeColor="text1"/>
                      <w:sz w:val="21"/>
                      <w:szCs w:val="21"/>
                      <w:highlight w:val="none"/>
                      <w:lang w:val="en-US" w:eastAsia="zh-CN"/>
                      <w14:textFill>
                        <w14:solidFill>
                          <w14:schemeClr w14:val="tx1"/>
                        </w14:solidFill>
                      </w14:textFill>
                    </w:rPr>
                    <w:t>涉及的</w:t>
                  </w:r>
                  <w:r>
                    <w:rPr>
                      <w:rFonts w:hint="eastAsia" w:eastAsia="宋体" w:cs="Times New Roman"/>
                      <w:color w:val="000000" w:themeColor="text1"/>
                      <w:sz w:val="21"/>
                      <w:szCs w:val="21"/>
                      <w:highlight w:val="none"/>
                      <w:lang w:val="en-US" w:eastAsia="zh-CN"/>
                      <w14:textFill>
                        <w14:solidFill>
                          <w14:schemeClr w14:val="tx1"/>
                        </w14:solidFill>
                      </w14:textFill>
                    </w:rPr>
                    <w:t>危险化学品按照《易制爆危险化学品治安管理办法》（公安部令第154号）等要求管控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，项目周围无环境敏感点，通过采取相应防治措施，可对环境敏感点的影响降至最低。</w:t>
                  </w:r>
                </w:p>
                <w:p w14:paraId="01809D02">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本项目建成后制定突发环境事件应急预案与租赁方建立应急响应关系</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5E8B3EEB">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项目布局位于库尔勒经济技术开发区南侧，周边无环境敏感点且不属于高风险企业。</w:t>
                  </w:r>
                </w:p>
              </w:tc>
              <w:tc>
                <w:tcPr>
                  <w:tcW w:w="176" w:type="pct"/>
                  <w:tcBorders>
                    <w:tl2br w:val="nil"/>
                    <w:tr2bl w:val="nil"/>
                  </w:tcBorders>
                  <w:vAlign w:val="center"/>
                </w:tcPr>
                <w:p w14:paraId="5F8E2E2D">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81A1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549" w:hRule="atLeast"/>
                <w:jc w:val="center"/>
              </w:trPr>
              <w:tc>
                <w:tcPr>
                  <w:tcW w:w="640" w:type="pct"/>
                  <w:vMerge w:val="continue"/>
                  <w:tcBorders>
                    <w:tl2br w:val="nil"/>
                    <w:tr2bl w:val="nil"/>
                  </w:tcBorders>
                  <w:vAlign w:val="center"/>
                </w:tcPr>
                <w:p w14:paraId="607632A7">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5" w:type="pct"/>
                  <w:tcBorders>
                    <w:tl2br w:val="nil"/>
                    <w:tr2bl w:val="nil"/>
                  </w:tcBorders>
                  <w:vAlign w:val="center"/>
                </w:tcPr>
                <w:p w14:paraId="68A62F94">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资源利用效率</w:t>
                  </w:r>
                </w:p>
              </w:tc>
              <w:tc>
                <w:tcPr>
                  <w:tcW w:w="2737" w:type="pct"/>
                  <w:tcBorders>
                    <w:tl2br w:val="nil"/>
                    <w:tr2bl w:val="nil"/>
                  </w:tcBorders>
                  <w:vAlign w:val="center"/>
                </w:tcPr>
                <w:p w14:paraId="4A3F81EF">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1.实施节水措施，提高工业用水的重复利用率，达到节水的目的。实施再生水回用。实现中水回用率达到20%的目标。</w:t>
                  </w:r>
                </w:p>
                <w:p w14:paraId="495CE373">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产业链延伸要符合清洁生产要求，且属于国家鼓励或允许的项目，其中国家已经颁布清洁生产标准的行业，引入项目后其清洁生产水平应达到一级标准以上；国家尚未颁布清洁生产标准的行业，引入项目应达到国内同行业清洁生产先进水平以上，避免清洁生产水平低的项目，落后生产技术、工艺、设备和产品进入。对于不符合清洁生产水平指标的企业，责令更改工艺及设备，对于还达不到清洁生产水平的企业，禁止在现有产业基础上进行延伸；同时，不得新增占地，不得新增与规划产业布局不相符的产业类型。</w:t>
                  </w:r>
                </w:p>
              </w:tc>
              <w:tc>
                <w:tcPr>
                  <w:tcW w:w="1051" w:type="pct"/>
                  <w:tcBorders>
                    <w:tl2br w:val="nil"/>
                    <w:tr2bl w:val="nil"/>
                  </w:tcBorders>
                  <w:vAlign w:val="center"/>
                </w:tcPr>
                <w:p w14:paraId="5C02027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本项目不涉及工业用水重复利用；本项目为</w:t>
                  </w:r>
                  <w:r>
                    <w:rPr>
                      <w:rFonts w:hint="eastAsia" w:eastAsia="宋体" w:cs="Times New Roman"/>
                      <w:color w:val="000000" w:themeColor="text1"/>
                      <w:sz w:val="21"/>
                      <w:szCs w:val="21"/>
                      <w:highlight w:val="none"/>
                      <w:lang w:val="en-US" w:eastAsia="zh-CN"/>
                      <w14:textFill>
                        <w14:solidFill>
                          <w14:schemeClr w14:val="tx1"/>
                        </w14:solidFill>
                      </w14:textFill>
                    </w:rPr>
                    <w:t>检测服务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eastAsia" w:eastAsia="宋体" w:cs="Times New Roman"/>
                      <w:color w:val="000000" w:themeColor="text1"/>
                      <w:sz w:val="21"/>
                      <w:szCs w:val="21"/>
                      <w:highlight w:val="none"/>
                      <w:lang w:val="en-US" w:eastAsia="zh-CN"/>
                      <w14:textFill>
                        <w14:solidFill>
                          <w14:schemeClr w14:val="tx1"/>
                        </w14:solidFill>
                      </w14:textFill>
                    </w:rPr>
                    <w:t>库尔勒经济技术开发区总体规划、发展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布局及产业规划。</w:t>
                  </w:r>
                </w:p>
              </w:tc>
              <w:tc>
                <w:tcPr>
                  <w:tcW w:w="176" w:type="pct"/>
                  <w:tcBorders>
                    <w:tl2br w:val="nil"/>
                    <w:tr2bl w:val="nil"/>
                  </w:tcBorders>
                  <w:vAlign w:val="center"/>
                </w:tcPr>
                <w:p w14:paraId="45F6E61C">
                  <w:pPr>
                    <w:pStyle w:val="66"/>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7E1B2344">
            <w:pPr>
              <w:pStyle w:val="36"/>
              <w:adjustRightInd w:val="0"/>
              <w:snapToGrid w:val="0"/>
              <w:ind w:firstLine="480" w:firstLineChars="200"/>
              <w:rPr>
                <w:color w:val="000000" w:themeColor="text1"/>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综上所述，</w:t>
            </w:r>
            <w:r>
              <w:rPr>
                <w:rFonts w:hint="default" w:ascii="Times New Roman" w:hAnsi="Times New Roman" w:eastAsia="新宋体" w:cs="Times New Roman"/>
                <w:color w:val="000000" w:themeColor="text1"/>
                <w:sz w:val="24"/>
                <w:lang w:val="en-US" w:eastAsia="zh-CN"/>
                <w14:textFill>
                  <w14:solidFill>
                    <w14:schemeClr w14:val="tx1"/>
                  </w14:solidFill>
                </w14:textFill>
              </w:rPr>
              <w:t>本项目符合《巴音郭楞蒙古自治州生态环境准入清单》（2023年）要求。</w:t>
            </w:r>
          </w:p>
          <w:p w14:paraId="7BFFDCB4">
            <w:pPr>
              <w:rPr>
                <w:color w:val="000000" w:themeColor="text1"/>
                <w14:textFill>
                  <w14:solidFill>
                    <w14:schemeClr w14:val="tx1"/>
                  </w14:solidFill>
                </w14:textFill>
              </w:rPr>
            </w:pPr>
          </w:p>
          <w:p w14:paraId="2264BB4F">
            <w:pPr>
              <w:pStyle w:val="20"/>
              <w:rPr>
                <w:color w:val="000000" w:themeColor="text1"/>
                <w14:textFill>
                  <w14:solidFill>
                    <w14:schemeClr w14:val="tx1"/>
                  </w14:solidFill>
                </w14:textFill>
              </w:rPr>
            </w:pPr>
          </w:p>
        </w:tc>
      </w:tr>
    </w:tbl>
    <w:p w14:paraId="2C4E9674">
      <w:pPr>
        <w:rPr>
          <w:rFonts w:hint="eastAsia" w:ascii="Times New Roman" w:hAnsi="Times New Roman" w:eastAsia="黑体"/>
          <w:snapToGrid w:val="0"/>
          <w:color w:val="000000" w:themeColor="text1"/>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br w:type="page"/>
      </w:r>
    </w:p>
    <w:p w14:paraId="559DCF71">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600"/>
        <w:jc w:val="center"/>
        <w:textAlignment w:val="auto"/>
        <w:outlineLvl w:val="0"/>
        <w:rPr>
          <w:rFonts w:ascii="Times New Roman" w:hAnsi="Times New Roman" w:eastAsia="黑体"/>
          <w:snapToGrid w:val="0"/>
          <w:color w:val="000000" w:themeColor="text1"/>
          <w:sz w:val="30"/>
          <w:szCs w:val="30"/>
          <w14:textFill>
            <w14:solidFill>
              <w14:schemeClr w14:val="tx1"/>
            </w14:solidFill>
          </w14:textFill>
        </w:rPr>
      </w:pPr>
      <w:bookmarkStart w:id="4" w:name="_Toc21987"/>
      <w:r>
        <w:rPr>
          <w:rFonts w:hint="eastAsia" w:ascii="Times New Roman" w:hAnsi="Times New Roman" w:eastAsia="黑体"/>
          <w:snapToGrid w:val="0"/>
          <w:color w:val="000000" w:themeColor="text1"/>
          <w:sz w:val="30"/>
          <w:szCs w:val="30"/>
          <w14:textFill>
            <w14:solidFill>
              <w14:schemeClr w14:val="tx1"/>
            </w14:solidFill>
          </w14:textFill>
        </w:rPr>
        <w:t>二、建设项目工程分析</w:t>
      </w:r>
      <w:bookmarkEnd w:id="4"/>
    </w:p>
    <w:tbl>
      <w:tblPr>
        <w:tblStyle w:val="29"/>
        <w:tblW w:w="535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56"/>
        <w:gridCol w:w="8736"/>
      </w:tblGrid>
      <w:tr w14:paraId="6C0766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25" w:hRule="atLeast"/>
          <w:jc w:val="center"/>
        </w:trPr>
        <w:tc>
          <w:tcPr>
            <w:tcW w:w="249" w:type="pct"/>
            <w:tcBorders>
              <w:tl2br w:val="nil"/>
              <w:tr2bl w:val="nil"/>
            </w:tcBorders>
            <w:vAlign w:val="center"/>
          </w:tcPr>
          <w:p w14:paraId="63DE0358">
            <w:pPr>
              <w:pStyle w:val="25"/>
              <w:adjustRightInd w:val="0"/>
              <w:snapToGrid w:val="0"/>
              <w:spacing w:before="0" w:beforeAutospacing="0" w:after="0" w:afterAutospacing="0"/>
              <w:ind w:firstLine="0" w:firstLineChars="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建设</w:t>
            </w:r>
          </w:p>
          <w:p w14:paraId="7FAE2E02">
            <w:pPr>
              <w:pStyle w:val="25"/>
              <w:adjustRightInd w:val="0"/>
              <w:snapToGrid w:val="0"/>
              <w:spacing w:before="0" w:beforeAutospacing="0" w:after="0" w:afterAutospacing="0"/>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内容</w:t>
            </w:r>
          </w:p>
        </w:tc>
        <w:tc>
          <w:tcPr>
            <w:tcW w:w="4750" w:type="pct"/>
            <w:tcBorders>
              <w:tl2br w:val="nil"/>
              <w:tr2bl w:val="nil"/>
            </w:tcBorders>
            <w:vAlign w:val="top"/>
          </w:tcPr>
          <w:p w14:paraId="4422279B">
            <w:pPr>
              <w:numPr>
                <w:ilvl w:val="0"/>
                <w:numId w:val="3"/>
              </w:numPr>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建设内容及规模</w:t>
            </w:r>
          </w:p>
          <w:p w14:paraId="22D9EC53">
            <w:pPr>
              <w:ind w:left="120" w:leftChars="5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（1）地理位置及周边关系</w:t>
            </w:r>
          </w:p>
          <w:p w14:paraId="787EF2FB">
            <w:pPr>
              <w:autoSpaceDE w:val="0"/>
              <w:autoSpaceDN w:val="0"/>
              <w:ind w:firstLine="48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本项目位于巴音郭楞蒙古自治州库尔勒市经济技术开发区康盛路东一巷26号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大朴石油技术院内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6#厂房</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zh-CN"/>
                <w14:textFill>
                  <w14:solidFill>
                    <w14:schemeClr w14:val="tx1"/>
                  </w14:solidFill>
                </w14:textFill>
              </w:rPr>
              <w:t>厂区地理位置坐标为：</w:t>
            </w:r>
            <w:r>
              <w:rPr>
                <w:rFonts w:hint="default" w:ascii="Times New Roman" w:hAnsi="Times New Roman" w:cs="Times New Roman"/>
                <w:color w:val="000000" w:themeColor="text1"/>
                <w14:textFill>
                  <w14:solidFill>
                    <w14:schemeClr w14:val="tx1"/>
                  </w14:solidFill>
                </w14:textFill>
              </w:rPr>
              <w:t>E86°13′9.257″，N41°40′23.885″，地理</w:t>
            </w:r>
            <w:r>
              <w:rPr>
                <w:rFonts w:hint="default" w:ascii="Times New Roman" w:hAnsi="Times New Roman" w:cs="Times New Roman"/>
                <w:color w:val="000000" w:themeColor="text1"/>
                <w:lang w:val="zh-CN"/>
                <w14:textFill>
                  <w14:solidFill>
                    <w14:schemeClr w14:val="tx1"/>
                  </w14:solidFill>
                </w14:textFill>
              </w:rPr>
              <w:t>位置见附图</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zh-CN"/>
                <w14:textFill>
                  <w14:solidFill>
                    <w14:schemeClr w14:val="tx1"/>
                  </w14:solidFill>
                </w14:textFill>
              </w:rPr>
              <w:t>。</w:t>
            </w:r>
          </w:p>
          <w:p w14:paraId="17A18AAC">
            <w:pPr>
              <w:autoSpaceDE w:val="0"/>
              <w:autoSpaceDN w:val="0"/>
              <w:ind w:firstLine="48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项目区东侧相邻新疆君奥管道防腐保温工程有限公司，西侧紧邻巴州大朴石油技术服务有限公司3#生产厂房（</w:t>
            </w:r>
            <w:r>
              <w:rPr>
                <w:rFonts w:hint="default" w:ascii="Times New Roman" w:hAnsi="Times New Roman" w:cs="Times New Roman"/>
                <w:color w:val="000000" w:themeColor="text1"/>
                <w14:textFill>
                  <w14:solidFill>
                    <w14:schemeClr w14:val="tx1"/>
                  </w14:solidFill>
                </w14:textFill>
              </w:rPr>
              <w:t>建筑面积8</w:t>
            </w:r>
            <w:r>
              <w:rPr>
                <w:rFonts w:hint="default" w:ascii="Times New Roman" w:hAnsi="Times New Roman" w:cs="Times New Roman"/>
                <w:color w:val="000000" w:themeColor="text1"/>
                <w:lang w:val="en-US" w:eastAsia="zh-CN"/>
                <w14:textFill>
                  <w14:solidFill>
                    <w14:schemeClr w14:val="tx1"/>
                  </w14:solidFill>
                </w14:textFill>
              </w:rPr>
              <w:t>29.05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，共三层，其中一层面积344m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，二层面积161.05m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，三层面积</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44m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vertAlign w:val="baseline"/>
                <w:lang w:val="en-US" w:eastAsia="zh-CN"/>
                <w14:textFill>
                  <w14:solidFill>
                    <w14:schemeClr w14:val="tx1"/>
                  </w14:solidFill>
                </w14:textFill>
              </w:rPr>
              <w:t>附属碱喷淋装置</w:t>
            </w:r>
            <w:r>
              <w:rPr>
                <w:rFonts w:hint="default" w:ascii="Times New Roman" w:hAnsi="Times New Roman" w:cs="Times New Roman"/>
                <w:color w:val="000000" w:themeColor="text1"/>
                <w:lang w:val="en-US" w:eastAsia="zh-CN"/>
                <w14:textFill>
                  <w14:solidFill>
                    <w14:schemeClr w14:val="tx1"/>
                  </w14:solidFill>
                </w14:textFill>
              </w:rPr>
              <w:t>），南侧为巴州大朴石油技术服务有限公司院内道路，北侧相隔康盛路东一巷为</w:t>
            </w:r>
            <w:r>
              <w:rPr>
                <w:rFonts w:hint="default" w:ascii="Times New Roman" w:hAnsi="Times New Roman" w:cs="Times New Roman"/>
                <w:color w:val="000000" w:themeColor="text1"/>
                <w14:textFill>
                  <w14:solidFill>
                    <w14:schemeClr w14:val="tx1"/>
                  </w14:solidFill>
                </w14:textFill>
              </w:rPr>
              <w:t>巴州鑫腾运达挂车制造有限公司</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本项目与周边关系图见附图2。</w:t>
            </w:r>
          </w:p>
          <w:p w14:paraId="1ED12AC7">
            <w:pPr>
              <w:ind w:firstLine="48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（2）建设规模及内容</w:t>
            </w:r>
          </w:p>
          <w:p w14:paraId="4D82F336">
            <w:pPr>
              <w:ind w:firstLine="48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本项目为新建项目，建设单位拟投资</w:t>
            </w:r>
            <w:r>
              <w:rPr>
                <w:rFonts w:hint="default" w:ascii="Times New Roman" w:hAnsi="Times New Roman" w:cs="Times New Roman"/>
                <w:color w:val="000000" w:themeColor="text1"/>
                <w:lang w:val="en-US" w:eastAsia="zh-CN"/>
                <w14:textFill>
                  <w14:solidFill>
                    <w14:schemeClr w14:val="tx1"/>
                  </w14:solidFill>
                </w14:textFill>
              </w:rPr>
              <w:t>6000</w:t>
            </w:r>
            <w:r>
              <w:rPr>
                <w:rFonts w:hint="default" w:ascii="Times New Roman" w:hAnsi="Times New Roman" w:cs="Times New Roman"/>
                <w:color w:val="000000" w:themeColor="text1"/>
                <w14:textFill>
                  <w14:solidFill>
                    <w14:schemeClr w14:val="tx1"/>
                  </w14:solidFill>
                </w14:textFill>
              </w:rPr>
              <w:t>万元，租赁大朴石油技术服务有限公司占地面积344m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闲置厂房</w:t>
            </w:r>
            <w:r>
              <w:rPr>
                <w:rFonts w:hint="default" w:ascii="Times New Roman" w:hAnsi="Times New Roman" w:cs="Times New Roman"/>
                <w:color w:val="000000" w:themeColor="text1"/>
                <w:lang w:val="en-US" w:eastAsia="zh-CN"/>
                <w14:textFill>
                  <w14:solidFill>
                    <w14:schemeClr w14:val="tx1"/>
                  </w14:solidFill>
                </w14:textFill>
              </w:rPr>
              <w:t>开展</w:t>
            </w:r>
            <w:r>
              <w:rPr>
                <w:rFonts w:hint="default" w:ascii="Times New Roman" w:hAnsi="Times New Roman" w:cs="Times New Roman"/>
                <w:color w:val="000000" w:themeColor="text1"/>
                <w14:textFill>
                  <w14:solidFill>
                    <w14:schemeClr w14:val="tx1"/>
                  </w14:solidFill>
                </w14:textFill>
              </w:rPr>
              <w:t>超深油井装备动态模拟实验，</w:t>
            </w:r>
            <w:bookmarkStart w:id="5" w:name="_Hlk147327359"/>
            <w:r>
              <w:rPr>
                <w:rFonts w:hint="default" w:ascii="Times New Roman" w:hAnsi="Times New Roman" w:cs="Times New Roman"/>
                <w:color w:val="000000" w:themeColor="text1"/>
                <w14:textFill>
                  <w14:solidFill>
                    <w14:schemeClr w14:val="tx1"/>
                  </w14:solidFill>
                </w14:textFill>
              </w:rPr>
              <w:t>主要</w:t>
            </w:r>
            <w:r>
              <w:rPr>
                <w:rFonts w:hint="default" w:ascii="Times New Roman" w:hAnsi="Times New Roman" w:cs="Times New Roman"/>
                <w:color w:val="000000" w:themeColor="text1"/>
                <w:lang w:val="en-US" w:eastAsia="zh-CN"/>
                <w14:textFill>
                  <w14:solidFill>
                    <w14:schemeClr w14:val="tx1"/>
                  </w14:solidFill>
                </w14:textFill>
              </w:rPr>
              <w:t>建设内容</w:t>
            </w:r>
            <w:r>
              <w:rPr>
                <w:rFonts w:hint="default" w:ascii="Times New Roman" w:hAnsi="Times New Roman" w:cs="Times New Roman"/>
                <w:color w:val="000000" w:themeColor="text1"/>
                <w14:textFill>
                  <w14:solidFill>
                    <w14:schemeClr w14:val="tx1"/>
                  </w14:solidFill>
                </w14:textFill>
              </w:rPr>
              <w:t>包括金相实验室、制样室、化学实验室、HIC和SSC试验室、</w:t>
            </w:r>
            <w:r>
              <w:rPr>
                <w:rFonts w:hint="eastAsia" w:cs="Times New Roman"/>
                <w:color w:val="000000" w:themeColor="text1"/>
                <w:lang w:val="en-US" w:eastAsia="zh-CN"/>
                <w14:textFill>
                  <w14:solidFill>
                    <w14:schemeClr w14:val="tx1"/>
                  </w14:solidFill>
                </w14:textFill>
              </w:rPr>
              <w:t>高温</w:t>
            </w:r>
            <w:r>
              <w:rPr>
                <w:rFonts w:hint="default" w:ascii="Times New Roman" w:hAnsi="Times New Roman" w:cs="Times New Roman"/>
                <w:color w:val="000000" w:themeColor="text1"/>
                <w14:textFill>
                  <w14:solidFill>
                    <w14:schemeClr w14:val="tx1"/>
                  </w14:solidFill>
                </w14:textFill>
              </w:rPr>
              <w:t>高压釜室、清洗间、气瓶间、危废间、办公室、试剂库、喷淋塔</w:t>
            </w:r>
            <w:r>
              <w:rPr>
                <w:rFonts w:hint="eastAsia" w:cs="Times New Roman"/>
                <w:color w:val="000000" w:themeColor="text1"/>
                <w:lang w:val="en-US" w:eastAsia="zh-CN"/>
                <w14:textFill>
                  <w14:solidFill>
                    <w14:schemeClr w14:val="tx1"/>
                  </w14:solidFill>
                </w14:textFill>
              </w:rPr>
              <w:t>+活性炭吸附装置</w:t>
            </w:r>
            <w:r>
              <w:rPr>
                <w:rFonts w:hint="default" w:ascii="Times New Roman" w:hAnsi="Times New Roman" w:cs="Times New Roman"/>
                <w:color w:val="000000" w:themeColor="text1"/>
                <w14:textFill>
                  <w14:solidFill>
                    <w14:schemeClr w14:val="tx1"/>
                  </w14:solidFill>
                </w14:textFill>
              </w:rPr>
              <w:t>等附属设施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建成后开展理化性能检测、金属金相实验、</w:t>
            </w:r>
            <w:r>
              <w:rPr>
                <w:rFonts w:hint="default" w:ascii="Times New Roman" w:hAnsi="Times New Roman" w:cs="Times New Roman"/>
                <w:color w:val="000000" w:themeColor="text1"/>
                <w14:textFill>
                  <w14:solidFill>
                    <w14:schemeClr w14:val="tx1"/>
                  </w14:solidFill>
                </w14:textFill>
              </w:rPr>
              <w:t>SSC硫化氢应力腐蚀检验</w:t>
            </w:r>
            <w:r>
              <w:rPr>
                <w:rFonts w:hint="default" w:ascii="Times New Roman" w:hAnsi="Times New Roman" w:cs="Times New Roman"/>
                <w:color w:val="000000" w:themeColor="text1"/>
                <w:lang w:val="en-US" w:eastAsia="zh-CN"/>
                <w14:textFill>
                  <w14:solidFill>
                    <w14:schemeClr w14:val="tx1"/>
                  </w14:solidFill>
                </w14:textFill>
              </w:rPr>
              <w:t>试验</w:t>
            </w:r>
            <w:r>
              <w:rPr>
                <w:rFonts w:hint="default" w:ascii="Times New Roman" w:hAnsi="Times New Roman" w:cs="Times New Roman"/>
                <w:color w:val="000000" w:themeColor="text1"/>
                <w14:textFill>
                  <w14:solidFill>
                    <w14:schemeClr w14:val="tx1"/>
                  </w14:solidFill>
                </w14:textFill>
              </w:rPr>
              <w:t>、HIC氢致开裂检验</w:t>
            </w:r>
            <w:r>
              <w:rPr>
                <w:rFonts w:hint="default" w:ascii="Times New Roman" w:hAnsi="Times New Roman" w:cs="Times New Roman"/>
                <w:color w:val="000000" w:themeColor="text1"/>
                <w:lang w:val="en-US" w:eastAsia="zh-CN"/>
                <w14:textFill>
                  <w14:solidFill>
                    <w14:schemeClr w14:val="tx1"/>
                  </w14:solidFill>
                </w14:textFill>
              </w:rPr>
              <w:t>试验等并出具第三方检测报告。</w:t>
            </w:r>
          </w:p>
          <w:p w14:paraId="2324CBCA">
            <w:pPr>
              <w:ind w:firstLine="48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本项目建设后项目组成一览表见下表2-1。</w:t>
            </w:r>
          </w:p>
          <w:p w14:paraId="51FF061B">
            <w:pPr>
              <w:pStyle w:val="20"/>
              <w:autoSpaceDE w:val="0"/>
              <w:autoSpaceDN w:val="0"/>
              <w:spacing w:after="0" w:line="240" w:lineRule="auto"/>
              <w:ind w:left="0" w:leftChars="0" w:firstLine="48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表2-1建设内容一览表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127"/>
              <w:gridCol w:w="1645"/>
              <w:gridCol w:w="858"/>
              <w:gridCol w:w="3536"/>
              <w:gridCol w:w="683"/>
            </w:tblGrid>
            <w:tr w14:paraId="014C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88" w:type="pct"/>
                  <w:tcBorders>
                    <w:tl2br w:val="nil"/>
                    <w:tr2bl w:val="nil"/>
                  </w:tcBorders>
                  <w:vAlign w:val="center"/>
                </w:tcPr>
                <w:p w14:paraId="66606CD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w:t>
                  </w:r>
                </w:p>
              </w:tc>
              <w:tc>
                <w:tcPr>
                  <w:tcW w:w="662" w:type="pct"/>
                  <w:tcBorders>
                    <w:tl2br w:val="nil"/>
                    <w:tr2bl w:val="nil"/>
                  </w:tcBorders>
                  <w:vAlign w:val="center"/>
                </w:tcPr>
                <w:p w14:paraId="37DDCF0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建设内容</w:t>
                  </w:r>
                </w:p>
              </w:tc>
              <w:tc>
                <w:tcPr>
                  <w:tcW w:w="3547" w:type="pct"/>
                  <w:gridSpan w:val="3"/>
                  <w:tcBorders>
                    <w:tl2br w:val="nil"/>
                    <w:tr2bl w:val="nil"/>
                  </w:tcBorders>
                  <w:vAlign w:val="center"/>
                </w:tcPr>
                <w:p w14:paraId="23E7C51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指标</w:t>
                  </w:r>
                </w:p>
              </w:tc>
              <w:tc>
                <w:tcPr>
                  <w:tcW w:w="401" w:type="pct"/>
                  <w:tcBorders>
                    <w:tl2br w:val="nil"/>
                    <w:tr2bl w:val="nil"/>
                  </w:tcBorders>
                  <w:vAlign w:val="center"/>
                </w:tcPr>
                <w:p w14:paraId="299ED9B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备注</w:t>
                  </w:r>
                </w:p>
              </w:tc>
            </w:tr>
            <w:tr w14:paraId="7981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8" w:type="pct"/>
                  <w:vMerge w:val="restart"/>
                  <w:tcBorders>
                    <w:tl2br w:val="nil"/>
                    <w:tr2bl w:val="nil"/>
                  </w:tcBorders>
                  <w:vAlign w:val="center"/>
                </w:tcPr>
                <w:p w14:paraId="37729E7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主体</w:t>
                  </w:r>
                </w:p>
                <w:p w14:paraId="6285E38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w:t>
                  </w:r>
                </w:p>
              </w:tc>
              <w:tc>
                <w:tcPr>
                  <w:tcW w:w="662" w:type="pct"/>
                  <w:vMerge w:val="restart"/>
                  <w:tcBorders>
                    <w:tl2br w:val="nil"/>
                    <w:tr2bl w:val="nil"/>
                  </w:tcBorders>
                  <w:vAlign w:val="center"/>
                </w:tcPr>
                <w:p w14:paraId="4D85498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试验、检测</w:t>
                  </w:r>
                </w:p>
              </w:tc>
              <w:tc>
                <w:tcPr>
                  <w:tcW w:w="966" w:type="pct"/>
                  <w:tcBorders>
                    <w:tl2br w:val="nil"/>
                    <w:tr2bl w:val="nil"/>
                  </w:tcBorders>
                  <w:vAlign w:val="center"/>
                </w:tcPr>
                <w:p w14:paraId="6BF5642A">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金相实验室（金相观察室）</w:t>
                  </w:r>
                </w:p>
              </w:tc>
              <w:tc>
                <w:tcPr>
                  <w:tcW w:w="2581" w:type="pct"/>
                  <w:gridSpan w:val="2"/>
                  <w:tcBorders>
                    <w:tl2br w:val="nil"/>
                    <w:tr2bl w:val="nil"/>
                  </w:tcBorders>
                  <w:vAlign w:val="center"/>
                </w:tcPr>
                <w:p w14:paraId="4A5B6239">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2楼北侧，建筑面积20m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，主要进行金属材料金相观察，通过金相显微镜观察出具金属材料金相检测报告</w:t>
                  </w:r>
                </w:p>
              </w:tc>
              <w:tc>
                <w:tcPr>
                  <w:tcW w:w="401" w:type="pct"/>
                  <w:vMerge w:val="restart"/>
                  <w:tcBorders>
                    <w:tl2br w:val="nil"/>
                    <w:tr2bl w:val="nil"/>
                  </w:tcBorders>
                  <w:vAlign w:val="center"/>
                </w:tcPr>
                <w:p w14:paraId="6AC541D5">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用于实验</w:t>
                  </w:r>
                </w:p>
              </w:tc>
            </w:tr>
            <w:tr w14:paraId="13B6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8" w:type="pct"/>
                  <w:vMerge w:val="continue"/>
                  <w:tcBorders>
                    <w:tl2br w:val="nil"/>
                    <w:tr2bl w:val="nil"/>
                  </w:tcBorders>
                  <w:vAlign w:val="center"/>
                </w:tcPr>
                <w:p w14:paraId="5EB1EF03">
                  <w:pPr>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662" w:type="pct"/>
                  <w:vMerge w:val="continue"/>
                  <w:tcBorders>
                    <w:tl2br w:val="nil"/>
                    <w:tr2bl w:val="nil"/>
                  </w:tcBorders>
                  <w:vAlign w:val="center"/>
                </w:tcPr>
                <w:p w14:paraId="658C1296">
                  <w:pPr>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966" w:type="pct"/>
                  <w:tcBorders>
                    <w:tl2br w:val="nil"/>
                    <w:tr2bl w:val="nil"/>
                  </w:tcBorders>
                  <w:vAlign w:val="center"/>
                </w:tcPr>
                <w:p w14:paraId="1F6C1AD0">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化学实验室</w:t>
                  </w:r>
                </w:p>
              </w:tc>
              <w:tc>
                <w:tcPr>
                  <w:tcW w:w="2581" w:type="pct"/>
                  <w:gridSpan w:val="2"/>
                  <w:tcBorders>
                    <w:tl2br w:val="nil"/>
                    <w:tr2bl w:val="nil"/>
                  </w:tcBorders>
                  <w:vAlign w:val="center"/>
                </w:tcPr>
                <w:p w14:paraId="6847AA7E">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2楼南侧，建筑面积20m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，主要配制HIC、SSC金属表面侵蚀溶液、金相观察液</w:t>
                  </w:r>
                </w:p>
              </w:tc>
              <w:tc>
                <w:tcPr>
                  <w:tcW w:w="401" w:type="pct"/>
                  <w:vMerge w:val="continue"/>
                  <w:tcBorders>
                    <w:tl2br w:val="nil"/>
                    <w:tr2bl w:val="nil"/>
                  </w:tcBorders>
                  <w:vAlign w:val="center"/>
                </w:tcPr>
                <w:p w14:paraId="6B0EFFC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2998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8" w:type="pct"/>
                  <w:vMerge w:val="continue"/>
                  <w:tcBorders>
                    <w:tl2br w:val="nil"/>
                    <w:tr2bl w:val="nil"/>
                  </w:tcBorders>
                  <w:vAlign w:val="center"/>
                </w:tcPr>
                <w:p w14:paraId="18F2B88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vMerge w:val="continue"/>
                  <w:tcBorders>
                    <w:tl2br w:val="nil"/>
                    <w:tr2bl w:val="nil"/>
                  </w:tcBorders>
                  <w:vAlign w:val="center"/>
                </w:tcPr>
                <w:p w14:paraId="07B31E0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vAlign w:val="center"/>
                </w:tcPr>
                <w:p w14:paraId="4621BEC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HIC、SSC试验室</w:t>
                  </w:r>
                </w:p>
              </w:tc>
              <w:tc>
                <w:tcPr>
                  <w:tcW w:w="2581" w:type="pct"/>
                  <w:gridSpan w:val="2"/>
                  <w:tcBorders>
                    <w:tl2br w:val="nil"/>
                    <w:tr2bl w:val="nil"/>
                  </w:tcBorders>
                  <w:vAlign w:val="center"/>
                </w:tcPr>
                <w:p w14:paraId="29EB51B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3楼东侧，</w:t>
                  </w:r>
                  <w:r>
                    <w:rPr>
                      <w:rFonts w:hint="default" w:ascii="Times New Roman" w:hAnsi="Times New Roman" w:cs="Times New Roman"/>
                      <w:color w:val="000000" w:themeColor="text1"/>
                      <w:sz w:val="21"/>
                      <w:szCs w:val="21"/>
                      <w14:textFill>
                        <w14:solidFill>
                          <w14:schemeClr w14:val="tx1"/>
                        </w14:solidFill>
                      </w14:textFill>
                    </w:rPr>
                    <w:t>HIC和SSC试验室2间，每间</w:t>
                  </w:r>
                  <w:r>
                    <w:rPr>
                      <w:rFonts w:hint="default" w:ascii="Times New Roman" w:hAnsi="Times New Roman" w:cs="Times New Roman"/>
                      <w:color w:val="000000" w:themeColor="text1"/>
                      <w:sz w:val="21"/>
                      <w:szCs w:val="21"/>
                      <w:lang w:val="en-US" w:eastAsia="zh-CN"/>
                      <w14:textFill>
                        <w14:solidFill>
                          <w14:schemeClr w14:val="tx1"/>
                        </w14:solidFill>
                      </w14:textFill>
                    </w:rPr>
                    <w:t>建筑</w:t>
                  </w:r>
                  <w:r>
                    <w:rPr>
                      <w:rFonts w:hint="default" w:ascii="Times New Roman" w:hAnsi="Times New Roman" w:cs="Times New Roman"/>
                      <w:color w:val="000000" w:themeColor="text1"/>
                      <w:sz w:val="21"/>
                      <w:szCs w:val="21"/>
                      <w14:textFill>
                        <w14:solidFill>
                          <w14:schemeClr w14:val="tx1"/>
                        </w14:solidFill>
                      </w14:textFill>
                    </w:rPr>
                    <w:t>面积40m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用于开展金属材料硫化氢腐蚀实验</w:t>
                  </w:r>
                </w:p>
              </w:tc>
              <w:tc>
                <w:tcPr>
                  <w:tcW w:w="401" w:type="pct"/>
                  <w:vMerge w:val="continue"/>
                  <w:tcBorders>
                    <w:tl2br w:val="nil"/>
                    <w:tr2bl w:val="nil"/>
                  </w:tcBorders>
                  <w:vAlign w:val="center"/>
                </w:tcPr>
                <w:p w14:paraId="4604D2F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767F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88" w:type="pct"/>
                  <w:vMerge w:val="restart"/>
                  <w:tcBorders>
                    <w:tl2br w:val="nil"/>
                    <w:tr2bl w:val="nil"/>
                  </w:tcBorders>
                  <w:vAlign w:val="center"/>
                </w:tcPr>
                <w:p w14:paraId="02D7C16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辅助</w:t>
                  </w:r>
                </w:p>
                <w:p w14:paraId="175C45F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w:t>
                  </w:r>
                </w:p>
              </w:tc>
              <w:tc>
                <w:tcPr>
                  <w:tcW w:w="662" w:type="pct"/>
                  <w:tcBorders>
                    <w:tl2br w:val="nil"/>
                    <w:tr2bl w:val="nil"/>
                  </w:tcBorders>
                  <w:vAlign w:val="center"/>
                </w:tcPr>
                <w:p w14:paraId="6273786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办公室</w:t>
                  </w:r>
                </w:p>
              </w:tc>
              <w:tc>
                <w:tcPr>
                  <w:tcW w:w="3547" w:type="pct"/>
                  <w:gridSpan w:val="3"/>
                  <w:tcBorders>
                    <w:tl2br w:val="nil"/>
                    <w:tr2bl w:val="nil"/>
                  </w:tcBorders>
                  <w:vAlign w:val="center"/>
                </w:tcPr>
                <w:p w14:paraId="4DD1D047">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2楼南侧</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建筑</w:t>
                  </w:r>
                  <w:r>
                    <w:rPr>
                      <w:rFonts w:hint="default" w:ascii="Times New Roman" w:hAnsi="Times New Roman" w:cs="Times New Roman"/>
                      <w:color w:val="000000" w:themeColor="text1"/>
                      <w:sz w:val="21"/>
                      <w:szCs w:val="21"/>
                      <w14:textFill>
                        <w14:solidFill>
                          <w14:schemeClr w14:val="tx1"/>
                        </w14:solidFill>
                      </w14:textFill>
                    </w:rPr>
                    <w:t>面积20m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，主要用于企业办公等</w:t>
                  </w:r>
                </w:p>
              </w:tc>
              <w:tc>
                <w:tcPr>
                  <w:tcW w:w="401" w:type="pct"/>
                  <w:tcBorders>
                    <w:tl2br w:val="nil"/>
                    <w:tr2bl w:val="nil"/>
                  </w:tcBorders>
                  <w:vAlign w:val="center"/>
                </w:tcPr>
                <w:p w14:paraId="7FBA5FE9">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62FE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88" w:type="pct"/>
                  <w:vMerge w:val="continue"/>
                  <w:tcBorders>
                    <w:tl2br w:val="nil"/>
                    <w:tr2bl w:val="nil"/>
                  </w:tcBorders>
                  <w:vAlign w:val="center"/>
                </w:tcPr>
                <w:p w14:paraId="5D47E46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099543B2">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制样室</w:t>
                  </w:r>
                </w:p>
              </w:tc>
              <w:tc>
                <w:tcPr>
                  <w:tcW w:w="3547" w:type="pct"/>
                  <w:gridSpan w:val="3"/>
                  <w:tcBorders>
                    <w:tl2br w:val="nil"/>
                    <w:tr2bl w:val="nil"/>
                  </w:tcBorders>
                  <w:vAlign w:val="center"/>
                </w:tcPr>
                <w:p w14:paraId="13CBE402">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2楼，建筑面积</w:t>
                  </w:r>
                  <w:r>
                    <w:rPr>
                      <w:rFonts w:hint="default" w:ascii="Times New Roman" w:hAnsi="Times New Roman" w:cs="Times New Roman"/>
                      <w:color w:val="000000" w:themeColor="text1"/>
                      <w:sz w:val="21"/>
                      <w:szCs w:val="21"/>
                      <w14:textFill>
                        <w14:solidFill>
                          <w14:schemeClr w14:val="tx1"/>
                        </w14:solidFill>
                      </w14:textFill>
                    </w:rPr>
                    <w:t>30m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用于车、铣、磨制成试样标准</w:t>
                  </w:r>
                </w:p>
              </w:tc>
              <w:tc>
                <w:tcPr>
                  <w:tcW w:w="401" w:type="pct"/>
                  <w:tcBorders>
                    <w:tl2br w:val="nil"/>
                    <w:tr2bl w:val="nil"/>
                  </w:tcBorders>
                  <w:vAlign w:val="center"/>
                </w:tcPr>
                <w:p w14:paraId="26C71443">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2219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88" w:type="pct"/>
                  <w:vMerge w:val="continue"/>
                  <w:tcBorders>
                    <w:tl2br w:val="nil"/>
                    <w:tr2bl w:val="nil"/>
                  </w:tcBorders>
                  <w:vAlign w:val="center"/>
                </w:tcPr>
                <w:p w14:paraId="792697C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5DB91957">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更衣/清洗/淋浴间</w:t>
                  </w:r>
                </w:p>
              </w:tc>
              <w:tc>
                <w:tcPr>
                  <w:tcW w:w="3547" w:type="pct"/>
                  <w:gridSpan w:val="3"/>
                  <w:tcBorders>
                    <w:tl2br w:val="nil"/>
                    <w:tr2bl w:val="nil"/>
                  </w:tcBorders>
                  <w:vAlign w:val="center"/>
                </w:tcPr>
                <w:p w14:paraId="33CEBB0C">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2楼北侧，建筑面积25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用于实验人员更换实验服、冲洗等</w:t>
                  </w:r>
                </w:p>
              </w:tc>
              <w:tc>
                <w:tcPr>
                  <w:tcW w:w="401" w:type="pct"/>
                  <w:tcBorders>
                    <w:tl2br w:val="nil"/>
                    <w:tr2bl w:val="nil"/>
                  </w:tcBorders>
                  <w:vAlign w:val="center"/>
                </w:tcPr>
                <w:p w14:paraId="22330468">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5C82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88" w:type="pct"/>
                  <w:vMerge w:val="continue"/>
                  <w:tcBorders>
                    <w:tl2br w:val="nil"/>
                    <w:tr2bl w:val="nil"/>
                  </w:tcBorders>
                  <w:vAlign w:val="center"/>
                </w:tcPr>
                <w:p w14:paraId="51D92C6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6EA5FCD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清洗间</w:t>
                  </w:r>
                </w:p>
              </w:tc>
              <w:tc>
                <w:tcPr>
                  <w:tcW w:w="3547" w:type="pct"/>
                  <w:gridSpan w:val="3"/>
                  <w:tcBorders>
                    <w:tl2br w:val="nil"/>
                    <w:tr2bl w:val="nil"/>
                  </w:tcBorders>
                  <w:vAlign w:val="center"/>
                </w:tcPr>
                <w:p w14:paraId="00256278">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3楼</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建筑</w:t>
                  </w:r>
                  <w:r>
                    <w:rPr>
                      <w:rFonts w:hint="default" w:ascii="Times New Roman" w:hAnsi="Times New Roman" w:cs="Times New Roman"/>
                      <w:color w:val="000000" w:themeColor="text1"/>
                      <w:sz w:val="21"/>
                      <w:szCs w:val="21"/>
                      <w14:textFill>
                        <w14:solidFill>
                          <w14:schemeClr w14:val="tx1"/>
                        </w14:solidFill>
                      </w14:textFill>
                    </w:rPr>
                    <w:t>面积24m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，用于清洗</w:t>
                  </w:r>
                  <w:r>
                    <w:rPr>
                      <w:rFonts w:hint="default" w:ascii="Times New Roman" w:hAnsi="Times New Roman" w:cs="Times New Roman"/>
                      <w:color w:val="000000" w:themeColor="text1"/>
                      <w:sz w:val="21"/>
                      <w:szCs w:val="21"/>
                      <w:lang w:val="en-US" w:eastAsia="zh-CN"/>
                      <w14:textFill>
                        <w14:solidFill>
                          <w14:schemeClr w14:val="tx1"/>
                        </w14:solidFill>
                      </w14:textFill>
                    </w:rPr>
                    <w:t>实验玻璃器皿</w:t>
                  </w:r>
                </w:p>
              </w:tc>
              <w:tc>
                <w:tcPr>
                  <w:tcW w:w="401" w:type="pct"/>
                  <w:tcBorders>
                    <w:tl2br w:val="nil"/>
                    <w:tr2bl w:val="nil"/>
                  </w:tcBorders>
                  <w:vAlign w:val="center"/>
                </w:tcPr>
                <w:p w14:paraId="6F229887">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50A5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88" w:type="pct"/>
                  <w:vMerge w:val="restart"/>
                  <w:tcBorders>
                    <w:tl2br w:val="nil"/>
                    <w:tr2bl w:val="nil"/>
                  </w:tcBorders>
                  <w:vAlign w:val="center"/>
                </w:tcPr>
                <w:p w14:paraId="1E5ACEA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320B3D18">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高压釜室</w:t>
                  </w:r>
                </w:p>
              </w:tc>
              <w:tc>
                <w:tcPr>
                  <w:tcW w:w="3547" w:type="pct"/>
                  <w:gridSpan w:val="3"/>
                  <w:tcBorders>
                    <w:tl2br w:val="nil"/>
                    <w:tr2bl w:val="nil"/>
                  </w:tcBorders>
                  <w:vAlign w:val="center"/>
                </w:tcPr>
                <w:p w14:paraId="75E8AEEE">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3楼南侧，建筑面积40m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，2台高温高压釜提供HIC、SSC高温高压试验环境</w:t>
                  </w:r>
                </w:p>
              </w:tc>
              <w:tc>
                <w:tcPr>
                  <w:tcW w:w="401" w:type="pct"/>
                  <w:tcBorders>
                    <w:tl2br w:val="nil"/>
                    <w:tr2bl w:val="nil"/>
                  </w:tcBorders>
                  <w:vAlign w:val="center"/>
                </w:tcPr>
                <w:p w14:paraId="09A73F03">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21B2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88" w:type="pct"/>
                  <w:vMerge w:val="continue"/>
                  <w:tcBorders>
                    <w:tl2br w:val="nil"/>
                    <w:tr2bl w:val="nil"/>
                  </w:tcBorders>
                  <w:vAlign w:val="center"/>
                </w:tcPr>
                <w:p w14:paraId="6EDBD4A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2A6552D2">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焊工房</w:t>
                  </w:r>
                </w:p>
              </w:tc>
              <w:tc>
                <w:tcPr>
                  <w:tcW w:w="3547" w:type="pct"/>
                  <w:gridSpan w:val="3"/>
                  <w:tcBorders>
                    <w:tl2br w:val="nil"/>
                    <w:tr2bl w:val="nil"/>
                  </w:tcBorders>
                  <w:vAlign w:val="center"/>
                </w:tcPr>
                <w:p w14:paraId="71975DDE">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1楼东侧，占地面积216m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，用于焊接试验样品焊接腐蚀强度</w:t>
                  </w:r>
                </w:p>
              </w:tc>
              <w:tc>
                <w:tcPr>
                  <w:tcW w:w="401" w:type="pct"/>
                  <w:tcBorders>
                    <w:tl2br w:val="nil"/>
                    <w:tr2bl w:val="nil"/>
                  </w:tcBorders>
                  <w:vAlign w:val="center"/>
                </w:tcPr>
                <w:p w14:paraId="6404FB72">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584B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88" w:type="pct"/>
                  <w:vMerge w:val="restart"/>
                  <w:tcBorders>
                    <w:tl2br w:val="nil"/>
                    <w:tr2bl w:val="nil"/>
                  </w:tcBorders>
                  <w:vAlign w:val="center"/>
                </w:tcPr>
                <w:p w14:paraId="080894D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储运工程</w:t>
                  </w:r>
                </w:p>
              </w:tc>
              <w:tc>
                <w:tcPr>
                  <w:tcW w:w="662" w:type="pct"/>
                  <w:tcBorders>
                    <w:tl2br w:val="nil"/>
                    <w:tr2bl w:val="nil"/>
                  </w:tcBorders>
                  <w:vAlign w:val="center"/>
                </w:tcPr>
                <w:p w14:paraId="216A88A2">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常规化学试剂品室</w:t>
                  </w:r>
                </w:p>
              </w:tc>
              <w:tc>
                <w:tcPr>
                  <w:tcW w:w="3547" w:type="pct"/>
                  <w:gridSpan w:val="3"/>
                  <w:tcBorders>
                    <w:tl2br w:val="nil"/>
                    <w:tr2bl w:val="nil"/>
                  </w:tcBorders>
                  <w:vAlign w:val="center"/>
                </w:tcPr>
                <w:p w14:paraId="43CDED8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1楼南侧，建筑面积6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用于存放常规化学品试剂</w:t>
                  </w:r>
                </w:p>
              </w:tc>
              <w:tc>
                <w:tcPr>
                  <w:tcW w:w="401" w:type="pct"/>
                  <w:tcBorders>
                    <w:tl2br w:val="nil"/>
                    <w:tr2bl w:val="nil"/>
                  </w:tcBorders>
                  <w:vAlign w:val="center"/>
                </w:tcPr>
                <w:p w14:paraId="7C91C7A0">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5DEB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88" w:type="pct"/>
                  <w:vMerge w:val="continue"/>
                  <w:tcBorders>
                    <w:tl2br w:val="nil"/>
                    <w:tr2bl w:val="nil"/>
                  </w:tcBorders>
                  <w:vAlign w:val="center"/>
                </w:tcPr>
                <w:p w14:paraId="7307B23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6419D81B">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易制毒易制爆室</w:t>
                  </w:r>
                </w:p>
              </w:tc>
              <w:tc>
                <w:tcPr>
                  <w:tcW w:w="3547" w:type="pct"/>
                  <w:gridSpan w:val="3"/>
                  <w:tcBorders>
                    <w:tl2br w:val="nil"/>
                    <w:tr2bl w:val="nil"/>
                  </w:tcBorders>
                  <w:vAlign w:val="center"/>
                </w:tcPr>
                <w:p w14:paraId="1031FA96">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1楼南侧，建筑面积6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用于存放本项目易制毒易制爆管控化学品</w:t>
                  </w:r>
                </w:p>
              </w:tc>
              <w:tc>
                <w:tcPr>
                  <w:tcW w:w="401" w:type="pct"/>
                  <w:tcBorders>
                    <w:tl2br w:val="nil"/>
                    <w:tr2bl w:val="nil"/>
                  </w:tcBorders>
                  <w:vAlign w:val="center"/>
                </w:tcPr>
                <w:p w14:paraId="07CA02AA">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0B08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88" w:type="pct"/>
                  <w:vMerge w:val="continue"/>
                  <w:tcBorders>
                    <w:tl2br w:val="nil"/>
                    <w:tr2bl w:val="nil"/>
                  </w:tcBorders>
                  <w:vAlign w:val="center"/>
                </w:tcPr>
                <w:p w14:paraId="2C00691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3AAB673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危废暂存间</w:t>
                  </w:r>
                </w:p>
              </w:tc>
              <w:tc>
                <w:tcPr>
                  <w:tcW w:w="3547" w:type="pct"/>
                  <w:gridSpan w:val="3"/>
                  <w:tcBorders>
                    <w:tl2br w:val="nil"/>
                    <w:tr2bl w:val="nil"/>
                  </w:tcBorders>
                  <w:vAlign w:val="center"/>
                </w:tcPr>
                <w:p w14:paraId="0B5BA9F3">
                  <w:pPr>
                    <w:spacing w:line="240" w:lineRule="auto"/>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1楼，建筑面积15m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，用于暂存实验室危废</w:t>
                  </w:r>
                  <w:r>
                    <w:rPr>
                      <w:rFonts w:hint="default" w:ascii="Times New Roman" w:hAnsi="Times New Roman" w:cs="Times New Roman"/>
                      <w:color w:val="000000" w:themeColor="text1"/>
                      <w:sz w:val="21"/>
                      <w:szCs w:val="21"/>
                      <w14:textFill>
                        <w14:solidFill>
                          <w14:schemeClr w14:val="tx1"/>
                        </w14:solidFill>
                      </w14:textFill>
                    </w:rPr>
                    <w:t>（废酸、废液</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废包装物、废活性炭</w:t>
                  </w:r>
                  <w:r>
                    <w:rPr>
                      <w:rFonts w:hint="default" w:ascii="Times New Roman" w:hAnsi="Times New Roman" w:cs="Times New Roman"/>
                      <w:color w:val="000000" w:themeColor="text1"/>
                      <w:sz w:val="21"/>
                      <w:szCs w:val="21"/>
                      <w14:textFill>
                        <w14:solidFill>
                          <w14:schemeClr w14:val="tx1"/>
                        </w14:solidFill>
                      </w14:textFill>
                    </w:rPr>
                    <w:t>暂存间）</w:t>
                  </w:r>
                  <w:r>
                    <w:rPr>
                      <w:rFonts w:hint="default" w:ascii="Times New Roman" w:hAnsi="Times New Roman" w:cs="Times New Roman"/>
                      <w:color w:val="000000" w:themeColor="text1"/>
                      <w:sz w:val="21"/>
                      <w:szCs w:val="21"/>
                      <w:lang w:val="en-US" w:eastAsia="zh-CN"/>
                      <w14:textFill>
                        <w14:solidFill>
                          <w14:schemeClr w14:val="tx1"/>
                        </w14:solidFill>
                      </w14:textFill>
                    </w:rPr>
                    <w:t>并做重点防渗</w:t>
                  </w:r>
                </w:p>
              </w:tc>
              <w:tc>
                <w:tcPr>
                  <w:tcW w:w="401" w:type="pct"/>
                  <w:tcBorders>
                    <w:tl2br w:val="nil"/>
                    <w:tr2bl w:val="nil"/>
                  </w:tcBorders>
                  <w:vAlign w:val="center"/>
                </w:tcPr>
                <w:p w14:paraId="752ADC72">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2696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88" w:type="pct"/>
                  <w:vMerge w:val="continue"/>
                  <w:tcBorders>
                    <w:tl2br w:val="nil"/>
                    <w:tr2bl w:val="nil"/>
                  </w:tcBorders>
                  <w:vAlign w:val="center"/>
                </w:tcPr>
                <w:p w14:paraId="7D0CFE4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shd w:val="clear" w:color="auto" w:fill="auto"/>
                  <w:vAlign w:val="center"/>
                </w:tcPr>
                <w:p w14:paraId="5DF4653D">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气瓶室</w:t>
                  </w:r>
                </w:p>
              </w:tc>
              <w:tc>
                <w:tcPr>
                  <w:tcW w:w="3547" w:type="pct"/>
                  <w:gridSpan w:val="3"/>
                  <w:tcBorders>
                    <w:tl2br w:val="nil"/>
                    <w:tr2bl w:val="nil"/>
                  </w:tcBorders>
                  <w:shd w:val="clear" w:color="auto" w:fill="auto"/>
                  <w:vAlign w:val="center"/>
                </w:tcPr>
                <w:p w14:paraId="2A567216">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1楼，建筑面积15m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，用于存放2个硫化氢气瓶、2个氮气气瓶</w:t>
                  </w:r>
                </w:p>
              </w:tc>
              <w:tc>
                <w:tcPr>
                  <w:tcW w:w="401" w:type="pct"/>
                  <w:tcBorders>
                    <w:tl2br w:val="nil"/>
                    <w:tr2bl w:val="nil"/>
                  </w:tcBorders>
                  <w:vAlign w:val="center"/>
                </w:tcPr>
                <w:p w14:paraId="19AE5F18">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0215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88" w:type="pct"/>
                  <w:vMerge w:val="restart"/>
                  <w:tcBorders>
                    <w:tl2br w:val="nil"/>
                    <w:tr2bl w:val="nil"/>
                  </w:tcBorders>
                  <w:vAlign w:val="center"/>
                </w:tcPr>
                <w:p w14:paraId="105E9E9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公用工程</w:t>
                  </w:r>
                </w:p>
              </w:tc>
              <w:tc>
                <w:tcPr>
                  <w:tcW w:w="662" w:type="pct"/>
                  <w:tcBorders>
                    <w:tl2br w:val="nil"/>
                    <w:tr2bl w:val="nil"/>
                  </w:tcBorders>
                  <w:vAlign w:val="center"/>
                </w:tcPr>
                <w:p w14:paraId="50090D5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供水</w:t>
                  </w:r>
                </w:p>
              </w:tc>
              <w:tc>
                <w:tcPr>
                  <w:tcW w:w="3547" w:type="pct"/>
                  <w:gridSpan w:val="3"/>
                  <w:tcBorders>
                    <w:tl2br w:val="nil"/>
                    <w:tr2bl w:val="nil"/>
                  </w:tcBorders>
                  <w:vAlign w:val="center"/>
                </w:tcPr>
                <w:p w14:paraId="24B0520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依托库尔勒</w:t>
                  </w:r>
                  <w:r>
                    <w:rPr>
                      <w:rFonts w:hint="default" w:ascii="Times New Roman" w:hAnsi="Times New Roman" w:cs="Times New Roman"/>
                      <w:color w:val="000000" w:themeColor="text1"/>
                      <w:sz w:val="21"/>
                      <w:szCs w:val="21"/>
                      <w14:textFill>
                        <w14:solidFill>
                          <w14:schemeClr w14:val="tx1"/>
                        </w14:solidFill>
                      </w14:textFill>
                    </w:rPr>
                    <w:t>经济技术开发区现有给水管线</w:t>
                  </w:r>
                </w:p>
              </w:tc>
              <w:tc>
                <w:tcPr>
                  <w:tcW w:w="401" w:type="pct"/>
                  <w:tcBorders>
                    <w:tl2br w:val="nil"/>
                    <w:tr2bl w:val="nil"/>
                  </w:tcBorders>
                  <w:vAlign w:val="center"/>
                </w:tcPr>
                <w:p w14:paraId="0616ABAE">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0572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88" w:type="pct"/>
                  <w:vMerge w:val="continue"/>
                  <w:tcBorders>
                    <w:tl2br w:val="nil"/>
                    <w:tr2bl w:val="nil"/>
                  </w:tcBorders>
                  <w:vAlign w:val="center"/>
                </w:tcPr>
                <w:p w14:paraId="4B80E52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38F1573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供电</w:t>
                  </w:r>
                </w:p>
              </w:tc>
              <w:tc>
                <w:tcPr>
                  <w:tcW w:w="3547" w:type="pct"/>
                  <w:gridSpan w:val="3"/>
                  <w:tcBorders>
                    <w:tl2br w:val="nil"/>
                    <w:tr2bl w:val="nil"/>
                  </w:tcBorders>
                  <w:vAlign w:val="center"/>
                </w:tcPr>
                <w:p w14:paraId="371550CC">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由项目区现有供电线路接入</w:t>
                  </w:r>
                </w:p>
              </w:tc>
              <w:tc>
                <w:tcPr>
                  <w:tcW w:w="401" w:type="pct"/>
                  <w:tcBorders>
                    <w:tl2br w:val="nil"/>
                    <w:tr2bl w:val="nil"/>
                  </w:tcBorders>
                  <w:vAlign w:val="center"/>
                </w:tcPr>
                <w:p w14:paraId="6D489EB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3D58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tcBorders>
                    <w:tl2br w:val="nil"/>
                    <w:tr2bl w:val="nil"/>
                  </w:tcBorders>
                  <w:vAlign w:val="center"/>
                </w:tcPr>
                <w:p w14:paraId="381216E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17BCA13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供热</w:t>
                  </w:r>
                </w:p>
              </w:tc>
              <w:tc>
                <w:tcPr>
                  <w:tcW w:w="3547" w:type="pct"/>
                  <w:gridSpan w:val="3"/>
                  <w:tcBorders>
                    <w:tl2br w:val="nil"/>
                    <w:tr2bl w:val="nil"/>
                  </w:tcBorders>
                  <w:vAlign w:val="center"/>
                </w:tcPr>
                <w:p w14:paraId="23F128D2">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冬季生活用暖来自空调取暖</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实验室自然通风、机械通风</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HIC、SSC试验热源来自高温高压釜</w:t>
                  </w:r>
                </w:p>
              </w:tc>
              <w:tc>
                <w:tcPr>
                  <w:tcW w:w="401" w:type="pct"/>
                  <w:tcBorders>
                    <w:tl2br w:val="nil"/>
                    <w:tr2bl w:val="nil"/>
                  </w:tcBorders>
                  <w:vAlign w:val="center"/>
                </w:tcPr>
                <w:p w14:paraId="02372E46">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2E44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88" w:type="pct"/>
                  <w:vMerge w:val="continue"/>
                  <w:tcBorders>
                    <w:tl2br w:val="nil"/>
                    <w:tr2bl w:val="nil"/>
                  </w:tcBorders>
                  <w:vAlign w:val="center"/>
                </w:tcPr>
                <w:p w14:paraId="749CCA0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06D2EAE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排水</w:t>
                  </w:r>
                </w:p>
              </w:tc>
              <w:tc>
                <w:tcPr>
                  <w:tcW w:w="3547" w:type="pct"/>
                  <w:gridSpan w:val="3"/>
                  <w:tcBorders>
                    <w:tl2br w:val="nil"/>
                    <w:tr2bl w:val="nil"/>
                  </w:tcBorders>
                  <w:vAlign w:val="center"/>
                </w:tcPr>
                <w:p w14:paraId="65106BA5">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依托租赁方现有排水管网，最终排入</w:t>
                  </w:r>
                  <w:r>
                    <w:rPr>
                      <w:rFonts w:hint="eastAsia" w:ascii="Times New Roman" w:hAnsi="Times New Roman" w:cs="Times New Roman"/>
                      <w:color w:val="000000" w:themeColor="text1"/>
                      <w:sz w:val="21"/>
                      <w:szCs w:val="21"/>
                      <w:lang w:val="en-US" w:eastAsia="zh-CN"/>
                      <w14:textFill>
                        <w14:solidFill>
                          <w14:schemeClr w14:val="tx1"/>
                        </w14:solidFill>
                      </w14:textFill>
                    </w:rPr>
                    <w:t>库尔勒经济技术开发区工业废水处理回用厂</w:t>
                  </w:r>
                </w:p>
              </w:tc>
              <w:tc>
                <w:tcPr>
                  <w:tcW w:w="401" w:type="pct"/>
                  <w:tcBorders>
                    <w:tl2br w:val="nil"/>
                    <w:tr2bl w:val="nil"/>
                  </w:tcBorders>
                  <w:vAlign w:val="center"/>
                </w:tcPr>
                <w:p w14:paraId="1AFD7B1A">
                  <w:pPr>
                    <w:spacing w:line="240" w:lineRule="auto"/>
                    <w:ind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bookmarkEnd w:id="5"/>
            <w:tr w14:paraId="393F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388" w:type="pct"/>
                  <w:vMerge w:val="restart"/>
                  <w:tcBorders>
                    <w:tl2br w:val="nil"/>
                    <w:tr2bl w:val="nil"/>
                  </w:tcBorders>
                  <w:vAlign w:val="center"/>
                </w:tcPr>
                <w:p w14:paraId="4F019C86">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p>
                <w:p w14:paraId="6E50BB4C">
                  <w:pPr>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环保工程</w:t>
                  </w:r>
                </w:p>
              </w:tc>
              <w:tc>
                <w:tcPr>
                  <w:tcW w:w="662" w:type="pct"/>
                  <w:tcBorders>
                    <w:tl2br w:val="nil"/>
                    <w:tr2bl w:val="nil"/>
                  </w:tcBorders>
                  <w:vAlign w:val="center"/>
                </w:tcPr>
                <w:p w14:paraId="0B42BD0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w:t>
                  </w:r>
                </w:p>
              </w:tc>
              <w:tc>
                <w:tcPr>
                  <w:tcW w:w="3547" w:type="pct"/>
                  <w:gridSpan w:val="3"/>
                  <w:tcBorders>
                    <w:tl2br w:val="nil"/>
                    <w:tr2bl w:val="nil"/>
                  </w:tcBorders>
                  <w:vAlign w:val="center"/>
                </w:tcPr>
                <w:p w14:paraId="6C536F3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化学品配制废气（酸、非甲烷总烃）</w:t>
                  </w:r>
                  <w:r>
                    <w:rPr>
                      <w:rFonts w:hint="default" w:ascii="Times New Roman" w:hAnsi="Times New Roman" w:cs="Times New Roman"/>
                      <w:color w:val="000000" w:themeColor="text1"/>
                      <w:sz w:val="21"/>
                      <w:szCs w:val="21"/>
                      <w14:textFill>
                        <w14:solidFill>
                          <w14:schemeClr w14:val="tx1"/>
                        </w14:solidFill>
                      </w14:textFill>
                    </w:rPr>
                    <w:t>SSC、HIC实验硫化氢废气经密闭管道收集，经</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碱水喷淋</w:t>
                  </w:r>
                  <w:r>
                    <w:rPr>
                      <w:rFonts w:hint="default" w:ascii="Times New Roman" w:hAnsi="Times New Roman" w:cs="Times New Roman"/>
                      <w:color w:val="000000" w:themeColor="text1"/>
                      <w:sz w:val="21"/>
                      <w:szCs w:val="21"/>
                      <w:lang w:val="en-US" w:eastAsia="zh-CN"/>
                      <w14:textFill>
                        <w14:solidFill>
                          <w14:schemeClr w14:val="tx1"/>
                        </w14:solidFill>
                      </w14:textFill>
                    </w:rPr>
                    <w:t>+活性炭吸附装置</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处理后通过1根15m高排气筒（DA</w:t>
                  </w:r>
                  <w:r>
                    <w:rPr>
                      <w:rFonts w:hint="default" w:ascii="Times New Roman" w:hAnsi="Times New Roman" w:cs="Times New Roman"/>
                      <w:color w:val="000000" w:themeColor="text1"/>
                      <w:sz w:val="21"/>
                      <w:szCs w:val="21"/>
                      <w:lang w:val="en-US" w:eastAsia="zh-CN"/>
                      <w14:textFill>
                        <w14:solidFill>
                          <w14:schemeClr w14:val="tx1"/>
                        </w14:solidFill>
                      </w14:textFill>
                    </w:rPr>
                    <w:t>001</w:t>
                  </w:r>
                  <w:r>
                    <w:rPr>
                      <w:rFonts w:hint="default" w:ascii="Times New Roman" w:hAnsi="Times New Roman" w:cs="Times New Roman"/>
                      <w:color w:val="000000" w:themeColor="text1"/>
                      <w:sz w:val="21"/>
                      <w:szCs w:val="21"/>
                      <w14:textFill>
                        <w14:solidFill>
                          <w14:schemeClr w14:val="tx1"/>
                        </w14:solidFill>
                      </w14:textFill>
                    </w:rPr>
                    <w:t>）排放。</w:t>
                  </w:r>
                </w:p>
              </w:tc>
              <w:tc>
                <w:tcPr>
                  <w:tcW w:w="401" w:type="pct"/>
                  <w:tcBorders>
                    <w:tl2br w:val="nil"/>
                    <w:tr2bl w:val="nil"/>
                  </w:tcBorders>
                  <w:vAlign w:val="center"/>
                </w:tcPr>
                <w:p w14:paraId="438C6AD9">
                  <w:pPr>
                    <w:spacing w:line="240" w:lineRule="auto"/>
                    <w:ind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493E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88" w:type="pct"/>
                  <w:vMerge w:val="continue"/>
                  <w:tcBorders>
                    <w:tl2br w:val="nil"/>
                    <w:tr2bl w:val="nil"/>
                  </w:tcBorders>
                  <w:vAlign w:val="center"/>
                </w:tcPr>
                <w:p w14:paraId="221A8CD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77E6116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3547" w:type="pct"/>
                  <w:gridSpan w:val="3"/>
                  <w:tcBorders>
                    <w:tl2br w:val="nil"/>
                    <w:tr2bl w:val="nil"/>
                  </w:tcBorders>
                  <w:vAlign w:val="center"/>
                </w:tcPr>
                <w:p w14:paraId="2C5F694F">
                  <w:pPr>
                    <w:spacing w:line="240" w:lineRule="auto"/>
                    <w:ind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本项目营运期生活污水、</w:t>
                  </w:r>
                  <w:r>
                    <w:rPr>
                      <w:rFonts w:hint="eastAsia" w:cs="Times New Roman"/>
                      <w:color w:val="000000" w:themeColor="text1"/>
                      <w:sz w:val="21"/>
                      <w:szCs w:val="21"/>
                      <w:highlight w:val="none"/>
                      <w:lang w:val="en-US" w:eastAsia="zh-CN"/>
                      <w14:textFill>
                        <w14:solidFill>
                          <w14:schemeClr w14:val="tx1"/>
                        </w14:solidFill>
                      </w14:textFill>
                    </w:rPr>
                    <w:t>超声清洗废水、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纯水制备废水排入</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库尔勒经济技术开发区工业废水处理回用厂</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；碱喷淋废水、清洗废水及溶液配制废水由高密度聚乙烯密封桶收集后委托处置</w:t>
                  </w:r>
                </w:p>
              </w:tc>
              <w:tc>
                <w:tcPr>
                  <w:tcW w:w="401" w:type="pct"/>
                  <w:tcBorders>
                    <w:tl2br w:val="nil"/>
                    <w:tr2bl w:val="nil"/>
                  </w:tcBorders>
                  <w:vAlign w:val="center"/>
                </w:tcPr>
                <w:p w14:paraId="64C3B86D">
                  <w:pPr>
                    <w:spacing w:line="240" w:lineRule="auto"/>
                    <w:ind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729F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8" w:type="pct"/>
                  <w:vMerge w:val="continue"/>
                  <w:tcBorders>
                    <w:tl2br w:val="nil"/>
                    <w:tr2bl w:val="nil"/>
                  </w:tcBorders>
                  <w:vAlign w:val="center"/>
                </w:tcPr>
                <w:p w14:paraId="13EBE23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tcBorders>
                    <w:tl2br w:val="nil"/>
                    <w:tr2bl w:val="nil"/>
                  </w:tcBorders>
                  <w:vAlign w:val="center"/>
                </w:tcPr>
                <w:p w14:paraId="177CA5C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3547" w:type="pct"/>
                  <w:gridSpan w:val="3"/>
                  <w:tcBorders>
                    <w:tl2br w:val="nil"/>
                    <w:tr2bl w:val="nil"/>
                  </w:tcBorders>
                  <w:vAlign w:val="center"/>
                </w:tcPr>
                <w:p w14:paraId="2561C61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选用低噪声设备、基础减震、传动润滑、隔声消声等。</w:t>
                  </w:r>
                </w:p>
              </w:tc>
              <w:tc>
                <w:tcPr>
                  <w:tcW w:w="401" w:type="pct"/>
                  <w:tcBorders>
                    <w:tl2br w:val="nil"/>
                    <w:tr2bl w:val="nil"/>
                  </w:tcBorders>
                  <w:vAlign w:val="center"/>
                </w:tcPr>
                <w:p w14:paraId="268DAF42">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0FB7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8" w:type="pct"/>
                  <w:vMerge w:val="continue"/>
                  <w:tcBorders>
                    <w:tl2br w:val="nil"/>
                    <w:tr2bl w:val="nil"/>
                  </w:tcBorders>
                  <w:vAlign w:val="center"/>
                </w:tcPr>
                <w:p w14:paraId="57C11CB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vMerge w:val="restart"/>
                  <w:tcBorders>
                    <w:tl2br w:val="nil"/>
                    <w:tr2bl w:val="nil"/>
                  </w:tcBorders>
                  <w:vAlign w:val="center"/>
                </w:tcPr>
                <w:p w14:paraId="382C4E9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1470" w:type="pct"/>
                  <w:gridSpan w:val="2"/>
                  <w:tcBorders>
                    <w:tl2br w:val="nil"/>
                    <w:tr2bl w:val="nil"/>
                  </w:tcBorders>
                  <w:vAlign w:val="center"/>
                </w:tcPr>
                <w:p w14:paraId="21975E1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报废废样、金属边角料</w:t>
                  </w:r>
                  <w:r>
                    <w:rPr>
                      <w:rFonts w:hint="eastAsia" w:cs="Times New Roman"/>
                      <w:color w:val="000000" w:themeColor="text1"/>
                      <w:sz w:val="21"/>
                      <w:szCs w:val="21"/>
                      <w:lang w:val="en-US" w:eastAsia="zh-CN"/>
                      <w14:textFill>
                        <w14:solidFill>
                          <w14:schemeClr w14:val="tx1"/>
                        </w14:solidFill>
                      </w14:textFill>
                    </w:rPr>
                    <w:t>、废滤芯及废RO膜</w:t>
                  </w:r>
                </w:p>
              </w:tc>
              <w:tc>
                <w:tcPr>
                  <w:tcW w:w="2077" w:type="pct"/>
                  <w:tcBorders>
                    <w:tl2br w:val="nil"/>
                    <w:tr2bl w:val="nil"/>
                  </w:tcBorders>
                  <w:vAlign w:val="center"/>
                </w:tcPr>
                <w:p w14:paraId="54A92B9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外售</w:t>
                  </w:r>
                  <w:r>
                    <w:rPr>
                      <w:rFonts w:hint="default" w:ascii="Times New Roman" w:hAnsi="Times New Roman" w:cs="Times New Roman"/>
                      <w:color w:val="000000" w:themeColor="text1"/>
                      <w:sz w:val="21"/>
                      <w:szCs w:val="21"/>
                      <w14:textFill>
                        <w14:solidFill>
                          <w14:schemeClr w14:val="tx1"/>
                        </w14:solidFill>
                      </w14:textFill>
                    </w:rPr>
                    <w:t>资源利用单位</w:t>
                  </w:r>
                </w:p>
              </w:tc>
              <w:tc>
                <w:tcPr>
                  <w:tcW w:w="401" w:type="pct"/>
                  <w:tcBorders>
                    <w:tl2br w:val="nil"/>
                    <w:tr2bl w:val="nil"/>
                  </w:tcBorders>
                  <w:vAlign w:val="center"/>
                </w:tcPr>
                <w:p w14:paraId="64730E69">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6528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88" w:type="pct"/>
                  <w:vMerge w:val="continue"/>
                  <w:tcBorders>
                    <w:tl2br w:val="nil"/>
                    <w:tr2bl w:val="nil"/>
                  </w:tcBorders>
                  <w:vAlign w:val="center"/>
                </w:tcPr>
                <w:p w14:paraId="720B7C0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vMerge w:val="continue"/>
                  <w:tcBorders>
                    <w:tl2br w:val="nil"/>
                    <w:tr2bl w:val="nil"/>
                  </w:tcBorders>
                  <w:vAlign w:val="center"/>
                </w:tcPr>
                <w:p w14:paraId="272AC01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70" w:type="pct"/>
                  <w:gridSpan w:val="2"/>
                  <w:tcBorders>
                    <w:tl2br w:val="nil"/>
                    <w:tr2bl w:val="nil"/>
                  </w:tcBorders>
                  <w:vAlign w:val="center"/>
                </w:tcPr>
                <w:p w14:paraId="2F4C325F">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废气瓶</w:t>
                  </w:r>
                </w:p>
              </w:tc>
              <w:tc>
                <w:tcPr>
                  <w:tcW w:w="2077" w:type="pct"/>
                  <w:tcBorders>
                    <w:tl2br w:val="nil"/>
                    <w:tr2bl w:val="nil"/>
                  </w:tcBorders>
                  <w:vAlign w:val="center"/>
                </w:tcPr>
                <w:p w14:paraId="3A6E8DEE">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由气瓶供应商回收</w:t>
                  </w:r>
                </w:p>
              </w:tc>
              <w:tc>
                <w:tcPr>
                  <w:tcW w:w="401" w:type="pct"/>
                  <w:tcBorders>
                    <w:tl2br w:val="nil"/>
                    <w:tr2bl w:val="nil"/>
                  </w:tcBorders>
                  <w:vAlign w:val="center"/>
                </w:tcPr>
                <w:p w14:paraId="7CE29DD5">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46DD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388" w:type="pct"/>
                  <w:vMerge w:val="continue"/>
                  <w:tcBorders>
                    <w:tl2br w:val="nil"/>
                    <w:tr2bl w:val="nil"/>
                  </w:tcBorders>
                  <w:vAlign w:val="center"/>
                </w:tcPr>
                <w:p w14:paraId="1BB5150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vMerge w:val="continue"/>
                  <w:tcBorders>
                    <w:tl2br w:val="nil"/>
                    <w:tr2bl w:val="nil"/>
                  </w:tcBorders>
                  <w:vAlign w:val="center"/>
                </w:tcPr>
                <w:p w14:paraId="5E13005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70" w:type="pct"/>
                  <w:gridSpan w:val="2"/>
                  <w:tcBorders>
                    <w:tl2br w:val="nil"/>
                    <w:tr2bl w:val="nil"/>
                  </w:tcBorders>
                  <w:vAlign w:val="center"/>
                </w:tcPr>
                <w:p w14:paraId="3292F97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实验废液、清洗废液、化学试剂废包装物、废自吸过滤式防毒面具</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碱喷淋废液、废活性炭</w:t>
                  </w:r>
                </w:p>
              </w:tc>
              <w:tc>
                <w:tcPr>
                  <w:tcW w:w="2077" w:type="pct"/>
                  <w:tcBorders>
                    <w:tl2br w:val="nil"/>
                    <w:tr2bl w:val="nil"/>
                  </w:tcBorders>
                  <w:vAlign w:val="center"/>
                </w:tcPr>
                <w:p w14:paraId="6A58EB95">
                  <w:pPr>
                    <w:spacing w:line="240" w:lineRule="auto"/>
                    <w:ind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收集后暂存于企业15m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危废间，定期委托有资质的单位进行清运处置</w:t>
                  </w:r>
                </w:p>
              </w:tc>
              <w:tc>
                <w:tcPr>
                  <w:tcW w:w="401" w:type="pct"/>
                  <w:tcBorders>
                    <w:tl2br w:val="nil"/>
                    <w:tr2bl w:val="nil"/>
                  </w:tcBorders>
                  <w:vAlign w:val="center"/>
                </w:tcPr>
                <w:p w14:paraId="4062E1A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新建</w:t>
                  </w:r>
                </w:p>
              </w:tc>
            </w:tr>
            <w:tr w14:paraId="3A74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88" w:type="pct"/>
                  <w:vMerge w:val="continue"/>
                  <w:tcBorders>
                    <w:tl2br w:val="nil"/>
                    <w:tr2bl w:val="nil"/>
                  </w:tcBorders>
                  <w:vAlign w:val="center"/>
                </w:tcPr>
                <w:p w14:paraId="203EAB8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62" w:type="pct"/>
                  <w:vMerge w:val="continue"/>
                  <w:tcBorders>
                    <w:tl2br w:val="nil"/>
                    <w:tr2bl w:val="nil"/>
                  </w:tcBorders>
                  <w:vAlign w:val="center"/>
                </w:tcPr>
                <w:p w14:paraId="309FBE6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70" w:type="pct"/>
                  <w:gridSpan w:val="2"/>
                  <w:tcBorders>
                    <w:tl2br w:val="nil"/>
                    <w:tr2bl w:val="nil"/>
                  </w:tcBorders>
                  <w:vAlign w:val="center"/>
                </w:tcPr>
                <w:p w14:paraId="65DA1CB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2077" w:type="pct"/>
                  <w:tcBorders>
                    <w:tl2br w:val="nil"/>
                    <w:tr2bl w:val="nil"/>
                  </w:tcBorders>
                  <w:vAlign w:val="center"/>
                </w:tcPr>
                <w:p w14:paraId="632ED48B">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由租赁方生活垃圾清运单位定期清运</w:t>
                  </w:r>
                </w:p>
              </w:tc>
              <w:tc>
                <w:tcPr>
                  <w:tcW w:w="401" w:type="pct"/>
                  <w:tcBorders>
                    <w:tl2br w:val="nil"/>
                    <w:tr2bl w:val="nil"/>
                  </w:tcBorders>
                  <w:vAlign w:val="center"/>
                </w:tcPr>
                <w:p w14:paraId="63BC08C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w:t>
                  </w:r>
                </w:p>
              </w:tc>
            </w:tr>
          </w:tbl>
          <w:p w14:paraId="4C6C5DB2">
            <w:pPr>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2、主要设备</w:t>
            </w:r>
          </w:p>
          <w:p w14:paraId="542D49C3">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实验室主要仪器设备见下表2-2。</w:t>
            </w:r>
          </w:p>
          <w:p w14:paraId="01A34A01">
            <w:pPr>
              <w:pStyle w:val="71"/>
              <w:spacing w:before="0" w:beforeLines="0" w:line="24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表2-2实验室主要仪器设备一览表</w:t>
            </w:r>
          </w:p>
          <w:tbl>
            <w:tblPr>
              <w:tblStyle w:val="3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3464"/>
              <w:gridCol w:w="2130"/>
              <w:gridCol w:w="2128"/>
            </w:tblGrid>
            <w:tr w14:paraId="7C51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6B060D22">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序号</w:t>
                  </w:r>
                </w:p>
              </w:tc>
              <w:tc>
                <w:tcPr>
                  <w:tcW w:w="3471" w:type="dxa"/>
                  <w:tcBorders>
                    <w:tl2br w:val="nil"/>
                    <w:tr2bl w:val="nil"/>
                  </w:tcBorders>
                  <w:vAlign w:val="center"/>
                </w:tcPr>
                <w:p w14:paraId="32DE7A5E">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名称</w:t>
                  </w:r>
                </w:p>
              </w:tc>
              <w:tc>
                <w:tcPr>
                  <w:tcW w:w="2131" w:type="dxa"/>
                  <w:tcBorders>
                    <w:tl2br w:val="nil"/>
                    <w:tr2bl w:val="nil"/>
                  </w:tcBorders>
                  <w:vAlign w:val="center"/>
                </w:tcPr>
                <w:p w14:paraId="4F6B46A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型号</w:t>
                  </w:r>
                </w:p>
              </w:tc>
              <w:tc>
                <w:tcPr>
                  <w:tcW w:w="2131" w:type="dxa"/>
                  <w:tcBorders>
                    <w:tl2br w:val="nil"/>
                    <w:tr2bl w:val="nil"/>
                  </w:tcBorders>
                  <w:vAlign w:val="center"/>
                </w:tcPr>
                <w:p w14:paraId="35A6372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数量（台）</w:t>
                  </w:r>
                </w:p>
              </w:tc>
            </w:tr>
            <w:tr w14:paraId="76A3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3540CEE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3471" w:type="dxa"/>
                  <w:tcBorders>
                    <w:tl2br w:val="nil"/>
                    <w:tr2bl w:val="nil"/>
                  </w:tcBorders>
                  <w:vAlign w:val="center"/>
                </w:tcPr>
                <w:p w14:paraId="5F7D34D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便携式气体检测仪</w:t>
                  </w:r>
                </w:p>
              </w:tc>
              <w:tc>
                <w:tcPr>
                  <w:tcW w:w="2131" w:type="dxa"/>
                  <w:tcBorders>
                    <w:tl2br w:val="nil"/>
                    <w:tr2bl w:val="nil"/>
                  </w:tcBorders>
                  <w:vAlign w:val="center"/>
                </w:tcPr>
                <w:p w14:paraId="24A9FBE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DR-650-H</w:t>
                  </w:r>
                  <w:r>
                    <w:rPr>
                      <w:rFonts w:hint="default" w:ascii="Times New Roman" w:hAnsi="Times New Roman" w:cs="Times New Roman"/>
                      <w:color w:val="000000" w:themeColor="text1"/>
                      <w:sz w:val="21"/>
                      <w:vertAlign w:val="subscript"/>
                      <w14:textFill>
                        <w14:solidFill>
                          <w14:schemeClr w14:val="tx1"/>
                        </w14:solidFill>
                      </w14:textFill>
                    </w:rPr>
                    <w:t>2</w:t>
                  </w:r>
                  <w:r>
                    <w:rPr>
                      <w:rFonts w:hint="default" w:ascii="Times New Roman" w:hAnsi="Times New Roman" w:cs="Times New Roman"/>
                      <w:color w:val="000000" w:themeColor="text1"/>
                      <w:sz w:val="21"/>
                      <w14:textFill>
                        <w14:solidFill>
                          <w14:schemeClr w14:val="tx1"/>
                        </w14:solidFill>
                      </w14:textFill>
                    </w:rPr>
                    <w:t>S</w:t>
                  </w:r>
                </w:p>
              </w:tc>
              <w:tc>
                <w:tcPr>
                  <w:tcW w:w="2131" w:type="dxa"/>
                  <w:tcBorders>
                    <w:tl2br w:val="nil"/>
                    <w:tr2bl w:val="nil"/>
                  </w:tcBorders>
                  <w:vAlign w:val="center"/>
                </w:tcPr>
                <w:p w14:paraId="22141CE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w:t>
                  </w:r>
                </w:p>
              </w:tc>
            </w:tr>
            <w:tr w14:paraId="02A4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7DDA94F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w:t>
                  </w:r>
                </w:p>
              </w:tc>
              <w:tc>
                <w:tcPr>
                  <w:tcW w:w="3471" w:type="dxa"/>
                  <w:tcBorders>
                    <w:tl2br w:val="nil"/>
                    <w:tr2bl w:val="nil"/>
                  </w:tcBorders>
                  <w:vAlign w:val="center"/>
                </w:tcPr>
                <w:p w14:paraId="12DDBB01">
                  <w:pPr>
                    <w:spacing w:line="240" w:lineRule="auto"/>
                    <w:ind w:firstLine="0" w:firstLineChars="0"/>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自吸过滤式防毒面具</w:t>
                  </w:r>
                  <w:r>
                    <w:rPr>
                      <w:rFonts w:hint="eastAsia" w:cs="Times New Roman"/>
                      <w:color w:val="000000" w:themeColor="text1"/>
                      <w:sz w:val="21"/>
                      <w:lang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年检使用</w:t>
                  </w:r>
                  <w:r>
                    <w:rPr>
                      <w:rFonts w:hint="eastAsia" w:cs="Times New Roman"/>
                      <w:color w:val="000000" w:themeColor="text1"/>
                      <w:sz w:val="21"/>
                      <w:lang w:eastAsia="zh-CN"/>
                      <w14:textFill>
                        <w14:solidFill>
                          <w14:schemeClr w14:val="tx1"/>
                        </w14:solidFill>
                      </w14:textFill>
                    </w:rPr>
                    <w:t>）</w:t>
                  </w:r>
                </w:p>
              </w:tc>
              <w:tc>
                <w:tcPr>
                  <w:tcW w:w="2131" w:type="dxa"/>
                  <w:tcBorders>
                    <w:tl2br w:val="nil"/>
                    <w:tr2bl w:val="nil"/>
                  </w:tcBorders>
                  <w:vAlign w:val="center"/>
                </w:tcPr>
                <w:p w14:paraId="40E848F3">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3M</w:t>
                  </w:r>
                </w:p>
              </w:tc>
              <w:tc>
                <w:tcPr>
                  <w:tcW w:w="2131" w:type="dxa"/>
                  <w:tcBorders>
                    <w:tl2br w:val="nil"/>
                    <w:tr2bl w:val="nil"/>
                  </w:tcBorders>
                  <w:vAlign w:val="center"/>
                </w:tcPr>
                <w:p w14:paraId="0FEE837C">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w:t>
                  </w:r>
                </w:p>
              </w:tc>
            </w:tr>
            <w:tr w14:paraId="5247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7DBD954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w:t>
                  </w:r>
                </w:p>
              </w:tc>
              <w:tc>
                <w:tcPr>
                  <w:tcW w:w="3471" w:type="dxa"/>
                  <w:tcBorders>
                    <w:tl2br w:val="nil"/>
                    <w:tr2bl w:val="nil"/>
                  </w:tcBorders>
                  <w:vAlign w:val="center"/>
                </w:tcPr>
                <w:p w14:paraId="40D78FE2">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自给开路式压缩空气呼吸器</w:t>
                  </w:r>
                </w:p>
              </w:tc>
              <w:tc>
                <w:tcPr>
                  <w:tcW w:w="2131" w:type="dxa"/>
                  <w:tcBorders>
                    <w:tl2br w:val="nil"/>
                    <w:tr2bl w:val="nil"/>
                  </w:tcBorders>
                  <w:vAlign w:val="center"/>
                </w:tcPr>
                <w:p w14:paraId="767FAA0C">
                  <w:pPr>
                    <w:spacing w:line="240" w:lineRule="auto"/>
                    <w:ind w:firstLine="0" w:firstLineChars="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G-F-20</w:t>
                  </w:r>
                  <w:r>
                    <w:rPr>
                      <w:rFonts w:hint="default" w:ascii="Times New Roman" w:hAnsi="Times New Roman" w:cs="Times New Roman"/>
                      <w:color w:val="000000" w:themeColor="text1"/>
                      <w:sz w:val="21"/>
                      <w:lang w:eastAsia="zh-CN"/>
                      <w14:textFill>
                        <w14:solidFill>
                          <w14:schemeClr w14:val="tx1"/>
                        </w14:solidFill>
                      </w14:textFill>
                    </w:rPr>
                    <w:t>（</w:t>
                  </w:r>
                  <w:r>
                    <w:rPr>
                      <w:rFonts w:hint="default" w:ascii="Times New Roman" w:hAnsi="Times New Roman" w:cs="Times New Roman"/>
                      <w:color w:val="000000" w:themeColor="text1"/>
                      <w:sz w:val="21"/>
                      <w14:textFill>
                        <w14:solidFill>
                          <w14:schemeClr w14:val="tx1"/>
                        </w14:solidFill>
                      </w14:textFill>
                    </w:rPr>
                    <w:t>RHZKF6.8/30</w:t>
                  </w:r>
                  <w:r>
                    <w:rPr>
                      <w:rFonts w:hint="default" w:ascii="Times New Roman" w:hAnsi="Times New Roman" w:cs="Times New Roman"/>
                      <w:color w:val="000000" w:themeColor="text1"/>
                      <w:sz w:val="21"/>
                      <w:lang w:eastAsia="zh-CN"/>
                      <w14:textFill>
                        <w14:solidFill>
                          <w14:schemeClr w14:val="tx1"/>
                        </w14:solidFill>
                      </w14:textFill>
                    </w:rPr>
                    <w:t>）</w:t>
                  </w:r>
                </w:p>
              </w:tc>
              <w:tc>
                <w:tcPr>
                  <w:tcW w:w="2131" w:type="dxa"/>
                  <w:tcBorders>
                    <w:tl2br w:val="nil"/>
                    <w:tr2bl w:val="nil"/>
                  </w:tcBorders>
                  <w:vAlign w:val="center"/>
                </w:tcPr>
                <w:p w14:paraId="4651C893">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w:t>
                  </w:r>
                </w:p>
              </w:tc>
            </w:tr>
            <w:tr w14:paraId="57D4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44FC0791">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4</w:t>
                  </w:r>
                </w:p>
              </w:tc>
              <w:tc>
                <w:tcPr>
                  <w:tcW w:w="3471" w:type="dxa"/>
                  <w:tcBorders>
                    <w:tl2br w:val="nil"/>
                    <w:tr2bl w:val="nil"/>
                  </w:tcBorders>
                  <w:vAlign w:val="center"/>
                </w:tcPr>
                <w:p w14:paraId="108CBF8B">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防护服</w:t>
                  </w:r>
                </w:p>
              </w:tc>
              <w:tc>
                <w:tcPr>
                  <w:tcW w:w="2131" w:type="dxa"/>
                  <w:tcBorders>
                    <w:tl2br w:val="nil"/>
                    <w:tr2bl w:val="nil"/>
                  </w:tcBorders>
                  <w:vAlign w:val="center"/>
                </w:tcPr>
                <w:p w14:paraId="5E6AF5EA">
                  <w:pPr>
                    <w:spacing w:line="240" w:lineRule="auto"/>
                    <w:ind w:firstLine="0" w:firstLineChars="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MC3000</w:t>
                  </w:r>
                </w:p>
              </w:tc>
              <w:tc>
                <w:tcPr>
                  <w:tcW w:w="2131" w:type="dxa"/>
                  <w:tcBorders>
                    <w:tl2br w:val="nil"/>
                    <w:tr2bl w:val="nil"/>
                  </w:tcBorders>
                  <w:vAlign w:val="center"/>
                </w:tcPr>
                <w:p w14:paraId="7CA32C5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w:t>
                  </w:r>
                </w:p>
              </w:tc>
            </w:tr>
            <w:tr w14:paraId="2B91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5F3423BF">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5</w:t>
                  </w:r>
                </w:p>
              </w:tc>
              <w:tc>
                <w:tcPr>
                  <w:tcW w:w="3471" w:type="dxa"/>
                  <w:tcBorders>
                    <w:tl2br w:val="nil"/>
                    <w:tr2bl w:val="nil"/>
                  </w:tcBorders>
                  <w:vAlign w:val="center"/>
                </w:tcPr>
                <w:p w14:paraId="4AF319C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离心式通风机</w:t>
                  </w:r>
                </w:p>
              </w:tc>
              <w:tc>
                <w:tcPr>
                  <w:tcW w:w="2131" w:type="dxa"/>
                  <w:tcBorders>
                    <w:tl2br w:val="nil"/>
                    <w:tr2bl w:val="nil"/>
                  </w:tcBorders>
                  <w:vAlign w:val="center"/>
                </w:tcPr>
                <w:p w14:paraId="74D140DC">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4942D0DF">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31C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560D4626">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6</w:t>
                  </w:r>
                </w:p>
              </w:tc>
              <w:tc>
                <w:tcPr>
                  <w:tcW w:w="3471" w:type="dxa"/>
                  <w:tcBorders>
                    <w:tl2br w:val="nil"/>
                    <w:tr2bl w:val="nil"/>
                  </w:tcBorders>
                  <w:vAlign w:val="center"/>
                </w:tcPr>
                <w:p w14:paraId="1A78239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空调</w:t>
                  </w:r>
                </w:p>
              </w:tc>
              <w:tc>
                <w:tcPr>
                  <w:tcW w:w="2131" w:type="dxa"/>
                  <w:tcBorders>
                    <w:tl2br w:val="nil"/>
                    <w:tr2bl w:val="nil"/>
                  </w:tcBorders>
                  <w:vAlign w:val="center"/>
                </w:tcPr>
                <w:p w14:paraId="12B1106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6F616546">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3AE6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6C24ED31">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7</w:t>
                  </w:r>
                </w:p>
              </w:tc>
              <w:tc>
                <w:tcPr>
                  <w:tcW w:w="3471" w:type="dxa"/>
                  <w:tcBorders>
                    <w:tl2br w:val="nil"/>
                    <w:tr2bl w:val="nil"/>
                  </w:tcBorders>
                  <w:vAlign w:val="center"/>
                </w:tcPr>
                <w:p w14:paraId="6457A70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光谱磨样机</w:t>
                  </w:r>
                </w:p>
              </w:tc>
              <w:tc>
                <w:tcPr>
                  <w:tcW w:w="2131" w:type="dxa"/>
                  <w:tcBorders>
                    <w:tl2br w:val="nil"/>
                    <w:tr2bl w:val="nil"/>
                  </w:tcBorders>
                  <w:vAlign w:val="center"/>
                </w:tcPr>
                <w:p w14:paraId="35AC603E">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MY-1A</w:t>
                  </w:r>
                </w:p>
              </w:tc>
              <w:tc>
                <w:tcPr>
                  <w:tcW w:w="2131" w:type="dxa"/>
                  <w:tcBorders>
                    <w:tl2br w:val="nil"/>
                    <w:tr2bl w:val="nil"/>
                  </w:tcBorders>
                  <w:vAlign w:val="center"/>
                </w:tcPr>
                <w:p w14:paraId="19ECBDA1">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6AE4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0B514612">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8</w:t>
                  </w:r>
                </w:p>
              </w:tc>
              <w:tc>
                <w:tcPr>
                  <w:tcW w:w="3471" w:type="dxa"/>
                  <w:tcBorders>
                    <w:tl2br w:val="nil"/>
                    <w:tr2bl w:val="nil"/>
                  </w:tcBorders>
                  <w:vAlign w:val="center"/>
                </w:tcPr>
                <w:p w14:paraId="60655FE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砂带磨样机</w:t>
                  </w:r>
                </w:p>
              </w:tc>
              <w:tc>
                <w:tcPr>
                  <w:tcW w:w="2131" w:type="dxa"/>
                  <w:tcBorders>
                    <w:tl2br w:val="nil"/>
                    <w:tr2bl w:val="nil"/>
                  </w:tcBorders>
                  <w:vAlign w:val="center"/>
                </w:tcPr>
                <w:p w14:paraId="5A55AEFE">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MM491G</w:t>
                  </w:r>
                </w:p>
              </w:tc>
              <w:tc>
                <w:tcPr>
                  <w:tcW w:w="2131" w:type="dxa"/>
                  <w:tcBorders>
                    <w:tl2br w:val="nil"/>
                    <w:tr2bl w:val="nil"/>
                  </w:tcBorders>
                  <w:vAlign w:val="center"/>
                </w:tcPr>
                <w:p w14:paraId="15FCB83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489B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76CFDBE1">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9</w:t>
                  </w:r>
                </w:p>
              </w:tc>
              <w:tc>
                <w:tcPr>
                  <w:tcW w:w="3471" w:type="dxa"/>
                  <w:tcBorders>
                    <w:tl2br w:val="nil"/>
                    <w:tr2bl w:val="nil"/>
                  </w:tcBorders>
                  <w:vAlign w:val="center"/>
                </w:tcPr>
                <w:p w14:paraId="452D02C2">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机用平口钳</w:t>
                  </w:r>
                </w:p>
              </w:tc>
              <w:tc>
                <w:tcPr>
                  <w:tcW w:w="2131" w:type="dxa"/>
                  <w:tcBorders>
                    <w:tl2br w:val="nil"/>
                    <w:tr2bl w:val="nil"/>
                  </w:tcBorders>
                  <w:vAlign w:val="center"/>
                </w:tcPr>
                <w:p w14:paraId="747ACCD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123E07D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1A7F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25E7A1C2">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10</w:t>
                  </w:r>
                </w:p>
              </w:tc>
              <w:tc>
                <w:tcPr>
                  <w:tcW w:w="3471" w:type="dxa"/>
                  <w:tcBorders>
                    <w:tl2br w:val="nil"/>
                    <w:tr2bl w:val="nil"/>
                  </w:tcBorders>
                  <w:vAlign w:val="center"/>
                </w:tcPr>
                <w:p w14:paraId="4FE53CED">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砂轮机</w:t>
                  </w:r>
                </w:p>
              </w:tc>
              <w:tc>
                <w:tcPr>
                  <w:tcW w:w="2131" w:type="dxa"/>
                  <w:tcBorders>
                    <w:tl2br w:val="nil"/>
                    <w:tr2bl w:val="nil"/>
                  </w:tcBorders>
                  <w:vAlign w:val="center"/>
                </w:tcPr>
                <w:p w14:paraId="1B40F5A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4190F20C">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2977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080DF131">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11</w:t>
                  </w:r>
                </w:p>
              </w:tc>
              <w:tc>
                <w:tcPr>
                  <w:tcW w:w="3471" w:type="dxa"/>
                  <w:tcBorders>
                    <w:tl2br w:val="nil"/>
                    <w:tr2bl w:val="nil"/>
                  </w:tcBorders>
                  <w:vAlign w:val="center"/>
                </w:tcPr>
                <w:p w14:paraId="5DD59B3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冲击电钻</w:t>
                  </w:r>
                </w:p>
              </w:tc>
              <w:tc>
                <w:tcPr>
                  <w:tcW w:w="2131" w:type="dxa"/>
                  <w:tcBorders>
                    <w:tl2br w:val="nil"/>
                    <w:tr2bl w:val="nil"/>
                  </w:tcBorders>
                  <w:vAlign w:val="center"/>
                </w:tcPr>
                <w:p w14:paraId="33262E91">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6845E50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0077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37E3B7BF">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12</w:t>
                  </w:r>
                </w:p>
              </w:tc>
              <w:tc>
                <w:tcPr>
                  <w:tcW w:w="3471" w:type="dxa"/>
                  <w:tcBorders>
                    <w:tl2br w:val="nil"/>
                    <w:tr2bl w:val="nil"/>
                  </w:tcBorders>
                  <w:vAlign w:val="center"/>
                </w:tcPr>
                <w:p w14:paraId="32EC0A6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手持式切割机</w:t>
                  </w:r>
                </w:p>
              </w:tc>
              <w:tc>
                <w:tcPr>
                  <w:tcW w:w="2131" w:type="dxa"/>
                  <w:tcBorders>
                    <w:tl2br w:val="nil"/>
                    <w:tr2bl w:val="nil"/>
                  </w:tcBorders>
                  <w:vAlign w:val="center"/>
                </w:tcPr>
                <w:p w14:paraId="59DD308D">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24725B03">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6EC2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89" w:type="dxa"/>
                  <w:tcBorders>
                    <w:tl2br w:val="nil"/>
                    <w:tr2bl w:val="nil"/>
                  </w:tcBorders>
                  <w:vAlign w:val="center"/>
                </w:tcPr>
                <w:p w14:paraId="0C1CA86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13</w:t>
                  </w:r>
                </w:p>
              </w:tc>
              <w:tc>
                <w:tcPr>
                  <w:tcW w:w="3471" w:type="dxa"/>
                  <w:tcBorders>
                    <w:tl2br w:val="nil"/>
                    <w:tr2bl w:val="nil"/>
                  </w:tcBorders>
                  <w:vAlign w:val="center"/>
                </w:tcPr>
                <w:p w14:paraId="36A8210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角磨机</w:t>
                  </w:r>
                </w:p>
              </w:tc>
              <w:tc>
                <w:tcPr>
                  <w:tcW w:w="2131" w:type="dxa"/>
                  <w:tcBorders>
                    <w:tl2br w:val="nil"/>
                    <w:tr2bl w:val="nil"/>
                  </w:tcBorders>
                  <w:vAlign w:val="center"/>
                </w:tcPr>
                <w:p w14:paraId="11EC367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68776B2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0875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0257FCD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14</w:t>
                  </w:r>
                </w:p>
              </w:tc>
              <w:tc>
                <w:tcPr>
                  <w:tcW w:w="3471" w:type="dxa"/>
                  <w:tcBorders>
                    <w:tl2br w:val="nil"/>
                    <w:tr2bl w:val="nil"/>
                  </w:tcBorders>
                  <w:vAlign w:val="center"/>
                </w:tcPr>
                <w:p w14:paraId="29DCC84B">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金相试样磨抛机</w:t>
                  </w:r>
                </w:p>
              </w:tc>
              <w:tc>
                <w:tcPr>
                  <w:tcW w:w="2131" w:type="dxa"/>
                  <w:tcBorders>
                    <w:tl2br w:val="nil"/>
                    <w:tr2bl w:val="nil"/>
                  </w:tcBorders>
                  <w:vAlign w:val="center"/>
                </w:tcPr>
                <w:p w14:paraId="70BF9B3B">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MP-2B</w:t>
                  </w:r>
                </w:p>
              </w:tc>
              <w:tc>
                <w:tcPr>
                  <w:tcW w:w="2131" w:type="dxa"/>
                  <w:tcBorders>
                    <w:tl2br w:val="nil"/>
                    <w:tr2bl w:val="nil"/>
                  </w:tcBorders>
                  <w:vAlign w:val="center"/>
                </w:tcPr>
                <w:p w14:paraId="6289EF22">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6AB6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471E107C">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15</w:t>
                  </w:r>
                </w:p>
              </w:tc>
              <w:tc>
                <w:tcPr>
                  <w:tcW w:w="3471" w:type="dxa"/>
                  <w:tcBorders>
                    <w:tl2br w:val="nil"/>
                    <w:tr2bl w:val="nil"/>
                  </w:tcBorders>
                  <w:vAlign w:val="center"/>
                </w:tcPr>
                <w:p w14:paraId="30384ACC">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金相试样抛光机</w:t>
                  </w:r>
                </w:p>
              </w:tc>
              <w:tc>
                <w:tcPr>
                  <w:tcW w:w="2131" w:type="dxa"/>
                  <w:tcBorders>
                    <w:tl2br w:val="nil"/>
                    <w:tr2bl w:val="nil"/>
                  </w:tcBorders>
                  <w:vAlign w:val="center"/>
                </w:tcPr>
                <w:p w14:paraId="579F3D5D">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2A69525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06F7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6F81B58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16</w:t>
                  </w:r>
                </w:p>
              </w:tc>
              <w:tc>
                <w:tcPr>
                  <w:tcW w:w="3471" w:type="dxa"/>
                  <w:tcBorders>
                    <w:tl2br w:val="nil"/>
                    <w:tr2bl w:val="nil"/>
                  </w:tcBorders>
                  <w:vAlign w:val="center"/>
                </w:tcPr>
                <w:p w14:paraId="0C1BF35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金相镶嵌机</w:t>
                  </w:r>
                </w:p>
              </w:tc>
              <w:tc>
                <w:tcPr>
                  <w:tcW w:w="2131" w:type="dxa"/>
                  <w:tcBorders>
                    <w:tl2br w:val="nil"/>
                    <w:tr2bl w:val="nil"/>
                  </w:tcBorders>
                  <w:vAlign w:val="center"/>
                </w:tcPr>
                <w:p w14:paraId="37BD9B5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XQ-2P-30</w:t>
                  </w:r>
                </w:p>
              </w:tc>
              <w:tc>
                <w:tcPr>
                  <w:tcW w:w="2131" w:type="dxa"/>
                  <w:tcBorders>
                    <w:tl2br w:val="nil"/>
                    <w:tr2bl w:val="nil"/>
                  </w:tcBorders>
                  <w:vAlign w:val="center"/>
                </w:tcPr>
                <w:p w14:paraId="67F6EBE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0F16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01ECBA3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17</w:t>
                  </w:r>
                </w:p>
              </w:tc>
              <w:tc>
                <w:tcPr>
                  <w:tcW w:w="3471" w:type="dxa"/>
                  <w:tcBorders>
                    <w:tl2br w:val="nil"/>
                    <w:tr2bl w:val="nil"/>
                  </w:tcBorders>
                  <w:vAlign w:val="center"/>
                </w:tcPr>
                <w:p w14:paraId="21A724C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恒温磁力加热搅拌器</w:t>
                  </w:r>
                </w:p>
              </w:tc>
              <w:tc>
                <w:tcPr>
                  <w:tcW w:w="2131" w:type="dxa"/>
                  <w:tcBorders>
                    <w:tl2br w:val="nil"/>
                    <w:tr2bl w:val="nil"/>
                  </w:tcBorders>
                  <w:vAlign w:val="center"/>
                </w:tcPr>
                <w:p w14:paraId="2EB6C4DE">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85-2</w:t>
                  </w:r>
                </w:p>
              </w:tc>
              <w:tc>
                <w:tcPr>
                  <w:tcW w:w="2131" w:type="dxa"/>
                  <w:tcBorders>
                    <w:tl2br w:val="nil"/>
                    <w:tr2bl w:val="nil"/>
                  </w:tcBorders>
                  <w:vAlign w:val="center"/>
                </w:tcPr>
                <w:p w14:paraId="0C4EA9E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4</w:t>
                  </w:r>
                </w:p>
              </w:tc>
            </w:tr>
            <w:tr w14:paraId="2C1C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78D2BF8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18</w:t>
                  </w:r>
                </w:p>
              </w:tc>
              <w:tc>
                <w:tcPr>
                  <w:tcW w:w="3471" w:type="dxa"/>
                  <w:tcBorders>
                    <w:tl2br w:val="nil"/>
                    <w:tr2bl w:val="nil"/>
                  </w:tcBorders>
                  <w:vAlign w:val="center"/>
                </w:tcPr>
                <w:p w14:paraId="2F0B475C">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可调式直流稳压电源</w:t>
                  </w:r>
                </w:p>
              </w:tc>
              <w:tc>
                <w:tcPr>
                  <w:tcW w:w="2131" w:type="dxa"/>
                  <w:tcBorders>
                    <w:tl2br w:val="nil"/>
                    <w:tr2bl w:val="nil"/>
                  </w:tcBorders>
                  <w:vAlign w:val="center"/>
                </w:tcPr>
                <w:p w14:paraId="2627626F">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MS-D</w:t>
                  </w:r>
                </w:p>
              </w:tc>
              <w:tc>
                <w:tcPr>
                  <w:tcW w:w="2131" w:type="dxa"/>
                  <w:tcBorders>
                    <w:tl2br w:val="nil"/>
                    <w:tr2bl w:val="nil"/>
                  </w:tcBorders>
                  <w:vAlign w:val="center"/>
                </w:tcPr>
                <w:p w14:paraId="1DC29ECF">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5978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2AFDE72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19</w:t>
                  </w:r>
                </w:p>
              </w:tc>
              <w:tc>
                <w:tcPr>
                  <w:tcW w:w="3471" w:type="dxa"/>
                  <w:tcBorders>
                    <w:tl2br w:val="nil"/>
                    <w:tr2bl w:val="nil"/>
                  </w:tcBorders>
                  <w:vAlign w:val="center"/>
                </w:tcPr>
                <w:p w14:paraId="2BB13E5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离子活度计</w:t>
                  </w:r>
                </w:p>
              </w:tc>
              <w:tc>
                <w:tcPr>
                  <w:tcW w:w="2131" w:type="dxa"/>
                  <w:tcBorders>
                    <w:tl2br w:val="nil"/>
                    <w:tr2bl w:val="nil"/>
                  </w:tcBorders>
                  <w:vAlign w:val="center"/>
                </w:tcPr>
                <w:p w14:paraId="5DABDF0C">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PXJ-1C</w:t>
                  </w:r>
                </w:p>
              </w:tc>
              <w:tc>
                <w:tcPr>
                  <w:tcW w:w="2131" w:type="dxa"/>
                  <w:tcBorders>
                    <w:tl2br w:val="nil"/>
                    <w:tr2bl w:val="nil"/>
                  </w:tcBorders>
                  <w:vAlign w:val="center"/>
                </w:tcPr>
                <w:p w14:paraId="3FAFFB7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2111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57946D36">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20</w:t>
                  </w:r>
                </w:p>
              </w:tc>
              <w:tc>
                <w:tcPr>
                  <w:tcW w:w="3471" w:type="dxa"/>
                  <w:tcBorders>
                    <w:tl2br w:val="nil"/>
                    <w:tr2bl w:val="nil"/>
                  </w:tcBorders>
                  <w:vAlign w:val="center"/>
                </w:tcPr>
                <w:p w14:paraId="3E35242C">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气体流量计</w:t>
                  </w:r>
                </w:p>
              </w:tc>
              <w:tc>
                <w:tcPr>
                  <w:tcW w:w="2131" w:type="dxa"/>
                  <w:tcBorders>
                    <w:tl2br w:val="nil"/>
                    <w:tr2bl w:val="nil"/>
                  </w:tcBorders>
                  <w:vAlign w:val="center"/>
                </w:tcPr>
                <w:p w14:paraId="2D42330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LZB-3</w:t>
                  </w:r>
                </w:p>
              </w:tc>
              <w:tc>
                <w:tcPr>
                  <w:tcW w:w="2131" w:type="dxa"/>
                  <w:tcBorders>
                    <w:tl2br w:val="nil"/>
                    <w:tr2bl w:val="nil"/>
                  </w:tcBorders>
                  <w:vAlign w:val="center"/>
                </w:tcPr>
                <w:p w14:paraId="204EBFCD">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22B9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25C505E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21</w:t>
                  </w:r>
                </w:p>
              </w:tc>
              <w:tc>
                <w:tcPr>
                  <w:tcW w:w="3471" w:type="dxa"/>
                  <w:tcBorders>
                    <w:tl2br w:val="nil"/>
                    <w:tr2bl w:val="nil"/>
                  </w:tcBorders>
                  <w:vAlign w:val="center"/>
                </w:tcPr>
                <w:p w14:paraId="2763F39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超声波清洗机</w:t>
                  </w:r>
                </w:p>
              </w:tc>
              <w:tc>
                <w:tcPr>
                  <w:tcW w:w="2131" w:type="dxa"/>
                  <w:tcBorders>
                    <w:tl2br w:val="nil"/>
                    <w:tr2bl w:val="nil"/>
                  </w:tcBorders>
                  <w:vAlign w:val="center"/>
                </w:tcPr>
                <w:p w14:paraId="53F0B856">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20150B3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w:t>
                  </w:r>
                </w:p>
              </w:tc>
            </w:tr>
            <w:tr w14:paraId="327F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6A9876F2">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22</w:t>
                  </w:r>
                </w:p>
              </w:tc>
              <w:tc>
                <w:tcPr>
                  <w:tcW w:w="3471" w:type="dxa"/>
                  <w:tcBorders>
                    <w:tl2br w:val="nil"/>
                    <w:tr2bl w:val="nil"/>
                  </w:tcBorders>
                  <w:vAlign w:val="center"/>
                </w:tcPr>
                <w:p w14:paraId="3442DA2D">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低温恒温循环槽</w:t>
                  </w:r>
                </w:p>
              </w:tc>
              <w:tc>
                <w:tcPr>
                  <w:tcW w:w="2131" w:type="dxa"/>
                  <w:tcBorders>
                    <w:tl2br w:val="nil"/>
                    <w:tr2bl w:val="nil"/>
                  </w:tcBorders>
                  <w:vAlign w:val="center"/>
                </w:tcPr>
                <w:p w14:paraId="56E9718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MD20-54</w:t>
                  </w:r>
                </w:p>
              </w:tc>
              <w:tc>
                <w:tcPr>
                  <w:tcW w:w="2131" w:type="dxa"/>
                  <w:tcBorders>
                    <w:tl2br w:val="nil"/>
                    <w:tr2bl w:val="nil"/>
                  </w:tcBorders>
                  <w:vAlign w:val="center"/>
                </w:tcPr>
                <w:p w14:paraId="070CE0B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7366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2E873CAF">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23</w:t>
                  </w:r>
                </w:p>
              </w:tc>
              <w:tc>
                <w:tcPr>
                  <w:tcW w:w="3471" w:type="dxa"/>
                  <w:tcBorders>
                    <w:tl2br w:val="nil"/>
                    <w:tr2bl w:val="nil"/>
                  </w:tcBorders>
                  <w:vAlign w:val="center"/>
                </w:tcPr>
                <w:p w14:paraId="401C41B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应力环</w:t>
                  </w:r>
                </w:p>
              </w:tc>
              <w:tc>
                <w:tcPr>
                  <w:tcW w:w="2131" w:type="dxa"/>
                  <w:tcBorders>
                    <w:tl2br w:val="nil"/>
                    <w:tr2bl w:val="nil"/>
                  </w:tcBorders>
                  <w:vAlign w:val="center"/>
                </w:tcPr>
                <w:p w14:paraId="332E4F2E">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6AFD8EC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20</w:t>
                  </w:r>
                </w:p>
              </w:tc>
            </w:tr>
            <w:tr w14:paraId="219C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51C775B1">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24</w:t>
                  </w:r>
                </w:p>
              </w:tc>
              <w:tc>
                <w:tcPr>
                  <w:tcW w:w="3471" w:type="dxa"/>
                  <w:tcBorders>
                    <w:tl2br w:val="nil"/>
                    <w:tr2bl w:val="nil"/>
                  </w:tcBorders>
                  <w:vAlign w:val="center"/>
                </w:tcPr>
                <w:p w14:paraId="1F8D9B4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外径千分尺</w:t>
                  </w:r>
                </w:p>
              </w:tc>
              <w:tc>
                <w:tcPr>
                  <w:tcW w:w="2131" w:type="dxa"/>
                  <w:tcBorders>
                    <w:tl2br w:val="nil"/>
                    <w:tr2bl w:val="nil"/>
                  </w:tcBorders>
                  <w:vAlign w:val="center"/>
                </w:tcPr>
                <w:p w14:paraId="4525708F">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0-20mm</w:t>
                  </w:r>
                </w:p>
              </w:tc>
              <w:tc>
                <w:tcPr>
                  <w:tcW w:w="2131" w:type="dxa"/>
                  <w:tcBorders>
                    <w:tl2br w:val="nil"/>
                    <w:tr2bl w:val="nil"/>
                  </w:tcBorders>
                  <w:vAlign w:val="center"/>
                </w:tcPr>
                <w:p w14:paraId="0B49BED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3442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5D2FD093">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25</w:t>
                  </w:r>
                </w:p>
              </w:tc>
              <w:tc>
                <w:tcPr>
                  <w:tcW w:w="3471" w:type="dxa"/>
                  <w:tcBorders>
                    <w:tl2br w:val="nil"/>
                    <w:tr2bl w:val="nil"/>
                  </w:tcBorders>
                  <w:vAlign w:val="center"/>
                </w:tcPr>
                <w:p w14:paraId="17CEE9A1">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游标卡尺</w:t>
                  </w:r>
                </w:p>
              </w:tc>
              <w:tc>
                <w:tcPr>
                  <w:tcW w:w="2131" w:type="dxa"/>
                  <w:tcBorders>
                    <w:tl2br w:val="nil"/>
                    <w:tr2bl w:val="nil"/>
                  </w:tcBorders>
                  <w:vAlign w:val="center"/>
                </w:tcPr>
                <w:p w14:paraId="2E00FC8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0-150mm</w:t>
                  </w:r>
                </w:p>
              </w:tc>
              <w:tc>
                <w:tcPr>
                  <w:tcW w:w="2131" w:type="dxa"/>
                  <w:tcBorders>
                    <w:tl2br w:val="nil"/>
                    <w:tr2bl w:val="nil"/>
                  </w:tcBorders>
                  <w:vAlign w:val="center"/>
                </w:tcPr>
                <w:p w14:paraId="3220AAC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3E6F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1A0454F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26</w:t>
                  </w:r>
                </w:p>
              </w:tc>
              <w:tc>
                <w:tcPr>
                  <w:tcW w:w="3471" w:type="dxa"/>
                  <w:tcBorders>
                    <w:tl2br w:val="nil"/>
                    <w:tr2bl w:val="nil"/>
                  </w:tcBorders>
                  <w:vAlign w:val="center"/>
                </w:tcPr>
                <w:p w14:paraId="7C40EE0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数显千分表</w:t>
                  </w:r>
                </w:p>
              </w:tc>
              <w:tc>
                <w:tcPr>
                  <w:tcW w:w="2131" w:type="dxa"/>
                  <w:tcBorders>
                    <w:tl2br w:val="nil"/>
                    <w:tr2bl w:val="nil"/>
                  </w:tcBorders>
                  <w:vAlign w:val="center"/>
                </w:tcPr>
                <w:p w14:paraId="2F9A97D6">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0.001-12.7mm</w:t>
                  </w:r>
                </w:p>
              </w:tc>
              <w:tc>
                <w:tcPr>
                  <w:tcW w:w="2131" w:type="dxa"/>
                  <w:tcBorders>
                    <w:tl2br w:val="nil"/>
                    <w:tr2bl w:val="nil"/>
                  </w:tcBorders>
                  <w:vAlign w:val="center"/>
                </w:tcPr>
                <w:p w14:paraId="178DD6D2">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03B1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71EA5AC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27</w:t>
                  </w:r>
                </w:p>
              </w:tc>
              <w:tc>
                <w:tcPr>
                  <w:tcW w:w="3471" w:type="dxa"/>
                  <w:tcBorders>
                    <w:tl2br w:val="nil"/>
                    <w:tr2bl w:val="nil"/>
                  </w:tcBorders>
                  <w:vAlign w:val="center"/>
                </w:tcPr>
                <w:p w14:paraId="50B2DED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压力表</w:t>
                  </w:r>
                </w:p>
              </w:tc>
              <w:tc>
                <w:tcPr>
                  <w:tcW w:w="2131" w:type="dxa"/>
                  <w:tcBorders>
                    <w:tl2br w:val="nil"/>
                    <w:tr2bl w:val="nil"/>
                  </w:tcBorders>
                  <w:vAlign w:val="center"/>
                </w:tcPr>
                <w:p w14:paraId="4259148B">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0-2.5MPa</w:t>
                  </w:r>
                </w:p>
              </w:tc>
              <w:tc>
                <w:tcPr>
                  <w:tcW w:w="2131" w:type="dxa"/>
                  <w:tcBorders>
                    <w:tl2br w:val="nil"/>
                    <w:tr2bl w:val="nil"/>
                  </w:tcBorders>
                  <w:vAlign w:val="center"/>
                </w:tcPr>
                <w:p w14:paraId="5F12C022">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4F87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748924C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28</w:t>
                  </w:r>
                </w:p>
              </w:tc>
              <w:tc>
                <w:tcPr>
                  <w:tcW w:w="3471" w:type="dxa"/>
                  <w:tcBorders>
                    <w:tl2br w:val="nil"/>
                    <w:tr2bl w:val="nil"/>
                  </w:tcBorders>
                  <w:vAlign w:val="center"/>
                </w:tcPr>
                <w:p w14:paraId="36642F5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压力表</w:t>
                  </w:r>
                </w:p>
              </w:tc>
              <w:tc>
                <w:tcPr>
                  <w:tcW w:w="2131" w:type="dxa"/>
                  <w:tcBorders>
                    <w:tl2br w:val="nil"/>
                    <w:tr2bl w:val="nil"/>
                  </w:tcBorders>
                  <w:vAlign w:val="center"/>
                </w:tcPr>
                <w:p w14:paraId="2CB4E6D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0-25.0MPa</w:t>
                  </w:r>
                </w:p>
              </w:tc>
              <w:tc>
                <w:tcPr>
                  <w:tcW w:w="2131" w:type="dxa"/>
                  <w:tcBorders>
                    <w:tl2br w:val="nil"/>
                    <w:tr2bl w:val="nil"/>
                  </w:tcBorders>
                  <w:vAlign w:val="center"/>
                </w:tcPr>
                <w:p w14:paraId="74776EB6">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1422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11129E0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29</w:t>
                  </w:r>
                </w:p>
              </w:tc>
              <w:tc>
                <w:tcPr>
                  <w:tcW w:w="3471" w:type="dxa"/>
                  <w:tcBorders>
                    <w:tl2br w:val="nil"/>
                    <w:tr2bl w:val="nil"/>
                  </w:tcBorders>
                  <w:vAlign w:val="center"/>
                </w:tcPr>
                <w:p w14:paraId="283AF01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压力表</w:t>
                  </w:r>
                </w:p>
              </w:tc>
              <w:tc>
                <w:tcPr>
                  <w:tcW w:w="2131" w:type="dxa"/>
                  <w:tcBorders>
                    <w:tl2br w:val="nil"/>
                    <w:tr2bl w:val="nil"/>
                  </w:tcBorders>
                  <w:vAlign w:val="center"/>
                </w:tcPr>
                <w:p w14:paraId="385BBDF5">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0-1.0MPa</w:t>
                  </w:r>
                </w:p>
              </w:tc>
              <w:tc>
                <w:tcPr>
                  <w:tcW w:w="2131" w:type="dxa"/>
                  <w:tcBorders>
                    <w:tl2br w:val="nil"/>
                    <w:tr2bl w:val="nil"/>
                  </w:tcBorders>
                  <w:vAlign w:val="center"/>
                </w:tcPr>
                <w:p w14:paraId="5064790B">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3A4F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238A75D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30</w:t>
                  </w:r>
                </w:p>
              </w:tc>
              <w:tc>
                <w:tcPr>
                  <w:tcW w:w="3471" w:type="dxa"/>
                  <w:tcBorders>
                    <w:tl2br w:val="nil"/>
                    <w:tr2bl w:val="nil"/>
                  </w:tcBorders>
                  <w:vAlign w:val="center"/>
                </w:tcPr>
                <w:p w14:paraId="3840FBB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压力表</w:t>
                  </w:r>
                </w:p>
              </w:tc>
              <w:tc>
                <w:tcPr>
                  <w:tcW w:w="2131" w:type="dxa"/>
                  <w:tcBorders>
                    <w:tl2br w:val="nil"/>
                    <w:tr2bl w:val="nil"/>
                  </w:tcBorders>
                  <w:vAlign w:val="center"/>
                </w:tcPr>
                <w:p w14:paraId="52A88696">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0-10.0MPa</w:t>
                  </w:r>
                </w:p>
              </w:tc>
              <w:tc>
                <w:tcPr>
                  <w:tcW w:w="2131" w:type="dxa"/>
                  <w:tcBorders>
                    <w:tl2br w:val="nil"/>
                    <w:tr2bl w:val="nil"/>
                  </w:tcBorders>
                  <w:vAlign w:val="center"/>
                </w:tcPr>
                <w:p w14:paraId="7BE8A2BC">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6307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35367B54">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31</w:t>
                  </w:r>
                </w:p>
              </w:tc>
              <w:tc>
                <w:tcPr>
                  <w:tcW w:w="3471" w:type="dxa"/>
                  <w:tcBorders>
                    <w:tl2br w:val="nil"/>
                    <w:tr2bl w:val="nil"/>
                  </w:tcBorders>
                  <w:vAlign w:val="center"/>
                </w:tcPr>
                <w:p w14:paraId="7A91C15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高温高压釜</w:t>
                  </w:r>
                </w:p>
              </w:tc>
              <w:tc>
                <w:tcPr>
                  <w:tcW w:w="2131" w:type="dxa"/>
                  <w:tcBorders>
                    <w:tl2br w:val="nil"/>
                    <w:tr2bl w:val="nil"/>
                  </w:tcBorders>
                  <w:vAlign w:val="center"/>
                </w:tcPr>
                <w:p w14:paraId="72FA3C3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5049064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w:t>
                  </w:r>
                </w:p>
              </w:tc>
            </w:tr>
            <w:tr w14:paraId="6A43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9" w:type="dxa"/>
                  <w:tcBorders>
                    <w:tl2br w:val="nil"/>
                    <w:tr2bl w:val="nil"/>
                  </w:tcBorders>
                  <w:vAlign w:val="center"/>
                </w:tcPr>
                <w:p w14:paraId="00634617">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32</w:t>
                  </w:r>
                </w:p>
              </w:tc>
              <w:tc>
                <w:tcPr>
                  <w:tcW w:w="3471" w:type="dxa"/>
                  <w:tcBorders>
                    <w:tl2br w:val="nil"/>
                    <w:tr2bl w:val="nil"/>
                  </w:tcBorders>
                  <w:vAlign w:val="center"/>
                </w:tcPr>
                <w:p w14:paraId="3C40B09B">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金相显微镜</w:t>
                  </w:r>
                </w:p>
              </w:tc>
              <w:tc>
                <w:tcPr>
                  <w:tcW w:w="2131" w:type="dxa"/>
                  <w:tcBorders>
                    <w:tl2br w:val="nil"/>
                    <w:tr2bl w:val="nil"/>
                  </w:tcBorders>
                  <w:vAlign w:val="center"/>
                </w:tcPr>
                <w:p w14:paraId="36931C5F">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DMM-480C</w:t>
                  </w:r>
                </w:p>
              </w:tc>
              <w:tc>
                <w:tcPr>
                  <w:tcW w:w="2131" w:type="dxa"/>
                  <w:tcBorders>
                    <w:tl2br w:val="nil"/>
                    <w:tr2bl w:val="nil"/>
                  </w:tcBorders>
                  <w:vAlign w:val="center"/>
                </w:tcPr>
                <w:p w14:paraId="1EC82807">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377E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6C633A78">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33</w:t>
                  </w:r>
                </w:p>
              </w:tc>
              <w:tc>
                <w:tcPr>
                  <w:tcW w:w="3471" w:type="dxa"/>
                  <w:tcBorders>
                    <w:tl2br w:val="nil"/>
                    <w:tr2bl w:val="nil"/>
                  </w:tcBorders>
                  <w:vAlign w:val="center"/>
                </w:tcPr>
                <w:p w14:paraId="4E776C1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碱</w:t>
                  </w:r>
                  <w:r>
                    <w:rPr>
                      <w:rFonts w:hint="default" w:ascii="Times New Roman" w:hAnsi="Times New Roman" w:cs="Times New Roman"/>
                      <w:color w:val="000000" w:themeColor="text1"/>
                      <w:sz w:val="21"/>
                      <w14:textFill>
                        <w14:solidFill>
                          <w14:schemeClr w14:val="tx1"/>
                        </w14:solidFill>
                      </w14:textFill>
                    </w:rPr>
                    <w:t>喷淋塔</w:t>
                  </w:r>
                </w:p>
              </w:tc>
              <w:tc>
                <w:tcPr>
                  <w:tcW w:w="2131" w:type="dxa"/>
                  <w:tcBorders>
                    <w:tl2br w:val="nil"/>
                    <w:tr2bl w:val="nil"/>
                  </w:tcBorders>
                  <w:vAlign w:val="center"/>
                </w:tcPr>
                <w:p w14:paraId="58996CBA">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w:t>
                  </w:r>
                </w:p>
              </w:tc>
              <w:tc>
                <w:tcPr>
                  <w:tcW w:w="2131" w:type="dxa"/>
                  <w:tcBorders>
                    <w:tl2br w:val="nil"/>
                    <w:tr2bl w:val="nil"/>
                  </w:tcBorders>
                  <w:vAlign w:val="center"/>
                </w:tcPr>
                <w:p w14:paraId="460F32F7">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r w14:paraId="0AB2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41CD2AD0">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34</w:t>
                  </w:r>
                </w:p>
              </w:tc>
              <w:tc>
                <w:tcPr>
                  <w:tcW w:w="3471" w:type="dxa"/>
                  <w:tcBorders>
                    <w:tl2br w:val="nil"/>
                    <w:tr2bl w:val="nil"/>
                  </w:tcBorders>
                </w:tcPr>
                <w:p w14:paraId="316D3183">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纯水机</w:t>
                  </w:r>
                </w:p>
              </w:tc>
              <w:tc>
                <w:tcPr>
                  <w:tcW w:w="2131" w:type="dxa"/>
                  <w:tcBorders>
                    <w:tl2br w:val="nil"/>
                    <w:tr2bl w:val="nil"/>
                  </w:tcBorders>
                </w:tcPr>
                <w:p w14:paraId="17B7EF29">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t/h</w:t>
                  </w:r>
                </w:p>
              </w:tc>
              <w:tc>
                <w:tcPr>
                  <w:tcW w:w="2131" w:type="dxa"/>
                  <w:tcBorders>
                    <w:tl2br w:val="nil"/>
                    <w:tr2bl w:val="nil"/>
                  </w:tcBorders>
                  <w:vAlign w:val="center"/>
                </w:tcPr>
                <w:p w14:paraId="6D40532E">
                  <w:pPr>
                    <w:spacing w:line="240" w:lineRule="auto"/>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r>
          </w:tbl>
          <w:p w14:paraId="72B6C338">
            <w:pPr>
              <w:autoSpaceDE w:val="0"/>
              <w:autoSpaceDN w:val="0"/>
              <w:spacing w:before="156" w:beforeLines="50"/>
              <w:ind w:firstLine="482"/>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3、原辅材料消耗</w:t>
            </w:r>
          </w:p>
          <w:p w14:paraId="0E08DA05">
            <w:pPr>
              <w:ind w:firstLine="480"/>
              <w:rPr>
                <w:rFonts w:hint="default" w:ascii="Times New Roman" w:hAnsi="Times New Roman" w:cs="Times New Roman"/>
                <w:color w:val="000000" w:themeColor="text1"/>
                <w14:textFill>
                  <w14:solidFill>
                    <w14:schemeClr w14:val="tx1"/>
                  </w14:solidFill>
                </w14:textFill>
              </w:rPr>
            </w:pPr>
            <w:bookmarkStart w:id="6" w:name="_Hlk147395127"/>
            <w:r>
              <w:rPr>
                <w:rFonts w:hint="default" w:ascii="Times New Roman" w:hAnsi="Times New Roman" w:cs="Times New Roman"/>
                <w:color w:val="000000" w:themeColor="text1"/>
                <w14:textFill>
                  <w14:solidFill>
                    <w14:schemeClr w14:val="tx1"/>
                  </w14:solidFill>
                </w14:textFill>
              </w:rPr>
              <w:t>实验室主要原辅材料及消耗情况详见下表2-3：</w:t>
            </w:r>
          </w:p>
          <w:p w14:paraId="7E412F04">
            <w:pPr>
              <w:pStyle w:val="79"/>
              <w:spacing w:after="0" w:line="240" w:lineRule="auto"/>
              <w:ind w:left="0" w:leftChars="0" w:firstLine="0" w:firstLineChars="0"/>
              <w:jc w:val="center"/>
              <w:rPr>
                <w:rFonts w:hint="default" w:ascii="Times New Roman" w:hAnsi="Times New Roman" w:cs="Times New Roman"/>
                <w:color w:val="000000" w:themeColor="text1"/>
                <w:szCs w:val="24"/>
                <w14:textFill>
                  <w14:solidFill>
                    <w14:schemeClr w14:val="tx1"/>
                  </w14:solidFill>
                </w14:textFill>
              </w:rPr>
            </w:pPr>
            <w:bookmarkStart w:id="7" w:name="_Hlk148970759"/>
            <w:bookmarkStart w:id="8" w:name="_Hlk147581050"/>
            <w:r>
              <w:rPr>
                <w:rFonts w:hint="default" w:ascii="Times New Roman" w:hAnsi="Times New Roman" w:cs="Times New Roman"/>
                <w:b/>
                <w:bCs/>
                <w:color w:val="000000" w:themeColor="text1"/>
                <w:sz w:val="21"/>
                <w:szCs w:val="21"/>
                <w14:textFill>
                  <w14:solidFill>
                    <w14:schemeClr w14:val="tx1"/>
                  </w14:solidFill>
                </w14:textFill>
              </w:rPr>
              <w:t>表2-3项目实验室主要原辅料一览表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050"/>
              <w:gridCol w:w="1504"/>
              <w:gridCol w:w="2598"/>
              <w:gridCol w:w="1929"/>
            </w:tblGrid>
            <w:tr w14:paraId="33B3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 w:type="pct"/>
                  <w:tcBorders>
                    <w:tl2br w:val="nil"/>
                    <w:tr2bl w:val="nil"/>
                  </w:tcBorders>
                  <w:vAlign w:val="center"/>
                </w:tcPr>
                <w:p w14:paraId="4F386BE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207" w:type="pct"/>
                  <w:tcBorders>
                    <w:tl2br w:val="nil"/>
                    <w:tr2bl w:val="nil"/>
                  </w:tcBorders>
                  <w:vAlign w:val="center"/>
                </w:tcPr>
                <w:p w14:paraId="6311FED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w:t>
                  </w:r>
                </w:p>
              </w:tc>
              <w:tc>
                <w:tcPr>
                  <w:tcW w:w="886" w:type="pct"/>
                  <w:tcBorders>
                    <w:tl2br w:val="nil"/>
                    <w:tr2bl w:val="nil"/>
                  </w:tcBorders>
                  <w:vAlign w:val="center"/>
                </w:tcPr>
                <w:p w14:paraId="05CDC84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规格</w:t>
                  </w:r>
                  <w:r>
                    <w:rPr>
                      <w:rFonts w:hint="default" w:ascii="Times New Roman" w:hAnsi="Times New Roman" w:cs="Times New Roman"/>
                      <w:color w:val="000000" w:themeColor="text1"/>
                      <w:sz w:val="21"/>
                      <w:szCs w:val="21"/>
                      <w:lang w:val="en-US" w:eastAsia="zh-CN"/>
                      <w14:textFill>
                        <w14:solidFill>
                          <w14:schemeClr w14:val="tx1"/>
                        </w14:solidFill>
                      </w14:textFill>
                    </w:rPr>
                    <w:t>/年</w:t>
                  </w:r>
                  <w:r>
                    <w:rPr>
                      <w:rFonts w:hint="default" w:ascii="Times New Roman" w:hAnsi="Times New Roman" w:cs="Times New Roman"/>
                      <w:color w:val="000000" w:themeColor="text1"/>
                      <w:sz w:val="21"/>
                      <w:szCs w:val="21"/>
                      <w14:textFill>
                        <w14:solidFill>
                          <w14:schemeClr w14:val="tx1"/>
                        </w14:solidFill>
                      </w14:textFill>
                    </w:rPr>
                    <w:t>用量</w:t>
                  </w:r>
                </w:p>
              </w:tc>
              <w:tc>
                <w:tcPr>
                  <w:tcW w:w="1528" w:type="pct"/>
                  <w:tcBorders>
                    <w:tl2br w:val="nil"/>
                    <w:tr2bl w:val="nil"/>
                  </w:tcBorders>
                  <w:vAlign w:val="center"/>
                </w:tcPr>
                <w:p w14:paraId="56C577B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用途</w:t>
                  </w:r>
                </w:p>
              </w:tc>
              <w:tc>
                <w:tcPr>
                  <w:tcW w:w="1135" w:type="pct"/>
                  <w:tcBorders>
                    <w:tl2br w:val="nil"/>
                    <w:tr2bl w:val="nil"/>
                  </w:tcBorders>
                  <w:vAlign w:val="center"/>
                </w:tcPr>
                <w:p w14:paraId="11776DE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储存</w:t>
                  </w:r>
                </w:p>
              </w:tc>
            </w:tr>
            <w:tr w14:paraId="7AFD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42" w:type="pct"/>
                  <w:tcBorders>
                    <w:tl2br w:val="nil"/>
                    <w:tr2bl w:val="nil"/>
                  </w:tcBorders>
                  <w:vAlign w:val="center"/>
                </w:tcPr>
                <w:p w14:paraId="5DE780E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207" w:type="pct"/>
                  <w:tcBorders>
                    <w:tl2br w:val="nil"/>
                    <w:tr2bl w:val="nil"/>
                  </w:tcBorders>
                  <w:vAlign w:val="center"/>
                </w:tcPr>
                <w:p w14:paraId="77AF204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硝酸</w:t>
                  </w:r>
                </w:p>
              </w:tc>
              <w:tc>
                <w:tcPr>
                  <w:tcW w:w="886" w:type="pct"/>
                  <w:tcBorders>
                    <w:tl2br w:val="nil"/>
                    <w:tr2bl w:val="nil"/>
                  </w:tcBorders>
                  <w:vAlign w:val="center"/>
                </w:tcPr>
                <w:p w14:paraId="4111051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2500ml/2瓶</w:t>
                  </w:r>
                </w:p>
              </w:tc>
              <w:tc>
                <w:tcPr>
                  <w:tcW w:w="1528" w:type="pct"/>
                  <w:tcBorders>
                    <w:tl2br w:val="nil"/>
                    <w:tr2bl w:val="nil"/>
                  </w:tcBorders>
                  <w:vAlign w:val="center"/>
                </w:tcPr>
                <w:p w14:paraId="27278D9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腐蚀剂配制</w:t>
                  </w:r>
                </w:p>
              </w:tc>
              <w:tc>
                <w:tcPr>
                  <w:tcW w:w="1135" w:type="pct"/>
                  <w:tcBorders>
                    <w:tl2br w:val="nil"/>
                    <w:tr2bl w:val="nil"/>
                  </w:tcBorders>
                  <w:vAlign w:val="center"/>
                </w:tcPr>
                <w:p w14:paraId="31323288">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易制毒易制爆室</w:t>
                  </w:r>
                </w:p>
              </w:tc>
            </w:tr>
            <w:tr w14:paraId="0774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4C25349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207" w:type="pct"/>
                  <w:tcBorders>
                    <w:tl2br w:val="nil"/>
                    <w:tr2bl w:val="nil"/>
                  </w:tcBorders>
                  <w:vAlign w:val="center"/>
                </w:tcPr>
                <w:p w14:paraId="2E35791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硫酸</w:t>
                  </w:r>
                </w:p>
              </w:tc>
              <w:tc>
                <w:tcPr>
                  <w:tcW w:w="886" w:type="pct"/>
                  <w:tcBorders>
                    <w:tl2br w:val="nil"/>
                    <w:tr2bl w:val="nil"/>
                  </w:tcBorders>
                  <w:vAlign w:val="center"/>
                </w:tcPr>
                <w:p w14:paraId="30881F1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2500ml/2瓶</w:t>
                  </w:r>
                </w:p>
              </w:tc>
              <w:tc>
                <w:tcPr>
                  <w:tcW w:w="1528" w:type="pct"/>
                  <w:tcBorders>
                    <w:tl2br w:val="nil"/>
                    <w:tr2bl w:val="nil"/>
                  </w:tcBorders>
                  <w:vAlign w:val="center"/>
                </w:tcPr>
                <w:p w14:paraId="3D34DAC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腐蚀剂配制</w:t>
                  </w:r>
                </w:p>
              </w:tc>
              <w:tc>
                <w:tcPr>
                  <w:tcW w:w="1135" w:type="pct"/>
                  <w:tcBorders>
                    <w:tl2br w:val="nil"/>
                    <w:tr2bl w:val="nil"/>
                  </w:tcBorders>
                  <w:vAlign w:val="center"/>
                </w:tcPr>
                <w:p w14:paraId="041BE8A9">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易制毒易制爆室</w:t>
                  </w:r>
                </w:p>
              </w:tc>
            </w:tr>
            <w:tr w14:paraId="380C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6730663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207" w:type="pct"/>
                  <w:tcBorders>
                    <w:tl2br w:val="nil"/>
                    <w:tr2bl w:val="nil"/>
                  </w:tcBorders>
                  <w:vAlign w:val="center"/>
                </w:tcPr>
                <w:p w14:paraId="4B53C3A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盐酸</w:t>
                  </w:r>
                </w:p>
              </w:tc>
              <w:tc>
                <w:tcPr>
                  <w:tcW w:w="886" w:type="pct"/>
                  <w:tcBorders>
                    <w:tl2br w:val="nil"/>
                    <w:tr2bl w:val="nil"/>
                  </w:tcBorders>
                  <w:vAlign w:val="center"/>
                </w:tcPr>
                <w:p w14:paraId="51DA4F2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2500ml/1瓶</w:t>
                  </w:r>
                </w:p>
              </w:tc>
              <w:tc>
                <w:tcPr>
                  <w:tcW w:w="1528" w:type="pct"/>
                  <w:tcBorders>
                    <w:tl2br w:val="nil"/>
                    <w:tr2bl w:val="nil"/>
                  </w:tcBorders>
                  <w:vAlign w:val="center"/>
                </w:tcPr>
                <w:p w14:paraId="01EC9CB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腐蚀剂配制</w:t>
                  </w:r>
                </w:p>
              </w:tc>
              <w:tc>
                <w:tcPr>
                  <w:tcW w:w="1135" w:type="pct"/>
                  <w:tcBorders>
                    <w:tl2br w:val="nil"/>
                    <w:tr2bl w:val="nil"/>
                  </w:tcBorders>
                  <w:vAlign w:val="center"/>
                </w:tcPr>
                <w:p w14:paraId="140E5347">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易制毒易制爆室</w:t>
                  </w:r>
                </w:p>
              </w:tc>
            </w:tr>
            <w:tr w14:paraId="630E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7CB9691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207" w:type="pct"/>
                  <w:tcBorders>
                    <w:tl2br w:val="nil"/>
                    <w:tr2bl w:val="nil"/>
                  </w:tcBorders>
                  <w:vAlign w:val="center"/>
                </w:tcPr>
                <w:p w14:paraId="074DE05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苦味酸（三硝基苯酚）</w:t>
                  </w:r>
                </w:p>
              </w:tc>
              <w:tc>
                <w:tcPr>
                  <w:tcW w:w="886" w:type="pct"/>
                  <w:tcBorders>
                    <w:tl2br w:val="nil"/>
                    <w:tr2bl w:val="nil"/>
                  </w:tcBorders>
                  <w:vAlign w:val="center"/>
                </w:tcPr>
                <w:p w14:paraId="0AFB899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25g/1瓶</w:t>
                  </w:r>
                </w:p>
              </w:tc>
              <w:tc>
                <w:tcPr>
                  <w:tcW w:w="1528" w:type="pct"/>
                  <w:tcBorders>
                    <w:tl2br w:val="nil"/>
                    <w:tr2bl w:val="nil"/>
                  </w:tcBorders>
                  <w:vAlign w:val="center"/>
                </w:tcPr>
                <w:p w14:paraId="600B408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w:t>
                  </w:r>
                  <w:r>
                    <w:rPr>
                      <w:rFonts w:hint="default" w:ascii="Times New Roman" w:hAnsi="Times New Roman" w:cs="Times New Roman"/>
                      <w:color w:val="000000" w:themeColor="text1"/>
                      <w:sz w:val="21"/>
                      <w:szCs w:val="21"/>
                      <w:lang w:val="en-US" w:eastAsia="zh-CN"/>
                      <w14:textFill>
                        <w14:solidFill>
                          <w14:schemeClr w14:val="tx1"/>
                        </w14:solidFill>
                      </w14:textFill>
                    </w:rPr>
                    <w:t>晶度</w:t>
                  </w:r>
                  <w:r>
                    <w:rPr>
                      <w:rFonts w:hint="default" w:ascii="Times New Roman" w:hAnsi="Times New Roman" w:cs="Times New Roman"/>
                      <w:color w:val="000000" w:themeColor="text1"/>
                      <w:sz w:val="21"/>
                      <w:szCs w:val="21"/>
                      <w14:textFill>
                        <w14:solidFill>
                          <w14:schemeClr w14:val="tx1"/>
                        </w14:solidFill>
                      </w14:textFill>
                    </w:rPr>
                    <w:t>组织腐蚀剂配制</w:t>
                  </w:r>
                </w:p>
              </w:tc>
              <w:tc>
                <w:tcPr>
                  <w:tcW w:w="1135" w:type="pct"/>
                  <w:tcBorders>
                    <w:tl2br w:val="nil"/>
                    <w:tr2bl w:val="nil"/>
                  </w:tcBorders>
                  <w:vAlign w:val="center"/>
                </w:tcPr>
                <w:p w14:paraId="7083FAC8">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易制毒易制爆室</w:t>
                  </w:r>
                </w:p>
              </w:tc>
            </w:tr>
            <w:tr w14:paraId="0BD0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3942DCC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207" w:type="pct"/>
                  <w:tcBorders>
                    <w:tl2br w:val="nil"/>
                    <w:tr2bl w:val="nil"/>
                  </w:tcBorders>
                  <w:vAlign w:val="center"/>
                </w:tcPr>
                <w:p w14:paraId="4042C07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30%过氧化氢</w:t>
                  </w:r>
                </w:p>
              </w:tc>
              <w:tc>
                <w:tcPr>
                  <w:tcW w:w="886" w:type="pct"/>
                  <w:tcBorders>
                    <w:tl2br w:val="nil"/>
                    <w:tr2bl w:val="nil"/>
                  </w:tcBorders>
                  <w:vAlign w:val="center"/>
                </w:tcPr>
                <w:p w14:paraId="3095F8B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500ml/4瓶</w:t>
                  </w:r>
                </w:p>
              </w:tc>
              <w:tc>
                <w:tcPr>
                  <w:tcW w:w="1528" w:type="pct"/>
                  <w:tcBorders>
                    <w:tl2br w:val="nil"/>
                    <w:tr2bl w:val="nil"/>
                  </w:tcBorders>
                  <w:vAlign w:val="center"/>
                </w:tcPr>
                <w:p w14:paraId="0DE39E3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55DF5A70">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易制毒易制爆室</w:t>
                  </w:r>
                </w:p>
              </w:tc>
            </w:tr>
            <w:tr w14:paraId="7C87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5E293AF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207" w:type="pct"/>
                  <w:tcBorders>
                    <w:tl2br w:val="nil"/>
                    <w:tr2bl w:val="nil"/>
                  </w:tcBorders>
                  <w:vAlign w:val="center"/>
                </w:tcPr>
                <w:p w14:paraId="5A32437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高锰酸钾</w:t>
                  </w:r>
                </w:p>
              </w:tc>
              <w:tc>
                <w:tcPr>
                  <w:tcW w:w="886" w:type="pct"/>
                  <w:tcBorders>
                    <w:tl2br w:val="nil"/>
                    <w:tr2bl w:val="nil"/>
                  </w:tcBorders>
                  <w:vAlign w:val="center"/>
                </w:tcPr>
                <w:p w14:paraId="4C7FEDE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500g/1瓶</w:t>
                  </w:r>
                </w:p>
              </w:tc>
              <w:tc>
                <w:tcPr>
                  <w:tcW w:w="1528" w:type="pct"/>
                  <w:tcBorders>
                    <w:tl2br w:val="nil"/>
                    <w:tr2bl w:val="nil"/>
                  </w:tcBorders>
                  <w:vAlign w:val="center"/>
                </w:tcPr>
                <w:p w14:paraId="036F142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3F69E671">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易制毒易制爆室</w:t>
                  </w:r>
                </w:p>
              </w:tc>
            </w:tr>
            <w:tr w14:paraId="6068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09492C4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207" w:type="pct"/>
                  <w:tcBorders>
                    <w:tl2br w:val="nil"/>
                    <w:tr2bl w:val="nil"/>
                  </w:tcBorders>
                  <w:vAlign w:val="center"/>
                </w:tcPr>
                <w:p w14:paraId="62D63CD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重铬酸钾</w:t>
                  </w:r>
                </w:p>
              </w:tc>
              <w:tc>
                <w:tcPr>
                  <w:tcW w:w="886" w:type="pct"/>
                  <w:tcBorders>
                    <w:tl2br w:val="nil"/>
                    <w:tr2bl w:val="nil"/>
                  </w:tcBorders>
                  <w:vAlign w:val="center"/>
                </w:tcPr>
                <w:p w14:paraId="02C9F5D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500g/1瓶</w:t>
                  </w:r>
                </w:p>
              </w:tc>
              <w:tc>
                <w:tcPr>
                  <w:tcW w:w="1528" w:type="pct"/>
                  <w:tcBorders>
                    <w:tl2br w:val="nil"/>
                    <w:tr2bl w:val="nil"/>
                  </w:tcBorders>
                  <w:vAlign w:val="center"/>
                </w:tcPr>
                <w:p w14:paraId="17FB9C1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435BF529">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易制毒易制爆室</w:t>
                  </w:r>
                </w:p>
              </w:tc>
            </w:tr>
            <w:tr w14:paraId="724E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2045492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1207" w:type="pct"/>
                  <w:tcBorders>
                    <w:tl2br w:val="nil"/>
                    <w:tr2bl w:val="nil"/>
                  </w:tcBorders>
                  <w:vAlign w:val="center"/>
                </w:tcPr>
                <w:p w14:paraId="206C1DC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亚硒酸</w:t>
                  </w:r>
                </w:p>
              </w:tc>
              <w:tc>
                <w:tcPr>
                  <w:tcW w:w="886" w:type="pct"/>
                  <w:tcBorders>
                    <w:tl2br w:val="nil"/>
                    <w:tr2bl w:val="nil"/>
                  </w:tcBorders>
                  <w:vAlign w:val="center"/>
                </w:tcPr>
                <w:p w14:paraId="5CE135C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20g/1瓶</w:t>
                  </w:r>
                </w:p>
              </w:tc>
              <w:tc>
                <w:tcPr>
                  <w:tcW w:w="1528" w:type="pct"/>
                  <w:tcBorders>
                    <w:tl2br w:val="nil"/>
                    <w:tr2bl w:val="nil"/>
                  </w:tcBorders>
                  <w:vAlign w:val="center"/>
                </w:tcPr>
                <w:p w14:paraId="0D9A4AEF">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HIC氢致开裂溶液配制</w:t>
                  </w:r>
                </w:p>
              </w:tc>
              <w:tc>
                <w:tcPr>
                  <w:tcW w:w="1135" w:type="pct"/>
                  <w:tcBorders>
                    <w:tl2br w:val="nil"/>
                    <w:tr2bl w:val="nil"/>
                  </w:tcBorders>
                  <w:vAlign w:val="center"/>
                </w:tcPr>
                <w:p w14:paraId="59FD3035">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523B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7B7985B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1207" w:type="pct"/>
                  <w:tcBorders>
                    <w:tl2br w:val="nil"/>
                    <w:tr2bl w:val="nil"/>
                  </w:tcBorders>
                  <w:vAlign w:val="center"/>
                </w:tcPr>
                <w:p w14:paraId="447FDFA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氢氟酸</w:t>
                  </w:r>
                </w:p>
              </w:tc>
              <w:tc>
                <w:tcPr>
                  <w:tcW w:w="886" w:type="pct"/>
                  <w:tcBorders>
                    <w:tl2br w:val="nil"/>
                    <w:tr2bl w:val="nil"/>
                  </w:tcBorders>
                  <w:vAlign w:val="center"/>
                </w:tcPr>
                <w:p w14:paraId="7C421C4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500ml/1瓶</w:t>
                  </w:r>
                </w:p>
              </w:tc>
              <w:tc>
                <w:tcPr>
                  <w:tcW w:w="1528" w:type="pct"/>
                  <w:tcBorders>
                    <w:tl2br w:val="nil"/>
                    <w:tr2bl w:val="nil"/>
                  </w:tcBorders>
                  <w:vAlign w:val="center"/>
                </w:tcPr>
                <w:p w14:paraId="5F7A919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7AAA9865">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55F4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152C912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207" w:type="pct"/>
                  <w:tcBorders>
                    <w:tl2br w:val="nil"/>
                    <w:tr2bl w:val="nil"/>
                  </w:tcBorders>
                  <w:vAlign w:val="center"/>
                </w:tcPr>
                <w:p w14:paraId="6A5077F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草酸</w:t>
                  </w:r>
                </w:p>
              </w:tc>
              <w:tc>
                <w:tcPr>
                  <w:tcW w:w="886" w:type="pct"/>
                  <w:tcBorders>
                    <w:tl2br w:val="nil"/>
                    <w:tr2bl w:val="nil"/>
                  </w:tcBorders>
                  <w:vAlign w:val="center"/>
                </w:tcPr>
                <w:p w14:paraId="72C9788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500g/1瓶</w:t>
                  </w:r>
                </w:p>
              </w:tc>
              <w:tc>
                <w:tcPr>
                  <w:tcW w:w="1528" w:type="pct"/>
                  <w:tcBorders>
                    <w:tl2br w:val="nil"/>
                    <w:tr2bl w:val="nil"/>
                  </w:tcBorders>
                  <w:vAlign w:val="center"/>
                </w:tcPr>
                <w:p w14:paraId="1D47800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HIC氢致开裂溶液配制</w:t>
                  </w:r>
                </w:p>
              </w:tc>
              <w:tc>
                <w:tcPr>
                  <w:tcW w:w="1135" w:type="pct"/>
                  <w:tcBorders>
                    <w:tl2br w:val="nil"/>
                    <w:tr2bl w:val="nil"/>
                  </w:tcBorders>
                  <w:vAlign w:val="center"/>
                </w:tcPr>
                <w:p w14:paraId="72BEE91C">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056E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12B0F7E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1207" w:type="pct"/>
                  <w:tcBorders>
                    <w:tl2br w:val="nil"/>
                    <w:tr2bl w:val="nil"/>
                  </w:tcBorders>
                  <w:vAlign w:val="center"/>
                </w:tcPr>
                <w:p w14:paraId="0DA299A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无水乙醇</w:t>
                  </w:r>
                </w:p>
              </w:tc>
              <w:tc>
                <w:tcPr>
                  <w:tcW w:w="886" w:type="pct"/>
                  <w:tcBorders>
                    <w:tl2br w:val="nil"/>
                    <w:tr2bl w:val="nil"/>
                  </w:tcBorders>
                  <w:vAlign w:val="center"/>
                </w:tcPr>
                <w:p w14:paraId="5E4BC2B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500ml/300瓶</w:t>
                  </w:r>
                </w:p>
              </w:tc>
              <w:tc>
                <w:tcPr>
                  <w:tcW w:w="1528" w:type="pct"/>
                  <w:tcBorders>
                    <w:tl2br w:val="nil"/>
                    <w:tr2bl w:val="nil"/>
                  </w:tcBorders>
                  <w:vAlign w:val="center"/>
                </w:tcPr>
                <w:p w14:paraId="4E624C2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试样清洗，腐蚀剂配制</w:t>
                  </w:r>
                </w:p>
              </w:tc>
              <w:tc>
                <w:tcPr>
                  <w:tcW w:w="1135" w:type="pct"/>
                  <w:tcBorders>
                    <w:tl2br w:val="nil"/>
                    <w:tr2bl w:val="nil"/>
                  </w:tcBorders>
                  <w:vAlign w:val="center"/>
                </w:tcPr>
                <w:p w14:paraId="54D77071">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00E5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4A8FF58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1207" w:type="pct"/>
                  <w:tcBorders>
                    <w:tl2br w:val="nil"/>
                    <w:tr2bl w:val="nil"/>
                  </w:tcBorders>
                  <w:vAlign w:val="center"/>
                </w:tcPr>
                <w:p w14:paraId="2904D85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四氯化碳</w:t>
                  </w:r>
                </w:p>
              </w:tc>
              <w:tc>
                <w:tcPr>
                  <w:tcW w:w="886" w:type="pct"/>
                  <w:tcBorders>
                    <w:tl2br w:val="nil"/>
                    <w:tr2bl w:val="nil"/>
                  </w:tcBorders>
                  <w:vAlign w:val="center"/>
                </w:tcPr>
                <w:p w14:paraId="4701812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500ml/2瓶</w:t>
                  </w:r>
                </w:p>
              </w:tc>
              <w:tc>
                <w:tcPr>
                  <w:tcW w:w="1528" w:type="pct"/>
                  <w:tcBorders>
                    <w:tl2br w:val="nil"/>
                    <w:tr2bl w:val="nil"/>
                  </w:tcBorders>
                  <w:vAlign w:val="center"/>
                </w:tcPr>
                <w:p w14:paraId="4F1B4B0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试样清洗</w:t>
                  </w:r>
                </w:p>
              </w:tc>
              <w:tc>
                <w:tcPr>
                  <w:tcW w:w="1135" w:type="pct"/>
                  <w:tcBorders>
                    <w:tl2br w:val="nil"/>
                    <w:tr2bl w:val="nil"/>
                  </w:tcBorders>
                  <w:vAlign w:val="center"/>
                </w:tcPr>
                <w:p w14:paraId="3D003F72">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0559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4806AC0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c>
                <w:tcPr>
                  <w:tcW w:w="1207" w:type="pct"/>
                  <w:tcBorders>
                    <w:tl2br w:val="nil"/>
                    <w:tr2bl w:val="nil"/>
                  </w:tcBorders>
                  <w:vAlign w:val="center"/>
                </w:tcPr>
                <w:p w14:paraId="6C6F34E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甲醇</w:t>
                  </w:r>
                </w:p>
              </w:tc>
              <w:tc>
                <w:tcPr>
                  <w:tcW w:w="886" w:type="pct"/>
                  <w:tcBorders>
                    <w:tl2br w:val="nil"/>
                    <w:tr2bl w:val="nil"/>
                  </w:tcBorders>
                  <w:vAlign w:val="center"/>
                </w:tcPr>
                <w:p w14:paraId="2613FAE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500ml/2瓶</w:t>
                  </w:r>
                </w:p>
              </w:tc>
              <w:tc>
                <w:tcPr>
                  <w:tcW w:w="1528" w:type="pct"/>
                  <w:tcBorders>
                    <w:tl2br w:val="nil"/>
                    <w:tr2bl w:val="nil"/>
                  </w:tcBorders>
                  <w:vAlign w:val="center"/>
                </w:tcPr>
                <w:p w14:paraId="031547B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腐蚀剂配制</w:t>
                  </w:r>
                </w:p>
              </w:tc>
              <w:tc>
                <w:tcPr>
                  <w:tcW w:w="1135" w:type="pct"/>
                  <w:tcBorders>
                    <w:tl2br w:val="nil"/>
                    <w:tr2bl w:val="nil"/>
                  </w:tcBorders>
                  <w:vAlign w:val="center"/>
                </w:tcPr>
                <w:p w14:paraId="4F9AF0BC">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20F0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5495D03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w:t>
                  </w:r>
                </w:p>
              </w:tc>
              <w:tc>
                <w:tcPr>
                  <w:tcW w:w="1207" w:type="pct"/>
                  <w:tcBorders>
                    <w:tl2br w:val="nil"/>
                    <w:tr2bl w:val="nil"/>
                  </w:tcBorders>
                  <w:vAlign w:val="center"/>
                </w:tcPr>
                <w:p w14:paraId="62534F4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氢氧化钠</w:t>
                  </w:r>
                </w:p>
              </w:tc>
              <w:tc>
                <w:tcPr>
                  <w:tcW w:w="886" w:type="pct"/>
                  <w:tcBorders>
                    <w:tl2br w:val="nil"/>
                    <w:tr2bl w:val="nil"/>
                  </w:tcBorders>
                  <w:vAlign w:val="center"/>
                </w:tcPr>
                <w:p w14:paraId="61A90EA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500g/30瓶</w:t>
                  </w:r>
                </w:p>
              </w:tc>
              <w:tc>
                <w:tcPr>
                  <w:tcW w:w="1528" w:type="pct"/>
                  <w:tcBorders>
                    <w:tl2br w:val="nil"/>
                    <w:tr2bl w:val="nil"/>
                  </w:tcBorders>
                  <w:vAlign w:val="center"/>
                </w:tcPr>
                <w:p w14:paraId="0E0331F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喷淋塔溶液溶质</w:t>
                  </w:r>
                </w:p>
              </w:tc>
              <w:tc>
                <w:tcPr>
                  <w:tcW w:w="1135" w:type="pct"/>
                  <w:tcBorders>
                    <w:tl2br w:val="nil"/>
                    <w:tr2bl w:val="nil"/>
                  </w:tcBorders>
                  <w:vAlign w:val="center"/>
                </w:tcPr>
                <w:p w14:paraId="5C79743B">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6041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09683ED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207" w:type="pct"/>
                  <w:tcBorders>
                    <w:tl2br w:val="nil"/>
                    <w:tr2bl w:val="nil"/>
                  </w:tcBorders>
                  <w:vAlign w:val="center"/>
                </w:tcPr>
                <w:p w14:paraId="155582A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十二烷基苯磺酸钠</w:t>
                  </w:r>
                </w:p>
              </w:tc>
              <w:tc>
                <w:tcPr>
                  <w:tcW w:w="886" w:type="pct"/>
                  <w:tcBorders>
                    <w:tl2br w:val="nil"/>
                    <w:tr2bl w:val="nil"/>
                  </w:tcBorders>
                  <w:vAlign w:val="center"/>
                </w:tcPr>
                <w:p w14:paraId="21354E4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500g/1瓶</w:t>
                  </w:r>
                </w:p>
              </w:tc>
              <w:tc>
                <w:tcPr>
                  <w:tcW w:w="1528" w:type="pct"/>
                  <w:tcBorders>
                    <w:tl2br w:val="nil"/>
                    <w:tr2bl w:val="nil"/>
                  </w:tcBorders>
                  <w:vAlign w:val="center"/>
                </w:tcPr>
                <w:p w14:paraId="12EBA6D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HIC氢致开裂溶液配制</w:t>
                  </w:r>
                </w:p>
              </w:tc>
              <w:tc>
                <w:tcPr>
                  <w:tcW w:w="1135" w:type="pct"/>
                  <w:tcBorders>
                    <w:tl2br w:val="nil"/>
                    <w:tr2bl w:val="nil"/>
                  </w:tcBorders>
                  <w:vAlign w:val="center"/>
                </w:tcPr>
                <w:p w14:paraId="7061806F">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0FC7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203DF4C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w:t>
                  </w:r>
                </w:p>
              </w:tc>
              <w:tc>
                <w:tcPr>
                  <w:tcW w:w="1207" w:type="pct"/>
                  <w:tcBorders>
                    <w:tl2br w:val="nil"/>
                    <w:tr2bl w:val="nil"/>
                  </w:tcBorders>
                  <w:vAlign w:val="center"/>
                </w:tcPr>
                <w:p w14:paraId="2E62DF7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苯亚磺酸钠</w:t>
                  </w:r>
                </w:p>
              </w:tc>
              <w:tc>
                <w:tcPr>
                  <w:tcW w:w="886" w:type="pct"/>
                  <w:tcBorders>
                    <w:tl2br w:val="nil"/>
                    <w:tr2bl w:val="nil"/>
                  </w:tcBorders>
                  <w:vAlign w:val="center"/>
                </w:tcPr>
                <w:p w14:paraId="5A4CD68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100g/1瓶</w:t>
                  </w:r>
                </w:p>
              </w:tc>
              <w:tc>
                <w:tcPr>
                  <w:tcW w:w="1528" w:type="pct"/>
                  <w:tcBorders>
                    <w:tl2br w:val="nil"/>
                    <w:tr2bl w:val="nil"/>
                  </w:tcBorders>
                  <w:vAlign w:val="center"/>
                </w:tcPr>
                <w:p w14:paraId="44197E6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HIC氢致开裂溶液配制</w:t>
                  </w:r>
                </w:p>
              </w:tc>
              <w:tc>
                <w:tcPr>
                  <w:tcW w:w="1135" w:type="pct"/>
                  <w:tcBorders>
                    <w:tl2br w:val="nil"/>
                    <w:tr2bl w:val="nil"/>
                  </w:tcBorders>
                  <w:vAlign w:val="center"/>
                </w:tcPr>
                <w:p w14:paraId="2FAF8563">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2020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458EDE6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w:t>
                  </w:r>
                </w:p>
              </w:tc>
              <w:tc>
                <w:tcPr>
                  <w:tcW w:w="1207" w:type="pct"/>
                  <w:tcBorders>
                    <w:tl2br w:val="nil"/>
                    <w:tr2bl w:val="nil"/>
                  </w:tcBorders>
                  <w:vAlign w:val="center"/>
                </w:tcPr>
                <w:p w14:paraId="535D660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三氯化铁</w:t>
                  </w:r>
                </w:p>
              </w:tc>
              <w:tc>
                <w:tcPr>
                  <w:tcW w:w="886" w:type="pct"/>
                  <w:tcBorders>
                    <w:tl2br w:val="nil"/>
                    <w:tr2bl w:val="nil"/>
                  </w:tcBorders>
                  <w:vAlign w:val="center"/>
                </w:tcPr>
                <w:p w14:paraId="634EFF3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500g/20瓶</w:t>
                  </w:r>
                </w:p>
              </w:tc>
              <w:tc>
                <w:tcPr>
                  <w:tcW w:w="1528" w:type="pct"/>
                  <w:tcBorders>
                    <w:tl2br w:val="nil"/>
                    <w:tr2bl w:val="nil"/>
                  </w:tcBorders>
                  <w:vAlign w:val="center"/>
                </w:tcPr>
                <w:p w14:paraId="58C7217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6F5140F9">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7E76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5E05EB6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w:t>
                  </w:r>
                </w:p>
              </w:tc>
              <w:tc>
                <w:tcPr>
                  <w:tcW w:w="1207" w:type="pct"/>
                  <w:tcBorders>
                    <w:tl2br w:val="nil"/>
                    <w:tr2bl w:val="nil"/>
                  </w:tcBorders>
                  <w:vAlign w:val="center"/>
                </w:tcPr>
                <w:p w14:paraId="7362CB1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氯化锌</w:t>
                  </w:r>
                </w:p>
              </w:tc>
              <w:tc>
                <w:tcPr>
                  <w:tcW w:w="886" w:type="pct"/>
                  <w:tcBorders>
                    <w:tl2br w:val="nil"/>
                    <w:tr2bl w:val="nil"/>
                  </w:tcBorders>
                  <w:vAlign w:val="center"/>
                </w:tcPr>
                <w:p w14:paraId="1E6C32E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100g/1瓶</w:t>
                  </w:r>
                </w:p>
              </w:tc>
              <w:tc>
                <w:tcPr>
                  <w:tcW w:w="1528" w:type="pct"/>
                  <w:tcBorders>
                    <w:tl2br w:val="nil"/>
                    <w:tr2bl w:val="nil"/>
                  </w:tcBorders>
                  <w:vAlign w:val="center"/>
                </w:tcPr>
                <w:p w14:paraId="51F151C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63F5C256">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7C56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5DE24EF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19</w:t>
                  </w:r>
                </w:p>
              </w:tc>
              <w:tc>
                <w:tcPr>
                  <w:tcW w:w="1207" w:type="pct"/>
                  <w:tcBorders>
                    <w:tl2br w:val="nil"/>
                    <w:tr2bl w:val="nil"/>
                  </w:tcBorders>
                  <w:vAlign w:val="center"/>
                </w:tcPr>
                <w:p w14:paraId="6AA97CD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硫酸铜</w:t>
                  </w:r>
                </w:p>
              </w:tc>
              <w:tc>
                <w:tcPr>
                  <w:tcW w:w="886" w:type="pct"/>
                  <w:tcBorders>
                    <w:tl2br w:val="nil"/>
                    <w:tr2bl w:val="nil"/>
                  </w:tcBorders>
                  <w:vAlign w:val="center"/>
                </w:tcPr>
                <w:p w14:paraId="1E6B4E4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500g/10瓶</w:t>
                  </w:r>
                </w:p>
              </w:tc>
              <w:tc>
                <w:tcPr>
                  <w:tcW w:w="1528" w:type="pct"/>
                  <w:tcBorders>
                    <w:tl2br w:val="nil"/>
                    <w:tr2bl w:val="nil"/>
                  </w:tcBorders>
                  <w:vAlign w:val="center"/>
                </w:tcPr>
                <w:p w14:paraId="51CCD82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1B19005D">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0FB2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5D05BCA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1207" w:type="pct"/>
                  <w:tcBorders>
                    <w:tl2br w:val="nil"/>
                    <w:tr2bl w:val="nil"/>
                  </w:tcBorders>
                  <w:vAlign w:val="center"/>
                </w:tcPr>
                <w:p w14:paraId="05DE3AD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过硫酸铵</w:t>
                  </w:r>
                </w:p>
              </w:tc>
              <w:tc>
                <w:tcPr>
                  <w:tcW w:w="886" w:type="pct"/>
                  <w:tcBorders>
                    <w:tl2br w:val="nil"/>
                    <w:tr2bl w:val="nil"/>
                  </w:tcBorders>
                  <w:vAlign w:val="center"/>
                </w:tcPr>
                <w:p w14:paraId="7DF8763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500g/10瓶</w:t>
                  </w:r>
                </w:p>
              </w:tc>
              <w:tc>
                <w:tcPr>
                  <w:tcW w:w="1528" w:type="pct"/>
                  <w:tcBorders>
                    <w:tl2br w:val="nil"/>
                    <w:tr2bl w:val="nil"/>
                  </w:tcBorders>
                  <w:vAlign w:val="center"/>
                </w:tcPr>
                <w:p w14:paraId="5BEC27BA">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7CD6D5DD">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2C0D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05897C5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w:t>
                  </w:r>
                </w:p>
              </w:tc>
              <w:tc>
                <w:tcPr>
                  <w:tcW w:w="1207" w:type="pct"/>
                  <w:tcBorders>
                    <w:tl2br w:val="nil"/>
                    <w:tr2bl w:val="nil"/>
                  </w:tcBorders>
                  <w:vAlign w:val="center"/>
                </w:tcPr>
                <w:p w14:paraId="39C7D02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铁氰化钾</w:t>
                  </w:r>
                </w:p>
              </w:tc>
              <w:tc>
                <w:tcPr>
                  <w:tcW w:w="886" w:type="pct"/>
                  <w:tcBorders>
                    <w:tl2br w:val="nil"/>
                    <w:tr2bl w:val="nil"/>
                  </w:tcBorders>
                  <w:vAlign w:val="center"/>
                </w:tcPr>
                <w:p w14:paraId="22AB95A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500g/1瓶</w:t>
                  </w:r>
                </w:p>
              </w:tc>
              <w:tc>
                <w:tcPr>
                  <w:tcW w:w="1528" w:type="pct"/>
                  <w:tcBorders>
                    <w:tl2br w:val="nil"/>
                    <w:tr2bl w:val="nil"/>
                  </w:tcBorders>
                  <w:vAlign w:val="center"/>
                </w:tcPr>
                <w:p w14:paraId="121344F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2CAE6836">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2CB1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193CBD2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w:t>
                  </w:r>
                </w:p>
              </w:tc>
              <w:tc>
                <w:tcPr>
                  <w:tcW w:w="1207" w:type="pct"/>
                  <w:tcBorders>
                    <w:tl2br w:val="nil"/>
                    <w:tr2bl w:val="nil"/>
                  </w:tcBorders>
                  <w:vAlign w:val="center"/>
                </w:tcPr>
                <w:p w14:paraId="61DE89F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碳酸氢钠</w:t>
                  </w:r>
                </w:p>
              </w:tc>
              <w:tc>
                <w:tcPr>
                  <w:tcW w:w="886" w:type="pct"/>
                  <w:tcBorders>
                    <w:tl2br w:val="nil"/>
                    <w:tr2bl w:val="nil"/>
                  </w:tcBorders>
                  <w:vAlign w:val="center"/>
                </w:tcPr>
                <w:p w14:paraId="41ED6CA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500g/2瓶</w:t>
                  </w:r>
                </w:p>
              </w:tc>
              <w:tc>
                <w:tcPr>
                  <w:tcW w:w="1528" w:type="pct"/>
                  <w:tcBorders>
                    <w:tl2br w:val="nil"/>
                    <w:tr2bl w:val="nil"/>
                  </w:tcBorders>
                  <w:vAlign w:val="center"/>
                </w:tcPr>
                <w:p w14:paraId="7FC3BD6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33607A1F">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3F35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3AAA08A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23</w:t>
                  </w:r>
                </w:p>
              </w:tc>
              <w:tc>
                <w:tcPr>
                  <w:tcW w:w="1207" w:type="pct"/>
                  <w:tcBorders>
                    <w:tl2br w:val="nil"/>
                    <w:tr2bl w:val="nil"/>
                  </w:tcBorders>
                  <w:vAlign w:val="center"/>
                </w:tcPr>
                <w:p w14:paraId="2254D07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冰醋酸</w:t>
                  </w:r>
                </w:p>
              </w:tc>
              <w:tc>
                <w:tcPr>
                  <w:tcW w:w="886" w:type="pct"/>
                  <w:tcBorders>
                    <w:tl2br w:val="nil"/>
                    <w:tr2bl w:val="nil"/>
                  </w:tcBorders>
                  <w:vAlign w:val="center"/>
                </w:tcPr>
                <w:p w14:paraId="1097D66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500ml/2瓶</w:t>
                  </w:r>
                </w:p>
              </w:tc>
              <w:tc>
                <w:tcPr>
                  <w:tcW w:w="1528" w:type="pct"/>
                  <w:tcBorders>
                    <w:tl2br w:val="nil"/>
                    <w:tr2bl w:val="nil"/>
                  </w:tcBorders>
                  <w:vAlign w:val="center"/>
                </w:tcPr>
                <w:p w14:paraId="27B8D60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HIC氢致开裂溶液配制</w:t>
                  </w:r>
                </w:p>
              </w:tc>
              <w:tc>
                <w:tcPr>
                  <w:tcW w:w="1135" w:type="pct"/>
                  <w:tcBorders>
                    <w:tl2br w:val="nil"/>
                    <w:tr2bl w:val="nil"/>
                  </w:tcBorders>
                  <w:vAlign w:val="center"/>
                </w:tcPr>
                <w:p w14:paraId="2C472B3B">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4354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6FC447E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w:t>
                  </w:r>
                </w:p>
              </w:tc>
              <w:tc>
                <w:tcPr>
                  <w:tcW w:w="1207" w:type="pct"/>
                  <w:tcBorders>
                    <w:tl2br w:val="nil"/>
                    <w:tr2bl w:val="nil"/>
                  </w:tcBorders>
                  <w:vAlign w:val="center"/>
                </w:tcPr>
                <w:p w14:paraId="6A6CF1A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甘油</w:t>
                  </w:r>
                </w:p>
              </w:tc>
              <w:tc>
                <w:tcPr>
                  <w:tcW w:w="886" w:type="pct"/>
                  <w:tcBorders>
                    <w:tl2br w:val="nil"/>
                    <w:tr2bl w:val="nil"/>
                  </w:tcBorders>
                  <w:vAlign w:val="center"/>
                </w:tcPr>
                <w:p w14:paraId="2715D50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500ml/5瓶</w:t>
                  </w:r>
                </w:p>
              </w:tc>
              <w:tc>
                <w:tcPr>
                  <w:tcW w:w="1528" w:type="pct"/>
                  <w:tcBorders>
                    <w:tl2br w:val="nil"/>
                    <w:tr2bl w:val="nil"/>
                  </w:tcBorders>
                  <w:vAlign w:val="center"/>
                </w:tcPr>
                <w:p w14:paraId="7A64F77F">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试样清洗</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脱脂清洗</w:t>
                  </w:r>
                </w:p>
              </w:tc>
              <w:tc>
                <w:tcPr>
                  <w:tcW w:w="1135" w:type="pct"/>
                  <w:tcBorders>
                    <w:tl2br w:val="nil"/>
                    <w:tr2bl w:val="nil"/>
                  </w:tcBorders>
                  <w:vAlign w:val="center"/>
                </w:tcPr>
                <w:p w14:paraId="65FBFB3C">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08CB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0609316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w:t>
                  </w:r>
                </w:p>
              </w:tc>
              <w:tc>
                <w:tcPr>
                  <w:tcW w:w="1207" w:type="pct"/>
                  <w:tcBorders>
                    <w:tl2br w:val="nil"/>
                    <w:tr2bl w:val="nil"/>
                  </w:tcBorders>
                  <w:vAlign w:val="center"/>
                </w:tcPr>
                <w:p w14:paraId="187731E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氨水</w:t>
                  </w:r>
                </w:p>
              </w:tc>
              <w:tc>
                <w:tcPr>
                  <w:tcW w:w="886" w:type="pct"/>
                  <w:tcBorders>
                    <w:tl2br w:val="nil"/>
                    <w:tr2bl w:val="nil"/>
                  </w:tcBorders>
                  <w:vAlign w:val="center"/>
                </w:tcPr>
                <w:p w14:paraId="0EA9C20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500ml/1瓶</w:t>
                  </w:r>
                </w:p>
              </w:tc>
              <w:tc>
                <w:tcPr>
                  <w:tcW w:w="1528" w:type="pct"/>
                  <w:tcBorders>
                    <w:tl2br w:val="nil"/>
                    <w:tr2bl w:val="nil"/>
                  </w:tcBorders>
                  <w:vAlign w:val="center"/>
                </w:tcPr>
                <w:p w14:paraId="203E664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w:t>
                  </w:r>
                  <w:r>
                    <w:rPr>
                      <w:rFonts w:hint="default" w:ascii="Times New Roman" w:hAnsi="Times New Roman" w:cs="Times New Roman"/>
                      <w:color w:val="000000" w:themeColor="text1"/>
                      <w:sz w:val="21"/>
                      <w:szCs w:val="21"/>
                      <w:lang w:val="en-US" w:eastAsia="zh-CN"/>
                      <w14:textFill>
                        <w14:solidFill>
                          <w14:schemeClr w14:val="tx1"/>
                        </w14:solidFill>
                      </w14:textFill>
                    </w:rPr>
                    <w:t>晶度</w:t>
                  </w:r>
                  <w:r>
                    <w:rPr>
                      <w:rFonts w:hint="default" w:ascii="Times New Roman" w:hAnsi="Times New Roman" w:cs="Times New Roman"/>
                      <w:color w:val="000000" w:themeColor="text1"/>
                      <w:sz w:val="21"/>
                      <w:szCs w:val="21"/>
                      <w14:textFill>
                        <w14:solidFill>
                          <w14:schemeClr w14:val="tx1"/>
                        </w14:solidFill>
                      </w14:textFill>
                    </w:rPr>
                    <w:t>组织腐蚀剂配制</w:t>
                  </w:r>
                </w:p>
              </w:tc>
              <w:tc>
                <w:tcPr>
                  <w:tcW w:w="1135" w:type="pct"/>
                  <w:tcBorders>
                    <w:tl2br w:val="nil"/>
                    <w:tr2bl w:val="nil"/>
                  </w:tcBorders>
                  <w:vAlign w:val="center"/>
                </w:tcPr>
                <w:p w14:paraId="3673A425">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529F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7BB6248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26</w:t>
                  </w:r>
                </w:p>
              </w:tc>
              <w:tc>
                <w:tcPr>
                  <w:tcW w:w="1207" w:type="pct"/>
                  <w:tcBorders>
                    <w:tl2br w:val="nil"/>
                    <w:tr2bl w:val="nil"/>
                  </w:tcBorders>
                  <w:vAlign w:val="center"/>
                </w:tcPr>
                <w:p w14:paraId="6D9BD90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氯化铜</w:t>
                  </w:r>
                </w:p>
              </w:tc>
              <w:tc>
                <w:tcPr>
                  <w:tcW w:w="886" w:type="pct"/>
                  <w:tcBorders>
                    <w:tl2br w:val="nil"/>
                    <w:tr2bl w:val="nil"/>
                  </w:tcBorders>
                  <w:vAlign w:val="center"/>
                </w:tcPr>
                <w:p w14:paraId="7C5BF1F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500g/2瓶</w:t>
                  </w:r>
                </w:p>
              </w:tc>
              <w:tc>
                <w:tcPr>
                  <w:tcW w:w="1528" w:type="pct"/>
                  <w:tcBorders>
                    <w:tl2br w:val="nil"/>
                    <w:tr2bl w:val="nil"/>
                  </w:tcBorders>
                  <w:vAlign w:val="center"/>
                </w:tcPr>
                <w:p w14:paraId="5D85A57E">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金相组织腐蚀剂配制</w:t>
                  </w:r>
                </w:p>
              </w:tc>
              <w:tc>
                <w:tcPr>
                  <w:tcW w:w="1135" w:type="pct"/>
                  <w:tcBorders>
                    <w:tl2br w:val="nil"/>
                    <w:tr2bl w:val="nil"/>
                  </w:tcBorders>
                  <w:vAlign w:val="center"/>
                </w:tcPr>
                <w:p w14:paraId="4E9749E3">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常规化学试剂品室</w:t>
                  </w:r>
                </w:p>
              </w:tc>
            </w:tr>
            <w:tr w14:paraId="6EC7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4CBB268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27</w:t>
                  </w:r>
                </w:p>
              </w:tc>
              <w:tc>
                <w:tcPr>
                  <w:tcW w:w="1207" w:type="pct"/>
                  <w:tcBorders>
                    <w:tl2br w:val="nil"/>
                    <w:tr2bl w:val="nil"/>
                  </w:tcBorders>
                  <w:vAlign w:val="center"/>
                </w:tcPr>
                <w:p w14:paraId="509C4A40">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硫化氢气体</w:t>
                  </w:r>
                </w:p>
              </w:tc>
              <w:tc>
                <w:tcPr>
                  <w:tcW w:w="886" w:type="pct"/>
                  <w:tcBorders>
                    <w:tl2br w:val="nil"/>
                    <w:tr2bl w:val="nil"/>
                  </w:tcBorders>
                  <w:vAlign w:val="center"/>
                </w:tcPr>
                <w:p w14:paraId="38CE42B5">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10L瓶</w:t>
                  </w:r>
                  <w:r>
                    <w:rPr>
                      <w:rFonts w:hint="eastAsia" w:cs="Times New Roman"/>
                      <w:color w:val="000000" w:themeColor="text1"/>
                      <w:sz w:val="21"/>
                      <w:szCs w:val="21"/>
                      <w:lang w:val="en-US" w:eastAsia="zh-CN"/>
                      <w14:textFill>
                        <w14:solidFill>
                          <w14:schemeClr w14:val="tx1"/>
                        </w14:solidFill>
                      </w14:textFill>
                    </w:rPr>
                    <w:t>/35瓶</w:t>
                  </w:r>
                </w:p>
              </w:tc>
              <w:tc>
                <w:tcPr>
                  <w:tcW w:w="1528" w:type="pct"/>
                  <w:tcBorders>
                    <w:tl2br w:val="nil"/>
                    <w:tr2bl w:val="nil"/>
                  </w:tcBorders>
                  <w:vAlign w:val="center"/>
                </w:tcPr>
                <w:p w14:paraId="24B167FD">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硫化氢</w:t>
                  </w:r>
                  <w:r>
                    <w:rPr>
                      <w:rFonts w:hint="eastAsia" w:cs="Times New Roman"/>
                      <w:color w:val="000000" w:themeColor="text1"/>
                      <w:sz w:val="21"/>
                      <w:szCs w:val="21"/>
                      <w:lang w:val="en-US" w:eastAsia="zh-CN"/>
                      <w14:textFill>
                        <w14:solidFill>
                          <w14:schemeClr w14:val="tx1"/>
                        </w14:solidFill>
                      </w14:textFill>
                    </w:rPr>
                    <w:t>饱和</w:t>
                  </w:r>
                </w:p>
              </w:tc>
              <w:tc>
                <w:tcPr>
                  <w:tcW w:w="1135" w:type="pct"/>
                  <w:tcBorders>
                    <w:tl2br w:val="nil"/>
                    <w:tr2bl w:val="nil"/>
                  </w:tcBorders>
                  <w:vAlign w:val="center"/>
                </w:tcPr>
                <w:p w14:paraId="28B9CE3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气瓶室</w:t>
                  </w:r>
                </w:p>
              </w:tc>
            </w:tr>
            <w:tr w14:paraId="1EC6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2" w:type="pct"/>
                  <w:tcBorders>
                    <w:tl2br w:val="nil"/>
                    <w:tr2bl w:val="nil"/>
                  </w:tcBorders>
                  <w:vAlign w:val="center"/>
                </w:tcPr>
                <w:p w14:paraId="4D6F2782">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w:t>
                  </w:r>
                </w:p>
              </w:tc>
              <w:tc>
                <w:tcPr>
                  <w:tcW w:w="1207" w:type="pct"/>
                  <w:tcBorders>
                    <w:tl2br w:val="nil"/>
                    <w:tr2bl w:val="nil"/>
                  </w:tcBorders>
                  <w:vAlign w:val="center"/>
                </w:tcPr>
                <w:p w14:paraId="58767F56">
                  <w:pPr>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氮气气体</w:t>
                  </w:r>
                </w:p>
              </w:tc>
              <w:tc>
                <w:tcPr>
                  <w:tcW w:w="886" w:type="pct"/>
                  <w:tcBorders>
                    <w:tl2br w:val="nil"/>
                    <w:tr2bl w:val="nil"/>
                  </w:tcBorders>
                  <w:vAlign w:val="center"/>
                </w:tcPr>
                <w:p w14:paraId="5B00D002">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8L瓶/60瓶</w:t>
                  </w:r>
                </w:p>
              </w:tc>
              <w:tc>
                <w:tcPr>
                  <w:tcW w:w="1528" w:type="pct"/>
                  <w:tcBorders>
                    <w:tl2br w:val="nil"/>
                    <w:tr2bl w:val="nil"/>
                  </w:tcBorders>
                  <w:vAlign w:val="center"/>
                </w:tcPr>
                <w:p w14:paraId="689F08F4">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氮气除氧</w:t>
                  </w:r>
                </w:p>
              </w:tc>
              <w:tc>
                <w:tcPr>
                  <w:tcW w:w="1135" w:type="pct"/>
                  <w:tcBorders>
                    <w:tl2br w:val="nil"/>
                    <w:tr2bl w:val="nil"/>
                  </w:tcBorders>
                  <w:vAlign w:val="center"/>
                </w:tcPr>
                <w:p w14:paraId="123478BC">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气瓶室</w:t>
                  </w:r>
                </w:p>
              </w:tc>
            </w:tr>
            <w:bookmarkEnd w:id="6"/>
            <w:bookmarkEnd w:id="7"/>
          </w:tbl>
          <w:p w14:paraId="4437D44F">
            <w:pPr>
              <w:ind w:firstLine="48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注：</w:t>
            </w:r>
            <w:r>
              <w:rPr>
                <w:rFonts w:hint="default" w:ascii="Times New Roman" w:hAnsi="Times New Roman" w:cs="Times New Roman"/>
                <w:color w:val="000000" w:themeColor="text1"/>
                <w:sz w:val="21"/>
                <w:szCs w:val="21"/>
                <w14:textFill>
                  <w14:solidFill>
                    <w14:schemeClr w14:val="tx1"/>
                  </w14:solidFill>
                </w14:textFill>
              </w:rPr>
              <w:t>实验室运行过程涉及化学试剂均使用烧杯、量筒等器皿混合配制，硫化氢气体主要用于硫化氢腐蚀试验，涉及设备</w:t>
            </w:r>
            <w:r>
              <w:rPr>
                <w:rFonts w:hint="default" w:ascii="Times New Roman" w:hAnsi="Times New Roman" w:cs="Times New Roman"/>
                <w:color w:val="000000" w:themeColor="text1"/>
                <w:sz w:val="21"/>
                <w:szCs w:val="21"/>
                <w:lang w:val="en-US" w:eastAsia="zh-CN"/>
                <w14:textFill>
                  <w14:solidFill>
                    <w14:schemeClr w14:val="tx1"/>
                  </w14:solidFill>
                </w14:textFill>
              </w:rPr>
              <w:t>环评设计</w:t>
            </w:r>
            <w:r>
              <w:rPr>
                <w:rFonts w:hint="default" w:ascii="Times New Roman" w:hAnsi="Times New Roman" w:cs="Times New Roman"/>
                <w:color w:val="000000" w:themeColor="text1"/>
                <w:sz w:val="21"/>
                <w:szCs w:val="21"/>
                <w14:textFill>
                  <w14:solidFill>
                    <w14:schemeClr w14:val="tx1"/>
                  </w14:solidFill>
                </w14:textFill>
              </w:rPr>
              <w:t>配置应力环、容器腔20套、高温高压釜两台，同时配备抽风喷淋塔一台。</w:t>
            </w:r>
          </w:p>
          <w:p w14:paraId="137A0B8C">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本项目主要原辅材料理化性质详见下表2-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14:paraId="7816564F">
            <w:pPr>
              <w:pStyle w:val="20"/>
              <w:spacing w:after="0" w:line="240" w:lineRule="auto"/>
              <w:ind w:left="0" w:leftChars="0" w:firstLine="482"/>
              <w:jc w:val="center"/>
              <w:rPr>
                <w:rFonts w:hint="default" w:ascii="Times New Roman" w:hAnsi="Times New Roman" w:cs="Times New Roman"/>
                <w:b/>
                <w:bCs/>
                <w:color w:val="000000" w:themeColor="text1"/>
                <w14:textFill>
                  <w14:solidFill>
                    <w14:schemeClr w14:val="tx1"/>
                  </w14:solidFill>
                </w14:textFill>
              </w:rPr>
            </w:pPr>
            <w:bookmarkStart w:id="9" w:name="_Hlk147395094"/>
            <w:r>
              <w:rPr>
                <w:rFonts w:hint="default" w:ascii="Times New Roman" w:hAnsi="Times New Roman" w:cs="Times New Roman"/>
                <w:b/>
                <w:bCs/>
                <w:color w:val="000000" w:themeColor="text1"/>
                <w:sz w:val="21"/>
                <w:szCs w:val="21"/>
                <w14:textFill>
                  <w14:solidFill>
                    <w14:schemeClr w14:val="tx1"/>
                  </w14:solidFill>
                </w14:textFill>
              </w:rPr>
              <w:t>表2-</w:t>
            </w:r>
            <w:r>
              <w:rPr>
                <w:rFonts w:hint="default" w:ascii="Times New Roman" w:hAnsi="Times New Roman" w:cs="Times New Roman"/>
                <w:b/>
                <w:bCs/>
                <w:color w:val="000000" w:themeColor="text1"/>
                <w:sz w:val="21"/>
                <w:szCs w:val="21"/>
                <w:lang w:val="en-US" w:eastAsia="zh-CN"/>
                <w14:textFill>
                  <w14:solidFill>
                    <w14:schemeClr w14:val="tx1"/>
                  </w14:solidFill>
                </w14:textFill>
              </w:rPr>
              <w:t>5</w:t>
            </w:r>
            <w:r>
              <w:rPr>
                <w:rFonts w:hint="default" w:ascii="Times New Roman" w:hAnsi="Times New Roman" w:cs="Times New Roman"/>
                <w:b/>
                <w:bCs/>
                <w:color w:val="000000" w:themeColor="text1"/>
                <w:sz w:val="21"/>
                <w:szCs w:val="21"/>
                <w14:textFill>
                  <w14:solidFill>
                    <w14:schemeClr w14:val="tx1"/>
                  </w14:solidFill>
                </w14:textFill>
              </w:rPr>
              <w:t>原辅材料试剂理化性质一览表</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742"/>
              <w:gridCol w:w="1333"/>
              <w:gridCol w:w="2458"/>
              <w:gridCol w:w="1107"/>
              <w:gridCol w:w="2403"/>
            </w:tblGrid>
            <w:tr w14:paraId="4965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4A8D52A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序号</w:t>
                  </w:r>
                </w:p>
              </w:tc>
              <w:tc>
                <w:tcPr>
                  <w:tcW w:w="436" w:type="pct"/>
                  <w:tcBorders>
                    <w:tl2br w:val="nil"/>
                    <w:tr2bl w:val="nil"/>
                  </w:tcBorders>
                  <w:vAlign w:val="center"/>
                </w:tcPr>
                <w:p w14:paraId="306E824C">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名称</w:t>
                  </w:r>
                </w:p>
              </w:tc>
              <w:tc>
                <w:tcPr>
                  <w:tcW w:w="784" w:type="pct"/>
                  <w:tcBorders>
                    <w:tl2br w:val="nil"/>
                    <w:tr2bl w:val="nil"/>
                  </w:tcBorders>
                  <w:vAlign w:val="center"/>
                </w:tcPr>
                <w:p w14:paraId="5C0B60BC">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分子式</w:t>
                  </w:r>
                </w:p>
              </w:tc>
              <w:tc>
                <w:tcPr>
                  <w:tcW w:w="1445" w:type="pct"/>
                  <w:tcBorders>
                    <w:tl2br w:val="nil"/>
                    <w:tr2bl w:val="nil"/>
                  </w:tcBorders>
                  <w:vAlign w:val="center"/>
                </w:tcPr>
                <w:p w14:paraId="7ECA553A">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理化特性</w:t>
                  </w:r>
                </w:p>
              </w:tc>
              <w:tc>
                <w:tcPr>
                  <w:tcW w:w="651" w:type="pct"/>
                  <w:tcBorders>
                    <w:tl2br w:val="nil"/>
                    <w:tr2bl w:val="nil"/>
                  </w:tcBorders>
                  <w:vAlign w:val="center"/>
                </w:tcPr>
                <w:p w14:paraId="614AFFEB">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燃爆性</w:t>
                  </w:r>
                </w:p>
              </w:tc>
              <w:tc>
                <w:tcPr>
                  <w:tcW w:w="1413" w:type="pct"/>
                  <w:tcBorders>
                    <w:tl2br w:val="nil"/>
                    <w:tr2bl w:val="nil"/>
                  </w:tcBorders>
                  <w:vAlign w:val="center"/>
                </w:tcPr>
                <w:p w14:paraId="2F9EDAE3">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急性毒性</w:t>
                  </w:r>
                </w:p>
              </w:tc>
            </w:tr>
            <w:tr w14:paraId="7FC8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75C4DF50">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w:t>
                  </w:r>
                </w:p>
              </w:tc>
              <w:tc>
                <w:tcPr>
                  <w:tcW w:w="436" w:type="pct"/>
                  <w:tcBorders>
                    <w:tl2br w:val="nil"/>
                    <w:tr2bl w:val="nil"/>
                  </w:tcBorders>
                  <w:vAlign w:val="center"/>
                </w:tcPr>
                <w:p w14:paraId="3D4783B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甲醇</w:t>
                  </w:r>
                </w:p>
              </w:tc>
              <w:tc>
                <w:tcPr>
                  <w:tcW w:w="784" w:type="pct"/>
                  <w:tcBorders>
                    <w:tl2br w:val="nil"/>
                    <w:tr2bl w:val="nil"/>
                  </w:tcBorders>
                  <w:vAlign w:val="center"/>
                </w:tcPr>
                <w:p w14:paraId="4B59789B">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CH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OH</w:t>
                  </w:r>
                </w:p>
              </w:tc>
              <w:tc>
                <w:tcPr>
                  <w:tcW w:w="1445" w:type="pct"/>
                  <w:tcBorders>
                    <w:tl2br w:val="nil"/>
                    <w:tr2bl w:val="nil"/>
                  </w:tcBorders>
                  <w:vAlign w:val="center"/>
                </w:tcPr>
                <w:p w14:paraId="77F849E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是无色有酒精气味易挥发的液体。蒸气与空气可形成爆炸性混合物。遇明火、高热能引起燃烧爆炸。沸点64.7℃，熔点-97℃，闪点11℃，爆炸上限44%，下限5.5%。</w:t>
                  </w:r>
                </w:p>
              </w:tc>
              <w:tc>
                <w:tcPr>
                  <w:tcW w:w="651" w:type="pct"/>
                  <w:tcBorders>
                    <w:tl2br w:val="nil"/>
                    <w:tr2bl w:val="nil"/>
                  </w:tcBorders>
                  <w:vAlign w:val="center"/>
                </w:tcPr>
                <w:p w14:paraId="5ECED8C4">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易燃</w:t>
                  </w:r>
                </w:p>
              </w:tc>
              <w:tc>
                <w:tcPr>
                  <w:tcW w:w="1413" w:type="pct"/>
                  <w:tcBorders>
                    <w:tl2br w:val="nil"/>
                    <w:tr2bl w:val="nil"/>
                  </w:tcBorders>
                  <w:vAlign w:val="center"/>
                </w:tcPr>
                <w:p w14:paraId="139FB386">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5628mg/kg</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大鼠经口</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；15800mg/kg</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兔经</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LC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83776mg/m</w:t>
                  </w:r>
                  <w:r>
                    <w:rPr>
                      <w:rFonts w:hint="default" w:ascii="Times New Roman" w:hAnsi="Times New Roman" w:cs="Times New Roman" w:eastAsiaTheme="minorEastAsia"/>
                      <w:color w:val="000000" w:themeColor="text1"/>
                      <w:sz w:val="21"/>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4小时</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大鼠吸入</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p>
              </w:tc>
            </w:tr>
            <w:tr w14:paraId="07A8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1D729378">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2</w:t>
                  </w:r>
                </w:p>
              </w:tc>
              <w:tc>
                <w:tcPr>
                  <w:tcW w:w="436" w:type="pct"/>
                  <w:tcBorders>
                    <w:tl2br w:val="nil"/>
                    <w:tr2bl w:val="nil"/>
                  </w:tcBorders>
                  <w:vAlign w:val="center"/>
                </w:tcPr>
                <w:p w14:paraId="50C8747A">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乙醇</w:t>
                  </w:r>
                </w:p>
              </w:tc>
              <w:tc>
                <w:tcPr>
                  <w:tcW w:w="784" w:type="pct"/>
                  <w:tcBorders>
                    <w:tl2br w:val="nil"/>
                    <w:tr2bl w:val="nil"/>
                  </w:tcBorders>
                  <w:vAlign w:val="center"/>
                </w:tcPr>
                <w:p w14:paraId="13F523E5">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2"/>
                      <w14:textFill>
                        <w14:solidFill>
                          <w14:schemeClr w14:val="tx1"/>
                        </w14:solidFill>
                      </w14:textFill>
                    </w:rPr>
                    <w:t>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6</w:t>
                  </w:r>
                  <w:r>
                    <w:rPr>
                      <w:rFonts w:hint="default" w:ascii="Times New Roman" w:hAnsi="Times New Roman" w:cs="Times New Roman" w:eastAsiaTheme="minorEastAsia"/>
                      <w:color w:val="000000" w:themeColor="text1"/>
                      <w:sz w:val="21"/>
                      <w:szCs w:val="22"/>
                      <w14:textFill>
                        <w14:solidFill>
                          <w14:schemeClr w14:val="tx1"/>
                        </w14:solidFill>
                      </w14:textFill>
                    </w:rPr>
                    <w:t>O</w:t>
                  </w:r>
                </w:p>
              </w:tc>
              <w:tc>
                <w:tcPr>
                  <w:tcW w:w="1445" w:type="pct"/>
                  <w:tcBorders>
                    <w:tl2br w:val="nil"/>
                    <w:tr2bl w:val="nil"/>
                  </w:tcBorders>
                  <w:vAlign w:val="center"/>
                </w:tcPr>
                <w:p w14:paraId="6CFF18E5">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分子量为46.07，无色透明、易燃易挥发液体。有酒的气味和刺激性辛辣味。熔点-114℃，沸点78℃，密度0.789g/mL</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，闪点12℃。</w:t>
                  </w:r>
                </w:p>
              </w:tc>
              <w:tc>
                <w:tcPr>
                  <w:tcW w:w="651" w:type="pct"/>
                  <w:tcBorders>
                    <w:tl2br w:val="nil"/>
                    <w:tr2bl w:val="nil"/>
                  </w:tcBorders>
                  <w:vAlign w:val="center"/>
                </w:tcPr>
                <w:p w14:paraId="3DC7C337">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易燃</w:t>
                  </w:r>
                </w:p>
              </w:tc>
              <w:tc>
                <w:tcPr>
                  <w:tcW w:w="1413" w:type="pct"/>
                  <w:tcBorders>
                    <w:tl2br w:val="nil"/>
                    <w:tr2bl w:val="nil"/>
                  </w:tcBorders>
                  <w:vAlign w:val="center"/>
                </w:tcPr>
                <w:p w14:paraId="79D5F884">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10470mg/kg</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大鼠经口</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；LC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：30000mg/m</w:t>
                  </w:r>
                  <w:r>
                    <w:rPr>
                      <w:rFonts w:hint="default" w:ascii="Times New Roman" w:hAnsi="Times New Roman" w:cs="Times New Roman" w:eastAsiaTheme="minorEastAsia"/>
                      <w:color w:val="000000" w:themeColor="text1"/>
                      <w:sz w:val="21"/>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，4小时</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大鼠吸入</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：15800mg/kg</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家兔经皮</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p>
              </w:tc>
            </w:tr>
            <w:tr w14:paraId="678C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19962F47">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3</w:t>
                  </w:r>
                </w:p>
              </w:tc>
              <w:tc>
                <w:tcPr>
                  <w:tcW w:w="436" w:type="pct"/>
                  <w:tcBorders>
                    <w:tl2br w:val="nil"/>
                    <w:tr2bl w:val="nil"/>
                  </w:tcBorders>
                  <w:vAlign w:val="center"/>
                </w:tcPr>
                <w:p w14:paraId="6EDA731E">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硝酸</w:t>
                  </w:r>
                </w:p>
              </w:tc>
              <w:tc>
                <w:tcPr>
                  <w:tcW w:w="784" w:type="pct"/>
                  <w:tcBorders>
                    <w:tl2br w:val="nil"/>
                    <w:tr2bl w:val="nil"/>
                  </w:tcBorders>
                  <w:vAlign w:val="center"/>
                </w:tcPr>
                <w:p w14:paraId="1353DDB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HNO</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3</w:t>
                  </w:r>
                </w:p>
              </w:tc>
              <w:tc>
                <w:tcPr>
                  <w:tcW w:w="1445" w:type="pct"/>
                  <w:tcBorders>
                    <w:tl2br w:val="nil"/>
                    <w:tr2bl w:val="nil"/>
                  </w:tcBorders>
                  <w:vAlign w:val="center"/>
                </w:tcPr>
                <w:p w14:paraId="6B59C709">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分子量63.01，纯品为无色透明发烟液体，有酸味，熔点</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°C</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-42</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无水</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，沸点</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°C</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-86</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无水</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，相对密度</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水=1</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1.50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无水</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eastAsia" w:cs="Times New Roman" w:eastAsiaTheme="minorEastAsia"/>
                      <w:color w:val="000000" w:themeColor="text1"/>
                      <w:sz w:val="21"/>
                      <w:szCs w:val="22"/>
                      <w:lang w:eastAsia="zh-CN"/>
                      <w14:textFill>
                        <w14:solidFill>
                          <w14:schemeClr w14:val="tx1"/>
                        </w14:solidFill>
                      </w14:textFill>
                    </w:rPr>
                    <w:t>饱和蒸汽压</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kPa</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：4.4</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w:t>
                  </w:r>
                </w:p>
              </w:tc>
              <w:tc>
                <w:tcPr>
                  <w:tcW w:w="651" w:type="pct"/>
                  <w:tcBorders>
                    <w:tl2br w:val="nil"/>
                    <w:tr2bl w:val="nil"/>
                  </w:tcBorders>
                  <w:vAlign w:val="center"/>
                </w:tcPr>
                <w:p w14:paraId="3C96B3F7">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助燃</w:t>
                  </w:r>
                </w:p>
              </w:tc>
              <w:tc>
                <w:tcPr>
                  <w:tcW w:w="1413" w:type="pct"/>
                  <w:tcBorders>
                    <w:tl2br w:val="nil"/>
                    <w:tr2bl w:val="nil"/>
                  </w:tcBorders>
                  <w:vAlign w:val="center"/>
                </w:tcPr>
                <w:p w14:paraId="454C39A5">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：无资料LC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：无资料</w:t>
                  </w:r>
                </w:p>
              </w:tc>
            </w:tr>
            <w:tr w14:paraId="000F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54161725">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4</w:t>
                  </w:r>
                </w:p>
              </w:tc>
              <w:tc>
                <w:tcPr>
                  <w:tcW w:w="436" w:type="pct"/>
                  <w:tcBorders>
                    <w:tl2br w:val="nil"/>
                    <w:tr2bl w:val="nil"/>
                  </w:tcBorders>
                  <w:vAlign w:val="center"/>
                </w:tcPr>
                <w:p w14:paraId="3D345436">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硫酸</w:t>
                  </w:r>
                </w:p>
              </w:tc>
              <w:tc>
                <w:tcPr>
                  <w:tcW w:w="784" w:type="pct"/>
                  <w:tcBorders>
                    <w:tl2br w:val="nil"/>
                    <w:tr2bl w:val="nil"/>
                  </w:tcBorders>
                  <w:vAlign w:val="center"/>
                </w:tcPr>
                <w:p w14:paraId="719EB09A">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2"/>
                      <w14:textFill>
                        <w14:solidFill>
                          <w14:schemeClr w14:val="tx1"/>
                        </w14:solidFill>
                      </w14:textFill>
                    </w:rPr>
                    <w:t>SO</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4</w:t>
                  </w:r>
                </w:p>
              </w:tc>
              <w:tc>
                <w:tcPr>
                  <w:tcW w:w="1445" w:type="pct"/>
                  <w:tcBorders>
                    <w:tl2br w:val="nil"/>
                    <w:tr2bl w:val="nil"/>
                  </w:tcBorders>
                  <w:vAlign w:val="center"/>
                </w:tcPr>
                <w:p w14:paraId="06D3B2DE">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无色透明油状液体，无臭，相对密度1.83</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20/4℃</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。熔点10.5℃。沸点330℃。</w:t>
                  </w:r>
                </w:p>
              </w:tc>
              <w:tc>
                <w:tcPr>
                  <w:tcW w:w="651" w:type="pct"/>
                  <w:tcBorders>
                    <w:tl2br w:val="nil"/>
                    <w:tr2bl w:val="nil"/>
                  </w:tcBorders>
                  <w:vAlign w:val="center"/>
                </w:tcPr>
                <w:p w14:paraId="58FEE876">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易燃</w:t>
                  </w:r>
                </w:p>
              </w:tc>
              <w:tc>
                <w:tcPr>
                  <w:tcW w:w="1413" w:type="pct"/>
                  <w:tcBorders>
                    <w:tl2br w:val="nil"/>
                    <w:tr2bl w:val="nil"/>
                  </w:tcBorders>
                  <w:vAlign w:val="center"/>
                </w:tcPr>
                <w:p w14:paraId="39050A2E">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中毒，LD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：2140mg/kg</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大鼠经口</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LC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：510mg/m</w:t>
                  </w:r>
                  <w:r>
                    <w:rPr>
                      <w:rFonts w:hint="default" w:ascii="Times New Roman" w:hAnsi="Times New Roman" w:cs="Times New Roman" w:eastAsiaTheme="minorEastAsia"/>
                      <w:color w:val="000000" w:themeColor="text1"/>
                      <w:sz w:val="21"/>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w:t>
                  </w:r>
                </w:p>
              </w:tc>
            </w:tr>
            <w:tr w14:paraId="1922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tcBorders>
                    <w:tl2br w:val="nil"/>
                    <w:tr2bl w:val="nil"/>
                  </w:tcBorders>
                  <w:vAlign w:val="center"/>
                </w:tcPr>
                <w:p w14:paraId="1A140AE6">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5</w:t>
                  </w:r>
                </w:p>
              </w:tc>
              <w:tc>
                <w:tcPr>
                  <w:tcW w:w="436" w:type="pct"/>
                  <w:tcBorders>
                    <w:tl2br w:val="nil"/>
                    <w:tr2bl w:val="nil"/>
                  </w:tcBorders>
                  <w:vAlign w:val="center"/>
                </w:tcPr>
                <w:p w14:paraId="237D00A8">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盐酸</w:t>
                  </w:r>
                </w:p>
              </w:tc>
              <w:tc>
                <w:tcPr>
                  <w:tcW w:w="784" w:type="pct"/>
                  <w:tcBorders>
                    <w:tl2br w:val="nil"/>
                    <w:tr2bl w:val="nil"/>
                  </w:tcBorders>
                  <w:vAlign w:val="center"/>
                </w:tcPr>
                <w:p w14:paraId="716CFF23">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HCl</w:t>
                  </w:r>
                </w:p>
              </w:tc>
              <w:tc>
                <w:tcPr>
                  <w:tcW w:w="1445" w:type="pct"/>
                  <w:tcBorders>
                    <w:tl2br w:val="nil"/>
                    <w:tr2bl w:val="nil"/>
                  </w:tcBorders>
                  <w:vAlign w:val="center"/>
                </w:tcPr>
                <w:p w14:paraId="14EB5262">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无色或微黄色发烟液体，有刺鼻的酸味。与水混溶，溶于碱液。相对密度1.2，20℃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。熔点-35℃。沸点57℃。</w:t>
                  </w:r>
                </w:p>
              </w:tc>
              <w:tc>
                <w:tcPr>
                  <w:tcW w:w="651" w:type="pct"/>
                  <w:tcBorders>
                    <w:tl2br w:val="nil"/>
                    <w:tr2bl w:val="nil"/>
                  </w:tcBorders>
                  <w:vAlign w:val="center"/>
                </w:tcPr>
                <w:p w14:paraId="3A263DCE">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不燃</w:t>
                  </w:r>
                </w:p>
              </w:tc>
              <w:tc>
                <w:tcPr>
                  <w:tcW w:w="1413" w:type="pct"/>
                  <w:tcBorders>
                    <w:tl2br w:val="nil"/>
                    <w:tr2bl w:val="nil"/>
                  </w:tcBorders>
                  <w:vAlign w:val="center"/>
                </w:tcPr>
                <w:p w14:paraId="6EB4C492">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吸入-大鼠LC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3124ppm/1小时;吸入-小鼠LC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1108ppm/1小</w:t>
                  </w:r>
                </w:p>
              </w:tc>
            </w:tr>
            <w:tr w14:paraId="2742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41761137">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6</w:t>
                  </w:r>
                </w:p>
              </w:tc>
              <w:tc>
                <w:tcPr>
                  <w:tcW w:w="436" w:type="pct"/>
                  <w:tcBorders>
                    <w:tl2br w:val="nil"/>
                    <w:tr2bl w:val="nil"/>
                  </w:tcBorders>
                  <w:vAlign w:val="center"/>
                </w:tcPr>
                <w:p w14:paraId="4C5F054E">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苦味酸（三硝基苯酚）</w:t>
                  </w:r>
                </w:p>
              </w:tc>
              <w:tc>
                <w:tcPr>
                  <w:tcW w:w="784" w:type="pct"/>
                  <w:tcBorders>
                    <w:tl2br w:val="nil"/>
                    <w:tr2bl w:val="nil"/>
                  </w:tcBorders>
                  <w:vAlign w:val="center"/>
                </w:tcPr>
                <w:p w14:paraId="1EF84808">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6</w:t>
                  </w:r>
                  <w:r>
                    <w:rPr>
                      <w:rFonts w:hint="default" w:ascii="Times New Roman" w:hAnsi="Times New Roman" w:cs="Times New Roman" w:eastAsiaTheme="minorEastAsia"/>
                      <w:color w:val="000000" w:themeColor="text1"/>
                      <w:sz w:val="21"/>
                      <w:szCs w:val="22"/>
                      <w14:textFill>
                        <w14:solidFill>
                          <w14:schemeClr w14:val="tx1"/>
                        </w14:solidFill>
                      </w14:textFill>
                    </w:rPr>
                    <w:t>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N</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O</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7</w:t>
                  </w:r>
                </w:p>
              </w:tc>
              <w:tc>
                <w:tcPr>
                  <w:tcW w:w="1445" w:type="pct"/>
                  <w:tcBorders>
                    <w:tl2br w:val="nil"/>
                    <w:tr2bl w:val="nil"/>
                  </w:tcBorders>
                  <w:vAlign w:val="center"/>
                </w:tcPr>
                <w:p w14:paraId="52A5C92C">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是一种有机化合物，炸药的一种，室温下为无色至黄色针状结晶。熔点：122.5℃沸点：300℃（爆炸）密度：1.764g/cm</w:t>
                  </w:r>
                  <w:r>
                    <w:rPr>
                      <w:rFonts w:hint="default" w:ascii="Times New Roman" w:hAnsi="Times New Roman" w:cs="Times New Roman" w:eastAsiaTheme="minorEastAsia"/>
                      <w:color w:val="000000" w:themeColor="text1"/>
                      <w:sz w:val="21"/>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辛醇/水分配系数：1.33~2.03外观：无色至黄色针状结晶溶解性：溶于水、乙醇、苯、乙醚、丙酮、吡啶等</w:t>
                  </w:r>
                </w:p>
              </w:tc>
              <w:tc>
                <w:tcPr>
                  <w:tcW w:w="651" w:type="pct"/>
                  <w:tcBorders>
                    <w:tl2br w:val="nil"/>
                    <w:tr2bl w:val="nil"/>
                  </w:tcBorders>
                  <w:vAlign w:val="center"/>
                </w:tcPr>
                <w:p w14:paraId="11CC6359">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300℃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爆炸</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p>
              </w:tc>
              <w:tc>
                <w:tcPr>
                  <w:tcW w:w="1413" w:type="pct"/>
                  <w:tcBorders>
                    <w:tl2br w:val="nil"/>
                    <w:tr2bl w:val="nil"/>
                  </w:tcBorders>
                  <w:vAlign w:val="center"/>
                </w:tcPr>
                <w:p w14:paraId="10755313">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1、急性毒性LD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：200mg/kg（大鼠经口）；56.3mg/kg（小鼠腹腔）2、致突变性</w:t>
                  </w:r>
                </w:p>
                <w:p w14:paraId="490FE817">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微生物致突变：鼠伤寒沙门菌5μmol/皿；大肠杆菌1800ppm。黑腹果蝇经口1250μmol/L。</w:t>
                  </w:r>
                </w:p>
              </w:tc>
            </w:tr>
            <w:tr w14:paraId="73F9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3BC44316">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7</w:t>
                  </w:r>
                </w:p>
              </w:tc>
              <w:tc>
                <w:tcPr>
                  <w:tcW w:w="436" w:type="pct"/>
                  <w:tcBorders>
                    <w:tl2br w:val="nil"/>
                    <w:tr2bl w:val="nil"/>
                  </w:tcBorders>
                  <w:vAlign w:val="center"/>
                </w:tcPr>
                <w:p w14:paraId="39F8491E">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30%过氧化氢</w:t>
                  </w:r>
                </w:p>
              </w:tc>
              <w:tc>
                <w:tcPr>
                  <w:tcW w:w="784" w:type="pct"/>
                  <w:tcBorders>
                    <w:tl2br w:val="nil"/>
                    <w:tr2bl w:val="nil"/>
                  </w:tcBorders>
                  <w:vAlign w:val="center"/>
                </w:tcPr>
                <w:p w14:paraId="661AE8DE">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2"/>
                      <w14:textFill>
                        <w14:solidFill>
                          <w14:schemeClr w14:val="tx1"/>
                        </w14:solidFill>
                      </w14:textFill>
                    </w:rPr>
                    <w:t>O</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2</w:t>
                  </w:r>
                </w:p>
              </w:tc>
              <w:tc>
                <w:tcPr>
                  <w:tcW w:w="1445" w:type="pct"/>
                  <w:tcBorders>
                    <w:tl2br w:val="nil"/>
                    <w:tr2bl w:val="nil"/>
                  </w:tcBorders>
                  <w:vAlign w:val="center"/>
                </w:tcPr>
                <w:p w14:paraId="6655CAD6">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外观与性状</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无色透明液体，有微弱的特殊气味。相对密度</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1.46</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无水</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熔点</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无水</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沸点</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158℃</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无水</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浓度</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工业级分为27.5％、35％两种。</w:t>
                  </w:r>
                  <w:r>
                    <w:rPr>
                      <w:rFonts w:hint="eastAsia" w:cs="Times New Roman" w:eastAsiaTheme="minorEastAsia"/>
                      <w:color w:val="000000" w:themeColor="text1"/>
                      <w:sz w:val="21"/>
                      <w:szCs w:val="22"/>
                      <w:lang w:eastAsia="zh-CN"/>
                      <w14:textFill>
                        <w14:solidFill>
                          <w14:schemeClr w14:val="tx1"/>
                        </w14:solidFill>
                      </w14:textFill>
                    </w:rPr>
                    <w:t>饱和蒸汽</w:t>
                  </w:r>
                  <w:r>
                    <w:rPr>
                      <w:rFonts w:hint="default" w:ascii="Times New Roman" w:hAnsi="Times New Roman" w:cs="Times New Roman" w:eastAsiaTheme="minorEastAsia"/>
                      <w:color w:val="000000" w:themeColor="text1"/>
                      <w:sz w:val="21"/>
                      <w:szCs w:val="22"/>
                      <w14:textFill>
                        <w14:solidFill>
                          <w14:schemeClr w14:val="tx1"/>
                        </w14:solidFill>
                      </w14:textFill>
                    </w:rPr>
                    <w:t>压</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0.13</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15.3℃</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p>
              </w:tc>
              <w:tc>
                <w:tcPr>
                  <w:tcW w:w="651" w:type="pct"/>
                  <w:tcBorders>
                    <w:tl2br w:val="nil"/>
                    <w:tr2bl w:val="nil"/>
                  </w:tcBorders>
                  <w:vAlign w:val="center"/>
                </w:tcPr>
                <w:p w14:paraId="1A038C46">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易制爆</w:t>
                  </w:r>
                  <w:r>
                    <w:rPr>
                      <w:rFonts w:hint="eastAsia"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氧化性</w:t>
                  </w:r>
                </w:p>
              </w:tc>
              <w:tc>
                <w:tcPr>
                  <w:tcW w:w="1413" w:type="pct"/>
                  <w:tcBorders>
                    <w:tl2br w:val="nil"/>
                    <w:tr2bl w:val="nil"/>
                  </w:tcBorders>
                  <w:vAlign w:val="center"/>
                </w:tcPr>
                <w:p w14:paraId="230703A3">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几乎不燃。如果有氧气</w:t>
                  </w:r>
                  <w:r>
                    <w:rPr>
                      <w:rFonts w:hint="eastAsia" w:cs="Times New Roman" w:eastAsiaTheme="minorEastAsia"/>
                      <w:color w:val="000000" w:themeColor="text1"/>
                      <w:sz w:val="21"/>
                      <w:szCs w:val="22"/>
                      <w:lang w:eastAsia="zh-CN"/>
                      <w14:textFill>
                        <w14:solidFill>
                          <w14:schemeClr w14:val="tx1"/>
                        </w14:solidFill>
                      </w14:textFill>
                    </w:rPr>
                    <w:t>泄漏</w:t>
                  </w:r>
                  <w:r>
                    <w:rPr>
                      <w:rFonts w:hint="default" w:ascii="Times New Roman" w:hAnsi="Times New Roman" w:cs="Times New Roman" w:eastAsiaTheme="minorEastAsia"/>
                      <w:color w:val="000000" w:themeColor="text1"/>
                      <w:sz w:val="21"/>
                      <w:szCs w:val="22"/>
                      <w14:textFill>
                        <w14:solidFill>
                          <w14:schemeClr w14:val="tx1"/>
                        </w14:solidFill>
                      </w14:textFill>
                    </w:rPr>
                    <w:t>，会加大火势。</w:t>
                  </w:r>
                </w:p>
              </w:tc>
            </w:tr>
            <w:tr w14:paraId="0AFA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3F46DF04">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8</w:t>
                  </w:r>
                </w:p>
              </w:tc>
              <w:tc>
                <w:tcPr>
                  <w:tcW w:w="436" w:type="pct"/>
                  <w:tcBorders>
                    <w:tl2br w:val="nil"/>
                    <w:tr2bl w:val="nil"/>
                  </w:tcBorders>
                  <w:vAlign w:val="center"/>
                </w:tcPr>
                <w:p w14:paraId="41B37F30">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高锰酸钾</w:t>
                  </w:r>
                </w:p>
              </w:tc>
              <w:tc>
                <w:tcPr>
                  <w:tcW w:w="784" w:type="pct"/>
                  <w:tcBorders>
                    <w:tl2br w:val="nil"/>
                    <w:tr2bl w:val="nil"/>
                  </w:tcBorders>
                  <w:vAlign w:val="center"/>
                </w:tcPr>
                <w:p w14:paraId="3CBB66AD">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KMnO</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4</w:t>
                  </w:r>
                </w:p>
              </w:tc>
              <w:tc>
                <w:tcPr>
                  <w:tcW w:w="1445" w:type="pct"/>
                  <w:tcBorders>
                    <w:tl2br w:val="nil"/>
                    <w:tr2bl w:val="nil"/>
                  </w:tcBorders>
                  <w:vAlign w:val="center"/>
                </w:tcPr>
                <w:p w14:paraId="3B3FE45A">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是一种</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"https://baike.baidu.com/item/%E5%BC%BA%E6%B0%A7%E5%8C%96%E5%89%82/1712635?fromModule=lemma_inlink"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强氧化剂</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"https://baike.baidu.com/item/%E5%8C%96%E5%AD%A6%E5%BC%8F/2609855?fromModule=lemma_inlink"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化学式</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"https://baike.baidu.com/item/KMnO4/7623765?fromModule=lemma_inlink"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KMnO</w:t>
                  </w:r>
                  <w:r>
                    <w:rPr>
                      <w:rStyle w:val="34"/>
                      <w:rFonts w:hint="default" w:ascii="Times New Roman" w:hAnsi="Times New Roman" w:cs="Times New Roman" w:eastAsiaTheme="minorEastAsia"/>
                      <w:color w:val="000000" w:themeColor="text1"/>
                      <w:sz w:val="21"/>
                      <w:szCs w:val="22"/>
                      <w:u w:val="none"/>
                      <w:vertAlign w:val="subscript"/>
                      <w14:textFill>
                        <w14:solidFill>
                          <w14:schemeClr w14:val="tx1"/>
                        </w14:solidFill>
                      </w14:textFill>
                    </w:rPr>
                    <w:t>4</w:t>
                  </w:r>
                  <w:r>
                    <w:rPr>
                      <w:rStyle w:val="34"/>
                      <w:rFonts w:hint="default" w:ascii="Times New Roman" w:hAnsi="Times New Roman" w:cs="Times New Roman" w:eastAsiaTheme="minorEastAsia"/>
                      <w:color w:val="000000" w:themeColor="text1"/>
                      <w:sz w:val="21"/>
                      <w:szCs w:val="22"/>
                      <w:u w:val="none"/>
                      <w:vertAlign w:val="subscript"/>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，为黑紫色</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"https://baike.baidu.com/item/%E7%BB%93%E6%99%B6/2686139?fromModule=lemma_inlink"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结晶</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，带蓝色的金属光泽，无臭，与某些</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"https://baike.baidu.com/item/%E6%9C%89%E6%9C%BA%E7%89%A9/300787?fromModule=lemma_inlink"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有机物</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或易</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"https://baike.baidu.com/item/%E6%B0%A7%E5%8C%96%E7%89%A9/273048?fromModule=lemma_inlink"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氧化物</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接触，易发生</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"https://baike.baidu.com/item/%E7%88%86%E7%82%B8/18112?fromModule=lemma_inlink"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爆炸</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，溶于水、</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"https://baike.baidu.com/item/%E7%A2%B1%E6%B6%B2/3631877?fromModule=lemma_inlink"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碱液</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，微溶于</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"https://baike.baidu.com/item/%E7%94%B2%E9%86%87/1512312?fromModule=lemma_inlink"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甲醇</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"https://baike.baidu.com/item/%E4%B8%99%E9%85%AE/955883?fromModule=lemma_inlink"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丙酮</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"https://baike.baidu.com/item/%E7%A1%AB%E9%85%B8/114535?fromModule=lemma_inlink"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硫酸</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w:t>
                  </w:r>
                </w:p>
              </w:tc>
              <w:tc>
                <w:tcPr>
                  <w:tcW w:w="651" w:type="pct"/>
                  <w:tcBorders>
                    <w:tl2br w:val="nil"/>
                    <w:tr2bl w:val="nil"/>
                  </w:tcBorders>
                  <w:vAlign w:val="center"/>
                </w:tcPr>
                <w:p w14:paraId="6399B60A">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易制爆</w:t>
                  </w:r>
                  <w:r>
                    <w:rPr>
                      <w:rFonts w:hint="eastAsia"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氧化性</w:t>
                  </w:r>
                </w:p>
              </w:tc>
              <w:tc>
                <w:tcPr>
                  <w:tcW w:w="1413" w:type="pct"/>
                  <w:tcBorders>
                    <w:tl2br w:val="nil"/>
                    <w:tr2bl w:val="nil"/>
                  </w:tcBorders>
                  <w:vAlign w:val="center"/>
                </w:tcPr>
                <w:p w14:paraId="0B97B7B5">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高浓度反复多次使用可引起腐蚀性灼伤。</w:t>
                  </w:r>
                </w:p>
              </w:tc>
            </w:tr>
            <w:tr w14:paraId="5D2C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69" w:type="pct"/>
                  <w:tcBorders>
                    <w:tl2br w:val="nil"/>
                    <w:tr2bl w:val="nil"/>
                  </w:tcBorders>
                  <w:vAlign w:val="center"/>
                </w:tcPr>
                <w:p w14:paraId="5C0C5A6B">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9</w:t>
                  </w:r>
                </w:p>
              </w:tc>
              <w:tc>
                <w:tcPr>
                  <w:tcW w:w="436" w:type="pct"/>
                  <w:tcBorders>
                    <w:tl2br w:val="nil"/>
                    <w:tr2bl w:val="nil"/>
                  </w:tcBorders>
                  <w:vAlign w:val="center"/>
                </w:tcPr>
                <w:p w14:paraId="6E92509E">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重铬酸钾</w:t>
                  </w:r>
                </w:p>
              </w:tc>
              <w:tc>
                <w:tcPr>
                  <w:tcW w:w="784" w:type="pct"/>
                  <w:tcBorders>
                    <w:tl2br w:val="nil"/>
                    <w:tr2bl w:val="nil"/>
                  </w:tcBorders>
                  <w:vAlign w:val="center"/>
                </w:tcPr>
                <w:p w14:paraId="7DDC6022">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K</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2"/>
                      <w14:textFill>
                        <w14:solidFill>
                          <w14:schemeClr w14:val="tx1"/>
                        </w14:solidFill>
                      </w14:textFill>
                    </w:rPr>
                    <w:t>Cr</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2"/>
                      <w14:textFill>
                        <w14:solidFill>
                          <w14:schemeClr w14:val="tx1"/>
                        </w14:solidFill>
                      </w14:textFill>
                    </w:rPr>
                    <w:t>O</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7</w:t>
                  </w:r>
                </w:p>
              </w:tc>
              <w:tc>
                <w:tcPr>
                  <w:tcW w:w="1445" w:type="pct"/>
                  <w:tcBorders>
                    <w:tl2br w:val="nil"/>
                    <w:tr2bl w:val="nil"/>
                  </w:tcBorders>
                  <w:vAlign w:val="center"/>
                </w:tcPr>
                <w:p w14:paraId="31626D95">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是一种有毒且有</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"https://baike.baidu.com/item/%E8%87%B4%E7%99%8C%E6%80%A7/3246230?fromModule=lemma_inlink"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致癌性</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"https://baike.baidu.com/item/%E5%BC%BA%E6%B0%A7%E5%8C%96%E5%89%82/1712635?fromModule=lemma_inlink"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强氧化剂</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，密度：2.676g/cm</w:t>
                  </w:r>
                  <w:r>
                    <w:rPr>
                      <w:rFonts w:hint="default" w:ascii="Times New Roman" w:hAnsi="Times New Roman" w:cs="Times New Roman" w:eastAsiaTheme="minorEastAsia"/>
                      <w:color w:val="000000" w:themeColor="text1"/>
                      <w:sz w:val="21"/>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熔点：398ºC沸点：500ºC（分解）外观：</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"https://baike.baidu.com/item/%E6%A9%98%E7%BA%A2%E8%89%B2/4886959?fromModule=lemma_inlink"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橘红色</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"https://baike.baidu.com/item/%E7%BB%93%E6%99%B6%E6%80%A7/6830050?fromModule=lemma_inlink"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结晶性</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粉末</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"https://baike.baidu.com/item/%E6%BA%B6%E8%A7%A3%E6%80%A7/1134279?fromModule=lemma_inlink"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溶解性</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：溶于水，不溶于</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"https://baike.baidu.com/item/%E4%B9%99%E9%86%87/135334?fromModule=lemma_inlink"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乙醇</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p>
              </w:tc>
              <w:tc>
                <w:tcPr>
                  <w:tcW w:w="651" w:type="pct"/>
                  <w:tcBorders>
                    <w:tl2br w:val="nil"/>
                    <w:tr2bl w:val="nil"/>
                  </w:tcBorders>
                  <w:vAlign w:val="center"/>
                </w:tcPr>
                <w:p w14:paraId="21E24633">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易制爆</w:t>
                  </w:r>
                  <w:r>
                    <w:rPr>
                      <w:rFonts w:hint="eastAsia"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氧化性</w:t>
                  </w:r>
                </w:p>
              </w:tc>
              <w:tc>
                <w:tcPr>
                  <w:tcW w:w="1413" w:type="pct"/>
                  <w:tcBorders>
                    <w:tl2br w:val="nil"/>
                    <w:tr2bl w:val="nil"/>
                  </w:tcBorders>
                  <w:vAlign w:val="center"/>
                </w:tcPr>
                <w:p w14:paraId="4770CE3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"https://baike.baidu.com/item/%E6%80%A5%E6%80%A7%E6%AF%92%E6%80%A7/6198587?fromModule=lemma_inlink"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急性毒性</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p>
                <w:p w14:paraId="76ACB6D7">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：25mg/kg（</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"https://baike.baidu.com/item/%E5%A4%A7%E9%BC%A0/3721233?fromModule=lemma_inlink" \t "_blank"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t>大鼠</w:t>
                  </w:r>
                  <w:r>
                    <w:rPr>
                      <w:rStyle w:val="34"/>
                      <w:rFonts w:hint="default" w:ascii="Times New Roman" w:hAnsi="Times New Roman" w:cs="Times New Roman" w:eastAsiaTheme="minorEastAsia"/>
                      <w:color w:val="000000" w:themeColor="text1"/>
                      <w:sz w:val="21"/>
                      <w:szCs w:val="22"/>
                      <w:u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2"/>
                      <w14:textFill>
                        <w14:solidFill>
                          <w14:schemeClr w14:val="tx1"/>
                        </w14:solidFill>
                      </w14:textFill>
                    </w:rPr>
                    <w:t>经口）；190mg/kg（小鼠经口）；14mg/kg（兔经皮）。</w:t>
                  </w:r>
                </w:p>
              </w:tc>
            </w:tr>
            <w:tr w14:paraId="662A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2D5CC3E0">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10</w:t>
                  </w:r>
                </w:p>
              </w:tc>
              <w:tc>
                <w:tcPr>
                  <w:tcW w:w="436" w:type="pct"/>
                  <w:tcBorders>
                    <w:tl2br w:val="nil"/>
                    <w:tr2bl w:val="nil"/>
                  </w:tcBorders>
                  <w:vAlign w:val="center"/>
                </w:tcPr>
                <w:p w14:paraId="47E90D5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氢氧化钠</w:t>
                  </w:r>
                </w:p>
              </w:tc>
              <w:tc>
                <w:tcPr>
                  <w:tcW w:w="784" w:type="pct"/>
                  <w:tcBorders>
                    <w:tl2br w:val="nil"/>
                    <w:tr2bl w:val="nil"/>
                  </w:tcBorders>
                  <w:vAlign w:val="center"/>
                </w:tcPr>
                <w:p w14:paraId="5783316F">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NaOH</w:t>
                  </w:r>
                </w:p>
              </w:tc>
              <w:tc>
                <w:tcPr>
                  <w:tcW w:w="1445" w:type="pct"/>
                  <w:tcBorders>
                    <w:tl2br w:val="nil"/>
                    <w:tr2bl w:val="nil"/>
                  </w:tcBorders>
                  <w:vAlign w:val="center"/>
                </w:tcPr>
                <w:p w14:paraId="0CADD464">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分子量40，纯品是无色透明的晶体。密度（g/cm³）2.130，熔点</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：318.4，沸点</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：1390℃，溶解性：溶于乙醇和甘油，不溶于丙醇、乙醚。</w:t>
                  </w:r>
                </w:p>
              </w:tc>
              <w:tc>
                <w:tcPr>
                  <w:tcW w:w="651" w:type="pct"/>
                  <w:tcBorders>
                    <w:tl2br w:val="nil"/>
                    <w:tr2bl w:val="nil"/>
                  </w:tcBorders>
                  <w:vAlign w:val="center"/>
                </w:tcPr>
                <w:p w14:paraId="5667163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不燃</w:t>
                  </w:r>
                </w:p>
              </w:tc>
              <w:tc>
                <w:tcPr>
                  <w:tcW w:w="1413" w:type="pct"/>
                  <w:tcBorders>
                    <w:tl2br w:val="nil"/>
                    <w:tr2bl w:val="nil"/>
                  </w:tcBorders>
                  <w:vAlign w:val="center"/>
                </w:tcPr>
                <w:p w14:paraId="15A530B7">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：40mg/kg（小鼠径腹）</w:t>
                  </w:r>
                </w:p>
              </w:tc>
            </w:tr>
            <w:tr w14:paraId="602E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69D3AB6A">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11</w:t>
                  </w:r>
                </w:p>
              </w:tc>
              <w:tc>
                <w:tcPr>
                  <w:tcW w:w="436" w:type="pct"/>
                  <w:tcBorders>
                    <w:tl2br w:val="nil"/>
                    <w:tr2bl w:val="nil"/>
                  </w:tcBorders>
                  <w:vAlign w:val="center"/>
                </w:tcPr>
                <w:p w14:paraId="4D8B6870">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甘油</w:t>
                  </w:r>
                </w:p>
              </w:tc>
              <w:tc>
                <w:tcPr>
                  <w:tcW w:w="784" w:type="pct"/>
                  <w:tcBorders>
                    <w:tl2br w:val="nil"/>
                    <w:tr2bl w:val="nil"/>
                  </w:tcBorders>
                  <w:vAlign w:val="center"/>
                </w:tcPr>
                <w:p w14:paraId="325EBEE6">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8</w:t>
                  </w:r>
                  <w:r>
                    <w:rPr>
                      <w:rFonts w:hint="default" w:ascii="Times New Roman" w:hAnsi="Times New Roman" w:cs="Times New Roman" w:eastAsiaTheme="minorEastAsia"/>
                      <w:color w:val="000000" w:themeColor="text1"/>
                      <w:sz w:val="21"/>
                      <w:szCs w:val="22"/>
                      <w14:textFill>
                        <w14:solidFill>
                          <w14:schemeClr w14:val="tx1"/>
                        </w14:solidFill>
                      </w14:textFill>
                    </w:rPr>
                    <w:t>O</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3</w:t>
                  </w:r>
                </w:p>
              </w:tc>
              <w:tc>
                <w:tcPr>
                  <w:tcW w:w="1445" w:type="pct"/>
                  <w:tcBorders>
                    <w:tl2br w:val="nil"/>
                    <w:tr2bl w:val="nil"/>
                  </w:tcBorders>
                  <w:vAlign w:val="center"/>
                </w:tcPr>
                <w:p w14:paraId="6AA01170">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分子量：92.09，无色粘稠液体,无气味,有暖甜味,能吸潮。熔点</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：20，沸点</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：182</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2.7kPa</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，相对密度</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水=1</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：1.26</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，相对蒸气密度</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空气=1</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：3.1，</w:t>
                  </w:r>
                  <w:r>
                    <w:rPr>
                      <w:rFonts w:hint="eastAsia" w:cs="Times New Roman" w:eastAsiaTheme="minorEastAsia"/>
                      <w:color w:val="000000" w:themeColor="text1"/>
                      <w:sz w:val="21"/>
                      <w:szCs w:val="22"/>
                      <w:lang w:eastAsia="zh-CN"/>
                      <w14:textFill>
                        <w14:solidFill>
                          <w14:schemeClr w14:val="tx1"/>
                        </w14:solidFill>
                      </w14:textFill>
                    </w:rPr>
                    <w:t>饱和蒸汽压</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kPa</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：0.4</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，闪点</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：160，引燃温度</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：370，</w:t>
                  </w:r>
                </w:p>
              </w:tc>
              <w:tc>
                <w:tcPr>
                  <w:tcW w:w="651" w:type="pct"/>
                  <w:tcBorders>
                    <w:tl2br w:val="nil"/>
                    <w:tr2bl w:val="nil"/>
                  </w:tcBorders>
                  <w:vAlign w:val="center"/>
                </w:tcPr>
                <w:p w14:paraId="2FE8B925">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可燃</w:t>
                  </w:r>
                </w:p>
              </w:tc>
              <w:tc>
                <w:tcPr>
                  <w:tcW w:w="1413" w:type="pct"/>
                  <w:tcBorders>
                    <w:tl2br w:val="nil"/>
                    <w:tr2bl w:val="nil"/>
                  </w:tcBorders>
                  <w:vAlign w:val="center"/>
                </w:tcPr>
                <w:p w14:paraId="3F05F50D">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：12600mg/kg</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大鼠经口</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LC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：无资料</w:t>
                  </w:r>
                </w:p>
              </w:tc>
            </w:tr>
            <w:tr w14:paraId="04B5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0619AB22">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12</w:t>
                  </w:r>
                </w:p>
              </w:tc>
              <w:tc>
                <w:tcPr>
                  <w:tcW w:w="436" w:type="pct"/>
                  <w:tcBorders>
                    <w:tl2br w:val="nil"/>
                    <w:tr2bl w:val="nil"/>
                  </w:tcBorders>
                  <w:vAlign w:val="center"/>
                </w:tcPr>
                <w:p w14:paraId="66AE1277">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氨水</w:t>
                  </w:r>
                </w:p>
              </w:tc>
              <w:tc>
                <w:tcPr>
                  <w:tcW w:w="784" w:type="pct"/>
                  <w:tcBorders>
                    <w:tl2br w:val="nil"/>
                    <w:tr2bl w:val="nil"/>
                  </w:tcBorders>
                  <w:vAlign w:val="center"/>
                </w:tcPr>
                <w:p w14:paraId="7068D419">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NH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2"/>
                      <w14:textFill>
                        <w14:solidFill>
                          <w14:schemeClr w14:val="tx1"/>
                        </w14:solidFill>
                      </w14:textFill>
                    </w:rPr>
                    <w:t>O</w:t>
                  </w:r>
                </w:p>
              </w:tc>
              <w:tc>
                <w:tcPr>
                  <w:tcW w:w="1445" w:type="pct"/>
                  <w:tcBorders>
                    <w:tl2br w:val="nil"/>
                    <w:tr2bl w:val="nil"/>
                  </w:tcBorders>
                  <w:vAlign w:val="center"/>
                </w:tcPr>
                <w:p w14:paraId="4C60990B">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无色透明且具有刺激性气味。氨水易挥发，凝固点和氨水浓度有关，常用的20%（质量分数）氨水凝固点约为-35℃。</w:t>
                  </w:r>
                </w:p>
              </w:tc>
              <w:tc>
                <w:tcPr>
                  <w:tcW w:w="651" w:type="pct"/>
                  <w:tcBorders>
                    <w:tl2br w:val="nil"/>
                    <w:tr2bl w:val="nil"/>
                  </w:tcBorders>
                  <w:vAlign w:val="center"/>
                </w:tcPr>
                <w:p w14:paraId="1B57A5B9">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不燃</w:t>
                  </w:r>
                </w:p>
              </w:tc>
              <w:tc>
                <w:tcPr>
                  <w:tcW w:w="1413" w:type="pct"/>
                  <w:tcBorders>
                    <w:tl2br w:val="nil"/>
                    <w:tr2bl w:val="nil"/>
                  </w:tcBorders>
                  <w:vAlign w:val="center"/>
                </w:tcPr>
                <w:p w14:paraId="5C82A66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：350mg/kg（小鼠径口）；LD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：350mg/kg（大鼠经口）</w:t>
                  </w:r>
                </w:p>
              </w:tc>
            </w:tr>
            <w:tr w14:paraId="6B17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78A1970F">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13</w:t>
                  </w:r>
                </w:p>
              </w:tc>
              <w:tc>
                <w:tcPr>
                  <w:tcW w:w="436" w:type="pct"/>
                  <w:tcBorders>
                    <w:tl2br w:val="nil"/>
                    <w:tr2bl w:val="nil"/>
                  </w:tcBorders>
                  <w:vAlign w:val="center"/>
                </w:tcPr>
                <w:p w14:paraId="7C2ADF76">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硫化氢</w:t>
                  </w:r>
                </w:p>
              </w:tc>
              <w:tc>
                <w:tcPr>
                  <w:tcW w:w="784" w:type="pct"/>
                  <w:tcBorders>
                    <w:tl2br w:val="nil"/>
                    <w:tr2bl w:val="nil"/>
                  </w:tcBorders>
                  <w:vAlign w:val="center"/>
                </w:tcPr>
                <w:p w14:paraId="01BC0199">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2"/>
                      <w14:textFill>
                        <w14:solidFill>
                          <w14:schemeClr w14:val="tx1"/>
                        </w14:solidFill>
                      </w14:textFill>
                    </w:rPr>
                    <w:t>S</w:t>
                  </w:r>
                </w:p>
              </w:tc>
              <w:tc>
                <w:tcPr>
                  <w:tcW w:w="1445" w:type="pct"/>
                  <w:tcBorders>
                    <w:tl2br w:val="nil"/>
                    <w:tr2bl w:val="nil"/>
                  </w:tcBorders>
                  <w:vAlign w:val="center"/>
                </w:tcPr>
                <w:p w14:paraId="6B6408FB">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硫化氢，分子量为34.076，标准状况下是一种易燃的酸性气体，无色，有剧毒。燃点：260℃，</w:t>
                  </w:r>
                  <w:r>
                    <w:rPr>
                      <w:rFonts w:hint="eastAsia" w:cs="Times New Roman" w:eastAsiaTheme="minorEastAsia"/>
                      <w:color w:val="000000" w:themeColor="text1"/>
                      <w:sz w:val="21"/>
                      <w:szCs w:val="22"/>
                      <w:lang w:eastAsia="zh-CN"/>
                      <w14:textFill>
                        <w14:solidFill>
                          <w14:schemeClr w14:val="tx1"/>
                        </w14:solidFill>
                      </w14:textFill>
                    </w:rPr>
                    <w:t>饱和蒸汽</w:t>
                  </w:r>
                  <w:r>
                    <w:rPr>
                      <w:rFonts w:hint="default" w:ascii="Times New Roman" w:hAnsi="Times New Roman" w:cs="Times New Roman" w:eastAsiaTheme="minorEastAsia"/>
                      <w:color w:val="000000" w:themeColor="text1"/>
                      <w:sz w:val="21"/>
                      <w:szCs w:val="22"/>
                      <w14:textFill>
                        <w14:solidFill>
                          <w14:schemeClr w14:val="tx1"/>
                        </w14:solidFill>
                      </w14:textFill>
                    </w:rPr>
                    <w:t>压：2026.5kPa/25.5℃，溶解性：溶于水（溶解比例1</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2.6）。</w:t>
                  </w:r>
                </w:p>
              </w:tc>
              <w:tc>
                <w:tcPr>
                  <w:tcW w:w="651" w:type="pct"/>
                  <w:tcBorders>
                    <w:tl2br w:val="nil"/>
                    <w:tr2bl w:val="nil"/>
                  </w:tcBorders>
                  <w:vAlign w:val="center"/>
                </w:tcPr>
                <w:p w14:paraId="79C458E5">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剧毒</w:t>
                  </w:r>
                </w:p>
              </w:tc>
              <w:tc>
                <w:tcPr>
                  <w:tcW w:w="1413" w:type="pct"/>
                  <w:tcBorders>
                    <w:tl2br w:val="nil"/>
                    <w:tr2bl w:val="nil"/>
                  </w:tcBorders>
                  <w:vAlign w:val="center"/>
                </w:tcPr>
                <w:p w14:paraId="48264847">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急性毒性：LC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：618mg/m³（444ppm）（大鼠吸入）。亚急性与慢性毒性：</w:t>
                  </w:r>
                </w:p>
                <w:p w14:paraId="56AE66A8">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其他：LCLo：600ppm（人吸入30min）。</w:t>
                  </w:r>
                </w:p>
              </w:tc>
            </w:tr>
            <w:tr w14:paraId="7CC1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1FC35265">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14</w:t>
                  </w:r>
                </w:p>
              </w:tc>
              <w:tc>
                <w:tcPr>
                  <w:tcW w:w="436" w:type="pct"/>
                  <w:tcBorders>
                    <w:tl2br w:val="nil"/>
                    <w:tr2bl w:val="nil"/>
                  </w:tcBorders>
                  <w:vAlign w:val="center"/>
                </w:tcPr>
                <w:p w14:paraId="32632AC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冰醋酸</w:t>
                  </w:r>
                </w:p>
              </w:tc>
              <w:tc>
                <w:tcPr>
                  <w:tcW w:w="784" w:type="pct"/>
                  <w:tcBorders>
                    <w:tl2br w:val="nil"/>
                    <w:tr2bl w:val="nil"/>
                  </w:tcBorders>
                  <w:vAlign w:val="center"/>
                </w:tcPr>
                <w:p w14:paraId="306DAFB6">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CH</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COOH</w:t>
                  </w:r>
                </w:p>
              </w:tc>
              <w:tc>
                <w:tcPr>
                  <w:tcW w:w="1445" w:type="pct"/>
                  <w:tcBorders>
                    <w:tl2br w:val="nil"/>
                    <w:tr2bl w:val="nil"/>
                  </w:tcBorders>
                  <w:vAlign w:val="center"/>
                </w:tcPr>
                <w:p w14:paraId="2C432AAA">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冰醋酸是无色透明液体，有酸臭味。纯的无水乙酸（冰醋酸）是无色的吸湿性液体，凝固点为16.6℃（62℉），凝固后为无色晶体，其水溶液中弱酸性且腐蚀性强，</w:t>
                  </w:r>
                </w:p>
              </w:tc>
              <w:tc>
                <w:tcPr>
                  <w:tcW w:w="651" w:type="pct"/>
                  <w:tcBorders>
                    <w:tl2br w:val="nil"/>
                    <w:tr2bl w:val="nil"/>
                  </w:tcBorders>
                  <w:vAlign w:val="center"/>
                </w:tcPr>
                <w:p w14:paraId="5BE24C7D">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可燃</w:t>
                  </w:r>
                </w:p>
              </w:tc>
              <w:tc>
                <w:tcPr>
                  <w:tcW w:w="1413" w:type="pct"/>
                  <w:tcBorders>
                    <w:tl2br w:val="nil"/>
                    <w:tr2bl w:val="nil"/>
                  </w:tcBorders>
                  <w:vAlign w:val="center"/>
                </w:tcPr>
                <w:p w14:paraId="1D35F16C">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急性毒性LD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：3530mg/kg（大鼠经口）；1060mg/kg（兔经皮）</w:t>
                  </w:r>
                </w:p>
                <w:p w14:paraId="24627745">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LC</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：13791mg/m</w:t>
                  </w:r>
                  <w:r>
                    <w:rPr>
                      <w:rFonts w:hint="default" w:ascii="Times New Roman" w:hAnsi="Times New Roman" w:cs="Times New Roman" w:eastAsiaTheme="minorEastAsia"/>
                      <w:color w:val="000000" w:themeColor="text1"/>
                      <w:sz w:val="21"/>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（小鼠吸入，1h）</w:t>
                  </w:r>
                </w:p>
              </w:tc>
            </w:tr>
            <w:tr w14:paraId="4E93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16BF4D68">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15</w:t>
                  </w:r>
                </w:p>
              </w:tc>
              <w:tc>
                <w:tcPr>
                  <w:tcW w:w="436" w:type="pct"/>
                  <w:tcBorders>
                    <w:tl2br w:val="nil"/>
                    <w:tr2bl w:val="nil"/>
                  </w:tcBorders>
                  <w:vAlign w:val="center"/>
                </w:tcPr>
                <w:p w14:paraId="092151C9">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铁氰化钾</w:t>
                  </w:r>
                </w:p>
              </w:tc>
              <w:tc>
                <w:tcPr>
                  <w:tcW w:w="784" w:type="pct"/>
                  <w:tcBorders>
                    <w:tl2br w:val="nil"/>
                    <w:tr2bl w:val="nil"/>
                  </w:tcBorders>
                  <w:vAlign w:val="center"/>
                </w:tcPr>
                <w:p w14:paraId="1028A398">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K</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2"/>
                      <w14:textFill>
                        <w14:solidFill>
                          <w14:schemeClr w14:val="tx1"/>
                        </w14:solidFill>
                      </w14:textFill>
                    </w:rPr>
                    <w:t>[Fe</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CN</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6</w:t>
                  </w:r>
                  <w:r>
                    <w:rPr>
                      <w:rFonts w:hint="default" w:ascii="Times New Roman" w:hAnsi="Times New Roman" w:cs="Times New Roman" w:eastAsiaTheme="minorEastAsia"/>
                      <w:color w:val="000000" w:themeColor="text1"/>
                      <w:sz w:val="21"/>
                      <w:szCs w:val="22"/>
                      <w14:textFill>
                        <w14:solidFill>
                          <w14:schemeClr w14:val="tx1"/>
                        </w14:solidFill>
                      </w14:textFill>
                    </w:rPr>
                    <w:t>]</w:t>
                  </w:r>
                </w:p>
              </w:tc>
              <w:tc>
                <w:tcPr>
                  <w:tcW w:w="1445" w:type="pct"/>
                  <w:tcBorders>
                    <w:tl2br w:val="nil"/>
                    <w:tr2bl w:val="nil"/>
                  </w:tcBorders>
                  <w:vAlign w:val="center"/>
                </w:tcPr>
                <w:p w14:paraId="325F0048">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俗称赤血盐、赤血盐钾，分子量为329.24，为红色晶体，可溶于水，水溶液带有黄绿色荧光，熔点：300℃可溶性。</w:t>
                  </w:r>
                </w:p>
              </w:tc>
              <w:tc>
                <w:tcPr>
                  <w:tcW w:w="651" w:type="pct"/>
                  <w:tcBorders>
                    <w:tl2br w:val="nil"/>
                    <w:tr2bl w:val="nil"/>
                  </w:tcBorders>
                  <w:vAlign w:val="center"/>
                </w:tcPr>
                <w:p w14:paraId="73C569CE">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不可燃</w:t>
                  </w:r>
                </w:p>
              </w:tc>
              <w:tc>
                <w:tcPr>
                  <w:tcW w:w="1413" w:type="pct"/>
                  <w:tcBorders>
                    <w:tl2br w:val="nil"/>
                    <w:tr2bl w:val="nil"/>
                  </w:tcBorders>
                  <w:vAlign w:val="center"/>
                </w:tcPr>
                <w:p w14:paraId="4CF0F050">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吸入、摄入或经皮肤吸收对身体可能有害。可致肾损害。加热或酸作用下可产生氰化氢。</w:t>
                  </w:r>
                </w:p>
              </w:tc>
            </w:tr>
            <w:tr w14:paraId="1A4D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vAlign w:val="center"/>
                </w:tcPr>
                <w:p w14:paraId="5C5FF03D">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16</w:t>
                  </w:r>
                </w:p>
              </w:tc>
              <w:tc>
                <w:tcPr>
                  <w:tcW w:w="436" w:type="pct"/>
                  <w:tcBorders>
                    <w:tl2br w:val="nil"/>
                    <w:tr2bl w:val="nil"/>
                  </w:tcBorders>
                  <w:vAlign w:val="center"/>
                </w:tcPr>
                <w:p w14:paraId="5388BA6B">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硫酸铜</w:t>
                  </w:r>
                </w:p>
              </w:tc>
              <w:tc>
                <w:tcPr>
                  <w:tcW w:w="784" w:type="pct"/>
                  <w:tcBorders>
                    <w:tl2br w:val="nil"/>
                    <w:tr2bl w:val="nil"/>
                  </w:tcBorders>
                  <w:vAlign w:val="center"/>
                </w:tcPr>
                <w:p w14:paraId="42587921">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CuSO</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4</w:t>
                  </w:r>
                </w:p>
              </w:tc>
              <w:tc>
                <w:tcPr>
                  <w:tcW w:w="1445" w:type="pct"/>
                  <w:tcBorders>
                    <w:tl2br w:val="nil"/>
                    <w:tr2bl w:val="nil"/>
                  </w:tcBorders>
                  <w:vAlign w:val="center"/>
                </w:tcPr>
                <w:p w14:paraId="1DBB96B3">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相对密度2.284。高于150℃形成白色易吸水的无水硫酸铜。于650℃分解成氧化铜。易溶于水</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26.3g/100g，20℃</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，呈酸性</w:t>
                  </w:r>
                </w:p>
              </w:tc>
              <w:tc>
                <w:tcPr>
                  <w:tcW w:w="651" w:type="pct"/>
                  <w:tcBorders>
                    <w:tl2br w:val="nil"/>
                    <w:tr2bl w:val="nil"/>
                  </w:tcBorders>
                  <w:vAlign w:val="center"/>
                </w:tcPr>
                <w:p w14:paraId="637CF4C2">
                  <w:pPr>
                    <w:spacing w:line="240" w:lineRule="auto"/>
                    <w:ind w:firstLine="0" w:firstLineChars="0"/>
                    <w:jc w:val="center"/>
                    <w:rPr>
                      <w:rFonts w:hint="default" w:ascii="Times New Roman" w:hAnsi="Times New Roman" w:cs="Times New Roman" w:eastAsiaTheme="minorEastAsia"/>
                      <w:color w:val="000000" w:themeColor="text1"/>
                      <w:sz w:val="21"/>
                      <w:szCs w:val="22"/>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不可燃</w:t>
                  </w:r>
                </w:p>
              </w:tc>
              <w:tc>
                <w:tcPr>
                  <w:tcW w:w="1413" w:type="pct"/>
                  <w:tcBorders>
                    <w:tl2br w:val="nil"/>
                    <w:tr2bl w:val="nil"/>
                  </w:tcBorders>
                  <w:vAlign w:val="center"/>
                </w:tcPr>
                <w:p w14:paraId="27250B47">
                  <w:pPr>
                    <w:spacing w:line="240" w:lineRule="auto"/>
                    <w:ind w:firstLine="0" w:firstLineChars="0"/>
                    <w:jc w:val="center"/>
                    <w:rPr>
                      <w:rFonts w:hint="default" w:ascii="Times New Roman" w:hAnsi="Times New Roman" w:cs="Times New Roman" w:eastAsiaTheme="minorEastAsia"/>
                      <w:color w:val="000000" w:themeColor="text1"/>
                      <w:sz w:val="21"/>
                      <w:szCs w:val="22"/>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2"/>
                      <w14:textFill>
                        <w14:solidFill>
                          <w14:schemeClr w14:val="tx1"/>
                        </w14:solidFill>
                      </w14:textFill>
                    </w:rPr>
                    <w:t>LD</w:t>
                  </w:r>
                  <w:r>
                    <w:rPr>
                      <w:rFonts w:hint="default" w:ascii="Times New Roman" w:hAnsi="Times New Roman" w:cs="Times New Roman" w:eastAsiaTheme="minorEastAsia"/>
                      <w:color w:val="000000" w:themeColor="text1"/>
                      <w:sz w:val="21"/>
                      <w:szCs w:val="22"/>
                      <w:vertAlign w:val="subscript"/>
                      <w14:textFill>
                        <w14:solidFill>
                          <w14:schemeClr w14:val="tx1"/>
                        </w14:solidFill>
                      </w14:textFill>
                    </w:rPr>
                    <w:t>50</w:t>
                  </w:r>
                  <w:r>
                    <w:rPr>
                      <w:rFonts w:hint="default" w:ascii="Times New Roman" w:hAnsi="Times New Roman" w:cs="Times New Roman" w:eastAsiaTheme="minorEastAsia"/>
                      <w:color w:val="000000" w:themeColor="text1"/>
                      <w:sz w:val="21"/>
                      <w:szCs w:val="22"/>
                      <w14:textFill>
                        <w14:solidFill>
                          <w14:schemeClr w14:val="tx1"/>
                        </w14:solidFill>
                      </w14:textFill>
                    </w:rPr>
                    <w:t>：300mg/kg</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14:textFill>
                        <w14:solidFill>
                          <w14:schemeClr w14:val="tx1"/>
                        </w14:solidFill>
                      </w14:textFill>
                    </w:rPr>
                    <w:t>大鼠经口</w:t>
                  </w:r>
                  <w:r>
                    <w:rPr>
                      <w:rFonts w:hint="default" w:ascii="Times New Roman" w:hAnsi="Times New Roman" w:cs="Times New Roman" w:eastAsiaTheme="minorEastAsia"/>
                      <w:color w:val="000000" w:themeColor="text1"/>
                      <w:sz w:val="21"/>
                      <w:szCs w:val="22"/>
                      <w:lang w:eastAsia="zh-CN"/>
                      <w14:textFill>
                        <w14:solidFill>
                          <w14:schemeClr w14:val="tx1"/>
                        </w14:solidFill>
                      </w14:textFill>
                    </w:rPr>
                    <w:t>）</w:t>
                  </w:r>
                </w:p>
              </w:tc>
            </w:tr>
            <w:bookmarkEnd w:id="8"/>
            <w:bookmarkEnd w:id="9"/>
          </w:tbl>
          <w:p w14:paraId="37195B0F">
            <w:pPr>
              <w:pStyle w:val="49"/>
              <w:ind w:firstLine="500"/>
              <w:rPr>
                <w:rFonts w:hint="default" w:ascii="Times New Roman" w:hAnsi="Times New Roman" w:cs="Times New Roman"/>
                <w:color w:val="000000" w:themeColor="text1"/>
                <w:sz w:val="25"/>
                <w:szCs w:val="25"/>
                <w14:textFill>
                  <w14:solidFill>
                    <w14:schemeClr w14:val="tx1"/>
                  </w14:solidFill>
                </w14:textFill>
              </w:rPr>
            </w:pPr>
            <w:r>
              <w:rPr>
                <w:rFonts w:hint="default" w:ascii="Times New Roman" w:hAnsi="Times New Roman" w:cs="Times New Roman"/>
                <w:color w:val="000000" w:themeColor="text1"/>
                <w:sz w:val="25"/>
                <w:szCs w:val="25"/>
                <w14:textFill>
                  <w14:solidFill>
                    <w14:schemeClr w14:val="tx1"/>
                  </w14:solidFill>
                </w14:textFill>
              </w:rPr>
              <w:t>本项目在生产过程中，主要能源消耗见表2</w:t>
            </w:r>
            <w:r>
              <w:rPr>
                <w:rFonts w:hint="default" w:ascii="Times New Roman" w:hAnsi="Times New Roman" w:cs="Times New Roman"/>
                <w:color w:val="000000" w:themeColor="text1"/>
                <w:sz w:val="25"/>
                <w:szCs w:val="25"/>
                <w:lang w:val="en-US" w:eastAsia="zh-CN"/>
                <w14:textFill>
                  <w14:solidFill>
                    <w14:schemeClr w14:val="tx1"/>
                  </w14:solidFill>
                </w14:textFill>
              </w:rPr>
              <w:t>-5</w:t>
            </w:r>
            <w:r>
              <w:rPr>
                <w:rFonts w:hint="default" w:ascii="Times New Roman" w:hAnsi="Times New Roman" w:cs="Times New Roman"/>
                <w:color w:val="000000" w:themeColor="text1"/>
                <w:sz w:val="25"/>
                <w:szCs w:val="25"/>
                <w14:textFill>
                  <w14:solidFill>
                    <w14:schemeClr w14:val="tx1"/>
                  </w14:solidFill>
                </w14:textFill>
              </w:rPr>
              <w:t>。</w:t>
            </w:r>
          </w:p>
          <w:p w14:paraId="45AAD052">
            <w:pPr>
              <w:keepNext w:val="0"/>
              <w:keepLines w:val="0"/>
              <w:pageBreakBefore w:val="0"/>
              <w:widowControl w:val="0"/>
              <w:kinsoku/>
              <w:wordWrap/>
              <w:overflowPunct/>
              <w:topLinePunct w:val="0"/>
              <w:autoSpaceDE w:val="0"/>
              <w:autoSpaceDN w:val="0"/>
              <w:bidi w:val="0"/>
              <w:adjustRightInd/>
              <w:snapToGrid/>
              <w:ind w:left="0" w:lef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主要能源消耗</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682"/>
              <w:gridCol w:w="2031"/>
              <w:gridCol w:w="2278"/>
              <w:gridCol w:w="1702"/>
            </w:tblGrid>
            <w:tr w14:paraId="755D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78" w:type="pct"/>
                  <w:noWrap w:val="0"/>
                  <w:vAlign w:val="center"/>
                </w:tcPr>
                <w:p w14:paraId="0C30CBC9">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序号</w:t>
                  </w:r>
                </w:p>
              </w:tc>
              <w:tc>
                <w:tcPr>
                  <w:tcW w:w="988" w:type="pct"/>
                  <w:noWrap w:val="0"/>
                  <w:vAlign w:val="center"/>
                </w:tcPr>
                <w:p w14:paraId="68F45B0F">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能源</w:t>
                  </w:r>
                </w:p>
              </w:tc>
              <w:tc>
                <w:tcPr>
                  <w:tcW w:w="1193" w:type="pct"/>
                  <w:noWrap w:val="0"/>
                  <w:vAlign w:val="center"/>
                </w:tcPr>
                <w:p w14:paraId="5B69AC80">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年使用量</w:t>
                  </w:r>
                </w:p>
              </w:tc>
              <w:tc>
                <w:tcPr>
                  <w:tcW w:w="1338" w:type="pct"/>
                  <w:noWrap w:val="0"/>
                  <w:vAlign w:val="center"/>
                </w:tcPr>
                <w:p w14:paraId="098FE357">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单位</w:t>
                  </w:r>
                </w:p>
              </w:tc>
              <w:tc>
                <w:tcPr>
                  <w:tcW w:w="1000" w:type="pct"/>
                  <w:noWrap w:val="0"/>
                  <w:vAlign w:val="center"/>
                </w:tcPr>
                <w:p w14:paraId="793C049F">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备注</w:t>
                  </w:r>
                </w:p>
              </w:tc>
            </w:tr>
            <w:tr w14:paraId="0C6E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78" w:type="pct"/>
                  <w:noWrap w:val="0"/>
                  <w:vAlign w:val="center"/>
                </w:tcPr>
                <w:p w14:paraId="4F02A9EC">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1</w:t>
                  </w:r>
                </w:p>
              </w:tc>
              <w:tc>
                <w:tcPr>
                  <w:tcW w:w="988" w:type="pct"/>
                  <w:noWrap w:val="0"/>
                  <w:vAlign w:val="center"/>
                </w:tcPr>
                <w:p w14:paraId="32D5625C">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水</w:t>
                  </w:r>
                </w:p>
              </w:tc>
              <w:tc>
                <w:tcPr>
                  <w:tcW w:w="1193" w:type="pct"/>
                  <w:noWrap w:val="0"/>
                  <w:vAlign w:val="center"/>
                </w:tcPr>
                <w:p w14:paraId="7376E070">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393.5</w:t>
                  </w:r>
                </w:p>
              </w:tc>
              <w:tc>
                <w:tcPr>
                  <w:tcW w:w="1338" w:type="pct"/>
                  <w:noWrap w:val="0"/>
                  <w:vAlign w:val="center"/>
                </w:tcPr>
                <w:p w14:paraId="2D9E013D">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1"/>
                      <w:szCs w:val="22"/>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/a</w:t>
                  </w:r>
                </w:p>
              </w:tc>
              <w:tc>
                <w:tcPr>
                  <w:tcW w:w="1000" w:type="pct"/>
                  <w:noWrap w:val="0"/>
                  <w:vAlign w:val="center"/>
                </w:tcPr>
                <w:p w14:paraId="59AB0D04">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w:t>
                  </w:r>
                </w:p>
              </w:tc>
            </w:tr>
            <w:tr w14:paraId="5874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78" w:type="pct"/>
                  <w:noWrap w:val="0"/>
                  <w:vAlign w:val="center"/>
                </w:tcPr>
                <w:p w14:paraId="217ED448">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2</w:t>
                  </w:r>
                </w:p>
              </w:tc>
              <w:tc>
                <w:tcPr>
                  <w:tcW w:w="988" w:type="pct"/>
                  <w:noWrap w:val="0"/>
                  <w:vAlign w:val="center"/>
                </w:tcPr>
                <w:p w14:paraId="413827A5">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电</w:t>
                  </w:r>
                </w:p>
              </w:tc>
              <w:tc>
                <w:tcPr>
                  <w:tcW w:w="1193" w:type="pct"/>
                  <w:noWrap w:val="0"/>
                  <w:vAlign w:val="center"/>
                </w:tcPr>
                <w:p w14:paraId="7FE51428">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eastAsia" w:cs="Times New Roman" w:eastAsiaTheme="minorEastAsia"/>
                      <w:color w:val="000000" w:themeColor="text1"/>
                      <w:sz w:val="21"/>
                      <w:szCs w:val="22"/>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万</w:t>
                  </w:r>
                </w:p>
              </w:tc>
              <w:tc>
                <w:tcPr>
                  <w:tcW w:w="1338" w:type="pct"/>
                  <w:noWrap w:val="0"/>
                  <w:vAlign w:val="center"/>
                </w:tcPr>
                <w:p w14:paraId="107EFAF1">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eastAsia" w:cs="Times New Roman" w:eastAsiaTheme="minorEastAsia"/>
                      <w:color w:val="000000" w:themeColor="text1"/>
                      <w:sz w:val="21"/>
                      <w:szCs w:val="22"/>
                      <w:lang w:val="en-US" w:eastAsia="zh-CN"/>
                      <w14:textFill>
                        <w14:solidFill>
                          <w14:schemeClr w14:val="tx1"/>
                        </w14:solidFill>
                      </w14:textFill>
                    </w:rPr>
                    <w:t>kW</w:t>
                  </w: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·h/a</w:t>
                  </w:r>
                </w:p>
              </w:tc>
              <w:tc>
                <w:tcPr>
                  <w:tcW w:w="1000" w:type="pct"/>
                  <w:noWrap w:val="0"/>
                  <w:vAlign w:val="center"/>
                </w:tcPr>
                <w:p w14:paraId="14493BD6">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w:t>
                  </w:r>
                </w:p>
              </w:tc>
            </w:tr>
            <w:tr w14:paraId="496C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78" w:type="pct"/>
                  <w:noWrap w:val="0"/>
                  <w:vAlign w:val="center"/>
                </w:tcPr>
                <w:p w14:paraId="1A231EED">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3</w:t>
                  </w:r>
                </w:p>
              </w:tc>
              <w:tc>
                <w:tcPr>
                  <w:tcW w:w="988" w:type="pct"/>
                  <w:noWrap w:val="0"/>
                  <w:vAlign w:val="center"/>
                </w:tcPr>
                <w:p w14:paraId="6286CAC3">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硫化氢气体</w:t>
                  </w:r>
                </w:p>
              </w:tc>
              <w:tc>
                <w:tcPr>
                  <w:tcW w:w="1193" w:type="pct"/>
                  <w:noWrap w:val="0"/>
                  <w:vAlign w:val="center"/>
                </w:tcPr>
                <w:p w14:paraId="5714AABD">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35</w:t>
                  </w:r>
                </w:p>
              </w:tc>
              <w:tc>
                <w:tcPr>
                  <w:tcW w:w="1338" w:type="pct"/>
                  <w:noWrap w:val="0"/>
                  <w:vAlign w:val="center"/>
                </w:tcPr>
                <w:p w14:paraId="29516F90">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瓶/年</w:t>
                  </w:r>
                </w:p>
              </w:tc>
              <w:tc>
                <w:tcPr>
                  <w:tcW w:w="1000" w:type="pct"/>
                  <w:vMerge w:val="restart"/>
                  <w:noWrap w:val="0"/>
                  <w:vAlign w:val="center"/>
                </w:tcPr>
                <w:p w14:paraId="385F5A33">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供应商更换</w:t>
                  </w:r>
                </w:p>
              </w:tc>
            </w:tr>
            <w:tr w14:paraId="3805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78" w:type="pct"/>
                  <w:noWrap w:val="0"/>
                  <w:vAlign w:val="center"/>
                </w:tcPr>
                <w:p w14:paraId="0FA6E5A5">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4</w:t>
                  </w:r>
                </w:p>
              </w:tc>
              <w:tc>
                <w:tcPr>
                  <w:tcW w:w="988" w:type="pct"/>
                  <w:noWrap w:val="0"/>
                  <w:vAlign w:val="center"/>
                </w:tcPr>
                <w:p w14:paraId="716F8F17">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氮气</w:t>
                  </w:r>
                </w:p>
              </w:tc>
              <w:tc>
                <w:tcPr>
                  <w:tcW w:w="1193" w:type="pct"/>
                  <w:noWrap w:val="0"/>
                  <w:vAlign w:val="center"/>
                </w:tcPr>
                <w:p w14:paraId="7DE28873">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60</w:t>
                  </w:r>
                </w:p>
              </w:tc>
              <w:tc>
                <w:tcPr>
                  <w:tcW w:w="1338" w:type="pct"/>
                  <w:noWrap w:val="0"/>
                  <w:vAlign w:val="center"/>
                </w:tcPr>
                <w:p w14:paraId="2B665856">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瓶/年</w:t>
                  </w:r>
                </w:p>
              </w:tc>
              <w:tc>
                <w:tcPr>
                  <w:tcW w:w="1000" w:type="pct"/>
                  <w:vMerge w:val="continue"/>
                  <w:noWrap w:val="0"/>
                  <w:vAlign w:val="center"/>
                </w:tcPr>
                <w:p w14:paraId="1764AD70">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p>
              </w:tc>
            </w:tr>
          </w:tbl>
          <w:p w14:paraId="4048B792">
            <w:pPr>
              <w:autoSpaceDE w:val="0"/>
              <w:autoSpaceDN w:val="0"/>
              <w:spacing w:before="156" w:beforeLines="50"/>
              <w:ind w:firstLine="482"/>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4、产品方案及检测依据</w:t>
            </w:r>
          </w:p>
          <w:p w14:paraId="397EDBD1">
            <w:pPr>
              <w:autoSpaceDE w:val="0"/>
              <w:autoSpaceDN w:val="0"/>
              <w:spacing w:before="156" w:beforeLines="50"/>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表2-</w:t>
            </w:r>
            <w:r>
              <w:rPr>
                <w:rFonts w:hint="default" w:ascii="Times New Roman" w:hAnsi="Times New Roman" w:cs="Times New Roman"/>
                <w:b/>
                <w:bCs/>
                <w:color w:val="000000" w:themeColor="text1"/>
                <w:sz w:val="21"/>
                <w:szCs w:val="21"/>
                <w:lang w:val="en-US" w:eastAsia="zh-CN"/>
                <w14:textFill>
                  <w14:solidFill>
                    <w14:schemeClr w14:val="tx1"/>
                  </w14:solidFill>
                </w14:textFill>
              </w:rPr>
              <w:t>6产品方案及检测依据</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885"/>
              <w:gridCol w:w="1851"/>
              <w:gridCol w:w="1335"/>
              <w:gridCol w:w="3567"/>
            </w:tblGrid>
            <w:tr w14:paraId="338F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522AA37F">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序号</w:t>
                  </w:r>
                </w:p>
              </w:tc>
              <w:tc>
                <w:tcPr>
                  <w:tcW w:w="2736" w:type="dxa"/>
                  <w:gridSpan w:val="2"/>
                  <w:vAlign w:val="center"/>
                </w:tcPr>
                <w:p w14:paraId="4A7BB780">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产品名称</w:t>
                  </w:r>
                </w:p>
              </w:tc>
              <w:tc>
                <w:tcPr>
                  <w:tcW w:w="1335" w:type="dxa"/>
                  <w:vAlign w:val="center"/>
                </w:tcPr>
                <w:p w14:paraId="72F361CB">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设计能力/年</w:t>
                  </w:r>
                </w:p>
              </w:tc>
              <w:tc>
                <w:tcPr>
                  <w:tcW w:w="3567" w:type="dxa"/>
                  <w:vAlign w:val="center"/>
                </w:tcPr>
                <w:p w14:paraId="6CADAFB1">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检测依据</w:t>
                  </w:r>
                </w:p>
              </w:tc>
            </w:tr>
            <w:tr w14:paraId="3869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1FFFB6E0">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1</w:t>
                  </w:r>
                </w:p>
              </w:tc>
              <w:tc>
                <w:tcPr>
                  <w:tcW w:w="885" w:type="dxa"/>
                  <w:vMerge w:val="restart"/>
                  <w:vAlign w:val="center"/>
                </w:tcPr>
                <w:p w14:paraId="6C9EA039">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第三方检测报告</w:t>
                  </w:r>
                </w:p>
              </w:tc>
              <w:tc>
                <w:tcPr>
                  <w:tcW w:w="1851" w:type="dxa"/>
                  <w:vAlign w:val="center"/>
                </w:tcPr>
                <w:p w14:paraId="47B8C795">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金属材料金相观察报告</w:t>
                  </w:r>
                </w:p>
              </w:tc>
              <w:tc>
                <w:tcPr>
                  <w:tcW w:w="1335" w:type="dxa"/>
                  <w:vAlign w:val="center"/>
                </w:tcPr>
                <w:p w14:paraId="708497F0">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1000份</w:t>
                  </w:r>
                </w:p>
              </w:tc>
              <w:tc>
                <w:tcPr>
                  <w:tcW w:w="3567" w:type="dxa"/>
                  <w:vAlign w:val="center"/>
                </w:tcPr>
                <w:p w14:paraId="216C7B5D">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《金属材料显微组织检验通用方法》（GB/T231.1-2009）；</w:t>
                  </w:r>
                </w:p>
                <w:p w14:paraId="28C9528A">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《金属在硫化氢环境中抗硫化物应力开裂和应力腐蚀开裂的实验室试验方法》（GB/T4157-2017）</w:t>
                  </w:r>
                </w:p>
              </w:tc>
            </w:tr>
            <w:tr w14:paraId="7CF8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1E9CCA23">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2</w:t>
                  </w:r>
                </w:p>
              </w:tc>
              <w:tc>
                <w:tcPr>
                  <w:tcW w:w="885" w:type="dxa"/>
                  <w:vMerge w:val="continue"/>
                  <w:vAlign w:val="center"/>
                </w:tcPr>
                <w:p w14:paraId="520ED351">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p>
              </w:tc>
              <w:tc>
                <w:tcPr>
                  <w:tcW w:w="1851" w:type="dxa"/>
                  <w:vAlign w:val="center"/>
                </w:tcPr>
                <w:p w14:paraId="0B6AD47C">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金属材料表面耐腐蚀性检测报告</w:t>
                  </w:r>
                </w:p>
              </w:tc>
              <w:tc>
                <w:tcPr>
                  <w:tcW w:w="1335" w:type="dxa"/>
                  <w:vAlign w:val="center"/>
                </w:tcPr>
                <w:p w14:paraId="71AD7E58">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2500份</w:t>
                  </w:r>
                </w:p>
              </w:tc>
              <w:tc>
                <w:tcPr>
                  <w:tcW w:w="3567" w:type="dxa"/>
                  <w:vMerge w:val="restart"/>
                  <w:vAlign w:val="center"/>
                </w:tcPr>
                <w:p w14:paraId="01965731">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《管道、压力容器抗氢致开裂钢性能评价的试验方法》</w:t>
                  </w:r>
                  <w:r>
                    <w:rPr>
                      <w:rFonts w:hint="eastAsia" w:ascii="Times New Roman" w:hAnsi="Times New Roman" w:cs="Times New Roman" w:eastAsiaTheme="minorEastAsia"/>
                      <w:color w:val="000000" w:themeColor="text1"/>
                      <w:sz w:val="21"/>
                      <w:szCs w:val="22"/>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NACETM0284-2016</w:t>
                  </w:r>
                  <w:r>
                    <w:rPr>
                      <w:rFonts w:hint="eastAsia" w:ascii="Times New Roman" w:hAnsi="Times New Roman" w:cs="Times New Roman" w:eastAsiaTheme="minorEastAsia"/>
                      <w:color w:val="000000" w:themeColor="text1"/>
                      <w:sz w:val="21"/>
                      <w:szCs w:val="22"/>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w:t>
                  </w:r>
                </w:p>
                <w:p w14:paraId="3B820BBF">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《金属在H</w:t>
                  </w:r>
                  <w:r>
                    <w:rPr>
                      <w:rFonts w:hint="default" w:ascii="Times New Roman" w:hAnsi="Times New Roman" w:cs="Times New Roman" w:eastAsiaTheme="minorEastAsia"/>
                      <w:color w:val="000000" w:themeColor="text1"/>
                      <w:sz w:val="21"/>
                      <w:szCs w:val="22"/>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S环境中抗硫化物应力开裂和应力腐蚀开裂的实验室试验的标准试验方法》</w:t>
                  </w:r>
                  <w:r>
                    <w:rPr>
                      <w:rFonts w:hint="eastAsia" w:ascii="Times New Roman" w:hAnsi="Times New Roman" w:cs="Times New Roman" w:eastAsiaTheme="minorEastAsia"/>
                      <w:color w:val="000000" w:themeColor="text1"/>
                      <w:sz w:val="21"/>
                      <w:szCs w:val="22"/>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NACETM0177-2016</w:t>
                  </w:r>
                  <w:r>
                    <w:rPr>
                      <w:rFonts w:hint="eastAsia" w:ascii="Times New Roman" w:hAnsi="Times New Roman" w:cs="Times New Roman" w:eastAsiaTheme="minorEastAsia"/>
                      <w:color w:val="000000" w:themeColor="text1"/>
                      <w:sz w:val="21"/>
                      <w:szCs w:val="22"/>
                      <w:lang w:val="en-US" w:eastAsia="zh-CN"/>
                      <w14:textFill>
                        <w14:solidFill>
                          <w14:schemeClr w14:val="tx1"/>
                        </w14:solidFill>
                      </w14:textFill>
                    </w:rPr>
                    <w:t>）</w:t>
                  </w:r>
                </w:p>
              </w:tc>
            </w:tr>
            <w:tr w14:paraId="1437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411B8C0B">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3</w:t>
                  </w:r>
                </w:p>
              </w:tc>
              <w:tc>
                <w:tcPr>
                  <w:tcW w:w="885" w:type="dxa"/>
                  <w:vMerge w:val="continue"/>
                  <w:vAlign w:val="center"/>
                </w:tcPr>
                <w:p w14:paraId="51A12BF1">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p>
              </w:tc>
              <w:tc>
                <w:tcPr>
                  <w:tcW w:w="1851" w:type="dxa"/>
                  <w:vAlign w:val="center"/>
                </w:tcPr>
                <w:p w14:paraId="3658CD31">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金属管道、压力容器HIC、SSC分析报告</w:t>
                  </w:r>
                </w:p>
              </w:tc>
              <w:tc>
                <w:tcPr>
                  <w:tcW w:w="1335" w:type="dxa"/>
                  <w:vAlign w:val="center"/>
                </w:tcPr>
                <w:p w14:paraId="00EAA3EF">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2"/>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t>00份</w:t>
                  </w:r>
                </w:p>
              </w:tc>
              <w:tc>
                <w:tcPr>
                  <w:tcW w:w="3567" w:type="dxa"/>
                  <w:vMerge w:val="continue"/>
                  <w:vAlign w:val="center"/>
                </w:tcPr>
                <w:p w14:paraId="1DC1B24B">
                  <w:pPr>
                    <w:spacing w:line="240" w:lineRule="auto"/>
                    <w:ind w:firstLine="0" w:firstLineChars="0"/>
                    <w:jc w:val="center"/>
                    <w:rPr>
                      <w:rFonts w:hint="default" w:ascii="Times New Roman" w:hAnsi="Times New Roman" w:cs="Times New Roman" w:eastAsiaTheme="minorEastAsia"/>
                      <w:color w:val="000000" w:themeColor="text1"/>
                      <w:sz w:val="21"/>
                      <w:szCs w:val="22"/>
                      <w:lang w:val="en-US" w:eastAsia="zh-CN"/>
                      <w14:textFill>
                        <w14:solidFill>
                          <w14:schemeClr w14:val="tx1"/>
                        </w14:solidFill>
                      </w14:textFill>
                    </w:rPr>
                  </w:pPr>
                </w:p>
              </w:tc>
            </w:tr>
          </w:tbl>
          <w:p w14:paraId="1F379E0C">
            <w:pPr>
              <w:autoSpaceDE w:val="0"/>
              <w:autoSpaceDN w:val="0"/>
              <w:spacing w:before="156" w:beforeLines="50"/>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14:textFill>
                  <w14:solidFill>
                    <w14:schemeClr w14:val="tx1"/>
                  </w14:solidFill>
                </w14:textFill>
              </w:rPr>
              <w:t>、</w:t>
            </w:r>
            <w:bookmarkStart w:id="10" w:name="_Hlk147263081"/>
            <w:r>
              <w:rPr>
                <w:rFonts w:hint="default" w:ascii="Times New Roman" w:hAnsi="Times New Roman" w:cs="Times New Roman"/>
                <w:b/>
                <w:bCs/>
                <w:color w:val="000000" w:themeColor="text1"/>
                <w14:textFill>
                  <w14:solidFill>
                    <w14:schemeClr w14:val="tx1"/>
                  </w14:solidFill>
                </w14:textFill>
              </w:rPr>
              <w:t>劳动定员与工作制度</w:t>
            </w:r>
            <w:bookmarkEnd w:id="10"/>
          </w:p>
          <w:p w14:paraId="1A8E7CDB">
            <w:pPr>
              <w:pStyle w:val="16"/>
              <w:ind w:firstLine="48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本项目劳动定员20人（其中包括试验人员和管理人员），每班工作8小时，年工作300天，一班制，年有效工作时间2400h，均不在</w:t>
            </w:r>
            <w:r>
              <w:rPr>
                <w:rFonts w:hint="default" w:ascii="Times New Roman" w:hAnsi="Times New Roman" w:cs="Times New Roman"/>
                <w:color w:val="000000" w:themeColor="text1"/>
                <w:lang w:val="en-US" w:eastAsia="zh-CN"/>
                <w14:textFill>
                  <w14:solidFill>
                    <w14:schemeClr w14:val="tx1"/>
                  </w14:solidFill>
                </w14:textFill>
              </w:rPr>
              <w:t>项目区内</w:t>
            </w:r>
            <w:r>
              <w:rPr>
                <w:rFonts w:hint="default" w:ascii="Times New Roman" w:hAnsi="Times New Roman" w:cs="Times New Roman"/>
                <w:color w:val="000000" w:themeColor="text1"/>
                <w14:textFill>
                  <w14:solidFill>
                    <w14:schemeClr w14:val="tx1"/>
                  </w14:solidFill>
                </w14:textFill>
              </w:rPr>
              <w:t>食宿。</w:t>
            </w:r>
          </w:p>
          <w:p w14:paraId="231B0652">
            <w:pPr>
              <w:ind w:firstLine="482"/>
              <w:rPr>
                <w:rFonts w:hint="default" w:ascii="Times New Roman" w:hAnsi="Times New Roman" w:cs="Times New Roman"/>
                <w:b/>
                <w:bCs/>
                <w:color w:val="000000" w:themeColor="text1"/>
                <w14:textFill>
                  <w14:solidFill>
                    <w14:schemeClr w14:val="tx1"/>
                  </w14:solidFill>
                </w14:textFill>
              </w:rPr>
            </w:pPr>
            <w:bookmarkStart w:id="11" w:name="_Hlk147474866"/>
            <w:r>
              <w:rPr>
                <w:rFonts w:hint="default" w:ascii="Times New Roman" w:hAnsi="Times New Roman" w:cs="Times New Roman"/>
                <w:b/>
                <w:bCs/>
                <w:color w:val="000000" w:themeColor="text1"/>
                <w14:textFill>
                  <w14:solidFill>
                    <w14:schemeClr w14:val="tx1"/>
                  </w14:solidFill>
                </w14:textFill>
              </w:rPr>
              <w:t>6、公用工程</w:t>
            </w:r>
          </w:p>
          <w:p w14:paraId="32E60DA9">
            <w:pPr>
              <w:pStyle w:val="20"/>
              <w:spacing w:after="0"/>
              <w:ind w:left="0" w:leftChars="0" w:firstLine="482"/>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（1）</w:t>
            </w:r>
            <w:r>
              <w:rPr>
                <w:rFonts w:hint="default" w:ascii="Times New Roman" w:hAnsi="Times New Roman" w:cs="Times New Roman"/>
                <w:b w:val="0"/>
                <w:bCs w:val="0"/>
                <w:color w:val="000000" w:themeColor="text1"/>
                <w:lang w:val="en-US" w:eastAsia="zh-CN"/>
                <w14:textFill>
                  <w14:solidFill>
                    <w14:schemeClr w14:val="tx1"/>
                  </w14:solidFill>
                </w14:textFill>
              </w:rPr>
              <w:t>给排水</w:t>
            </w:r>
          </w:p>
          <w:p w14:paraId="00048CF9">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①生活用水</w:t>
            </w:r>
          </w:p>
          <w:p w14:paraId="224531F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新宋体"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项目给水</w:t>
            </w:r>
            <w:r>
              <w:rPr>
                <w:rFonts w:hint="default" w:ascii="Times New Roman" w:hAnsi="Times New Roman" w:cs="Times New Roman"/>
                <w:color w:val="000000" w:themeColor="text1"/>
                <w:lang w:val="en-US" w:eastAsia="zh-CN"/>
                <w14:textFill>
                  <w14:solidFill>
                    <w14:schemeClr w14:val="tx1"/>
                  </w14:solidFill>
                </w14:textFill>
              </w:rPr>
              <w:t>依托现有</w:t>
            </w:r>
            <w:r>
              <w:rPr>
                <w:rFonts w:hint="default" w:ascii="Times New Roman" w:hAnsi="Times New Roman" w:cs="Times New Roman"/>
                <w:color w:val="000000" w:themeColor="text1"/>
                <w14:textFill>
                  <w14:solidFill>
                    <w14:schemeClr w14:val="tx1"/>
                  </w14:solidFill>
                </w14:textFill>
              </w:rPr>
              <w:t>市政给水管网供给，市政给水管网管径为DN300，接入管径为DN100，供水压力为0.35MPa。</w:t>
            </w:r>
            <w:r>
              <w:rPr>
                <w:rFonts w:hint="default" w:ascii="Times New Roman" w:hAnsi="Times New Roman" w:eastAsia="新宋体" w:cs="Times New Roman"/>
                <w:b w:val="0"/>
                <w:bCs w:val="0"/>
                <w:color w:val="000000" w:themeColor="text1"/>
                <w:sz w:val="24"/>
                <w:lang w:val="en-US" w:eastAsia="zh-CN"/>
                <w14:textFill>
                  <w14:solidFill>
                    <w14:schemeClr w14:val="tx1"/>
                  </w14:solidFill>
                </w14:textFill>
              </w:rPr>
              <w:t>本项目劳动定员</w:t>
            </w:r>
            <w:r>
              <w:rPr>
                <w:rFonts w:hint="default" w:ascii="Times New Roman" w:hAnsi="Times New Roman" w:eastAsia="新宋体" w:cs="Times New Roman"/>
                <w:b w:val="0"/>
                <w:bCs w:val="0"/>
                <w:color w:val="000000" w:themeColor="text1"/>
                <w:sz w:val="24"/>
                <w:lang w:eastAsia="zh-CN"/>
                <w14:textFill>
                  <w14:solidFill>
                    <w14:schemeClr w14:val="tx1"/>
                  </w14:solidFill>
                </w14:textFill>
              </w:rPr>
              <w:t>人员</w:t>
            </w:r>
            <w:r>
              <w:rPr>
                <w:rFonts w:hint="default" w:ascii="Times New Roman" w:hAnsi="Times New Roman" w:eastAsia="新宋体" w:cs="Times New Roman"/>
                <w:b w:val="0"/>
                <w:bCs w:val="0"/>
                <w:color w:val="000000" w:themeColor="text1"/>
                <w:sz w:val="24"/>
                <w:lang w:val="en-US" w:eastAsia="zh-CN"/>
                <w14:textFill>
                  <w14:solidFill>
                    <w14:schemeClr w14:val="tx1"/>
                  </w14:solidFill>
                </w14:textFill>
              </w:rPr>
              <w:t>15</w:t>
            </w:r>
            <w:r>
              <w:rPr>
                <w:rFonts w:hint="default" w:ascii="Times New Roman" w:hAnsi="Times New Roman" w:eastAsia="新宋体" w:cs="Times New Roman"/>
                <w:b w:val="0"/>
                <w:bCs w:val="0"/>
                <w:color w:val="000000" w:themeColor="text1"/>
                <w:sz w:val="24"/>
                <w:lang w:eastAsia="zh-CN"/>
                <w14:textFill>
                  <w14:solidFill>
                    <w14:schemeClr w14:val="tx1"/>
                  </w14:solidFill>
                </w14:textFill>
              </w:rPr>
              <w:t>人</w:t>
            </w:r>
            <w:r>
              <w:rPr>
                <w:rFonts w:hint="default" w:ascii="Times New Roman" w:hAnsi="Times New Roman" w:eastAsia="新宋体" w:cs="Times New Roman"/>
                <w:b w:val="0"/>
                <w:bCs w:val="0"/>
                <w:color w:val="000000" w:themeColor="text1"/>
                <w:sz w:val="24"/>
                <w:lang w:val="en-US" w:eastAsia="zh-CN"/>
                <w14:textFill>
                  <w14:solidFill>
                    <w14:schemeClr w14:val="tx1"/>
                  </w14:solidFill>
                </w14:textFill>
              </w:rPr>
              <w:t>不在厂内食宿</w:t>
            </w:r>
            <w:r>
              <w:rPr>
                <w:rFonts w:hint="default" w:ascii="Times New Roman" w:hAnsi="Times New Roman" w:eastAsia="新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新宋体" w:cs="Times New Roman"/>
                <w:b w:val="0"/>
                <w:bCs w:val="0"/>
                <w:color w:val="000000" w:themeColor="text1"/>
                <w:sz w:val="24"/>
                <w:lang w:val="en-US" w:eastAsia="zh-CN"/>
                <w14:textFill>
                  <w14:solidFill>
                    <w14:schemeClr w14:val="tx1"/>
                  </w14:solidFill>
                </w14:textFill>
              </w:rPr>
              <w:t>清洗、淋浴等</w:t>
            </w:r>
            <w:r>
              <w:rPr>
                <w:rFonts w:hint="default" w:ascii="Times New Roman" w:hAnsi="Times New Roman" w:eastAsia="新宋体" w:cs="Times New Roman"/>
                <w:b w:val="0"/>
                <w:bCs w:val="0"/>
                <w:color w:val="000000" w:themeColor="text1"/>
                <w:sz w:val="24"/>
                <w:lang w:eastAsia="zh-CN"/>
                <w14:textFill>
                  <w14:solidFill>
                    <w14:schemeClr w14:val="tx1"/>
                  </w14:solidFill>
                </w14:textFill>
              </w:rPr>
              <w:t>根据《新疆维吾尔自治区工业和生活用水定额》职工生活用水以</w:t>
            </w:r>
            <w:r>
              <w:rPr>
                <w:rFonts w:hint="default" w:ascii="Times New Roman" w:hAnsi="Times New Roman" w:eastAsia="新宋体" w:cs="Times New Roman"/>
                <w:b w:val="0"/>
                <w:bCs w:val="0"/>
                <w:color w:val="000000" w:themeColor="text1"/>
                <w:sz w:val="24"/>
                <w:lang w:val="en-US" w:eastAsia="zh-CN"/>
                <w14:textFill>
                  <w14:solidFill>
                    <w14:schemeClr w14:val="tx1"/>
                  </w14:solidFill>
                </w14:textFill>
              </w:rPr>
              <w:t>40</w:t>
            </w:r>
            <w:r>
              <w:rPr>
                <w:rFonts w:hint="default" w:ascii="Times New Roman" w:hAnsi="Times New Roman" w:eastAsia="新宋体" w:cs="Times New Roman"/>
                <w:b w:val="0"/>
                <w:bCs w:val="0"/>
                <w:color w:val="000000" w:themeColor="text1"/>
                <w:sz w:val="24"/>
                <w:lang w:eastAsia="zh-CN"/>
                <w14:textFill>
                  <w14:solidFill>
                    <w14:schemeClr w14:val="tx1"/>
                  </w14:solidFill>
                </w14:textFill>
              </w:rPr>
              <w:t>L/人·d计，生活用水量约为</w:t>
            </w:r>
            <w:r>
              <w:rPr>
                <w:rFonts w:hint="default" w:ascii="Times New Roman" w:hAnsi="Times New Roman" w:eastAsia="新宋体" w:cs="Times New Roman"/>
                <w:b w:val="0"/>
                <w:bCs w:val="0"/>
                <w:color w:val="000000" w:themeColor="text1"/>
                <w:sz w:val="24"/>
                <w:lang w:val="en-US" w:eastAsia="zh-CN"/>
                <w14:textFill>
                  <w14:solidFill>
                    <w14:schemeClr w14:val="tx1"/>
                  </w14:solidFill>
                </w14:textFill>
              </w:rPr>
              <w:t>0.8</w:t>
            </w:r>
            <w:r>
              <w:rPr>
                <w:rFonts w:hint="default" w:ascii="Times New Roman" w:hAnsi="Times New Roman" w:eastAsia="新宋体" w:cs="Times New Roman"/>
                <w:b w:val="0"/>
                <w:bCs w:val="0"/>
                <w:color w:val="000000" w:themeColor="text1"/>
                <w:sz w:val="24"/>
                <w:lang w:eastAsia="zh-CN"/>
                <w14:textFill>
                  <w14:solidFill>
                    <w14:schemeClr w14:val="tx1"/>
                  </w14:solidFill>
                </w14:textFill>
              </w:rPr>
              <w:t>m</w:t>
            </w:r>
            <w:r>
              <w:rPr>
                <w:rFonts w:hint="default" w:ascii="Times New Roman" w:hAnsi="Times New Roman" w:eastAsia="新宋体" w:cs="Times New Roman"/>
                <w:b w:val="0"/>
                <w:bCs w:val="0"/>
                <w:color w:val="000000" w:themeColor="text1"/>
                <w:sz w:val="24"/>
                <w:vertAlign w:val="superscript"/>
                <w:lang w:eastAsia="zh-CN"/>
                <w14:textFill>
                  <w14:solidFill>
                    <w14:schemeClr w14:val="tx1"/>
                  </w14:solidFill>
                </w14:textFill>
              </w:rPr>
              <w:t>3</w:t>
            </w:r>
            <w:r>
              <w:rPr>
                <w:rFonts w:hint="default" w:ascii="Times New Roman" w:hAnsi="Times New Roman" w:eastAsia="新宋体" w:cs="Times New Roman"/>
                <w:b w:val="0"/>
                <w:bCs w:val="0"/>
                <w:color w:val="000000" w:themeColor="text1"/>
                <w:sz w:val="24"/>
                <w:lang w:eastAsia="zh-CN"/>
                <w14:textFill>
                  <w14:solidFill>
                    <w14:schemeClr w14:val="tx1"/>
                  </w14:solidFill>
                </w14:textFill>
              </w:rPr>
              <w:t>/d（</w:t>
            </w:r>
            <w:r>
              <w:rPr>
                <w:rFonts w:hint="default" w:ascii="Times New Roman" w:hAnsi="Times New Roman" w:eastAsia="新宋体" w:cs="Times New Roman"/>
                <w:b w:val="0"/>
                <w:bCs w:val="0"/>
                <w:color w:val="000000" w:themeColor="text1"/>
                <w:sz w:val="24"/>
                <w:lang w:val="en-US" w:eastAsia="zh-CN"/>
                <w14:textFill>
                  <w14:solidFill>
                    <w14:schemeClr w14:val="tx1"/>
                  </w14:solidFill>
                </w14:textFill>
              </w:rPr>
              <w:t>240</w:t>
            </w:r>
            <w:r>
              <w:rPr>
                <w:rFonts w:hint="default" w:ascii="Times New Roman" w:hAnsi="Times New Roman" w:eastAsia="新宋体" w:cs="Times New Roman"/>
                <w:b w:val="0"/>
                <w:bCs w:val="0"/>
                <w:color w:val="000000" w:themeColor="text1"/>
                <w:sz w:val="24"/>
                <w:lang w:eastAsia="zh-CN"/>
                <w14:textFill>
                  <w14:solidFill>
                    <w14:schemeClr w14:val="tx1"/>
                  </w14:solidFill>
                </w14:textFill>
              </w:rPr>
              <w:t>m</w:t>
            </w:r>
            <w:r>
              <w:rPr>
                <w:rFonts w:hint="default" w:ascii="Times New Roman" w:hAnsi="Times New Roman" w:eastAsia="新宋体" w:cs="Times New Roman"/>
                <w:b w:val="0"/>
                <w:bCs w:val="0"/>
                <w:color w:val="000000" w:themeColor="text1"/>
                <w:sz w:val="24"/>
                <w:vertAlign w:val="superscript"/>
                <w:lang w:eastAsia="zh-CN"/>
                <w14:textFill>
                  <w14:solidFill>
                    <w14:schemeClr w14:val="tx1"/>
                  </w14:solidFill>
                </w14:textFill>
              </w:rPr>
              <w:t>3</w:t>
            </w:r>
            <w:r>
              <w:rPr>
                <w:rFonts w:hint="default" w:ascii="Times New Roman" w:hAnsi="Times New Roman" w:eastAsia="新宋体" w:cs="Times New Roman"/>
                <w:b w:val="0"/>
                <w:bCs w:val="0"/>
                <w:color w:val="000000" w:themeColor="text1"/>
                <w:sz w:val="24"/>
                <w:lang w:eastAsia="zh-CN"/>
                <w14:textFill>
                  <w14:solidFill>
                    <w14:schemeClr w14:val="tx1"/>
                  </w14:solidFill>
                </w14:textFill>
              </w:rPr>
              <w:t>/a）。</w:t>
            </w:r>
          </w:p>
          <w:p w14:paraId="2875B797">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生活污水</w:t>
            </w:r>
            <w:r>
              <w:rPr>
                <w:rFonts w:hint="default" w:ascii="Times New Roman" w:hAnsi="Times New Roman" w:cs="Times New Roman"/>
                <w:color w:val="000000" w:themeColor="text1"/>
                <w14:textFill>
                  <w14:solidFill>
                    <w14:schemeClr w14:val="tx1"/>
                  </w14:solidFill>
                </w14:textFill>
              </w:rPr>
              <w:t>排污系数取0.8，生活污水排放总量为</w:t>
            </w:r>
            <w:r>
              <w:rPr>
                <w:rFonts w:hint="default" w:ascii="Times New Roman" w:hAnsi="Times New Roman" w:cs="Times New Roman"/>
                <w:color w:val="000000" w:themeColor="text1"/>
                <w:lang w:val="en-US" w:eastAsia="zh-CN"/>
                <w14:textFill>
                  <w14:solidFill>
                    <w14:schemeClr w14:val="tx1"/>
                  </w14:solidFill>
                </w14:textFill>
              </w:rPr>
              <w:t>192</w:t>
            </w:r>
            <w:r>
              <w:rPr>
                <w:rFonts w:hint="default" w:ascii="Times New Roman" w:hAnsi="Times New Roman" w:cs="Times New Roman"/>
                <w:color w:val="000000" w:themeColor="text1"/>
                <w14:textFill>
                  <w14:solidFill>
                    <w14:schemeClr w14:val="tx1"/>
                  </w14:solidFill>
                </w14:textFill>
              </w:rPr>
              <w:t>t/a。主要污染物为COD、SS、氨氮、</w:t>
            </w:r>
            <w:r>
              <w:rPr>
                <w:rFonts w:hint="default" w:ascii="Times New Roman" w:hAnsi="Times New Roman" w:cs="Times New Roman"/>
                <w:color w:val="000000" w:themeColor="text1"/>
                <w:lang w:val="en-US" w:eastAsia="zh-CN"/>
                <w14:textFill>
                  <w14:solidFill>
                    <w14:schemeClr w14:val="tx1"/>
                  </w14:solidFill>
                </w14:textFill>
              </w:rPr>
              <w:t>LAS</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生活污水排入市政污水管网，进入</w:t>
            </w:r>
            <w:r>
              <w:rPr>
                <w:rFonts w:hint="eastAsia" w:ascii="Times New Roman" w:hAnsi="Times New Roman" w:cs="Times New Roman"/>
                <w:color w:val="000000" w:themeColor="text1"/>
                <w:lang w:val="en-US" w:eastAsia="zh-CN"/>
                <w14:textFill>
                  <w14:solidFill>
                    <w14:schemeClr w14:val="tx1"/>
                  </w14:solidFill>
                </w14:textFill>
              </w:rPr>
              <w:t>库尔勒经济技术开发区工业废水处理回用厂</w:t>
            </w:r>
            <w:r>
              <w:rPr>
                <w:rFonts w:hint="default" w:ascii="Times New Roman" w:hAnsi="Times New Roman" w:cs="Times New Roman"/>
                <w:color w:val="000000" w:themeColor="text1"/>
                <w:lang w:val="en-US" w:eastAsia="zh-CN"/>
                <w14:textFill>
                  <w14:solidFill>
                    <w14:schemeClr w14:val="tx1"/>
                  </w14:solidFill>
                </w14:textFill>
              </w:rPr>
              <w:t>。</w:t>
            </w:r>
          </w:p>
          <w:p w14:paraId="7EA6AC20">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w:t>
            </w:r>
            <w:r>
              <w:rPr>
                <w:rFonts w:hint="default" w:ascii="Times New Roman" w:hAnsi="Times New Roman" w:cs="Times New Roman"/>
                <w:color w:val="000000" w:themeColor="text1"/>
                <w:lang w:val="en-US" w:eastAsia="zh-CN"/>
                <w14:textFill>
                  <w14:solidFill>
                    <w14:schemeClr w14:val="tx1"/>
                  </w14:solidFill>
                </w14:textFill>
              </w:rPr>
              <w:t>清洗用水</w:t>
            </w:r>
          </w:p>
          <w:p w14:paraId="310CB502">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本项目实验室需用自来水清洗烧杯、器皿等，实验器具分三次清洗，第一次、第二次清洗用自来水将器具表面附着物清洗干净，用水量分别为0.02t/d（6t/a）、0.02t/d（6</w:t>
            </w:r>
            <w:r>
              <w:rPr>
                <w:rFonts w:hint="eastAsia" w:cs="Times New Roman"/>
                <w:color w:val="000000" w:themeColor="text1"/>
                <w:lang w:val="en-US" w:eastAsia="zh-CN"/>
                <w14:textFill>
                  <w14:solidFill>
                    <w14:schemeClr w14:val="tx1"/>
                  </w14:solidFill>
                </w14:textFill>
              </w:rPr>
              <w:t>t</w:t>
            </w:r>
            <w:r>
              <w:rPr>
                <w:rFonts w:hint="default" w:ascii="Times New Roman" w:hAnsi="Times New Roman" w:cs="Times New Roman"/>
                <w:color w:val="000000" w:themeColor="text1"/>
                <w14:textFill>
                  <w14:solidFill>
                    <w14:schemeClr w14:val="tx1"/>
                  </w14:solidFill>
                </w14:textFill>
              </w:rPr>
              <w:t>/a），第三次清洗用水采用纯水，根据</w:t>
            </w:r>
            <w:r>
              <w:rPr>
                <w:rFonts w:hint="default" w:ascii="Times New Roman" w:hAnsi="Times New Roman" w:cs="Times New Roman"/>
                <w:color w:val="000000" w:themeColor="text1"/>
                <w:lang w:val="en-US" w:eastAsia="zh-CN"/>
                <w14:textFill>
                  <w14:solidFill>
                    <w14:schemeClr w14:val="tx1"/>
                  </w14:solidFill>
                </w14:textFill>
              </w:rPr>
              <w:t>现有实验室营运</w:t>
            </w:r>
            <w:r>
              <w:rPr>
                <w:rFonts w:hint="default" w:ascii="Times New Roman" w:hAnsi="Times New Roman" w:cs="Times New Roman"/>
                <w:color w:val="000000" w:themeColor="text1"/>
                <w14:textFill>
                  <w14:solidFill>
                    <w14:schemeClr w14:val="tx1"/>
                  </w14:solidFill>
                </w14:textFill>
              </w:rPr>
              <w:t>资料第三次清洗用水量约为0.02t/d（</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t/a）；自来水清洗用水量约为12t/a，纯水清洗用水量约为6t/a。</w:t>
            </w:r>
          </w:p>
          <w:p w14:paraId="108A0754">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各类实验室器皿清洗用水损耗率约10%，则清洗废水产量约16.2t/a，由高密度聚乙烯密封桶收集后作为危废委托处置。</w:t>
            </w:r>
          </w:p>
          <w:p w14:paraId="3EEFEF05">
            <w:pPr>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t>试剂用水</w:t>
            </w:r>
          </w:p>
          <w:p w14:paraId="340BF66B">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本项目在生产过程中需要使用纯水进行配置，根据</w:t>
            </w:r>
            <w:r>
              <w:rPr>
                <w:rFonts w:hint="default" w:ascii="Times New Roman" w:hAnsi="Times New Roman" w:cs="Times New Roman"/>
                <w:color w:val="000000" w:themeColor="text1"/>
                <w:lang w:val="en-US" w:eastAsia="zh-CN"/>
                <w14:textFill>
                  <w14:solidFill>
                    <w14:schemeClr w14:val="tx1"/>
                  </w14:solidFill>
                </w14:textFill>
              </w:rPr>
              <w:t>企业年检材料4000份</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根据配比</w:t>
            </w:r>
            <w:r>
              <w:rPr>
                <w:rFonts w:hint="default" w:ascii="Times New Roman" w:hAnsi="Times New Roman" w:cs="Times New Roman"/>
                <w:color w:val="000000" w:themeColor="text1"/>
                <w14:textFill>
                  <w14:solidFill>
                    <w14:schemeClr w14:val="tx1"/>
                  </w14:solidFill>
                </w14:textFill>
              </w:rPr>
              <w:t>本项目纯水使用量约</w:t>
            </w:r>
            <w:r>
              <w:rPr>
                <w:rFonts w:hint="default" w:ascii="Times New Roman" w:hAnsi="Times New Roman" w:cs="Times New Roman"/>
                <w:color w:val="000000" w:themeColor="text1"/>
                <w:lang w:val="en-US" w:eastAsia="zh-CN"/>
                <w14:textFill>
                  <w14:solidFill>
                    <w14:schemeClr w14:val="tx1"/>
                  </w14:solidFill>
                </w14:textFill>
              </w:rPr>
              <w:t>0.8</w:t>
            </w:r>
            <w:r>
              <w:rPr>
                <w:rFonts w:hint="default" w:ascii="Times New Roman" w:hAnsi="Times New Roman" w:cs="Times New Roman"/>
                <w:color w:val="000000" w:themeColor="text1"/>
                <w14:textFill>
                  <w14:solidFill>
                    <w14:schemeClr w14:val="tx1"/>
                  </w14:solidFill>
                </w14:textFill>
              </w:rPr>
              <w:t>t/a。</w:t>
            </w:r>
          </w:p>
          <w:p w14:paraId="5F5421DB">
            <w:pPr>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4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纯水制备用水</w:t>
            </w:r>
          </w:p>
          <w:p w14:paraId="315BE3DD">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本项目试剂配制、器皿清洗需要使用纯水量约</w:t>
            </w:r>
            <w:r>
              <w:rPr>
                <w:rFonts w:hint="default" w:ascii="Times New Roman" w:hAnsi="Times New Roman" w:cs="Times New Roman"/>
                <w:color w:val="000000" w:themeColor="text1"/>
                <w:lang w:val="en-US" w:eastAsia="zh-CN"/>
                <w14:textFill>
                  <w14:solidFill>
                    <w14:schemeClr w14:val="tx1"/>
                  </w14:solidFill>
                </w14:textFill>
              </w:rPr>
              <w:t>6.8</w:t>
            </w:r>
            <w:r>
              <w:rPr>
                <w:rFonts w:hint="default" w:ascii="Times New Roman" w:hAnsi="Times New Roman" w:cs="Times New Roman"/>
                <w:color w:val="000000" w:themeColor="text1"/>
                <w14:textFill>
                  <w14:solidFill>
                    <w14:schemeClr w14:val="tx1"/>
                  </w14:solidFill>
                </w14:textFill>
              </w:rPr>
              <w:t>t/a，纯水制备设备制水能力为0.05t/h，纯水工艺采用“二级反渗透工艺”制备纯水，制备效率为80%。则本项目纯水制备用</w:t>
            </w:r>
            <w:r>
              <w:rPr>
                <w:rFonts w:hint="default" w:ascii="Times New Roman" w:hAnsi="Times New Roman" w:cs="Times New Roman"/>
                <w:color w:val="000000" w:themeColor="text1"/>
                <w:lang w:val="en-US" w:eastAsia="zh-CN"/>
                <w14:textFill>
                  <w14:solidFill>
                    <w14:schemeClr w14:val="tx1"/>
                  </w14:solidFill>
                </w14:textFill>
              </w:rPr>
              <w:t>新鲜自来</w:t>
            </w:r>
            <w:r>
              <w:rPr>
                <w:rFonts w:hint="default" w:ascii="Times New Roman" w:hAnsi="Times New Roman" w:cs="Times New Roman"/>
                <w:color w:val="000000" w:themeColor="text1"/>
                <w14:textFill>
                  <w14:solidFill>
                    <w14:schemeClr w14:val="tx1"/>
                  </w14:solidFill>
                </w14:textFill>
              </w:rPr>
              <w:t>水量为</w:t>
            </w:r>
            <w:r>
              <w:rPr>
                <w:rFonts w:hint="default" w:ascii="Times New Roman" w:hAnsi="Times New Roman"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14:textFill>
                  <w14:solidFill>
                    <w14:schemeClr w14:val="tx1"/>
                  </w14:solidFill>
                </w14:textFill>
              </w:rPr>
              <w:t>t/a。</w:t>
            </w:r>
          </w:p>
          <w:p w14:paraId="7905B3E8">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制备纯水废水1.7t/a，随生活污水一同排入市政管网，最终进入</w:t>
            </w:r>
            <w:r>
              <w:rPr>
                <w:rFonts w:hint="eastAsia" w:ascii="Times New Roman" w:hAnsi="Times New Roman" w:cs="Times New Roman"/>
                <w:color w:val="000000" w:themeColor="text1"/>
                <w:lang w:val="en-US" w:eastAsia="zh-CN"/>
                <w14:textFill>
                  <w14:solidFill>
                    <w14:schemeClr w14:val="tx1"/>
                  </w14:solidFill>
                </w14:textFill>
              </w:rPr>
              <w:t>库尔勒经济技术开发区工业废水处理回用厂</w:t>
            </w:r>
            <w:r>
              <w:rPr>
                <w:rFonts w:hint="default" w:ascii="Times New Roman" w:hAnsi="Times New Roman" w:cs="Times New Roman"/>
                <w:color w:val="000000" w:themeColor="text1"/>
                <w:lang w:val="en-US" w:eastAsia="zh-CN"/>
                <w14:textFill>
                  <w14:solidFill>
                    <w14:schemeClr w14:val="tx1"/>
                  </w14:solidFill>
                </w14:textFill>
              </w:rPr>
              <w:t>。</w:t>
            </w:r>
          </w:p>
          <w:p w14:paraId="053FD2EB">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5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⑤</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超声清洗用水</w:t>
            </w:r>
          </w:p>
          <w:p w14:paraId="7BF4DB41">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本项目外送金属试样用自来水超声清洗即可，根据企业提供2台双槽体（容积0.4m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）超声波清洗机，超声清洗用水年用量80t/a。损耗率约10%，则</w:t>
            </w:r>
            <w:r>
              <w:rPr>
                <w:rFonts w:hint="eastAsia" w:cs="Times New Roman"/>
                <w:color w:val="000000" w:themeColor="text1"/>
                <w:lang w:val="en-US" w:eastAsia="zh-CN"/>
                <w14:textFill>
                  <w14:solidFill>
                    <w14:schemeClr w14:val="tx1"/>
                  </w14:solidFill>
                </w14:textFill>
              </w:rPr>
              <w:t>超声清洗</w:t>
            </w:r>
            <w:r>
              <w:rPr>
                <w:rFonts w:hint="default" w:ascii="Times New Roman" w:hAnsi="Times New Roman" w:cs="Times New Roman"/>
                <w:color w:val="000000" w:themeColor="text1"/>
                <w:lang w:val="en-US" w:eastAsia="zh-CN"/>
                <w14:textFill>
                  <w14:solidFill>
                    <w14:schemeClr w14:val="tx1"/>
                  </w14:solidFill>
                </w14:textFill>
              </w:rPr>
              <w:t>废水排放量72t/a排入市政管网。</w:t>
            </w:r>
          </w:p>
          <w:p w14:paraId="17B93DEF">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⑥金相侵蚀用水</w:t>
            </w:r>
          </w:p>
          <w:p w14:paraId="3C17638D">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金相实验样品浸蚀需使用含酸乙醇，然后再用自来水清洗，自来水用量约1.8t/a，损耗率约10%，产生废液约1.62t/a，高密度聚乙烯密封桶收集后作为危废委托处置。</w:t>
            </w:r>
          </w:p>
          <w:p w14:paraId="603E7E1E">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⑦切割、磨抛用水</w:t>
            </w:r>
          </w:p>
          <w:p w14:paraId="38C0FB96">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试验样须达到GB/T4157-2017</w:t>
            </w:r>
            <w:r>
              <w:rPr>
                <w:rFonts w:hint="default" w:ascii="Times New Roman" w:hAnsi="Times New Roman" w:cs="Times New Roman"/>
                <w:color w:val="000000" w:themeColor="text1"/>
                <w14:textFill>
                  <w14:solidFill>
                    <w14:schemeClr w14:val="tx1"/>
                  </w14:solidFill>
                </w14:textFill>
              </w:rPr>
              <w:t>中</w:t>
            </w:r>
            <w:r>
              <w:rPr>
                <w:rFonts w:hint="default" w:ascii="Times New Roman" w:hAnsi="Times New Roman" w:cs="Times New Roman"/>
                <w:color w:val="000000" w:themeColor="text1"/>
                <w:lang w:val="en-US" w:eastAsia="zh-CN"/>
                <w14:textFill>
                  <w14:solidFill>
                    <w14:schemeClr w14:val="tx1"/>
                  </w14:solidFill>
                </w14:textFill>
              </w:rPr>
              <w:t>试验标准</w:t>
            </w:r>
            <w:r>
              <w:rPr>
                <w:rFonts w:hint="default" w:ascii="Times New Roman" w:hAnsi="Times New Roman" w:cs="Times New Roman"/>
                <w:color w:val="000000" w:themeColor="text1"/>
                <w14:textFill>
                  <w14:solidFill>
                    <w14:schemeClr w14:val="tx1"/>
                  </w14:solidFill>
                </w14:textFill>
              </w:rPr>
              <w:t>需</w:t>
            </w:r>
            <w:r>
              <w:rPr>
                <w:rFonts w:hint="default" w:ascii="Times New Roman" w:hAnsi="Times New Roman" w:cs="Times New Roman"/>
                <w:color w:val="000000" w:themeColor="text1"/>
                <w:lang w:val="en-US" w:eastAsia="zh-CN"/>
                <w14:textFill>
                  <w14:solidFill>
                    <w14:schemeClr w14:val="tx1"/>
                  </w14:solidFill>
                </w14:textFill>
              </w:rPr>
              <w:t>切割打磨，</w:t>
            </w:r>
            <w:r>
              <w:rPr>
                <w:rFonts w:hint="default" w:ascii="Times New Roman" w:hAnsi="Times New Roman" w:cs="Times New Roman"/>
                <w:color w:val="000000" w:themeColor="text1"/>
                <w14:textFill>
                  <w14:solidFill>
                    <w14:schemeClr w14:val="tx1"/>
                  </w14:solidFill>
                </w14:textFill>
              </w:rPr>
              <w:t>使用自来水进行直接冷却，冷却水与工件直接接触</w:t>
            </w:r>
            <w:r>
              <w:rPr>
                <w:rFonts w:hint="default" w:ascii="Times New Roman" w:hAnsi="Times New Roman" w:cs="Times New Roman"/>
                <w:color w:val="000000" w:themeColor="text1"/>
                <w:lang w:val="en-US" w:eastAsia="zh-CN"/>
                <w14:textFill>
                  <w14:solidFill>
                    <w14:schemeClr w14:val="tx1"/>
                  </w14:solidFill>
                </w14:textFill>
              </w:rPr>
              <w:t>蒸发损耗，自来水年用量约0.8t/a。</w:t>
            </w:r>
          </w:p>
          <w:p w14:paraId="33D19D77">
            <w:pPr>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⑧</w:t>
            </w:r>
            <w:r>
              <w:rPr>
                <w:rFonts w:hint="default" w:ascii="Times New Roman" w:hAnsi="Times New Roman" w:cs="Times New Roman"/>
                <w:color w:val="000000" w:themeColor="text1"/>
                <w14:textFill>
                  <w14:solidFill>
                    <w14:schemeClr w14:val="tx1"/>
                  </w14:solidFill>
                </w14:textFill>
              </w:rPr>
              <w:t>碱水喷淋用水</w:t>
            </w:r>
          </w:p>
          <w:p w14:paraId="304606ED">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硫化氢废气需使用碱水喷淋进行处理，碱洗塔用水量为碱液：水=1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20，碱液为氢氧化钠配置成10%氢氧化钠溶液</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根据《环境工程技术手册：废气处理工程技术手册》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王纯、张殿印主编，化学工业出版社，2013年1月第1版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，重力喷雾塔洗涤器的液气比为2~3L/m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本环评取2L/m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项目设有一套水喷淋装置，废气量为</w:t>
            </w:r>
            <w:r>
              <w:rPr>
                <w:rFonts w:hint="default" w:ascii="Times New Roman" w:hAnsi="Times New Roman" w:cs="Times New Roman"/>
                <w:color w:val="000000" w:themeColor="text1"/>
                <w:lang w:val="en-US" w:eastAsia="zh-CN"/>
                <w14:textFill>
                  <w14:solidFill>
                    <w14:schemeClr w14:val="tx1"/>
                  </w14:solidFill>
                </w14:textFill>
              </w:rPr>
              <w:t>35</w:t>
            </w:r>
            <w:r>
              <w:rPr>
                <w:rFonts w:hint="default" w:ascii="Times New Roman" w:hAnsi="Times New Roman" w:cs="Times New Roman"/>
                <w:color w:val="000000" w:themeColor="text1"/>
                <w14:textFill>
                  <w14:solidFill>
                    <w14:schemeClr w14:val="tx1"/>
                  </w14:solidFill>
                </w14:textFill>
              </w:rPr>
              <w:t>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/h，则水喷淋装置循环水量分别为</w:t>
            </w:r>
            <w:r>
              <w:rPr>
                <w:rFonts w:hint="default" w:ascii="Times New Roman" w:hAnsi="Times New Roman" w:cs="Times New Roman"/>
                <w:color w:val="000000" w:themeColor="text1"/>
                <w:lang w:val="en-US" w:eastAsia="zh-CN"/>
                <w14:textFill>
                  <w14:solidFill>
                    <w14:schemeClr w14:val="tx1"/>
                  </w14:solidFill>
                </w14:textFill>
              </w:rPr>
              <w:t>7000</w:t>
            </w:r>
            <w:r>
              <w:rPr>
                <w:rFonts w:hint="default" w:ascii="Times New Roman" w:hAnsi="Times New Roman" w:cs="Times New Roman"/>
                <w:color w:val="000000" w:themeColor="text1"/>
                <w14:textFill>
                  <w14:solidFill>
                    <w14:schemeClr w14:val="tx1"/>
                  </w14:solidFill>
                </w14:textFill>
              </w:rPr>
              <w:t>L/h</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，在循环过程会因蒸发等因素损耗，需定期补充新鲜水，根据同类设备运行情况，本项目喷淋塔损耗水量按循环水量的0.3%计，则水喷淋装置补充新鲜水量为</w:t>
            </w:r>
            <w:r>
              <w:rPr>
                <w:rFonts w:hint="default" w:ascii="Times New Roman" w:hAnsi="Times New Roman" w:cs="Times New Roman"/>
                <w:color w:val="000000" w:themeColor="text1"/>
                <w:lang w:val="en-US" w:eastAsia="zh-CN"/>
                <w14:textFill>
                  <w14:solidFill>
                    <w14:schemeClr w14:val="tx1"/>
                  </w14:solidFill>
                </w14:textFill>
              </w:rPr>
              <w:t>0.021</w:t>
            </w:r>
            <w:r>
              <w:rPr>
                <w:rFonts w:hint="default" w:ascii="Times New Roman" w:hAnsi="Times New Roman" w:cs="Times New Roman"/>
                <w:color w:val="000000" w:themeColor="text1"/>
                <w14:textFill>
                  <w14:solidFill>
                    <w14:schemeClr w14:val="tx1"/>
                  </w14:solidFill>
                </w14:textFill>
              </w:rPr>
              <w:t>t/h，即</w:t>
            </w:r>
            <w:r>
              <w:rPr>
                <w:rFonts w:hint="default" w:ascii="Times New Roman" w:hAnsi="Times New Roman" w:cs="Times New Roman"/>
                <w:color w:val="000000" w:themeColor="text1"/>
                <w:lang w:val="en-US" w:eastAsia="zh-CN"/>
                <w14:textFill>
                  <w14:solidFill>
                    <w14:schemeClr w14:val="tx1"/>
                  </w14:solidFill>
                </w14:textFill>
              </w:rPr>
              <w:t>50.4</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根据液位填料规格，废碱液占补水量11%，则废碱液5.544t/a高密度聚乙烯密封桶收集后作为危废委托处置</w:t>
            </w:r>
            <w:r>
              <w:rPr>
                <w:rFonts w:hint="default" w:ascii="Times New Roman" w:hAnsi="Times New Roman" w:cs="Times New Roman"/>
                <w:color w:val="000000" w:themeColor="text1"/>
                <w14:textFill>
                  <w14:solidFill>
                    <w14:schemeClr w14:val="tx1"/>
                  </w14:solidFill>
                </w14:textFill>
              </w:rPr>
              <w:t>。</w:t>
            </w:r>
          </w:p>
          <w:p w14:paraId="0D3442DB">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本项目水平衡图如下：</w:t>
            </w:r>
          </w:p>
          <w:p w14:paraId="145FBA20">
            <w:pPr>
              <w:ind w:firstLine="0" w:firstLineChars="0"/>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01920" cy="3858895"/>
                  <wp:effectExtent l="0" t="0" r="17780" b="825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5201920" cy="3858895"/>
                          </a:xfrm>
                          <a:prstGeom prst="rect">
                            <a:avLst/>
                          </a:prstGeom>
                          <a:noFill/>
                          <a:ln>
                            <a:noFill/>
                          </a:ln>
                        </pic:spPr>
                      </pic:pic>
                    </a:graphicData>
                  </a:graphic>
                </wp:inline>
              </w:drawing>
            </w:r>
          </w:p>
          <w:p w14:paraId="210FABFA">
            <w:pPr>
              <w:pStyle w:val="20"/>
              <w:spacing w:after="0"/>
              <w:ind w:left="0" w:leftChars="0" w:firstLine="482"/>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图2-1水平衡图</w:t>
            </w:r>
          </w:p>
          <w:p w14:paraId="47F0CD73">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本项目新鲜水用量</w:t>
            </w:r>
            <w:r>
              <w:rPr>
                <w:rFonts w:hint="default" w:ascii="Times New Roman" w:hAnsi="Times New Roman" w:cs="Times New Roman"/>
                <w:color w:val="000000" w:themeColor="text1"/>
                <w:lang w:val="en-US" w:eastAsia="zh-CN"/>
                <w14:textFill>
                  <w14:solidFill>
                    <w14:schemeClr w14:val="tx1"/>
                  </w14:solidFill>
                </w14:textFill>
              </w:rPr>
              <w:t>393.5</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val="en-US" w:eastAsia="zh-CN"/>
                <w14:textFill>
                  <w14:solidFill>
                    <w14:schemeClr w14:val="tx1"/>
                  </w14:solidFill>
                </w14:textFill>
              </w:rPr>
              <w:t>其中</w:t>
            </w:r>
            <w:r>
              <w:rPr>
                <w:rFonts w:hint="default" w:ascii="Times New Roman" w:hAnsi="Times New Roman" w:cs="Times New Roman"/>
                <w:color w:val="000000" w:themeColor="text1"/>
                <w14:textFill>
                  <w14:solidFill>
                    <w14:schemeClr w14:val="tx1"/>
                  </w14:solidFill>
                </w14:textFill>
              </w:rPr>
              <w:t>废水排放量</w:t>
            </w:r>
            <w:r>
              <w:rPr>
                <w:rFonts w:hint="default" w:ascii="Times New Roman" w:hAnsi="Times New Roman" w:cs="Times New Roman"/>
                <w:color w:val="000000" w:themeColor="text1"/>
                <w:lang w:val="en-US" w:eastAsia="zh-CN"/>
                <w14:textFill>
                  <w14:solidFill>
                    <w14:schemeClr w14:val="tx1"/>
                  </w14:solidFill>
                </w14:textFill>
              </w:rPr>
              <w:t>265.7</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lang w:val="en-US" w:eastAsia="zh-CN"/>
                <w14:textFill>
                  <w14:solidFill>
                    <w14:schemeClr w14:val="tx1"/>
                  </w14:solidFill>
                </w14:textFill>
              </w:rPr>
              <w:t>作为危废处置量25.244t/a</w:t>
            </w:r>
            <w:r>
              <w:rPr>
                <w:rFonts w:hint="default" w:ascii="Times New Roman" w:hAnsi="Times New Roman" w:cs="Times New Roman"/>
                <w:color w:val="000000" w:themeColor="text1"/>
                <w14:textFill>
                  <w14:solidFill>
                    <w14:schemeClr w14:val="tx1"/>
                  </w14:solidFill>
                </w14:textFill>
              </w:rPr>
              <w:t>。</w:t>
            </w:r>
          </w:p>
          <w:bookmarkEnd w:id="11"/>
          <w:p w14:paraId="41644AAA">
            <w:pPr>
              <w:pStyle w:val="20"/>
              <w:spacing w:after="0"/>
              <w:ind w:left="0" w:leftChars="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2</w:t>
            </w:r>
            <w:r>
              <w:rPr>
                <w:rFonts w:hint="default" w:ascii="Times New Roman" w:hAnsi="Times New Roman" w:cs="Times New Roman"/>
                <w:b w:val="0"/>
                <w:bCs w:val="0"/>
                <w:color w:val="000000" w:themeColor="text1"/>
                <w14:textFill>
                  <w14:solidFill>
                    <w14:schemeClr w14:val="tx1"/>
                  </w14:solidFill>
                </w14:textFill>
              </w:rPr>
              <w:t>）供热</w:t>
            </w:r>
          </w:p>
          <w:p w14:paraId="53A73EF4">
            <w:pPr>
              <w:pStyle w:val="20"/>
              <w:spacing w:after="0"/>
              <w:ind w:left="0" w:leftChars="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本项目实验室、办公室冬季采暖、夏季制冷均选用空调，实验室内通风采用自然通风与机械通风相结合的方式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试验过程热源来自高温高压釜。</w:t>
            </w:r>
          </w:p>
          <w:p w14:paraId="53B01D37">
            <w:pPr>
              <w:pStyle w:val="20"/>
              <w:spacing w:after="0"/>
              <w:ind w:left="0" w:leftChars="0" w:firstLine="482"/>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3</w:t>
            </w:r>
            <w:r>
              <w:rPr>
                <w:rFonts w:hint="default" w:ascii="Times New Roman" w:hAnsi="Times New Roman" w:cs="Times New Roman"/>
                <w:b w:val="0"/>
                <w:bCs w:val="0"/>
                <w:color w:val="000000" w:themeColor="text1"/>
                <w14:textFill>
                  <w14:solidFill>
                    <w14:schemeClr w14:val="tx1"/>
                  </w14:solidFill>
                </w14:textFill>
              </w:rPr>
              <w:t>）供电</w:t>
            </w:r>
          </w:p>
          <w:p w14:paraId="27DEE459">
            <w:pPr>
              <w:pStyle w:val="20"/>
              <w:spacing w:after="0"/>
              <w:ind w:left="0" w:leftChars="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由项目区</w:t>
            </w:r>
            <w:r>
              <w:rPr>
                <w:rFonts w:hint="default" w:ascii="Times New Roman" w:hAnsi="Times New Roman" w:cs="Times New Roman"/>
                <w:color w:val="000000" w:themeColor="text1"/>
                <w:lang w:val="en-US" w:eastAsia="zh-CN"/>
                <w14:textFill>
                  <w14:solidFill>
                    <w14:schemeClr w14:val="tx1"/>
                  </w14:solidFill>
                </w14:textFill>
              </w:rPr>
              <w:t>现有</w:t>
            </w:r>
            <w:r>
              <w:rPr>
                <w:rFonts w:hint="default" w:ascii="Times New Roman" w:hAnsi="Times New Roman" w:cs="Times New Roman"/>
                <w:color w:val="000000" w:themeColor="text1"/>
                <w14:textFill>
                  <w14:solidFill>
                    <w14:schemeClr w14:val="tx1"/>
                  </w14:solidFill>
                </w14:textFill>
              </w:rPr>
              <w:t>电路引入。</w:t>
            </w:r>
          </w:p>
          <w:p w14:paraId="43242842">
            <w:pPr>
              <w:pStyle w:val="20"/>
              <w:spacing w:after="0"/>
              <w:ind w:left="0" w:leftChars="0" w:firstLine="48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储运</w:t>
            </w:r>
          </w:p>
          <w:p w14:paraId="77B04D51">
            <w:pPr>
              <w:pStyle w:val="20"/>
              <w:spacing w:after="0"/>
              <w:ind w:left="0" w:leftChars="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试验样、废试验样依托社会车辆运输，一般化学试剂、危险化学品储存固定房间。</w:t>
            </w:r>
          </w:p>
          <w:p w14:paraId="385925B9">
            <w:pPr>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7、总平面布置</w:t>
            </w:r>
          </w:p>
          <w:p w14:paraId="2A582DB3">
            <w:pPr>
              <w:ind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项目设置一处出入口</w:t>
            </w:r>
            <w:r>
              <w:rPr>
                <w:rFonts w:hint="default" w:ascii="Times New Roman" w:hAnsi="Times New Roman" w:cs="Times New Roman"/>
                <w:color w:val="000000" w:themeColor="text1"/>
                <w:lang w:val="en-US" w:eastAsia="zh-CN"/>
                <w14:textFill>
                  <w14:solidFill>
                    <w14:schemeClr w14:val="tx1"/>
                  </w14:solidFill>
                </w14:textFill>
              </w:rPr>
              <w:t>与大朴石油院内</w:t>
            </w:r>
            <w:r>
              <w:rPr>
                <w:rFonts w:hint="default" w:ascii="Times New Roman" w:hAnsi="Times New Roman" w:cs="Times New Roman"/>
                <w:color w:val="000000" w:themeColor="text1"/>
                <w14:textFill>
                  <w14:solidFill>
                    <w14:schemeClr w14:val="tx1"/>
                  </w14:solidFill>
                </w14:textFill>
              </w:rPr>
              <w:t>相接，实验室办公楼占地面积344m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，办公楼3层，建筑总面积</w:t>
            </w:r>
            <w:r>
              <w:rPr>
                <w:rFonts w:hint="default" w:ascii="Times New Roman" w:hAnsi="Times New Roman" w:cs="Times New Roman"/>
                <w:color w:val="000000" w:themeColor="text1"/>
                <w:lang w:val="en-US" w:eastAsia="zh-CN"/>
                <w14:textFill>
                  <w14:solidFill>
                    <w14:schemeClr w14:val="tx1"/>
                  </w14:solidFill>
                </w14:textFill>
              </w:rPr>
              <w:t>829.05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，一层面积344m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，二层面积161.05m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，三层面积344m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。办公楼一层，有气瓶间1间面积15m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常规化学试剂品室</w:t>
            </w:r>
            <w:r>
              <w:rPr>
                <w:rFonts w:hint="default" w:ascii="Times New Roman" w:hAnsi="Times New Roman" w:cs="Times New Roman"/>
                <w:color w:val="000000" w:themeColor="text1"/>
                <w14:textFill>
                  <w14:solidFill>
                    <w14:schemeClr w14:val="tx1"/>
                  </w14:solidFill>
                </w14:textFill>
              </w:rPr>
              <w:t>1间面积6m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易制毒易制爆室</w:t>
            </w:r>
            <w:r>
              <w:rPr>
                <w:rFonts w:hint="default" w:ascii="Times New Roman" w:hAnsi="Times New Roman" w:cs="Times New Roman"/>
                <w:color w:val="000000" w:themeColor="text1"/>
                <w14:textFill>
                  <w14:solidFill>
                    <w14:schemeClr w14:val="tx1"/>
                  </w14:solidFill>
                </w14:textFill>
              </w:rPr>
              <w:t>1间面积6m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，设置危废暂存间1间面积15m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，更衣间</w:t>
            </w:r>
            <w:r>
              <w:rPr>
                <w:rFonts w:hint="default" w:ascii="Times New Roman" w:hAnsi="Times New Roman" w:cs="Times New Roman"/>
                <w:color w:val="000000" w:themeColor="text1"/>
                <w:lang w:val="en-US" w:eastAsia="zh-CN"/>
                <w14:textFill>
                  <w14:solidFill>
                    <w14:schemeClr w14:val="tx1"/>
                  </w14:solidFill>
                </w14:textFill>
              </w:rPr>
              <w:t>/卫生间/淋浴间</w:t>
            </w:r>
            <w:r>
              <w:rPr>
                <w:rFonts w:hint="default" w:ascii="Times New Roman" w:hAnsi="Times New Roman" w:cs="Times New Roman"/>
                <w:color w:val="000000" w:themeColor="text1"/>
                <w14:textFill>
                  <w14:solidFill>
                    <w14:schemeClr w14:val="tx1"/>
                  </w14:solidFill>
                </w14:textFill>
              </w:rPr>
              <w:t>1间面积25m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办公楼二层，有金相实验室1间面积20m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，制样室1间面积30m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，化学实验室1间面积20m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，办公室1间面积20m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办公楼三层有HIC和SSC试验室2间，每间面积40m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，高压釜室1间面积40m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，清洗间1间面积24m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，用于清洗器皿，</w:t>
            </w:r>
            <w:r>
              <w:rPr>
                <w:rFonts w:hint="eastAsia" w:cs="Times New Roman"/>
                <w:color w:val="000000" w:themeColor="text1"/>
                <w:lang w:val="en-US" w:eastAsia="zh-CN"/>
                <w14:textFill>
                  <w14:solidFill>
                    <w14:schemeClr w14:val="tx1"/>
                  </w14:solidFill>
                </w14:textFill>
              </w:rPr>
              <w:t>并</w:t>
            </w:r>
            <w:r>
              <w:rPr>
                <w:rFonts w:hint="default" w:ascii="Times New Roman" w:hAnsi="Times New Roman" w:cs="Times New Roman"/>
                <w:color w:val="000000" w:themeColor="text1"/>
                <w14:textFill>
                  <w14:solidFill>
                    <w14:schemeClr w14:val="tx1"/>
                  </w14:solidFill>
                </w14:textFill>
              </w:rPr>
              <w:t>布置一套</w:t>
            </w:r>
            <w:r>
              <w:rPr>
                <w:rFonts w:hint="default" w:ascii="Times New Roman" w:hAnsi="Times New Roman" w:cs="Times New Roman"/>
                <w:color w:val="000000" w:themeColor="text1"/>
                <w:lang w:val="en-US" w:eastAsia="zh-CN"/>
                <w14:textFill>
                  <w14:solidFill>
                    <w14:schemeClr w14:val="tx1"/>
                  </w14:solidFill>
                </w14:textFill>
              </w:rPr>
              <w:t>碱</w:t>
            </w:r>
            <w:r>
              <w:rPr>
                <w:rFonts w:hint="default" w:ascii="Times New Roman" w:hAnsi="Times New Roman" w:cs="Times New Roman"/>
                <w:color w:val="000000" w:themeColor="text1"/>
                <w14:textFill>
                  <w14:solidFill>
                    <w14:schemeClr w14:val="tx1"/>
                  </w14:solidFill>
                </w14:textFill>
              </w:rPr>
              <w:t>喷淋</w:t>
            </w:r>
            <w:r>
              <w:rPr>
                <w:rFonts w:hint="default" w:ascii="Times New Roman" w:hAnsi="Times New Roman" w:cs="Times New Roman"/>
                <w:color w:val="000000" w:themeColor="text1"/>
                <w:lang w:val="en-US" w:eastAsia="zh-CN"/>
                <w14:textFill>
                  <w14:solidFill>
                    <w14:schemeClr w14:val="tx1"/>
                  </w14:solidFill>
                </w14:textFill>
              </w:rPr>
              <w:t>+活性炭处理</w:t>
            </w:r>
            <w:r>
              <w:rPr>
                <w:rFonts w:hint="default" w:ascii="Times New Roman" w:hAnsi="Times New Roman" w:cs="Times New Roman"/>
                <w:color w:val="000000" w:themeColor="text1"/>
                <w14:textFill>
                  <w14:solidFill>
                    <w14:schemeClr w14:val="tx1"/>
                  </w14:solidFill>
                </w14:textFill>
              </w:rPr>
              <w:t>设备。</w:t>
            </w:r>
          </w:p>
          <w:p w14:paraId="5519CD35">
            <w:pPr>
              <w:ind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办公楼位于大朴石油技术服务有限公司院内，</w:t>
            </w:r>
            <w:r>
              <w:rPr>
                <w:rFonts w:hint="default" w:ascii="Times New Roman" w:hAnsi="Times New Roman" w:cs="Times New Roman"/>
                <w:color w:val="000000" w:themeColor="text1"/>
                <w:lang w:val="en-US" w:eastAsia="zh-CN"/>
                <w14:textFill>
                  <w14:solidFill>
                    <w14:schemeClr w14:val="tx1"/>
                  </w14:solidFill>
                </w14:textFill>
              </w:rPr>
              <w:t>实验室一楼以仓储辅助为主，二楼以办公及化学实验为主，三楼以金属材料</w:t>
            </w:r>
            <w:r>
              <w:rPr>
                <w:rFonts w:hint="eastAsia" w:cs="Times New Roman"/>
                <w:color w:val="000000" w:themeColor="text1"/>
                <w:lang w:val="en-US" w:eastAsia="zh-CN"/>
                <w14:textFill>
                  <w14:solidFill>
                    <w14:schemeClr w14:val="tx1"/>
                  </w14:solidFill>
                </w14:textFill>
              </w:rPr>
              <w:t>试验</w:t>
            </w:r>
            <w:r>
              <w:rPr>
                <w:rFonts w:hint="default" w:ascii="Times New Roman" w:hAnsi="Times New Roman" w:cs="Times New Roman"/>
                <w:color w:val="000000" w:themeColor="text1"/>
                <w:lang w:val="en-US" w:eastAsia="zh-CN"/>
                <w14:textFill>
                  <w14:solidFill>
                    <w14:schemeClr w14:val="tx1"/>
                  </w14:solidFill>
                </w14:textFill>
              </w:rPr>
              <w:t>为主，</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碱喷淋+活性炭吸附</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装置位于三楼西侧</w:t>
            </w:r>
            <w:r>
              <w:rPr>
                <w:rFonts w:hint="default" w:ascii="Times New Roman" w:hAnsi="Times New Roman" w:cs="Times New Roman"/>
                <w:color w:val="000000" w:themeColor="text1"/>
                <w14:textFill>
                  <w14:solidFill>
                    <w14:schemeClr w14:val="tx1"/>
                  </w14:solidFill>
                </w14:textFill>
              </w:rPr>
              <w:t>。实验室总体平面布置合理、整齐、美观，并符合环保、消防、安全、卫生的要求</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本项目总平面布置图、实验室平面布置图见附图5。</w:t>
            </w:r>
          </w:p>
          <w:p w14:paraId="17A4FDCA">
            <w:pPr>
              <w:ind w:firstLine="482"/>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8、环保治理措施及投资</w:t>
            </w:r>
          </w:p>
          <w:p w14:paraId="0838D682">
            <w:pPr>
              <w:ind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本项目总投资6000万元，其中环保投资44万元，约占总投资的0.73%，主要用于废气、废水、噪声、固废处理等，项目环境保护投资概算见表2-</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p>
          <w:p w14:paraId="7CFB899E">
            <w:pPr>
              <w:spacing w:line="240" w:lineRule="auto"/>
              <w:ind w:firstLine="482"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表2-</w:t>
            </w:r>
            <w:r>
              <w:rPr>
                <w:rFonts w:hint="default" w:ascii="Times New Roman" w:hAnsi="Times New Roman" w:cs="Times New Roman"/>
                <w:b/>
                <w:bCs/>
                <w:color w:val="000000" w:themeColor="text1"/>
                <w:sz w:val="21"/>
                <w:szCs w:val="21"/>
                <w:lang w:val="en-US" w:eastAsia="zh-CN"/>
                <w14:textFill>
                  <w14:solidFill>
                    <w14:schemeClr w14:val="tx1"/>
                  </w14:solidFill>
                </w14:textFill>
              </w:rPr>
              <w:t>7</w:t>
            </w:r>
            <w:r>
              <w:rPr>
                <w:rFonts w:hint="default" w:ascii="Times New Roman" w:hAnsi="Times New Roman" w:cs="Times New Roman"/>
                <w:b/>
                <w:bCs/>
                <w:color w:val="000000" w:themeColor="text1"/>
                <w:sz w:val="21"/>
                <w:szCs w:val="21"/>
                <w14:textFill>
                  <w14:solidFill>
                    <w14:schemeClr w14:val="tx1"/>
                  </w14:solidFill>
                </w14:textFill>
              </w:rPr>
              <w:t>环境保护投资概算表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632"/>
              <w:gridCol w:w="4715"/>
              <w:gridCol w:w="1433"/>
            </w:tblGrid>
            <w:tr w14:paraId="31D1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14:paraId="5566E77D">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632" w:type="dxa"/>
                  <w:tcBorders>
                    <w:tl2br w:val="nil"/>
                    <w:tr2bl w:val="nil"/>
                  </w:tcBorders>
                  <w:vAlign w:val="center"/>
                </w:tcPr>
                <w:p w14:paraId="50C361E8">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项目名称</w:t>
                  </w:r>
                </w:p>
              </w:tc>
              <w:tc>
                <w:tcPr>
                  <w:tcW w:w="4715" w:type="dxa"/>
                  <w:tcBorders>
                    <w:tl2br w:val="nil"/>
                    <w:tr2bl w:val="nil"/>
                  </w:tcBorders>
                  <w:vAlign w:val="center"/>
                </w:tcPr>
                <w:p w14:paraId="2FA3D0B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环保治理措施</w:t>
                  </w:r>
                </w:p>
              </w:tc>
              <w:tc>
                <w:tcPr>
                  <w:tcW w:w="1433" w:type="dxa"/>
                  <w:tcBorders>
                    <w:tl2br w:val="nil"/>
                    <w:tr2bl w:val="nil"/>
                  </w:tcBorders>
                  <w:vAlign w:val="center"/>
                </w:tcPr>
                <w:p w14:paraId="50DBA278">
                  <w:pPr>
                    <w:spacing w:line="240" w:lineRule="auto"/>
                    <w:ind w:firstLine="0" w:firstLineChars="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投资</w:t>
                  </w: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万元</w:t>
                  </w:r>
                  <w:r>
                    <w:rPr>
                      <w:rFonts w:hint="default" w:ascii="Times New Roman" w:hAnsi="Times New Roman" w:cs="Times New Roman"/>
                      <w:b/>
                      <w:bCs/>
                      <w:color w:val="000000" w:themeColor="text1"/>
                      <w:sz w:val="21"/>
                      <w:szCs w:val="21"/>
                      <w:lang w:eastAsia="zh-CN"/>
                      <w14:textFill>
                        <w14:solidFill>
                          <w14:schemeClr w14:val="tx1"/>
                        </w14:solidFill>
                      </w14:textFill>
                    </w:rPr>
                    <w:t>）</w:t>
                  </w:r>
                </w:p>
              </w:tc>
            </w:tr>
            <w:tr w14:paraId="3678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80" w:type="dxa"/>
                  <w:vMerge w:val="restart"/>
                  <w:tcBorders>
                    <w:tl2br w:val="nil"/>
                    <w:tr2bl w:val="nil"/>
                  </w:tcBorders>
                  <w:vAlign w:val="center"/>
                </w:tcPr>
                <w:p w14:paraId="2CEC03EC">
                  <w:pPr>
                    <w:spacing w:line="240" w:lineRule="auto"/>
                    <w:ind w:firstLine="0" w:firstLineChars="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632" w:type="dxa"/>
                  <w:vMerge w:val="restart"/>
                  <w:tcBorders>
                    <w:tl2br w:val="nil"/>
                    <w:tr2bl w:val="nil"/>
                  </w:tcBorders>
                  <w:vAlign w:val="center"/>
                </w:tcPr>
                <w:p w14:paraId="5840524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废气处理设施</w:t>
                  </w:r>
                </w:p>
              </w:tc>
              <w:tc>
                <w:tcPr>
                  <w:tcW w:w="4715" w:type="dxa"/>
                  <w:tcBorders>
                    <w:tl2br w:val="nil"/>
                    <w:tr2bl w:val="nil"/>
                  </w:tcBorders>
                  <w:vAlign w:val="center"/>
                </w:tcPr>
                <w:p w14:paraId="335F8F05">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2套</w:t>
                  </w:r>
                  <w:r>
                    <w:rPr>
                      <w:rFonts w:hint="default" w:ascii="Times New Roman" w:hAnsi="Times New Roman" w:cs="Times New Roman"/>
                      <w:color w:val="000000" w:themeColor="text1"/>
                      <w:sz w:val="21"/>
                      <w:szCs w:val="21"/>
                      <w14:textFill>
                        <w14:solidFill>
                          <w14:schemeClr w14:val="tx1"/>
                        </w14:solidFill>
                      </w14:textFill>
                    </w:rPr>
                    <w:t>通风橱</w:t>
                  </w:r>
                  <w:r>
                    <w:rPr>
                      <w:rFonts w:hint="default" w:ascii="Times New Roman" w:hAnsi="Times New Roman" w:cs="Times New Roman"/>
                      <w:color w:val="000000" w:themeColor="text1"/>
                      <w:sz w:val="21"/>
                      <w:szCs w:val="21"/>
                      <w:lang w:val="en-US" w:eastAsia="zh-CN"/>
                      <w14:textFill>
                        <w14:solidFill>
                          <w14:schemeClr w14:val="tx1"/>
                        </w14:solidFill>
                      </w14:textFill>
                    </w:rPr>
                    <w:t>+密闭风管；化学品实验室通风换气装置</w:t>
                  </w:r>
                </w:p>
              </w:tc>
              <w:tc>
                <w:tcPr>
                  <w:tcW w:w="1433" w:type="dxa"/>
                  <w:vMerge w:val="restart"/>
                  <w:tcBorders>
                    <w:tl2br w:val="nil"/>
                    <w:tr2bl w:val="nil"/>
                  </w:tcBorders>
                  <w:vAlign w:val="center"/>
                </w:tcPr>
                <w:p w14:paraId="2B26190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w:t>
                  </w:r>
                </w:p>
              </w:tc>
            </w:tr>
            <w:tr w14:paraId="32A0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80" w:type="dxa"/>
                  <w:vMerge w:val="continue"/>
                  <w:tcBorders>
                    <w:tl2br w:val="nil"/>
                    <w:tr2bl w:val="nil"/>
                  </w:tcBorders>
                  <w:vAlign w:val="center"/>
                </w:tcPr>
                <w:p w14:paraId="64FEFC7F">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632" w:type="dxa"/>
                  <w:vMerge w:val="continue"/>
                  <w:tcBorders>
                    <w:tl2br w:val="nil"/>
                    <w:tr2bl w:val="nil"/>
                  </w:tcBorders>
                  <w:vAlign w:val="center"/>
                </w:tcPr>
                <w:p w14:paraId="292E0FD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715" w:type="dxa"/>
                  <w:tcBorders>
                    <w:tl2br w:val="nil"/>
                    <w:tr2bl w:val="nil"/>
                  </w:tcBorders>
                  <w:vAlign w:val="center"/>
                </w:tcPr>
                <w:p w14:paraId="3EB9C130">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容量0</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t的活性炭吸附处理装置</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碱水喷淋塔废气处理装置一套</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风量3</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lang w:val="en-US" w:eastAsia="zh-CN"/>
                      <w14:textFill>
                        <w14:solidFill>
                          <w14:schemeClr w14:val="tx1"/>
                        </w14:solidFill>
                      </w14:textFill>
                    </w:rPr>
                    <w:t>引至15m高排放等</w:t>
                  </w:r>
                </w:p>
              </w:tc>
              <w:tc>
                <w:tcPr>
                  <w:tcW w:w="1433" w:type="dxa"/>
                  <w:vMerge w:val="continue"/>
                  <w:tcBorders>
                    <w:tl2br w:val="nil"/>
                    <w:tr2bl w:val="nil"/>
                  </w:tcBorders>
                  <w:vAlign w:val="center"/>
                </w:tcPr>
                <w:p w14:paraId="65F8D655">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r w14:paraId="37EE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14:paraId="0531F641">
                  <w:pPr>
                    <w:spacing w:line="240" w:lineRule="auto"/>
                    <w:ind w:firstLine="0" w:firstLineChars="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632" w:type="dxa"/>
                  <w:tcBorders>
                    <w:tl2br w:val="nil"/>
                    <w:tr2bl w:val="nil"/>
                  </w:tcBorders>
                  <w:vAlign w:val="center"/>
                </w:tcPr>
                <w:p w14:paraId="2B163A7A">
                  <w:pPr>
                    <w:spacing w:line="240" w:lineRule="auto"/>
                    <w:ind w:firstLine="0" w:firstLineChars="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废水处理设施</w:t>
                  </w:r>
                </w:p>
              </w:tc>
              <w:tc>
                <w:tcPr>
                  <w:tcW w:w="4715" w:type="dxa"/>
                  <w:tcBorders>
                    <w:tl2br w:val="nil"/>
                    <w:tr2bl w:val="nil"/>
                  </w:tcBorders>
                  <w:vAlign w:val="center"/>
                </w:tcPr>
                <w:p w14:paraId="1D72F381">
                  <w:pPr>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接入污水管网</w:t>
                  </w:r>
                  <w:r>
                    <w:rPr>
                      <w:rFonts w:hint="eastAsia" w:cs="Times New Roman"/>
                      <w:color w:val="000000" w:themeColor="text1"/>
                      <w:sz w:val="21"/>
                      <w:szCs w:val="21"/>
                      <w:lang w:val="en-US" w:eastAsia="zh-CN"/>
                      <w14:textFill>
                        <w14:solidFill>
                          <w14:schemeClr w14:val="tx1"/>
                        </w14:solidFill>
                      </w14:textFill>
                    </w:rPr>
                    <w:t>，高密度聚乙烯密封桶</w:t>
                  </w:r>
                </w:p>
              </w:tc>
              <w:tc>
                <w:tcPr>
                  <w:tcW w:w="1433" w:type="dxa"/>
                  <w:tcBorders>
                    <w:tl2br w:val="nil"/>
                    <w:tr2bl w:val="nil"/>
                  </w:tcBorders>
                  <w:vAlign w:val="center"/>
                </w:tcPr>
                <w:p w14:paraId="47F983E8">
                  <w:pPr>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0.8</w:t>
                  </w:r>
                </w:p>
              </w:tc>
            </w:tr>
            <w:tr w14:paraId="7C84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14:paraId="0B4C6473">
                  <w:pPr>
                    <w:spacing w:line="240" w:lineRule="auto"/>
                    <w:ind w:firstLine="0" w:firstLineChars="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632" w:type="dxa"/>
                  <w:tcBorders>
                    <w:tl2br w:val="nil"/>
                    <w:tr2bl w:val="nil"/>
                  </w:tcBorders>
                  <w:vAlign w:val="center"/>
                </w:tcPr>
                <w:p w14:paraId="167CEE45">
                  <w:pPr>
                    <w:spacing w:line="240" w:lineRule="auto"/>
                    <w:ind w:firstLine="0" w:firstLineChars="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噪声处理设施</w:t>
                  </w:r>
                </w:p>
              </w:tc>
              <w:tc>
                <w:tcPr>
                  <w:tcW w:w="4715" w:type="dxa"/>
                  <w:tcBorders>
                    <w:tl2br w:val="nil"/>
                    <w:tr2bl w:val="nil"/>
                  </w:tcBorders>
                  <w:vAlign w:val="center"/>
                </w:tcPr>
                <w:p w14:paraId="0FC5E42A">
                  <w:pPr>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主要高噪声设备基础</w:t>
                  </w:r>
                  <w:r>
                    <w:rPr>
                      <w:rFonts w:hint="default" w:ascii="Times New Roman" w:hAnsi="Times New Roman" w:cs="Times New Roman"/>
                      <w:color w:val="000000" w:themeColor="text1"/>
                      <w:sz w:val="21"/>
                      <w:szCs w:val="21"/>
                      <w14:textFill>
                        <w14:solidFill>
                          <w14:schemeClr w14:val="tx1"/>
                        </w14:solidFill>
                      </w14:textFill>
                    </w:rPr>
                    <w:t>减振、</w:t>
                  </w:r>
                  <w:r>
                    <w:rPr>
                      <w:rFonts w:hint="default" w:ascii="Times New Roman" w:hAnsi="Times New Roman" w:cs="Times New Roman"/>
                      <w:color w:val="000000" w:themeColor="text1"/>
                      <w:sz w:val="21"/>
                      <w:szCs w:val="21"/>
                      <w:lang w:val="en-US" w:eastAsia="zh-CN"/>
                      <w14:textFill>
                        <w14:solidFill>
                          <w14:schemeClr w14:val="tx1"/>
                        </w14:solidFill>
                      </w14:textFill>
                    </w:rPr>
                    <w:t>厂房</w:t>
                  </w:r>
                  <w:r>
                    <w:rPr>
                      <w:rFonts w:hint="default" w:ascii="Times New Roman" w:hAnsi="Times New Roman" w:cs="Times New Roman"/>
                      <w:color w:val="000000" w:themeColor="text1"/>
                      <w:sz w:val="21"/>
                      <w:szCs w:val="21"/>
                      <w14:textFill>
                        <w14:solidFill>
                          <w14:schemeClr w14:val="tx1"/>
                        </w14:solidFill>
                      </w14:textFill>
                    </w:rPr>
                    <w:t>隔声、消声等</w:t>
                  </w:r>
                </w:p>
              </w:tc>
              <w:tc>
                <w:tcPr>
                  <w:tcW w:w="1433" w:type="dxa"/>
                  <w:tcBorders>
                    <w:tl2br w:val="nil"/>
                    <w:tr2bl w:val="nil"/>
                  </w:tcBorders>
                  <w:vAlign w:val="center"/>
                </w:tcPr>
                <w:p w14:paraId="1A3D8960">
                  <w:pPr>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w:t>
                  </w:r>
                </w:p>
              </w:tc>
            </w:tr>
            <w:tr w14:paraId="3008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14:paraId="421DFD0D">
                  <w:pPr>
                    <w:spacing w:line="240" w:lineRule="auto"/>
                    <w:ind w:firstLine="0" w:firstLineChars="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632" w:type="dxa"/>
                  <w:tcBorders>
                    <w:tl2br w:val="nil"/>
                    <w:tr2bl w:val="nil"/>
                  </w:tcBorders>
                  <w:vAlign w:val="center"/>
                </w:tcPr>
                <w:p w14:paraId="749A73EA">
                  <w:pPr>
                    <w:spacing w:line="240" w:lineRule="auto"/>
                    <w:ind w:firstLine="0" w:firstLineChars="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固废处理设施</w:t>
                  </w:r>
                </w:p>
              </w:tc>
              <w:tc>
                <w:tcPr>
                  <w:tcW w:w="4715" w:type="dxa"/>
                  <w:tcBorders>
                    <w:tl2br w:val="nil"/>
                    <w:tr2bl w:val="nil"/>
                  </w:tcBorders>
                  <w:vAlign w:val="center"/>
                </w:tcPr>
                <w:p w14:paraId="18345A7B">
                  <w:pPr>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一般固废堆场，</w:t>
                  </w:r>
                  <w:r>
                    <w:rPr>
                      <w:rFonts w:hint="default" w:ascii="Times New Roman" w:hAnsi="Times New Roman" w:cs="Times New Roman"/>
                      <w:color w:val="000000" w:themeColor="text1"/>
                      <w:sz w:val="21"/>
                      <w:szCs w:val="21"/>
                      <w14:textFill>
                        <w14:solidFill>
                          <w14:schemeClr w14:val="tx1"/>
                        </w14:solidFill>
                      </w14:textFill>
                    </w:rPr>
                    <w:t>危废贮存间、垃圾箱等</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危险废物妥善收集处置</w:t>
                  </w:r>
                </w:p>
              </w:tc>
              <w:tc>
                <w:tcPr>
                  <w:tcW w:w="1433" w:type="dxa"/>
                  <w:tcBorders>
                    <w:tl2br w:val="nil"/>
                    <w:tr2bl w:val="nil"/>
                  </w:tcBorders>
                  <w:vAlign w:val="center"/>
                </w:tcPr>
                <w:p w14:paraId="6E32F7CE">
                  <w:pPr>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r>
            <w:tr w14:paraId="6DA3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14:paraId="02886D93">
                  <w:pPr>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1632" w:type="dxa"/>
                  <w:tcBorders>
                    <w:tl2br w:val="nil"/>
                    <w:tr2bl w:val="nil"/>
                  </w:tcBorders>
                  <w:vAlign w:val="center"/>
                </w:tcPr>
                <w:p w14:paraId="08C87C12">
                  <w:pPr>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环境风险防范</w:t>
                  </w:r>
                </w:p>
              </w:tc>
              <w:tc>
                <w:tcPr>
                  <w:tcW w:w="4715" w:type="dxa"/>
                  <w:tcBorders>
                    <w:tl2br w:val="nil"/>
                    <w:tr2bl w:val="nil"/>
                  </w:tcBorders>
                  <w:vAlign w:val="center"/>
                </w:tcPr>
                <w:p w14:paraId="5FCAD798">
                  <w:pPr>
                    <w:spacing w:line="240" w:lineRule="auto"/>
                    <w:ind w:firstLine="0" w:firstLineChars="0"/>
                    <w:jc w:val="center"/>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危化品易制毒易制爆管控，气瓶气路PLC自动控制系统</w:t>
                  </w:r>
                </w:p>
              </w:tc>
              <w:tc>
                <w:tcPr>
                  <w:tcW w:w="1433" w:type="dxa"/>
                  <w:tcBorders>
                    <w:tl2br w:val="nil"/>
                    <w:tr2bl w:val="nil"/>
                  </w:tcBorders>
                  <w:vAlign w:val="center"/>
                </w:tcPr>
                <w:p w14:paraId="2788ABEE">
                  <w:pPr>
                    <w:spacing w:line="240" w:lineRule="auto"/>
                    <w:ind w:firstLine="0" w:firstLineChars="0"/>
                    <w:jc w:val="center"/>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w:t>
                  </w:r>
                </w:p>
              </w:tc>
            </w:tr>
            <w:tr w14:paraId="07EA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7027" w:type="dxa"/>
                  <w:gridSpan w:val="3"/>
                  <w:tcBorders>
                    <w:tl2br w:val="nil"/>
                    <w:tr2bl w:val="nil"/>
                  </w:tcBorders>
                  <w:vAlign w:val="center"/>
                </w:tcPr>
                <w:p w14:paraId="7C97EB4A">
                  <w:pPr>
                    <w:spacing w:line="240" w:lineRule="auto"/>
                    <w:ind w:firstLine="0" w:firstLineChars="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合计</w:t>
                  </w:r>
                </w:p>
              </w:tc>
              <w:tc>
                <w:tcPr>
                  <w:tcW w:w="1433" w:type="dxa"/>
                  <w:tcBorders>
                    <w:tl2br w:val="nil"/>
                    <w:tr2bl w:val="nil"/>
                  </w:tcBorders>
                  <w:vAlign w:val="center"/>
                </w:tcPr>
                <w:p w14:paraId="502530CD">
                  <w:pPr>
                    <w:spacing w:line="240" w:lineRule="auto"/>
                    <w:ind w:firstLine="0" w:firstLineChars="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44</w:t>
                  </w:r>
                </w:p>
              </w:tc>
            </w:tr>
          </w:tbl>
          <w:p w14:paraId="133A48B4">
            <w:pPr>
              <w:ind w:firstLine="480"/>
              <w:jc w:val="left"/>
              <w:rPr>
                <w:rFonts w:hint="default" w:ascii="Times New Roman" w:hAnsi="Times New Roman" w:cs="Times New Roman"/>
                <w:color w:val="000000" w:themeColor="text1"/>
                <w14:textFill>
                  <w14:solidFill>
                    <w14:schemeClr w14:val="tx1"/>
                  </w14:solidFill>
                </w14:textFill>
              </w:rPr>
            </w:pPr>
          </w:p>
        </w:tc>
      </w:tr>
      <w:tr w14:paraId="78169F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14" w:hRule="atLeast"/>
          <w:jc w:val="center"/>
        </w:trPr>
        <w:tc>
          <w:tcPr>
            <w:tcW w:w="249" w:type="pct"/>
            <w:tcBorders>
              <w:tl2br w:val="nil"/>
              <w:tr2bl w:val="nil"/>
            </w:tcBorders>
            <w:vAlign w:val="center"/>
          </w:tcPr>
          <w:p w14:paraId="7E2B1B96">
            <w:pPr>
              <w:adjustRightInd w:val="0"/>
              <w:snapToGrid w:val="0"/>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工艺流程和产排污环节</w:t>
            </w:r>
          </w:p>
        </w:tc>
        <w:tc>
          <w:tcPr>
            <w:tcW w:w="4750" w:type="pct"/>
            <w:tcBorders>
              <w:tl2br w:val="nil"/>
              <w:tr2bl w:val="nil"/>
            </w:tcBorders>
            <w:vAlign w:val="top"/>
          </w:tcPr>
          <w:p w14:paraId="68E3E173">
            <w:pPr>
              <w:pStyle w:val="47"/>
              <w:ind w:firstLine="482"/>
              <w:rPr>
                <w:rFonts w:hint="default" w:ascii="Times New Roman" w:hAnsi="Times New Roman" w:eastAsia="宋体" w:cs="Times New Roman"/>
                <w:color w:val="000000" w:themeColor="text1"/>
                <w:kern w:val="2"/>
                <w:szCs w:val="24"/>
                <w:lang w:val="en-US" w:eastAsia="zh-CN"/>
                <w14:textFill>
                  <w14:solidFill>
                    <w14:schemeClr w14:val="tx1"/>
                  </w14:solidFill>
                </w14:textFill>
              </w:rPr>
            </w:pPr>
            <w:r>
              <w:rPr>
                <w:rFonts w:hint="default" w:ascii="Times New Roman" w:hAnsi="Times New Roman" w:cs="Times New Roman"/>
                <w:b/>
                <w:bCs/>
                <w:color w:val="000000" w:themeColor="text1"/>
                <w:kern w:val="2"/>
                <w:szCs w:val="24"/>
                <w14:textFill>
                  <w14:solidFill>
                    <w14:schemeClr w14:val="tx1"/>
                  </w14:solidFill>
                </w14:textFill>
              </w:rPr>
              <w:t>1、施工期</w:t>
            </w:r>
            <w:r>
              <w:rPr>
                <w:rFonts w:hint="default" w:ascii="Times New Roman" w:hAnsi="Times New Roman" w:cs="Times New Roman"/>
                <w:b/>
                <w:bCs/>
                <w:color w:val="000000" w:themeColor="text1"/>
                <w:kern w:val="2"/>
                <w:szCs w:val="24"/>
                <w:lang w:val="en-US" w:eastAsia="zh-CN"/>
                <w14:textFill>
                  <w14:solidFill>
                    <w14:schemeClr w14:val="tx1"/>
                  </w14:solidFill>
                </w14:textFill>
              </w:rPr>
              <w:t>工艺流程</w:t>
            </w:r>
          </w:p>
          <w:p w14:paraId="7AC62C18">
            <w:pPr>
              <w:adjustRightInd w:val="0"/>
              <w:snapToGrid w:val="0"/>
              <w:spacing w:before="156" w:beforeLines="5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本项目租赁大朴石油技术服务有限公司的闲置厂房，</w:t>
            </w:r>
            <w:r>
              <w:rPr>
                <w:rFonts w:hint="default" w:ascii="Times New Roman" w:hAnsi="Times New Roman" w:cs="Times New Roman"/>
                <w:color w:val="000000" w:themeColor="text1"/>
                <w:lang w:val="en-US" w:eastAsia="zh-CN"/>
                <w14:textFill>
                  <w14:solidFill>
                    <w14:schemeClr w14:val="tx1"/>
                  </w14:solidFill>
                </w14:textFill>
              </w:rPr>
              <w:t>无</w:t>
            </w:r>
            <w:r>
              <w:rPr>
                <w:rFonts w:hint="default" w:ascii="Times New Roman" w:hAnsi="Times New Roman" w:cs="Times New Roman"/>
                <w:color w:val="000000" w:themeColor="text1"/>
                <w14:textFill>
                  <w14:solidFill>
                    <w14:schemeClr w14:val="tx1"/>
                  </w14:solidFill>
                </w14:textFill>
              </w:rPr>
              <w:t>土建工程，施工期主要是楼房内设施的改造、装修以及设备安装，对外环境的影响很小，不做定量分析，施工期主要产生污染物为废气、废水、噪声和一般固体废物污染物见下表。</w:t>
            </w:r>
          </w:p>
          <w:p w14:paraId="18F1CDD2">
            <w:pPr>
              <w:pStyle w:val="41"/>
              <w:spacing w:before="0" w:after="0"/>
              <w:ind w:left="0" w:leftChars="0" w:firstLine="0" w:firstLineChars="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表2-</w:t>
            </w:r>
            <w:r>
              <w:rPr>
                <w:rFonts w:hint="default"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14:textFill>
                  <w14:solidFill>
                    <w14:schemeClr w14:val="tx1"/>
                  </w14:solidFill>
                </w14:textFill>
              </w:rPr>
              <w:t>施工期主要污染工序</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2219"/>
              <w:gridCol w:w="2086"/>
              <w:gridCol w:w="3011"/>
            </w:tblGrid>
            <w:tr w14:paraId="4DB7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99" w:type="pct"/>
                  <w:tcBorders>
                    <w:tl2br w:val="nil"/>
                    <w:tr2bl w:val="nil"/>
                  </w:tcBorders>
                  <w:vAlign w:val="center"/>
                </w:tcPr>
                <w:p w14:paraId="04AE992F">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p>
              </w:tc>
              <w:tc>
                <w:tcPr>
                  <w:tcW w:w="1304" w:type="pct"/>
                  <w:tcBorders>
                    <w:tl2br w:val="nil"/>
                    <w:tr2bl w:val="nil"/>
                  </w:tcBorders>
                  <w:vAlign w:val="center"/>
                </w:tcPr>
                <w:p w14:paraId="11FFFBEC">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污染工序（源）</w:t>
                  </w:r>
                </w:p>
              </w:tc>
              <w:tc>
                <w:tcPr>
                  <w:tcW w:w="1226" w:type="pct"/>
                  <w:tcBorders>
                    <w:tl2br w:val="nil"/>
                    <w:tr2bl w:val="nil"/>
                  </w:tcBorders>
                  <w:vAlign w:val="center"/>
                </w:tcPr>
                <w:p w14:paraId="7D911C3B">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1769" w:type="pct"/>
                  <w:tcBorders>
                    <w:tl2br w:val="nil"/>
                    <w:tr2bl w:val="nil"/>
                  </w:tcBorders>
                  <w:vAlign w:val="center"/>
                </w:tcPr>
                <w:p w14:paraId="6209FA5F">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主要污染因子</w:t>
                  </w:r>
                </w:p>
              </w:tc>
            </w:tr>
            <w:tr w14:paraId="472A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99" w:type="pct"/>
                  <w:tcBorders>
                    <w:tl2br w:val="nil"/>
                    <w:tr2bl w:val="nil"/>
                  </w:tcBorders>
                  <w:vAlign w:val="center"/>
                </w:tcPr>
                <w:p w14:paraId="1F196F71">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p w14:paraId="4416B275">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1304" w:type="pct"/>
                  <w:tcBorders>
                    <w:tl2br w:val="nil"/>
                    <w:tr2bl w:val="nil"/>
                  </w:tcBorders>
                  <w:vAlign w:val="center"/>
                </w:tcPr>
                <w:p w14:paraId="62DE2738">
                  <w:pPr>
                    <w:pStyle w:val="72"/>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车辆来往、拆除装修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室内装修</w:t>
                  </w:r>
                </w:p>
              </w:tc>
              <w:tc>
                <w:tcPr>
                  <w:tcW w:w="1226" w:type="pct"/>
                  <w:tcBorders>
                    <w:tl2br w:val="nil"/>
                    <w:tr2bl w:val="nil"/>
                  </w:tcBorders>
                  <w:vAlign w:val="center"/>
                </w:tcPr>
                <w:p w14:paraId="5AA6E130">
                  <w:pPr>
                    <w:pStyle w:val="72"/>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扬尘</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车辆尾气、装修废气</w:t>
                  </w:r>
                </w:p>
              </w:tc>
              <w:tc>
                <w:tcPr>
                  <w:tcW w:w="1769" w:type="pct"/>
                  <w:tcBorders>
                    <w:tl2br w:val="nil"/>
                    <w:tr2bl w:val="nil"/>
                  </w:tcBorders>
                  <w:vAlign w:val="center"/>
                </w:tcPr>
                <w:p w14:paraId="69BD11AE">
                  <w:pPr>
                    <w:pStyle w:val="72"/>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HC化合物</w:t>
                  </w:r>
                </w:p>
              </w:tc>
            </w:tr>
            <w:tr w14:paraId="472C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99" w:type="pct"/>
                  <w:vMerge w:val="restart"/>
                  <w:tcBorders>
                    <w:tl2br w:val="nil"/>
                    <w:tr2bl w:val="nil"/>
                  </w:tcBorders>
                  <w:vAlign w:val="center"/>
                </w:tcPr>
                <w:p w14:paraId="371B93C3">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1304" w:type="pct"/>
                  <w:tcBorders>
                    <w:tl2br w:val="nil"/>
                    <w:tr2bl w:val="nil"/>
                  </w:tcBorders>
                  <w:vAlign w:val="center"/>
                </w:tcPr>
                <w:p w14:paraId="2FFB8C22">
                  <w:pPr>
                    <w:pStyle w:val="72"/>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w:t>
                  </w:r>
                  <w:r>
                    <w:rPr>
                      <w:rFonts w:hint="default" w:ascii="Times New Roman" w:hAnsi="Times New Roman" w:cs="Times New Roman"/>
                      <w:color w:val="000000" w:themeColor="text1"/>
                      <w:lang w:val="en-US" w:eastAsia="zh-CN"/>
                      <w14:textFill>
                        <w14:solidFill>
                          <w14:schemeClr w14:val="tx1"/>
                        </w14:solidFill>
                      </w14:textFill>
                    </w:rPr>
                    <w:t>装修</w:t>
                  </w:r>
                </w:p>
              </w:tc>
              <w:tc>
                <w:tcPr>
                  <w:tcW w:w="1226" w:type="pct"/>
                  <w:tcBorders>
                    <w:tl2br w:val="nil"/>
                    <w:tr2bl w:val="nil"/>
                  </w:tcBorders>
                  <w:vAlign w:val="center"/>
                </w:tcPr>
                <w:p w14:paraId="24EE8C46">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1769" w:type="pct"/>
                  <w:tcBorders>
                    <w:tl2br w:val="nil"/>
                    <w:tr2bl w:val="nil"/>
                  </w:tcBorders>
                  <w:vAlign w:val="center"/>
                </w:tcPr>
                <w:p w14:paraId="2F9F6AB6">
                  <w:pPr>
                    <w:pStyle w:val="72"/>
                    <w:spacing w:line="240" w:lineRule="auto"/>
                    <w:ind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SS、石油</w:t>
                  </w:r>
                  <w:r>
                    <w:rPr>
                      <w:rFonts w:hint="eastAsia" w:cs="Times New Roman"/>
                      <w:color w:val="000000" w:themeColor="text1"/>
                      <w:lang w:val="en-US" w:eastAsia="zh-CN"/>
                      <w14:textFill>
                        <w14:solidFill>
                          <w14:schemeClr w14:val="tx1"/>
                        </w14:solidFill>
                      </w14:textFill>
                    </w:rPr>
                    <w:t>类</w:t>
                  </w:r>
                </w:p>
              </w:tc>
            </w:tr>
            <w:tr w14:paraId="5E54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99" w:type="pct"/>
                  <w:vMerge w:val="continue"/>
                  <w:tcBorders>
                    <w:tl2br w:val="nil"/>
                    <w:tr2bl w:val="nil"/>
                  </w:tcBorders>
                  <w:vAlign w:val="center"/>
                </w:tcPr>
                <w:p w14:paraId="1AB0CC0A">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p>
              </w:tc>
              <w:tc>
                <w:tcPr>
                  <w:tcW w:w="1304" w:type="pct"/>
                  <w:tcBorders>
                    <w:tl2br w:val="nil"/>
                    <w:tr2bl w:val="nil"/>
                  </w:tcBorders>
                  <w:vAlign w:val="center"/>
                </w:tcPr>
                <w:p w14:paraId="7D27D284">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w:t>
                  </w:r>
                </w:p>
              </w:tc>
              <w:tc>
                <w:tcPr>
                  <w:tcW w:w="1226" w:type="pct"/>
                  <w:tcBorders>
                    <w:tl2br w:val="nil"/>
                    <w:tr2bl w:val="nil"/>
                  </w:tcBorders>
                  <w:vAlign w:val="center"/>
                </w:tcPr>
                <w:p w14:paraId="705D0BE2">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生活污水</w:t>
                  </w:r>
                </w:p>
              </w:tc>
              <w:tc>
                <w:tcPr>
                  <w:tcW w:w="1769" w:type="pct"/>
                  <w:tcBorders>
                    <w:tl2br w:val="nil"/>
                    <w:tr2bl w:val="nil"/>
                  </w:tcBorders>
                  <w:vAlign w:val="center"/>
                </w:tcPr>
                <w:p w14:paraId="4CE7EAD4">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-N、SS等</w:t>
                  </w:r>
                </w:p>
              </w:tc>
            </w:tr>
            <w:tr w14:paraId="4AE6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9" w:type="pct"/>
                  <w:tcBorders>
                    <w:tl2br w:val="nil"/>
                    <w:tr2bl w:val="nil"/>
                  </w:tcBorders>
                  <w:vAlign w:val="center"/>
                </w:tcPr>
                <w:p w14:paraId="1E50585D">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1304" w:type="pct"/>
                  <w:tcBorders>
                    <w:tl2br w:val="nil"/>
                    <w:tr2bl w:val="nil"/>
                  </w:tcBorders>
                  <w:vAlign w:val="center"/>
                </w:tcPr>
                <w:p w14:paraId="4F71A6B3">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施工机械</w:t>
                  </w:r>
                </w:p>
              </w:tc>
              <w:tc>
                <w:tcPr>
                  <w:tcW w:w="1226" w:type="pct"/>
                  <w:tcBorders>
                    <w:tl2br w:val="nil"/>
                    <w:tr2bl w:val="nil"/>
                  </w:tcBorders>
                  <w:vAlign w:val="center"/>
                </w:tcPr>
                <w:p w14:paraId="3981F3F0">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设备噪声</w:t>
                  </w:r>
                </w:p>
              </w:tc>
              <w:tc>
                <w:tcPr>
                  <w:tcW w:w="1769" w:type="pct"/>
                  <w:tcBorders>
                    <w:tl2br w:val="nil"/>
                    <w:tr2bl w:val="nil"/>
                  </w:tcBorders>
                  <w:vAlign w:val="center"/>
                </w:tcPr>
                <w:p w14:paraId="1E25E50C">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噪声dB（A）</w:t>
                  </w:r>
                </w:p>
              </w:tc>
            </w:tr>
            <w:tr w14:paraId="3815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9" w:type="pct"/>
                  <w:vMerge w:val="restart"/>
                  <w:tcBorders>
                    <w:tl2br w:val="nil"/>
                    <w:tr2bl w:val="nil"/>
                  </w:tcBorders>
                  <w:vAlign w:val="center"/>
                </w:tcPr>
                <w:p w14:paraId="03AB9569">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1304" w:type="pct"/>
                  <w:tcBorders>
                    <w:tl2br w:val="nil"/>
                    <w:tr2bl w:val="nil"/>
                  </w:tcBorders>
                  <w:vAlign w:val="center"/>
                </w:tcPr>
                <w:p w14:paraId="64EAD115">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设施拆除</w:t>
                  </w:r>
                </w:p>
              </w:tc>
              <w:tc>
                <w:tcPr>
                  <w:tcW w:w="1226" w:type="pct"/>
                  <w:tcBorders>
                    <w:tl2br w:val="nil"/>
                    <w:tr2bl w:val="nil"/>
                  </w:tcBorders>
                  <w:vAlign w:val="center"/>
                </w:tcPr>
                <w:p w14:paraId="3EAAF890">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1769" w:type="pct"/>
                  <w:tcBorders>
                    <w:tl2br w:val="nil"/>
                    <w:tr2bl w:val="nil"/>
                  </w:tcBorders>
                  <w:vAlign w:val="center"/>
                </w:tcPr>
                <w:p w14:paraId="6EAC493E">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一般固废</w:t>
                  </w:r>
                </w:p>
              </w:tc>
            </w:tr>
            <w:tr w14:paraId="5A32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99" w:type="pct"/>
                  <w:vMerge w:val="continue"/>
                  <w:tcBorders>
                    <w:tl2br w:val="nil"/>
                    <w:tr2bl w:val="nil"/>
                  </w:tcBorders>
                  <w:vAlign w:val="center"/>
                </w:tcPr>
                <w:p w14:paraId="0B7C74C0">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p>
              </w:tc>
              <w:tc>
                <w:tcPr>
                  <w:tcW w:w="1304" w:type="pct"/>
                  <w:tcBorders>
                    <w:tl2br w:val="nil"/>
                    <w:tr2bl w:val="nil"/>
                  </w:tcBorders>
                  <w:vAlign w:val="center"/>
                </w:tcPr>
                <w:p w14:paraId="4C9EB448">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装修垃圾</w:t>
                  </w:r>
                </w:p>
              </w:tc>
              <w:tc>
                <w:tcPr>
                  <w:tcW w:w="1226" w:type="pct"/>
                  <w:tcBorders>
                    <w:tl2br w:val="nil"/>
                    <w:tr2bl w:val="nil"/>
                  </w:tcBorders>
                  <w:vAlign w:val="center"/>
                </w:tcPr>
                <w:p w14:paraId="52A905F1">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1769" w:type="pct"/>
                  <w:tcBorders>
                    <w:tl2br w:val="nil"/>
                    <w:tr2bl w:val="nil"/>
                  </w:tcBorders>
                </w:tcPr>
                <w:p w14:paraId="009F0955">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一般固废</w:t>
                  </w:r>
                </w:p>
              </w:tc>
            </w:tr>
            <w:tr w14:paraId="687B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99" w:type="pct"/>
                  <w:vMerge w:val="continue"/>
                  <w:tcBorders>
                    <w:tl2br w:val="nil"/>
                    <w:tr2bl w:val="nil"/>
                  </w:tcBorders>
                  <w:vAlign w:val="center"/>
                </w:tcPr>
                <w:p w14:paraId="32496D82">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p>
              </w:tc>
              <w:tc>
                <w:tcPr>
                  <w:tcW w:w="1304" w:type="pct"/>
                  <w:tcBorders>
                    <w:tl2br w:val="nil"/>
                    <w:tr2bl w:val="nil"/>
                  </w:tcBorders>
                  <w:vAlign w:val="center"/>
                </w:tcPr>
                <w:p w14:paraId="187660E4">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1226" w:type="pct"/>
                  <w:tcBorders>
                    <w:tl2br w:val="nil"/>
                    <w:tr2bl w:val="nil"/>
                  </w:tcBorders>
                  <w:vAlign w:val="center"/>
                </w:tcPr>
                <w:p w14:paraId="2EA4BD4D">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1769" w:type="pct"/>
                  <w:tcBorders>
                    <w:tl2br w:val="nil"/>
                    <w:tr2bl w:val="nil"/>
                  </w:tcBorders>
                </w:tcPr>
                <w:p w14:paraId="3C2936A4">
                  <w:pPr>
                    <w:pStyle w:val="72"/>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14:paraId="167C9BAE">
            <w:pPr>
              <w:pStyle w:val="47"/>
              <w:numPr>
                <w:ilvl w:val="0"/>
                <w:numId w:val="3"/>
              </w:numPr>
              <w:ind w:left="480" w:firstLine="0" w:firstLineChars="0"/>
              <w:rPr>
                <w:rFonts w:hint="default" w:ascii="Times New Roman" w:hAnsi="Times New Roman" w:cs="Times New Roman"/>
                <w:b/>
                <w:bCs/>
                <w:color w:val="000000" w:themeColor="text1"/>
                <w:kern w:val="2"/>
                <w:szCs w:val="24"/>
                <w14:textFill>
                  <w14:solidFill>
                    <w14:schemeClr w14:val="tx1"/>
                  </w14:solidFill>
                </w14:textFill>
              </w:rPr>
            </w:pPr>
            <w:r>
              <w:rPr>
                <w:rFonts w:hint="default" w:ascii="Times New Roman" w:hAnsi="Times New Roman" w:cs="Times New Roman"/>
                <w:b/>
                <w:bCs/>
                <w:color w:val="000000" w:themeColor="text1"/>
                <w:kern w:val="2"/>
                <w:szCs w:val="24"/>
                <w14:textFill>
                  <w14:solidFill>
                    <w14:schemeClr w14:val="tx1"/>
                  </w14:solidFill>
                </w14:textFill>
              </w:rPr>
              <w:t>营运期工艺流程</w:t>
            </w:r>
          </w:p>
          <w:p w14:paraId="772D3122">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巴州谱瑞乐产品质量检测有限公司主要从事油井设备材料腐蚀特性检验。检验项目包括</w:t>
            </w:r>
            <w:r>
              <w:rPr>
                <w:rFonts w:hint="default" w:ascii="Times New Roman" w:hAnsi="Times New Roman" w:cs="Times New Roman"/>
                <w:color w:val="000000" w:themeColor="text1"/>
                <w:lang w:val="en-US" w:eastAsia="zh-CN"/>
                <w14:textFill>
                  <w14:solidFill>
                    <w14:schemeClr w14:val="tx1"/>
                  </w14:solidFill>
                </w14:textFill>
              </w:rPr>
              <w:t>金属材料理化性能检测、金属金相实验、</w:t>
            </w:r>
            <w:r>
              <w:rPr>
                <w:rFonts w:hint="default" w:ascii="Times New Roman" w:hAnsi="Times New Roman" w:cs="Times New Roman"/>
                <w:color w:val="000000" w:themeColor="text1"/>
                <w14:textFill>
                  <w14:solidFill>
                    <w14:schemeClr w14:val="tx1"/>
                  </w14:solidFill>
                </w14:textFill>
              </w:rPr>
              <w:t>SSC硫化氢应力腐蚀检验</w:t>
            </w:r>
            <w:r>
              <w:rPr>
                <w:rFonts w:hint="default" w:ascii="Times New Roman" w:hAnsi="Times New Roman" w:cs="Times New Roman"/>
                <w:color w:val="000000" w:themeColor="text1"/>
                <w:lang w:val="en-US" w:eastAsia="zh-CN"/>
                <w14:textFill>
                  <w14:solidFill>
                    <w14:schemeClr w14:val="tx1"/>
                  </w14:solidFill>
                </w14:textFill>
              </w:rPr>
              <w:t>试验</w:t>
            </w:r>
            <w:r>
              <w:rPr>
                <w:rFonts w:hint="default" w:ascii="Times New Roman" w:hAnsi="Times New Roman" w:cs="Times New Roman"/>
                <w:color w:val="000000" w:themeColor="text1"/>
                <w14:textFill>
                  <w14:solidFill>
                    <w14:schemeClr w14:val="tx1"/>
                  </w14:solidFill>
                </w14:textFill>
              </w:rPr>
              <w:t>、HIC氢致开裂检验</w:t>
            </w:r>
            <w:r>
              <w:rPr>
                <w:rFonts w:hint="default" w:ascii="Times New Roman" w:hAnsi="Times New Roman" w:cs="Times New Roman"/>
                <w:color w:val="000000" w:themeColor="text1"/>
                <w:lang w:val="en-US" w:eastAsia="zh-CN"/>
                <w14:textFill>
                  <w14:solidFill>
                    <w14:schemeClr w14:val="tx1"/>
                  </w14:solidFill>
                </w14:textFill>
              </w:rPr>
              <w:t>试验，最终出具第三方检测报告</w:t>
            </w:r>
            <w:r>
              <w:rPr>
                <w:rFonts w:hint="default" w:ascii="Times New Roman" w:hAnsi="Times New Roman" w:cs="Times New Roman"/>
                <w:color w:val="000000" w:themeColor="text1"/>
                <w14:textFill>
                  <w14:solidFill>
                    <w14:schemeClr w14:val="tx1"/>
                  </w14:solidFill>
                </w14:textFill>
              </w:rPr>
              <w:t>。实验室指标检验流程及产污环节见下图（其中</w:t>
            </w:r>
            <w:r>
              <w:rPr>
                <w:rFonts w:hint="default" w:ascii="Times New Roman" w:hAnsi="Times New Roman" w:cs="Times New Roman"/>
                <w:color w:val="000000" w:themeColor="text1"/>
                <w:lang w:bidi="en-US"/>
                <w14:textFill>
                  <w14:solidFill>
                    <w14:schemeClr w14:val="tx1"/>
                  </w14:solidFill>
                </w14:textFill>
              </w:rPr>
              <w:t>G-</w:t>
            </w:r>
            <w:r>
              <w:rPr>
                <w:rFonts w:hint="default" w:ascii="Times New Roman" w:hAnsi="Times New Roman" w:cs="Times New Roman"/>
                <w:color w:val="000000" w:themeColor="text1"/>
                <w14:textFill>
                  <w14:solidFill>
                    <w14:schemeClr w14:val="tx1"/>
                  </w14:solidFill>
                </w14:textFill>
              </w:rPr>
              <w:t>废气、</w:t>
            </w:r>
            <w:r>
              <w:rPr>
                <w:rFonts w:hint="default" w:ascii="Times New Roman" w:hAnsi="Times New Roman" w:cs="Times New Roman"/>
                <w:color w:val="000000" w:themeColor="text1"/>
                <w:lang w:bidi="en-US"/>
                <w14:textFill>
                  <w14:solidFill>
                    <w14:schemeClr w14:val="tx1"/>
                  </w14:solidFill>
                </w14:textFill>
              </w:rPr>
              <w:t>W-</w:t>
            </w:r>
            <w:r>
              <w:rPr>
                <w:rFonts w:hint="default" w:ascii="Times New Roman" w:hAnsi="Times New Roman" w:cs="Times New Roman"/>
                <w:color w:val="000000" w:themeColor="text1"/>
                <w14:textFill>
                  <w14:solidFill>
                    <w14:schemeClr w14:val="tx1"/>
                  </w14:solidFill>
                </w14:textFill>
              </w:rPr>
              <w:t>废水、</w:t>
            </w:r>
            <w:r>
              <w:rPr>
                <w:rFonts w:hint="default" w:ascii="Times New Roman" w:hAnsi="Times New Roman" w:cs="Times New Roman"/>
                <w:color w:val="000000" w:themeColor="text1"/>
                <w:lang w:bidi="en-US"/>
                <w14:textFill>
                  <w14:solidFill>
                    <w14:schemeClr w14:val="tx1"/>
                  </w14:solidFill>
                </w14:textFill>
              </w:rPr>
              <w:t>S-</w:t>
            </w:r>
            <w:r>
              <w:rPr>
                <w:rFonts w:hint="default" w:ascii="Times New Roman" w:hAnsi="Times New Roman" w:cs="Times New Roman"/>
                <w:color w:val="000000" w:themeColor="text1"/>
                <w14:textFill>
                  <w14:solidFill>
                    <w14:schemeClr w14:val="tx1"/>
                  </w14:solidFill>
                </w14:textFill>
              </w:rPr>
              <w:t>固废、</w:t>
            </w:r>
            <w:r>
              <w:rPr>
                <w:rFonts w:hint="default" w:ascii="Times New Roman" w:hAnsi="Times New Roman" w:cs="Times New Roman"/>
                <w:color w:val="000000" w:themeColor="text1"/>
                <w:lang w:bidi="en-US"/>
                <w14:textFill>
                  <w14:solidFill>
                    <w14:schemeClr w14:val="tx1"/>
                  </w14:solidFill>
                </w14:textFill>
              </w:rPr>
              <w:t>N-</w:t>
            </w:r>
            <w:r>
              <w:rPr>
                <w:rFonts w:hint="default" w:ascii="Times New Roman" w:hAnsi="Times New Roman" w:cs="Times New Roman"/>
                <w:color w:val="000000" w:themeColor="text1"/>
                <w14:textFill>
                  <w14:solidFill>
                    <w14:schemeClr w14:val="tx1"/>
                  </w14:solidFill>
                </w14:textFill>
              </w:rPr>
              <w:t>噪声</w:t>
            </w:r>
            <w:r>
              <w:rPr>
                <w:rFonts w:hint="default" w:ascii="Times New Roman" w:hAnsi="Times New Roman" w:cs="Times New Roman"/>
                <w:color w:val="000000" w:themeColor="text1"/>
                <w:lang w:bidi="en-US"/>
                <w14:textFill>
                  <w14:solidFill>
                    <w14:schemeClr w14:val="tx1"/>
                  </w14:solidFill>
                </w14:textFill>
              </w:rPr>
              <w:t>）。</w:t>
            </w:r>
          </w:p>
          <w:p w14:paraId="7AD28684">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2.1金属材料理化性能检测实验</w:t>
            </w:r>
          </w:p>
          <w:p w14:paraId="49223414">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838700" cy="4783455"/>
                  <wp:effectExtent l="0" t="0" r="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838700" cy="4783455"/>
                          </a:xfrm>
                          <a:prstGeom prst="rect">
                            <a:avLst/>
                          </a:prstGeom>
                          <a:noFill/>
                          <a:ln>
                            <a:noFill/>
                          </a:ln>
                        </pic:spPr>
                      </pic:pic>
                    </a:graphicData>
                  </a:graphic>
                </wp:inline>
              </w:drawing>
            </w:r>
          </w:p>
          <w:p w14:paraId="57204715">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图2-2金属材料理化性能检测实验流程图</w:t>
            </w:r>
          </w:p>
          <w:p w14:paraId="19EECFDC">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金属表面检测工艺</w:t>
            </w:r>
            <w:r>
              <w:rPr>
                <w:rFonts w:hint="default" w:ascii="Times New Roman" w:hAnsi="Times New Roman" w:cs="Times New Roman"/>
                <w:b/>
                <w:bCs/>
                <w:color w:val="000000" w:themeColor="text1"/>
                <w14:textFill>
                  <w14:solidFill>
                    <w14:schemeClr w14:val="tx1"/>
                  </w14:solidFill>
                </w14:textFill>
              </w:rPr>
              <w:t>流程简述：</w:t>
            </w:r>
          </w:p>
          <w:p w14:paraId="25E614BA">
            <w:pPr>
              <w:keepNext w:val="0"/>
              <w:keepLines w:val="0"/>
              <w:widowControl/>
              <w:suppressLineNumbers w:val="0"/>
              <w:jc w:val="left"/>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（1）预处理：将客户送来的样品按照实验要求，在一楼焊工房使用手持切割机、砂带磨样机、角磨机等机加工设备进行预处理，使之达到可检测尺寸。此工序产生噪声、金属边角料。</w:t>
            </w:r>
          </w:p>
          <w:p w14:paraId="26794ED7">
            <w:pPr>
              <w:keepNext w:val="0"/>
              <w:keepLines w:val="0"/>
              <w:widowControl/>
              <w:suppressLineNumbers w:val="0"/>
              <w:jc w:val="left"/>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（2）清洗：在制样室使用无水乙醇、四氯化碳等有机试剂清洁处理后的检测样品，处理完成后进入化学实验室待检测状态。此工序产生非甲烷总烃废气和废试剂瓶。</w:t>
            </w:r>
          </w:p>
          <w:p w14:paraId="2ED37AF8">
            <w:pPr>
              <w:keepNext w:val="0"/>
              <w:keepLines w:val="0"/>
              <w:widowControl/>
              <w:suppressLineNumbers w:val="0"/>
              <w:jc w:val="left"/>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（3）实验检测：按客户要求对样品进行金属表面侵蚀性能实验检验。首先根据实验要求，配制相应实验所需试剂。然后选择对应的实验试剂、分析方法和仪器进行检验。涉及使用</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挥发酸雾废气</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的项目在通风橱中进行，实验完毕后，实验试剂根据成分倒入相应的废液存储桶。此工序产生酸性废气、废样品、实验废液、废试剂瓶和废实验用具和噪声。</w:t>
            </w:r>
          </w:p>
          <w:p w14:paraId="3A48AEED">
            <w:pPr>
              <w:keepNext w:val="0"/>
              <w:keepLines w:val="0"/>
              <w:widowControl/>
              <w:suppressLineNumbers w:val="0"/>
              <w:jc w:val="left"/>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（4）试样观察：通过试样观察记录表面侵蚀状态。</w:t>
            </w:r>
          </w:p>
          <w:p w14:paraId="5E4D884D">
            <w:pPr>
              <w:keepNext w:val="0"/>
              <w:keepLines w:val="0"/>
              <w:widowControl/>
              <w:suppressLineNumbers w:val="0"/>
              <w:jc w:val="left"/>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（5）出具检测报告：将试验数据出具报告。</w:t>
            </w:r>
          </w:p>
          <w:p w14:paraId="5FDA6632">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2.2</w:t>
            </w:r>
            <w:r>
              <w:rPr>
                <w:rFonts w:hint="default" w:ascii="Times New Roman" w:hAnsi="Times New Roman" w:cs="Times New Roman"/>
                <w:b/>
                <w:bCs/>
                <w:color w:val="000000" w:themeColor="text1"/>
                <w14:textFill>
                  <w14:solidFill>
                    <w14:schemeClr w14:val="tx1"/>
                  </w14:solidFill>
                </w14:textFill>
              </w:rPr>
              <w:t>SSC硫化氢应力腐蚀</w:t>
            </w:r>
            <w:r>
              <w:rPr>
                <w:rFonts w:hint="default" w:ascii="Times New Roman" w:hAnsi="Times New Roman" w:cs="Times New Roman"/>
                <w:b/>
                <w:bCs/>
                <w:color w:val="000000" w:themeColor="text1"/>
                <w:lang w:val="en-US" w:eastAsia="zh-CN"/>
                <w14:textFill>
                  <w14:solidFill>
                    <w14:schemeClr w14:val="tx1"/>
                  </w14:solidFill>
                </w14:textFill>
              </w:rPr>
              <w:t>试验</w:t>
            </w:r>
          </w:p>
          <w:p w14:paraId="74DB767B">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572000" cy="594360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4572000" cy="5943600"/>
                          </a:xfrm>
                          <a:prstGeom prst="rect">
                            <a:avLst/>
                          </a:prstGeom>
                          <a:noFill/>
                          <a:ln>
                            <a:noFill/>
                          </a:ln>
                        </pic:spPr>
                      </pic:pic>
                    </a:graphicData>
                  </a:graphic>
                </wp:inline>
              </w:drawing>
            </w:r>
          </w:p>
          <w:p w14:paraId="2711E82B">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图2-</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b/>
                <w:bCs/>
                <w:color w:val="000000" w:themeColor="text1"/>
                <w:sz w:val="21"/>
                <w:szCs w:val="21"/>
                <w:lang w:val="en-US" w:eastAsia="zh-CN"/>
                <w14:textFill>
                  <w14:solidFill>
                    <w14:schemeClr w14:val="tx1"/>
                  </w14:solidFill>
                </w14:textFill>
              </w:rPr>
              <w:t>SSC硫化氢应力腐蚀试验实验流程图</w:t>
            </w:r>
          </w:p>
          <w:p w14:paraId="1E0D9F9B">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SSC</w:t>
            </w:r>
            <w:r>
              <w:rPr>
                <w:rFonts w:hint="default" w:ascii="Times New Roman" w:hAnsi="Times New Roman" w:cs="Times New Roman"/>
                <w:b/>
                <w:bCs/>
                <w:color w:val="000000" w:themeColor="text1"/>
                <w:lang w:val="en-US" w:eastAsia="zh-CN"/>
                <w14:textFill>
                  <w14:solidFill>
                    <w14:schemeClr w14:val="tx1"/>
                  </w14:solidFill>
                </w14:textFill>
              </w:rPr>
              <w:t>工艺</w:t>
            </w:r>
            <w:r>
              <w:rPr>
                <w:rFonts w:hint="default" w:ascii="Times New Roman" w:hAnsi="Times New Roman" w:cs="Times New Roman"/>
                <w:b/>
                <w:bCs/>
                <w:color w:val="000000" w:themeColor="text1"/>
                <w14:textFill>
                  <w14:solidFill>
                    <w14:schemeClr w14:val="tx1"/>
                  </w14:solidFill>
                </w14:textFill>
              </w:rPr>
              <w:t>流程简述：</w:t>
            </w:r>
          </w:p>
          <w:p w14:paraId="584CFCF7">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试样制备：按照相关标准（如拉伸法、弯曲法、C形环法、双悬臂梁法等）加工试样，保证试样的尺寸、形状符合要求，并检查试样表面情况并记录。</w:t>
            </w:r>
            <w:r>
              <w:rPr>
                <w:rFonts w:hint="eastAsia" w:ascii="Times New Roman" w:hAnsi="Times New Roman" w:cs="Times New Roman"/>
                <w:color w:val="000000" w:themeColor="text1"/>
                <w:lang w:val="en-US" w:eastAsia="zh-CN"/>
                <w14:textFill>
                  <w14:solidFill>
                    <w14:schemeClr w14:val="tx1"/>
                  </w14:solidFill>
                </w14:textFill>
              </w:rPr>
              <w:t>此过程主要产生固废和噪声。样品规格尺寸要求如下：</w:t>
            </w:r>
            <w:r>
              <w:rPr>
                <w:color w:val="000000" w:themeColor="text1"/>
                <w14:textFill>
                  <w14:solidFill>
                    <w14:schemeClr w14:val="tx1"/>
                  </w14:solidFill>
                </w14:textFill>
              </w:rPr>
              <w:drawing>
                <wp:inline distT="0" distB="0" distL="114300" distR="114300">
                  <wp:extent cx="4314190" cy="2072640"/>
                  <wp:effectExtent l="0" t="0" r="10160" b="3810"/>
                  <wp:docPr id="6" name="图片 5" descr="拉伸试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拉伸试样"/>
                          <pic:cNvPicPr>
                            <a:picLocks noChangeAspect="1"/>
                          </pic:cNvPicPr>
                        </pic:nvPicPr>
                        <pic:blipFill>
                          <a:blip r:embed="rId14"/>
                          <a:stretch>
                            <a:fillRect/>
                          </a:stretch>
                        </pic:blipFill>
                        <pic:spPr>
                          <a:xfrm>
                            <a:off x="0" y="0"/>
                            <a:ext cx="4314190" cy="2072640"/>
                          </a:xfrm>
                          <a:prstGeom prst="rect">
                            <a:avLst/>
                          </a:prstGeom>
                        </pic:spPr>
                      </pic:pic>
                    </a:graphicData>
                  </a:graphic>
                </wp:inline>
              </w:drawing>
            </w:r>
          </w:p>
          <w:p w14:paraId="7259DB93">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22" w:firstLineChars="200"/>
              <w:jc w:val="center"/>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图2-</w:t>
            </w:r>
            <w:r>
              <w:rPr>
                <w:rFonts w:hint="eastAsia" w:cs="Times New Roman"/>
                <w:b/>
                <w:bCs/>
                <w:color w:val="000000" w:themeColor="text1"/>
                <w:sz w:val="21"/>
                <w:szCs w:val="21"/>
                <w:lang w:val="en-US" w:eastAsia="zh-CN"/>
                <w14:textFill>
                  <w14:solidFill>
                    <w14:schemeClr w14:val="tx1"/>
                  </w14:solidFill>
                </w14:textFill>
              </w:rPr>
              <w:t>4GB4157-2017标准中硫化氢应力腐蚀拉伸试样规格要求</w:t>
            </w:r>
          </w:p>
          <w:p w14:paraId="7FDD29F3">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超声初步清洗：金属材料放入加入自来水超声波清洗机恒温槽除杂质。此过程产生废水及噪声。</w:t>
            </w:r>
          </w:p>
          <w:p w14:paraId="4C1E8345">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（3）表面</w:t>
            </w:r>
            <w:r>
              <w:rPr>
                <w:rFonts w:hint="default" w:ascii="Times New Roman" w:hAnsi="Times New Roman" w:cs="Times New Roman"/>
                <w:color w:val="000000" w:themeColor="text1"/>
                <w:lang w:val="en-US" w:eastAsia="zh-CN"/>
                <w14:textFill>
                  <w14:solidFill>
                    <w14:schemeClr w14:val="tx1"/>
                  </w14:solidFill>
                </w14:textFill>
              </w:rPr>
              <w:t>清洁：用脱脂剂（如</w:t>
            </w:r>
            <w:r>
              <w:rPr>
                <w:rFonts w:hint="eastAsia" w:ascii="Times New Roman" w:hAnsi="Times New Roman" w:cs="Times New Roman"/>
                <w:color w:val="000000" w:themeColor="text1"/>
                <w:lang w:val="en-US" w:eastAsia="zh-CN"/>
                <w14:textFill>
                  <w14:solidFill>
                    <w14:schemeClr w14:val="tx1"/>
                  </w14:solidFill>
                </w14:textFill>
              </w:rPr>
              <w:t>四氯化碳或无水乙醇</w:t>
            </w:r>
            <w:r>
              <w:rPr>
                <w:rFonts w:hint="default" w:ascii="Times New Roman" w:hAnsi="Times New Roman" w:cs="Times New Roman"/>
                <w:color w:val="000000" w:themeColor="text1"/>
                <w:lang w:val="en-US" w:eastAsia="zh-CN"/>
                <w14:textFill>
                  <w14:solidFill>
                    <w14:schemeClr w14:val="tx1"/>
                  </w14:solidFill>
                </w14:textFill>
              </w:rPr>
              <w:t>）清洗试样，然后用去离子水冲洗，可依据ASTMF21验证清洁度，清洗后试样的测试部分不能用手或其他可能损坏其表面的物体碰触。</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此过程产生</w:t>
            </w:r>
            <w:r>
              <w:rPr>
                <w:rFonts w:hint="eastAsia" w:cs="Times New Roman"/>
                <w:color w:val="000000" w:themeColor="text1"/>
                <w:kern w:val="2"/>
                <w:sz w:val="24"/>
                <w:szCs w:val="24"/>
                <w:lang w:val="en-US" w:eastAsia="zh-CN" w:bidi="ar-SA"/>
                <w14:textFill>
                  <w14:solidFill>
                    <w14:schemeClr w14:val="tx1"/>
                  </w14:solidFill>
                </w14:textFill>
              </w:rPr>
              <w:t>有机废气</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及</w:t>
            </w:r>
            <w:r>
              <w:rPr>
                <w:rFonts w:hint="eastAsia" w:cs="Times New Roman"/>
                <w:color w:val="000000" w:themeColor="text1"/>
                <w:kern w:val="2"/>
                <w:sz w:val="24"/>
                <w:szCs w:val="24"/>
                <w:lang w:val="en-US" w:eastAsia="zh-CN" w:bidi="ar-SA"/>
                <w14:textFill>
                  <w14:solidFill>
                    <w14:schemeClr w14:val="tx1"/>
                  </w14:solidFill>
                </w14:textFill>
              </w:rPr>
              <w:t>试验废液</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p>
          <w:p w14:paraId="49308F1B">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脱氧工艺：</w:t>
            </w:r>
            <w:r>
              <w:rPr>
                <w:rFonts w:hint="default" w:ascii="Times New Roman" w:hAnsi="Times New Roman" w:cs="Times New Roman"/>
                <w:color w:val="000000" w:themeColor="text1"/>
                <w:lang w:val="en-US" w:eastAsia="zh-CN"/>
                <w14:textFill>
                  <w14:solidFill>
                    <w14:schemeClr w14:val="tx1"/>
                  </w14:solidFill>
                </w14:textFill>
              </w:rPr>
              <w:t>根据材料的屈服强度计算出目标应力值，将试样准确安装在专用加载装置上（如拉伸试验机、应力环）。按照标准规定的应力水平（通常为屈服强度的一定百分比）施加载荷，确保加载均匀且稳定。空的试验容器通入氮气≥1小时进行脱氧。在密封容器中通入氮气（≥100mL/min/L）≥1小时对溶液预脱氧，然后将脱氧后的溶液转移至已脱氧的测试容器中。</w:t>
            </w:r>
          </w:p>
          <w:p w14:paraId="5F651E10">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H₂S饱和：通入硫化氢气体，初始以连续气泡通入使之尽快达到饱和，大约1小时后，降低通气量（每分钟几个气泡），使硫化氢在容器内保持正压。测试：将加载好的试样浸入测试溶液中，密封容器，维持温度在24±3℃，持续通硫化氢，测试周期通常为720小时</w:t>
            </w:r>
            <w:r>
              <w:rPr>
                <w:rFonts w:hint="eastAsia" w:cs="Times New Roman"/>
                <w:color w:val="000000" w:themeColor="text1"/>
                <w:lang w:val="en-US" w:eastAsia="zh-CN"/>
                <w14:textFill>
                  <w14:solidFill>
                    <w14:schemeClr w14:val="tx1"/>
                  </w14:solidFill>
                </w14:textFill>
              </w:rPr>
              <w:t>（本实验过程提供高温高压环境，</w:t>
            </w:r>
            <w:r>
              <w:rPr>
                <w:rFonts w:hint="default" w:ascii="Times New Roman" w:hAnsi="Times New Roman" w:cs="Times New Roman"/>
                <w:color w:val="000000" w:themeColor="text1"/>
                <w:lang w:val="en-US" w:eastAsia="zh-CN"/>
                <w14:textFill>
                  <w14:solidFill>
                    <w14:schemeClr w14:val="tx1"/>
                  </w14:solidFill>
                </w14:textFill>
              </w:rPr>
              <w:t>H₂S饱和</w:t>
            </w:r>
            <w:r>
              <w:rPr>
                <w:rFonts w:hint="eastAsia" w:cs="Times New Roman"/>
                <w:color w:val="000000" w:themeColor="text1"/>
                <w:lang w:val="en-US" w:eastAsia="zh-CN"/>
                <w14:textFill>
                  <w14:solidFill>
                    <w14:schemeClr w14:val="tx1"/>
                  </w14:solidFill>
                </w14:textFill>
              </w:rPr>
              <w:t>后调小H,S气体流量，保持</w:t>
            </w:r>
            <w:r>
              <w:rPr>
                <w:rFonts w:hint="default" w:ascii="Times New Roman" w:hAnsi="Times New Roman" w:cs="Times New Roman"/>
                <w:color w:val="000000" w:themeColor="text1"/>
                <w:lang w:val="en-US" w:eastAsia="zh-CN"/>
                <w14:textFill>
                  <w14:solidFill>
                    <w14:schemeClr w14:val="tx1"/>
                  </w14:solidFill>
                </w14:textFill>
              </w:rPr>
              <w:t>H₂S</w:t>
            </w:r>
            <w:r>
              <w:rPr>
                <w:rFonts w:hint="eastAsia" w:cs="Times New Roman"/>
                <w:color w:val="000000" w:themeColor="text1"/>
                <w:lang w:val="en-US" w:eastAsia="zh-CN"/>
                <w14:textFill>
                  <w14:solidFill>
                    <w14:schemeClr w14:val="tx1"/>
                  </w14:solidFill>
                </w14:textFill>
              </w:rPr>
              <w:t>气体为微正压至实验结束腐蚀周期为4h）</w:t>
            </w:r>
            <w:r>
              <w:rPr>
                <w:rFonts w:hint="default" w:ascii="Times New Roman" w:hAnsi="Times New Roman" w:cs="Times New Roman"/>
                <w:color w:val="000000" w:themeColor="text1"/>
                <w:lang w:val="en-US" w:eastAsia="zh-CN"/>
                <w14:textFill>
                  <w14:solidFill>
                    <w14:schemeClr w14:val="tx1"/>
                  </w14:solidFill>
                </w14:textFill>
              </w:rPr>
              <w:t>。试验过程中需密切监控试样的状态、溶液的pH值等参数。</w:t>
            </w:r>
          </w:p>
          <w:p w14:paraId="57C22D53">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结果评估：试验结束后，关闭硫化氢气阀，并通入氮气吹扫，时间不少于</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小时以充分赶出容器及气管中残余的硫化氢气体。</w:t>
            </w:r>
          </w:p>
          <w:p w14:paraId="7FB65491">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取出试样，在</w:t>
            </w:r>
            <w:r>
              <w:rPr>
                <w:rFonts w:hint="eastAsia" w:ascii="Times New Roman" w:hAnsi="Times New Roman" w:cs="Times New Roman"/>
                <w:color w:val="000000" w:themeColor="text1"/>
                <w:lang w:val="en-US" w:eastAsia="zh-CN"/>
                <w14:textFill>
                  <w14:solidFill>
                    <w14:schemeClr w14:val="tx1"/>
                  </w14:solidFill>
                </w14:textFill>
              </w:rPr>
              <w:t>金相</w:t>
            </w:r>
            <w:r>
              <w:rPr>
                <w:rFonts w:hint="default" w:ascii="Times New Roman" w:hAnsi="Times New Roman" w:cs="Times New Roman"/>
                <w:color w:val="000000" w:themeColor="text1"/>
                <w:lang w:val="en-US" w:eastAsia="zh-CN"/>
                <w14:textFill>
                  <w14:solidFill>
                    <w14:schemeClr w14:val="tx1"/>
                  </w14:solidFill>
                </w14:textFill>
              </w:rPr>
              <w:t>显微镜等设备下检查试样表面有无裂纹等缺陷，根据裂纹的情况和试验标准判断材料是否符合抗SSC的要求。</w:t>
            </w:r>
          </w:p>
          <w:p w14:paraId="2678D1D8">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lang w:val="en-US" w:eastAsia="zh-CN"/>
                <w14:textFill>
                  <w14:solidFill>
                    <w14:schemeClr w14:val="tx1"/>
                  </w14:solidFill>
                </w14:textFill>
              </w:rPr>
              <w:t>数据记录：记录试验过程中的各项数据，包括试验环境参数（溶液类型、硫化氢分压、pH、温度）、施加的应力、试样的状态、断裂时间（若</w:t>
            </w:r>
            <w:r>
              <w:rPr>
                <w:rFonts w:hint="eastAsia" w:cs="Times New Roman"/>
                <w:color w:val="000000" w:themeColor="text1"/>
                <w:lang w:val="en-US" w:eastAsia="zh-CN"/>
                <w14:textFill>
                  <w14:solidFill>
                    <w14:schemeClr w14:val="tx1"/>
                  </w14:solidFill>
                </w14:textFill>
              </w:rPr>
              <w:t>断裂</w:t>
            </w:r>
            <w:r>
              <w:rPr>
                <w:rFonts w:hint="default" w:ascii="Times New Roman" w:hAnsi="Times New Roman" w:cs="Times New Roman"/>
                <w:color w:val="000000" w:themeColor="text1"/>
                <w:lang w:val="en-US" w:eastAsia="zh-CN"/>
                <w14:textFill>
                  <w14:solidFill>
                    <w14:schemeClr w14:val="tx1"/>
                  </w14:solidFill>
                </w14:textFill>
              </w:rPr>
              <w:t>）等。</w:t>
            </w:r>
          </w:p>
          <w:p w14:paraId="2CE88BB7">
            <w:pPr>
              <w:pStyle w:val="20"/>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（9）出具</w:t>
            </w:r>
            <w:r>
              <w:rPr>
                <w:rFonts w:hint="default" w:ascii="Times New Roman" w:hAnsi="Times New Roman" w:cs="Times New Roman"/>
                <w:color w:val="000000" w:themeColor="text1"/>
                <w:lang w:val="en-US" w:eastAsia="zh-CN"/>
                <w14:textFill>
                  <w14:solidFill>
                    <w14:schemeClr w14:val="tx1"/>
                  </w14:solidFill>
                </w14:textFill>
              </w:rPr>
              <w:t>报告：根据试验结果和记录的数据，编制详细的试验报告，包括试验目的、方法、过程、结果及结论等内容。</w:t>
            </w:r>
          </w:p>
          <w:p w14:paraId="6C8B4106">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2.3</w:t>
            </w:r>
            <w:r>
              <w:rPr>
                <w:rFonts w:hint="default" w:ascii="Times New Roman" w:hAnsi="Times New Roman" w:cs="Times New Roman"/>
                <w:b/>
                <w:bCs/>
                <w:color w:val="000000" w:themeColor="text1"/>
                <w14:textFill>
                  <w14:solidFill>
                    <w14:schemeClr w14:val="tx1"/>
                  </w14:solidFill>
                </w14:textFill>
              </w:rPr>
              <w:t>HIC氢致开裂检验</w:t>
            </w:r>
            <w:r>
              <w:rPr>
                <w:rFonts w:hint="default" w:ascii="Times New Roman" w:hAnsi="Times New Roman" w:cs="Times New Roman"/>
                <w:b/>
                <w:bCs/>
                <w:color w:val="000000" w:themeColor="text1"/>
                <w:lang w:val="en-US" w:eastAsia="zh-CN"/>
                <w14:textFill>
                  <w14:solidFill>
                    <w14:schemeClr w14:val="tx1"/>
                  </w14:solidFill>
                </w14:textFill>
              </w:rPr>
              <w:t>试验</w:t>
            </w:r>
          </w:p>
          <w:p w14:paraId="6007FEEC">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48275" cy="5819775"/>
                  <wp:effectExtent l="0" t="0" r="9525" b="9525"/>
                  <wp:docPr id="9" name="图片 3" descr="未命名绘图-流程图.draw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未命名绘图-流程图.drawio (2)"/>
                          <pic:cNvPicPr>
                            <a:picLocks noChangeAspect="1"/>
                          </pic:cNvPicPr>
                        </pic:nvPicPr>
                        <pic:blipFill>
                          <a:blip r:embed="rId15"/>
                          <a:stretch>
                            <a:fillRect/>
                          </a:stretch>
                        </pic:blipFill>
                        <pic:spPr>
                          <a:xfrm>
                            <a:off x="0" y="0"/>
                            <a:ext cx="5248275" cy="5819775"/>
                          </a:xfrm>
                          <a:prstGeom prst="rect">
                            <a:avLst/>
                          </a:prstGeom>
                        </pic:spPr>
                      </pic:pic>
                    </a:graphicData>
                  </a:graphic>
                </wp:inline>
              </w:drawing>
            </w:r>
          </w:p>
          <w:p w14:paraId="1736BE4E">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图2-</w:t>
            </w:r>
            <w:r>
              <w:rPr>
                <w:rFonts w:hint="eastAsia" w:cs="Times New Roman"/>
                <w:b/>
                <w:bCs/>
                <w:color w:val="000000" w:themeColor="text1"/>
                <w:sz w:val="21"/>
                <w:szCs w:val="21"/>
                <w:lang w:val="en-US" w:eastAsia="zh-CN"/>
                <w14:textFill>
                  <w14:solidFill>
                    <w14:schemeClr w14:val="tx1"/>
                  </w14:solidFill>
                </w14:textFill>
              </w:rPr>
              <w:t>5</w:t>
            </w:r>
            <w:r>
              <w:rPr>
                <w:rFonts w:hint="default" w:ascii="Times New Roman" w:hAnsi="Times New Roman" w:cs="Times New Roman"/>
                <w:b/>
                <w:bCs/>
                <w:color w:val="000000" w:themeColor="text1"/>
                <w:sz w:val="21"/>
                <w:szCs w:val="21"/>
                <w:lang w:val="en-US" w:eastAsia="zh-CN"/>
                <w14:textFill>
                  <w14:solidFill>
                    <w14:schemeClr w14:val="tx1"/>
                  </w14:solidFill>
                </w14:textFill>
              </w:rPr>
              <w:t>HIC氢致开裂检验流程图</w:t>
            </w:r>
          </w:p>
          <w:p w14:paraId="7D716D6F">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HIC</w:t>
            </w:r>
            <w:r>
              <w:rPr>
                <w:rFonts w:hint="default" w:ascii="Times New Roman" w:hAnsi="Times New Roman" w:cs="Times New Roman"/>
                <w:b/>
                <w:bCs/>
                <w:color w:val="000000" w:themeColor="text1"/>
                <w:lang w:val="en-US" w:eastAsia="zh-CN"/>
                <w14:textFill>
                  <w14:solidFill>
                    <w14:schemeClr w14:val="tx1"/>
                  </w14:solidFill>
                </w14:textFill>
              </w:rPr>
              <w:t>工艺</w:t>
            </w:r>
            <w:r>
              <w:rPr>
                <w:rFonts w:hint="default" w:ascii="Times New Roman" w:hAnsi="Times New Roman" w:cs="Times New Roman"/>
                <w:b/>
                <w:bCs/>
                <w:color w:val="000000" w:themeColor="text1"/>
                <w14:textFill>
                  <w14:solidFill>
                    <w14:schemeClr w14:val="tx1"/>
                  </w14:solidFill>
                </w14:textFill>
              </w:rPr>
              <w:t>流程简述：</w:t>
            </w:r>
          </w:p>
          <w:p w14:paraId="532E4BFF">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试样制备：按照相关标准（如拉伸法、弯曲法、C形环法、双悬臂梁法等）加工试样，保证试样的尺寸、形状符合要求，并检查试样表面情况并记录。</w:t>
            </w:r>
          </w:p>
          <w:p w14:paraId="2E8FF116">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（2）试样清洗</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：用脱脂剂（</w:t>
            </w:r>
            <w:r>
              <w:rPr>
                <w:rFonts w:hint="eastAsia" w:cs="Times New Roman"/>
                <w:color w:val="000000" w:themeColor="text1"/>
                <w:kern w:val="2"/>
                <w:sz w:val="24"/>
                <w:szCs w:val="24"/>
                <w:lang w:val="en-US" w:eastAsia="zh-CN" w:bidi="ar-SA"/>
                <w14:textFill>
                  <w14:solidFill>
                    <w14:schemeClr w14:val="tx1"/>
                  </w14:solidFill>
                </w14:textFill>
              </w:rPr>
              <w:t>有机溶剂</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）清洗试样，</w:t>
            </w:r>
            <w:r>
              <w:rPr>
                <w:rFonts w:hint="eastAsia" w:cs="Times New Roman"/>
                <w:color w:val="000000" w:themeColor="text1"/>
                <w:kern w:val="2"/>
                <w:sz w:val="24"/>
                <w:szCs w:val="24"/>
                <w:lang w:val="en-US" w:eastAsia="zh-CN" w:bidi="ar-SA"/>
                <w14:textFill>
                  <w14:solidFill>
                    <w14:schemeClr w14:val="tx1"/>
                  </w14:solidFill>
                </w14:textFill>
              </w:rPr>
              <w:t>自来水超声清洗后</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用去离子水冲洗，可依据ASTMF21验证清洁度，清洗后试样的测试部分不能用手或其他可能损坏其表面的物体碰触。</w:t>
            </w:r>
          </w:p>
          <w:p w14:paraId="70808C7D">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加载：计算目标应力，将试样固定到相应的加载装置上（如拉伸试验机、应力环等），按照标准要求的应力水平进行加载</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按一定比例的屈服强度加载。</w:t>
            </w:r>
          </w:p>
          <w:p w14:paraId="340AAE58">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容器脱氧</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溶液脱氧：空的试验容器通入氮气≥1小时进行脱氧。在密封容器中通入氮气（≥100mL/min/L）≥1小时对溶液预脱氧，然后将脱氧后的溶液转移至已脱氧的测试容器中。</w:t>
            </w:r>
          </w:p>
          <w:p w14:paraId="40B7A688">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H₂S饱和：通入硫化氢气体，初始以连续气泡通入使之尽快达到饱和，大约1小时后，降低通气量（每分钟几个气泡），使硫化氢在容器内保持正压。</w:t>
            </w:r>
          </w:p>
          <w:p w14:paraId="0F578D1D">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（6）氢致开裂试验</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：将加载好的试样浸入测试溶液中，密封容器，维持温度在24±3℃，持续通硫化氢，测试周期通常为720小时</w:t>
            </w:r>
            <w:r>
              <w:rPr>
                <w:rFonts w:hint="eastAsia" w:cs="Times New Roman"/>
                <w:color w:val="000000" w:themeColor="text1"/>
                <w:lang w:val="en-US" w:eastAsia="zh-CN"/>
                <w14:textFill>
                  <w14:solidFill>
                    <w14:schemeClr w14:val="tx1"/>
                  </w14:solidFill>
                </w14:textFill>
              </w:rPr>
              <w:t>（本实验过程提供高温高压环境，</w:t>
            </w:r>
            <w:r>
              <w:rPr>
                <w:rFonts w:hint="default" w:ascii="Times New Roman" w:hAnsi="Times New Roman" w:cs="Times New Roman"/>
                <w:color w:val="000000" w:themeColor="text1"/>
                <w:lang w:val="en-US" w:eastAsia="zh-CN"/>
                <w14:textFill>
                  <w14:solidFill>
                    <w14:schemeClr w14:val="tx1"/>
                  </w14:solidFill>
                </w14:textFill>
              </w:rPr>
              <w:t>H₂S</w:t>
            </w:r>
            <w:r>
              <w:rPr>
                <w:rFonts w:hint="eastAsia" w:cs="Times New Roman"/>
                <w:color w:val="000000" w:themeColor="text1"/>
                <w:lang w:val="en-US" w:eastAsia="zh-CN"/>
                <w14:textFill>
                  <w14:solidFill>
                    <w14:schemeClr w14:val="tx1"/>
                  </w14:solidFill>
                </w14:textFill>
              </w:rPr>
              <w:t>保持正压腐蚀周期为4h）</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。试验过程中需密切监控试样的状态、溶液的pH值等参数。</w:t>
            </w:r>
          </w:p>
          <w:p w14:paraId="3F318182">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（7）裂纹分析及计算</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：试验结束后，关闭硫化氢气阀，并通入氮气吹扫，时间不少于</w:t>
            </w:r>
            <w:r>
              <w:rPr>
                <w:rFonts w:hint="eastAsia"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小时以充分赶出容器及气管中残余的硫化氢气体。取出试样，在</w:t>
            </w:r>
            <w:r>
              <w:rPr>
                <w:rFonts w:hint="eastAsia" w:cs="Times New Roman"/>
                <w:color w:val="000000" w:themeColor="text1"/>
                <w:kern w:val="2"/>
                <w:sz w:val="24"/>
                <w:szCs w:val="24"/>
                <w:lang w:val="en-US" w:eastAsia="zh-CN" w:bidi="ar-SA"/>
                <w14:textFill>
                  <w14:solidFill>
                    <w14:schemeClr w14:val="tx1"/>
                  </w14:solidFill>
                </w14:textFill>
              </w:rPr>
              <w:t>金相</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显微镜等设备下检查试样表面有无裂纹等缺陷，根据裂纹的情况和试验标准判断材料是否符合抗SSC的要求。</w:t>
            </w:r>
          </w:p>
          <w:p w14:paraId="5E90CE92">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数据记录</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报告生成：记录试验过程中的各项数据，包括试验环境参数（溶液类型、硫化氢分压、pH、温度）、施加的应力、试样的状态、断裂时间（若有）等。根据试验结果和记录的数据，编制详细的试验报告，包括试验目的、方法、过程、结果及结论等内容。</w:t>
            </w:r>
          </w:p>
          <w:p w14:paraId="6D2B2E6A">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2.4金属材料金相观察实验</w:t>
            </w:r>
          </w:p>
          <w:p w14:paraId="703BC2D3">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cs="Times New Roman"/>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400040" cy="3858895"/>
                  <wp:effectExtent l="0" t="0" r="1016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5400040" cy="3858895"/>
                          </a:xfrm>
                          <a:prstGeom prst="rect">
                            <a:avLst/>
                          </a:prstGeom>
                          <a:noFill/>
                          <a:ln>
                            <a:noFill/>
                          </a:ln>
                        </pic:spPr>
                      </pic:pic>
                    </a:graphicData>
                  </a:graphic>
                </wp:inline>
              </w:drawing>
            </w:r>
          </w:p>
          <w:p w14:paraId="680CD40C">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图2-</w:t>
            </w:r>
            <w:r>
              <w:rPr>
                <w:rFonts w:hint="eastAsia" w:cs="Times New Roman"/>
                <w:b/>
                <w:bCs/>
                <w:color w:val="000000" w:themeColor="text1"/>
                <w:sz w:val="21"/>
                <w:szCs w:val="21"/>
                <w:lang w:val="en-US" w:eastAsia="zh-CN"/>
                <w14:textFill>
                  <w14:solidFill>
                    <w14:schemeClr w14:val="tx1"/>
                  </w14:solidFill>
                </w14:textFill>
              </w:rPr>
              <w:t>6金属金相观察工艺流程图</w:t>
            </w:r>
          </w:p>
          <w:p w14:paraId="52CEB194">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金属材料金相观察</w:t>
            </w:r>
            <w:r>
              <w:rPr>
                <w:rFonts w:hint="default" w:ascii="Times New Roman" w:hAnsi="Times New Roman" w:cs="Times New Roman"/>
                <w:b/>
                <w:bCs/>
                <w:color w:val="000000" w:themeColor="text1"/>
                <w14:textFill>
                  <w14:solidFill>
                    <w14:schemeClr w14:val="tx1"/>
                  </w14:solidFill>
                </w14:textFill>
              </w:rPr>
              <w:t>流程简述：</w:t>
            </w:r>
          </w:p>
          <w:p w14:paraId="0F632B3F">
            <w:pPr>
              <w:keepNext w:val="0"/>
              <w:keepLines w:val="0"/>
              <w:widowControl/>
              <w:suppressLineNumbers w:val="0"/>
              <w:jc w:val="left"/>
              <w:rPr>
                <w:b w:val="0"/>
                <w:bCs w:val="0"/>
                <w:color w:val="000000" w:themeColor="text1"/>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切割：在金相式样切割机上对样品进行切割。</w:t>
            </w:r>
          </w:p>
          <w:p w14:paraId="159AB644">
            <w:pPr>
              <w:keepNext w:val="0"/>
              <w:keepLines w:val="0"/>
              <w:widowControl/>
              <w:suppressLineNumbers w:val="0"/>
              <w:jc w:val="left"/>
              <w:rPr>
                <w:b w:val="0"/>
                <w:bCs w:val="0"/>
                <w:color w:val="000000" w:themeColor="text1"/>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（2）磨抛：在金相试样磨抛机上对样品进行磨抛。</w:t>
            </w:r>
          </w:p>
          <w:p w14:paraId="63CC84B7">
            <w:pPr>
              <w:keepNext w:val="0"/>
              <w:keepLines w:val="0"/>
              <w:widowControl/>
              <w:suppressLineNumbers w:val="0"/>
              <w:jc w:val="left"/>
              <w:rPr>
                <w:b w:val="0"/>
                <w:bCs w:val="0"/>
                <w:color w:val="000000" w:themeColor="text1"/>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3）侵蚀：为显示金属的组织结构，需要用化学试剂（盐酸、硫酸、硝酸、草酸、无水乙醇、双氧水、三氯化铁、氯化锌、硫酸铜、过硫酸铵、氰化钾、碳酸氢钠、重铬酸钾、高锰酸钾等等以上的一种或几种）配制溶液，用所配溶液对样品表面进行侵蚀，显现出金属内部结构。该过程在腐蚀实验室的通风橱中进行。</w:t>
            </w:r>
          </w:p>
          <w:p w14:paraId="0D848E70">
            <w:pPr>
              <w:keepNext w:val="0"/>
              <w:keepLines w:val="0"/>
              <w:widowControl/>
              <w:suppressLineNumbers w:val="0"/>
              <w:jc w:val="left"/>
              <w:rPr>
                <w:b w:val="0"/>
                <w:bCs w:val="0"/>
                <w:color w:val="000000" w:themeColor="text1"/>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（4）检测分析：采用金相显微镜观察显微组织结构。</w:t>
            </w:r>
          </w:p>
          <w:p w14:paraId="24C56427">
            <w:pPr>
              <w:keepNext w:val="0"/>
              <w:keepLines w:val="0"/>
              <w:widowControl/>
              <w:suppressLineNumbers w:val="0"/>
              <w:jc w:val="left"/>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（5）读取数据，出具报告：根据检测</w:t>
            </w:r>
            <w:r>
              <w:rPr>
                <w:rFonts w:hint="eastAsia" w:ascii="宋体" w:hAnsi="宋体" w:cs="宋体"/>
                <w:b w:val="0"/>
                <w:bCs w:val="0"/>
                <w:color w:val="000000" w:themeColor="text1"/>
                <w:kern w:val="0"/>
                <w:sz w:val="24"/>
                <w:szCs w:val="24"/>
                <w:lang w:val="en-US" w:eastAsia="zh-CN" w:bidi="ar"/>
                <w14:textFill>
                  <w14:solidFill>
                    <w14:schemeClr w14:val="tx1"/>
                  </w14:solidFill>
                </w14:textFill>
              </w:rPr>
              <w:t>现场</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，在专业软件及相关标准上读取相关数据，出具检测报告。</w:t>
            </w:r>
          </w:p>
          <w:p w14:paraId="1663270C">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2.5纯水制备工艺说明</w:t>
            </w:r>
          </w:p>
          <w:p w14:paraId="76B13DA3">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059680" cy="1122680"/>
                  <wp:effectExtent l="0" t="0" r="762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059680" cy="1122680"/>
                          </a:xfrm>
                          <a:prstGeom prst="rect">
                            <a:avLst/>
                          </a:prstGeom>
                        </pic:spPr>
                      </pic:pic>
                    </a:graphicData>
                  </a:graphic>
                </wp:inline>
              </w:drawing>
            </w:r>
          </w:p>
          <w:p w14:paraId="6F7A1B73">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图2-</w:t>
            </w:r>
            <w:r>
              <w:rPr>
                <w:rFonts w:hint="eastAsia" w:ascii="Times New Roman" w:hAnsi="Times New Roman" w:cs="Times New Roman"/>
                <w:b/>
                <w:bCs/>
                <w:color w:val="000000" w:themeColor="text1"/>
                <w:sz w:val="21"/>
                <w:szCs w:val="21"/>
                <w:lang w:val="en-US" w:eastAsia="zh-CN"/>
                <w14:textFill>
                  <w14:solidFill>
                    <w14:schemeClr w14:val="tx1"/>
                  </w14:solidFill>
                </w14:textFill>
              </w:rPr>
              <w:t>7</w:t>
            </w:r>
            <w:r>
              <w:rPr>
                <w:rFonts w:hint="default" w:ascii="Times New Roman" w:hAnsi="Times New Roman" w:cs="Times New Roman"/>
                <w:b/>
                <w:bCs/>
                <w:color w:val="000000" w:themeColor="text1"/>
                <w:sz w:val="21"/>
                <w:szCs w:val="21"/>
                <w:lang w:val="en-US" w:eastAsia="zh-CN"/>
                <w14:textFill>
                  <w14:solidFill>
                    <w14:schemeClr w14:val="tx1"/>
                  </w14:solidFill>
                </w14:textFill>
              </w:rPr>
              <w:t>实验纯水制备流程图</w:t>
            </w:r>
          </w:p>
          <w:p w14:paraId="6865DA69">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纯水机制备纯水</w:t>
            </w:r>
            <w:r>
              <w:rPr>
                <w:rFonts w:hint="default" w:ascii="Times New Roman" w:hAnsi="Times New Roman" w:cs="Times New Roman"/>
                <w:b/>
                <w:bCs/>
                <w:color w:val="000000" w:themeColor="text1"/>
                <w14:textFill>
                  <w14:solidFill>
                    <w14:schemeClr w14:val="tx1"/>
                  </w14:solidFill>
                </w14:textFill>
              </w:rPr>
              <w:t>流程简述：</w:t>
            </w:r>
          </w:p>
          <w:p w14:paraId="5BCD76FA">
            <w:pPr>
              <w:pStyle w:val="20"/>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本项目选用规格0.05t/h纯水制备机，采用二级反渗透工艺制备，制备效率约80%。</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具体工艺为：原水箱</w:t>
            </w:r>
            <w:r>
              <w:rPr>
                <w:rFonts w:hint="eastAsia"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砂滤</w:t>
            </w:r>
            <w:r>
              <w:rPr>
                <w:rFonts w:hint="eastAsia"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碳滤</w:t>
            </w:r>
            <w:r>
              <w:rPr>
                <w:rFonts w:hint="eastAsia"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精滤</w:t>
            </w:r>
            <w:r>
              <w:rPr>
                <w:rFonts w:hint="eastAsia"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RO</w:t>
            </w:r>
            <w:r>
              <w:rPr>
                <w:rFonts w:hint="eastAsia"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中间水箱</w:t>
            </w:r>
            <w:r>
              <w:rPr>
                <w:rFonts w:hint="eastAsia"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二级RO</w:t>
            </w:r>
            <w:r>
              <w:rPr>
                <w:rFonts w:hint="eastAsia"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纯水箱。</w:t>
            </w:r>
            <w:r>
              <w:rPr>
                <w:rFonts w:hint="eastAsia" w:cs="Times New Roman"/>
                <w:b w:val="0"/>
                <w:bCs w:val="0"/>
                <w:color w:val="000000" w:themeColor="text1"/>
                <w:kern w:val="0"/>
                <w:sz w:val="24"/>
                <w:szCs w:val="24"/>
                <w:lang w:val="en-US" w:eastAsia="zh-CN" w:bidi="ar"/>
                <w14:textFill>
                  <w14:solidFill>
                    <w14:schemeClr w14:val="tx1"/>
                  </w14:solidFill>
                </w14:textFill>
              </w:rPr>
              <w:t>纯水制备过程主要产生噪声、固废及废水。</w:t>
            </w:r>
          </w:p>
          <w:p w14:paraId="154E6260">
            <w:pPr>
              <w:pStyle w:val="20"/>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2.6实验室通用检测流程</w:t>
            </w:r>
          </w:p>
          <w:p w14:paraId="742C7E77">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3375660" cy="4248785"/>
                  <wp:effectExtent l="0" t="0" r="15240" b="18415"/>
                  <wp:docPr id="20" name="图片 20" descr="未命名绘图-流程图.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未命名绘图-流程图.drawio"/>
                          <pic:cNvPicPr>
                            <a:picLocks noChangeAspect="1"/>
                          </pic:cNvPicPr>
                        </pic:nvPicPr>
                        <pic:blipFill>
                          <a:blip r:embed="rId18"/>
                          <a:stretch>
                            <a:fillRect/>
                          </a:stretch>
                        </pic:blipFill>
                        <pic:spPr>
                          <a:xfrm>
                            <a:off x="0" y="0"/>
                            <a:ext cx="3375660" cy="4248785"/>
                          </a:xfrm>
                          <a:prstGeom prst="rect">
                            <a:avLst/>
                          </a:prstGeom>
                        </pic:spPr>
                      </pic:pic>
                    </a:graphicData>
                  </a:graphic>
                </wp:inline>
              </w:drawing>
            </w:r>
          </w:p>
          <w:p w14:paraId="3E7C88EC">
            <w:pPr>
              <w:ind w:left="0" w:leftChars="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图2-</w:t>
            </w:r>
            <w:r>
              <w:rPr>
                <w:rFonts w:hint="eastAsia" w:ascii="Times New Roman" w:hAnsi="Times New Roman" w:cs="Times New Roman"/>
                <w:b/>
                <w:bCs/>
                <w:color w:val="000000" w:themeColor="text1"/>
                <w:sz w:val="21"/>
                <w:szCs w:val="21"/>
                <w:lang w:val="en-US" w:eastAsia="zh-CN"/>
                <w14:textFill>
                  <w14:solidFill>
                    <w14:schemeClr w14:val="tx1"/>
                  </w14:solidFill>
                </w14:textFill>
              </w:rPr>
              <w:t>8</w:t>
            </w:r>
            <w:r>
              <w:rPr>
                <w:rFonts w:hint="default" w:ascii="Times New Roman" w:hAnsi="Times New Roman" w:cs="Times New Roman"/>
                <w:b/>
                <w:bCs/>
                <w:color w:val="000000" w:themeColor="text1"/>
                <w:sz w:val="21"/>
                <w:szCs w:val="21"/>
                <w14:textFill>
                  <w14:solidFill>
                    <w14:schemeClr w14:val="tx1"/>
                  </w14:solidFill>
                </w14:textFill>
              </w:rPr>
              <w:t>检验实验</w:t>
            </w:r>
            <w:r>
              <w:rPr>
                <w:rFonts w:hint="default" w:ascii="Times New Roman" w:hAnsi="Times New Roman" w:cs="Times New Roman"/>
                <w:b/>
                <w:bCs/>
                <w:color w:val="000000" w:themeColor="text1"/>
                <w:sz w:val="21"/>
                <w:szCs w:val="21"/>
                <w:lang w:val="en-US" w:eastAsia="zh-CN"/>
                <w14:textFill>
                  <w14:solidFill>
                    <w14:schemeClr w14:val="tx1"/>
                  </w14:solidFill>
                </w14:textFill>
              </w:rPr>
              <w:t>通用</w:t>
            </w:r>
            <w:r>
              <w:rPr>
                <w:rFonts w:hint="default" w:ascii="Times New Roman" w:hAnsi="Times New Roman" w:cs="Times New Roman"/>
                <w:b/>
                <w:bCs/>
                <w:color w:val="000000" w:themeColor="text1"/>
                <w:sz w:val="21"/>
                <w:szCs w:val="21"/>
                <w14:textFill>
                  <w14:solidFill>
                    <w14:schemeClr w14:val="tx1"/>
                  </w14:solidFill>
                </w14:textFill>
              </w:rPr>
              <w:t>工艺流程及产污环节图</w:t>
            </w:r>
          </w:p>
          <w:p w14:paraId="18C0D970">
            <w:pPr>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试验检测通用</w:t>
            </w:r>
            <w:r>
              <w:rPr>
                <w:rFonts w:hint="default" w:ascii="Times New Roman" w:hAnsi="Times New Roman" w:cs="Times New Roman"/>
                <w:b/>
                <w:bCs/>
                <w:color w:val="000000" w:themeColor="text1"/>
                <w14:textFill>
                  <w14:solidFill>
                    <w14:schemeClr w14:val="tx1"/>
                  </w14:solidFill>
                </w14:textFill>
              </w:rPr>
              <w:t>流程简述：</w:t>
            </w:r>
          </w:p>
          <w:p w14:paraId="190D3368">
            <w:pPr>
              <w:numPr>
                <w:ilvl w:val="0"/>
                <w:numId w:val="0"/>
              </w:numPr>
              <w:ind w:left="0" w:leftChars="0"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eastAsia="宋体" w:cs="Times New Roman"/>
                <w:b w:val="0"/>
                <w:bCs w:val="0"/>
                <w:i w:val="0"/>
                <w:iCs w:val="0"/>
                <w:smallCaps w:val="0"/>
                <w:strike w:val="0"/>
                <w:dstrike w:val="0"/>
                <w:color w:val="000000" w:themeColor="text1"/>
                <w:spacing w:val="0"/>
                <w:w w:val="100"/>
                <w:kern w:val="2"/>
                <w:position w:val="0"/>
                <w:sz w:val="24"/>
                <w:szCs w:val="24"/>
                <w:u w:val="none"/>
                <w:lang w:val="en-US" w:eastAsia="en-US" w:bidi="en-US"/>
                <w14:textFill>
                  <w14:solidFill>
                    <w14:schemeClr w14:val="tx1"/>
                  </w14:solidFill>
                </w14:textFill>
              </w:rPr>
              <w:t>1</w:t>
            </w: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前处理：将客户送来的样品按实验要求使用线切割机、金相抛光机或金相磨抛机进行处理，使之达到实验要求。此工序有</w:t>
            </w:r>
            <w:r>
              <w:rPr>
                <w:rFonts w:hint="default" w:ascii="Times New Roman" w:hAnsi="Times New Roman" w:cs="Times New Roman"/>
                <w:color w:val="000000" w:themeColor="text1"/>
                <w:lang w:val="en-US" w:eastAsia="zh-CN"/>
                <w14:textFill>
                  <w14:solidFill>
                    <w14:schemeClr w14:val="tx1"/>
                  </w14:solidFill>
                </w14:textFill>
              </w:rPr>
              <w:t>金属废屑、颗粒物及噪声产生。</w:t>
            </w:r>
          </w:p>
          <w:p w14:paraId="7492BE4B">
            <w:pPr>
              <w:numPr>
                <w:ilvl w:val="0"/>
                <w:numId w:val="0"/>
              </w:numPr>
              <w:ind w:left="0" w:lef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eastAsia="宋体" w:cs="Times New Roman"/>
                <w:b w:val="0"/>
                <w:bCs w:val="0"/>
                <w:i w:val="0"/>
                <w:iCs w:val="0"/>
                <w:smallCaps w:val="0"/>
                <w:strike w:val="0"/>
                <w:dstrike w:val="0"/>
                <w:color w:val="000000" w:themeColor="text1"/>
                <w:spacing w:val="0"/>
                <w:w w:val="100"/>
                <w:kern w:val="2"/>
                <w:position w:val="0"/>
                <w:sz w:val="24"/>
                <w:szCs w:val="24"/>
                <w:u w:val="none"/>
                <w:lang w:val="en-US" w:eastAsia="en-US" w:bidi="en-US"/>
                <w14:textFill>
                  <w14:solidFill>
                    <w14:schemeClr w14:val="tx1"/>
                  </w14:solidFill>
                </w14:textFill>
              </w:rPr>
              <w:t>2</w:t>
            </w: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）试验检测</w:t>
            </w:r>
            <w:r>
              <w:rPr>
                <w:rFonts w:hint="default" w:ascii="Times New Roman" w:hAnsi="Times New Roman" w:cs="Times New Roman"/>
                <w:color w:val="000000" w:themeColor="text1"/>
                <w14:textFill>
                  <w14:solidFill>
                    <w14:schemeClr w14:val="tx1"/>
                  </w14:solidFill>
                </w14:textFill>
              </w:rPr>
              <w:t>试剂配制：根据实验要求，配制相应实验所需试剂，</w:t>
            </w:r>
            <w:r>
              <w:rPr>
                <w:rFonts w:hint="eastAsia" w:cs="Times New Roman"/>
                <w:color w:val="000000" w:themeColor="text1"/>
                <w:lang w:eastAsia="zh-CN"/>
                <w14:textFill>
                  <w14:solidFill>
                    <w14:schemeClr w14:val="tx1"/>
                  </w14:solidFill>
                </w14:textFill>
              </w:rPr>
              <w:t>配置</w:t>
            </w:r>
            <w:r>
              <w:rPr>
                <w:rFonts w:hint="default" w:ascii="Times New Roman" w:hAnsi="Times New Roman" w:cs="Times New Roman"/>
                <w:color w:val="000000" w:themeColor="text1"/>
                <w14:textFill>
                  <w14:solidFill>
                    <w14:schemeClr w14:val="tx1"/>
                  </w14:solidFill>
                </w14:textFill>
              </w:rPr>
              <w:t>过程在通风橱中进行。此工序有实验废气</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试验废液</w:t>
            </w:r>
            <w:r>
              <w:rPr>
                <w:rFonts w:hint="default" w:ascii="Times New Roman" w:hAnsi="Times New Roman" w:cs="Times New Roman"/>
                <w:color w:val="000000" w:themeColor="text1"/>
                <w14:textFill>
                  <w14:solidFill>
                    <w14:schemeClr w14:val="tx1"/>
                  </w14:solidFill>
                </w14:textFill>
              </w:rPr>
              <w:t>和废玻璃器皿</w:t>
            </w:r>
            <w:r>
              <w:rPr>
                <w:rFonts w:hint="default" w:ascii="Times New Roman" w:hAnsi="Times New Roman" w:cs="Times New Roman"/>
                <w:color w:val="000000" w:themeColor="text1"/>
                <w:lang w:val="en-US" w:eastAsia="zh-CN"/>
                <w14:textFill>
                  <w14:solidFill>
                    <w14:schemeClr w14:val="tx1"/>
                  </w14:solidFill>
                </w14:textFill>
              </w:rPr>
              <w:t>等</w:t>
            </w:r>
            <w:r>
              <w:rPr>
                <w:rFonts w:hint="default" w:ascii="Times New Roman" w:hAnsi="Times New Roman" w:cs="Times New Roman"/>
                <w:color w:val="000000" w:themeColor="text1"/>
                <w14:textFill>
                  <w14:solidFill>
                    <w14:schemeClr w14:val="tx1"/>
                  </w14:solidFill>
                </w14:textFill>
              </w:rPr>
              <w:t>产生。</w:t>
            </w:r>
          </w:p>
          <w:p w14:paraId="5F924B4E">
            <w:pPr>
              <w:numPr>
                <w:ilvl w:val="0"/>
                <w:numId w:val="0"/>
              </w:numPr>
              <w:ind w:left="0" w:lef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eastAsia="宋体" w:cs="Times New Roman"/>
                <w:b w:val="0"/>
                <w:bCs w:val="0"/>
                <w:i w:val="0"/>
                <w:iCs w:val="0"/>
                <w:smallCaps w:val="0"/>
                <w:strike w:val="0"/>
                <w:dstrike w:val="0"/>
                <w:color w:val="000000" w:themeColor="text1"/>
                <w:spacing w:val="0"/>
                <w:w w:val="100"/>
                <w:kern w:val="2"/>
                <w:position w:val="0"/>
                <w:sz w:val="24"/>
                <w:szCs w:val="24"/>
                <w:u w:val="none"/>
                <w:lang w:val="en-US" w:eastAsia="en-US" w:bidi="en-US"/>
                <w14:textFill>
                  <w14:solidFill>
                    <w14:schemeClr w14:val="tx1"/>
                  </w14:solidFill>
                </w14:textFill>
              </w:rPr>
              <w:t>3</w:t>
            </w: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实验检验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金属材料观察</w:t>
            </w:r>
            <w:r>
              <w:rPr>
                <w:rFonts w:hint="default" w:ascii="Times New Roman" w:hAnsi="Times New Roman" w:cs="Times New Roman"/>
                <w:color w:val="000000" w:themeColor="text1"/>
                <w14:textFill>
                  <w14:solidFill>
                    <w14:schemeClr w14:val="tx1"/>
                  </w14:solidFill>
                </w14:textFill>
              </w:rPr>
              <w:t>：按客户要求对样品进行实验检验，选择对应的实验试剂、分析方法和仪器进行检验，</w:t>
            </w:r>
            <w:r>
              <w:rPr>
                <w:rFonts w:hint="eastAsia" w:cs="Times New Roman"/>
                <w:color w:val="000000" w:themeColor="text1"/>
                <w:lang w:eastAsia="zh-CN"/>
                <w14:textFill>
                  <w14:solidFill>
                    <w14:schemeClr w14:val="tx1"/>
                  </w14:solidFill>
                </w14:textFill>
              </w:rPr>
              <w:t>涉及</w:t>
            </w:r>
            <w:r>
              <w:rPr>
                <w:rFonts w:hint="default" w:ascii="Times New Roman" w:hAnsi="Times New Roman" w:cs="Times New Roman"/>
                <w:color w:val="000000" w:themeColor="text1"/>
                <w14:textFill>
                  <w14:solidFill>
                    <w14:schemeClr w14:val="tx1"/>
                  </w14:solidFill>
                </w14:textFill>
              </w:rPr>
              <w:t>使用挥发性试剂的项目在通风橱中进行，废气经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碱喷淋+</w:t>
            </w:r>
            <w:r>
              <w:rPr>
                <w:rFonts w:hint="default" w:ascii="Times New Roman" w:hAnsi="Times New Roman" w:cs="Times New Roman"/>
                <w:color w:val="000000" w:themeColor="text1"/>
                <w14:textFill>
                  <w14:solidFill>
                    <w14:schemeClr w14:val="tx1"/>
                  </w14:solidFill>
                </w14:textFill>
              </w:rPr>
              <w:t>活性炭吸附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处理装置后排放，</w:t>
            </w:r>
            <w:r>
              <w:rPr>
                <w:rFonts w:hint="default" w:ascii="Times New Roman" w:hAnsi="Times New Roman" w:cs="Times New Roman"/>
                <w:color w:val="000000" w:themeColor="text1"/>
                <w:lang w:bidi="en-US"/>
                <w14:textFill>
                  <w14:solidFill>
                    <w14:schemeClr w14:val="tx1"/>
                  </w14:solidFill>
                </w14:textFill>
              </w:rPr>
              <w:t>H</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lang w:bidi="en-US"/>
                <w14:textFill>
                  <w14:solidFill>
                    <w14:schemeClr w14:val="tx1"/>
                  </w14:solidFill>
                </w14:textFill>
              </w:rPr>
              <w:t>S</w:t>
            </w:r>
            <w:r>
              <w:rPr>
                <w:rFonts w:hint="default" w:ascii="Times New Roman" w:hAnsi="Times New Roman" w:cs="Times New Roman"/>
                <w:color w:val="000000" w:themeColor="text1"/>
                <w14:textFill>
                  <w14:solidFill>
                    <w14:schemeClr w14:val="tx1"/>
                  </w14:solidFill>
                </w14:textFill>
              </w:rPr>
              <w:t>应力腐蚀试验在密闭的专用实验室进行，</w:t>
            </w:r>
            <w:r>
              <w:rPr>
                <w:rFonts w:hint="default" w:ascii="Times New Roman" w:hAnsi="Times New Roman" w:cs="Times New Roman"/>
                <w:color w:val="000000" w:themeColor="text1"/>
                <w:lang w:bidi="en-US"/>
                <w14:textFill>
                  <w14:solidFill>
                    <w14:schemeClr w14:val="tx1"/>
                  </w14:solidFill>
                </w14:textFill>
              </w:rPr>
              <w:t>H</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lang w:bidi="en-US"/>
                <w14:textFill>
                  <w14:solidFill>
                    <w14:schemeClr w14:val="tx1"/>
                  </w14:solidFill>
                </w14:textFill>
              </w:rPr>
              <w:t>S</w:t>
            </w:r>
            <w:r>
              <w:rPr>
                <w:rFonts w:hint="default" w:ascii="Times New Roman" w:hAnsi="Times New Roman" w:cs="Times New Roman"/>
                <w:color w:val="000000" w:themeColor="text1"/>
                <w14:textFill>
                  <w14:solidFill>
                    <w14:schemeClr w14:val="tx1"/>
                  </w14:solidFill>
                </w14:textFill>
              </w:rPr>
              <w:t>废气经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碱喷淋+</w:t>
            </w:r>
            <w:r>
              <w:rPr>
                <w:rFonts w:hint="default" w:ascii="Times New Roman" w:hAnsi="Times New Roman" w:cs="Times New Roman"/>
                <w:color w:val="000000" w:themeColor="text1"/>
                <w14:textFill>
                  <w14:solidFill>
                    <w14:schemeClr w14:val="tx1"/>
                  </w14:solidFill>
                </w14:textFill>
              </w:rPr>
              <w:t>活性炭吸附</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处理后通过排气筒排放，实验完毕后，实验试剂根据成分倒入相应的废液存储桶。此工序有废样品、实验废液</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试验检测噪声</w:t>
            </w:r>
            <w:r>
              <w:rPr>
                <w:rFonts w:hint="default" w:ascii="Times New Roman" w:hAnsi="Times New Roman" w:cs="Times New Roman"/>
                <w:color w:val="000000" w:themeColor="text1"/>
                <w14:textFill>
                  <w14:solidFill>
                    <w14:schemeClr w14:val="tx1"/>
                  </w14:solidFill>
                </w14:textFill>
              </w:rPr>
              <w:t>和实验废气产生。</w:t>
            </w:r>
          </w:p>
          <w:p w14:paraId="04086556">
            <w:pPr>
              <w:numPr>
                <w:ilvl w:val="0"/>
                <w:numId w:val="0"/>
              </w:numPr>
              <w:ind w:left="0" w:lef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eastAsia="宋体" w:cs="Times New Roman"/>
                <w:b w:val="0"/>
                <w:bCs w:val="0"/>
                <w:i w:val="0"/>
                <w:iCs w:val="0"/>
                <w:smallCaps w:val="0"/>
                <w:strike w:val="0"/>
                <w:dstrike w:val="0"/>
                <w:color w:val="000000" w:themeColor="text1"/>
                <w:spacing w:val="0"/>
                <w:w w:val="100"/>
                <w:kern w:val="2"/>
                <w:position w:val="0"/>
                <w:sz w:val="24"/>
                <w:szCs w:val="24"/>
                <w:u w:val="none"/>
                <w:lang w:val="en-US" w:eastAsia="en-US" w:bidi="en-US"/>
                <w14:textFill>
                  <w14:solidFill>
                    <w14:schemeClr w14:val="tx1"/>
                  </w14:solidFill>
                </w14:textFill>
              </w:rPr>
              <w:t>4</w:t>
            </w: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器皿和仪器</w:t>
            </w:r>
            <w:r>
              <w:rPr>
                <w:rFonts w:hint="eastAsia" w:cs="Times New Roman"/>
                <w:color w:val="000000" w:themeColor="text1"/>
                <w:lang w:eastAsia="zh-CN"/>
                <w14:textFill>
                  <w14:solidFill>
                    <w14:schemeClr w14:val="tx1"/>
                  </w14:solidFill>
                </w14:textFill>
              </w:rPr>
              <w:t>清</w:t>
            </w:r>
            <w:r>
              <w:rPr>
                <w:rFonts w:hint="default" w:ascii="Times New Roman" w:hAnsi="Times New Roman" w:cs="Times New Roman"/>
                <w:color w:val="000000" w:themeColor="text1"/>
                <w14:textFill>
                  <w14:solidFill>
                    <w14:schemeClr w14:val="tx1"/>
                  </w14:solidFill>
                </w14:textFill>
              </w:rPr>
              <w:t>洗：检验试验完成后，使用自来水和蒸馏水对实验器皿和仪器进行</w:t>
            </w:r>
            <w:r>
              <w:rPr>
                <w:rFonts w:hint="eastAsia" w:cs="Times New Roman"/>
                <w:color w:val="000000" w:themeColor="text1"/>
                <w:lang w:eastAsia="zh-CN"/>
                <w14:textFill>
                  <w14:solidFill>
                    <w14:schemeClr w14:val="tx1"/>
                  </w14:solidFill>
                </w14:textFill>
              </w:rPr>
              <w:t>清</w:t>
            </w:r>
            <w:r>
              <w:rPr>
                <w:rFonts w:hint="default" w:ascii="Times New Roman" w:hAnsi="Times New Roman" w:cs="Times New Roman"/>
                <w:color w:val="000000" w:themeColor="text1"/>
                <w14:textFill>
                  <w14:solidFill>
                    <w14:schemeClr w14:val="tx1"/>
                  </w14:solidFill>
                </w14:textFill>
              </w:rPr>
              <w:t>洗，清洗废水作为实验废液处理，此工序有实验废液</w:t>
            </w:r>
            <w:r>
              <w:rPr>
                <w:rFonts w:hint="default" w:ascii="Times New Roman" w:hAnsi="Times New Roman" w:cs="Times New Roman"/>
                <w:color w:val="000000" w:themeColor="text1"/>
                <w:lang w:eastAsia="zh-CN" w:bidi="en-US"/>
                <w14:textFill>
                  <w14:solidFill>
                    <w14:schemeClr w14:val="tx1"/>
                  </w14:solidFill>
                </w14:textFill>
              </w:rPr>
              <w:t>、</w:t>
            </w:r>
            <w:r>
              <w:rPr>
                <w:rFonts w:hint="default" w:ascii="Times New Roman" w:hAnsi="Times New Roman" w:cs="Times New Roman"/>
                <w:color w:val="000000" w:themeColor="text1"/>
                <w:lang w:val="en-US" w:eastAsia="zh-CN" w:bidi="en-US"/>
                <w14:textFill>
                  <w14:solidFill>
                    <w14:schemeClr w14:val="tx1"/>
                  </w14:solidFill>
                </w14:textFill>
              </w:rPr>
              <w:t>废水、噪声</w:t>
            </w:r>
            <w:r>
              <w:rPr>
                <w:rFonts w:hint="default" w:ascii="Times New Roman" w:hAnsi="Times New Roman" w:cs="Times New Roman"/>
                <w:color w:val="000000" w:themeColor="text1"/>
                <w14:textFill>
                  <w14:solidFill>
                    <w14:schemeClr w14:val="tx1"/>
                  </w14:solidFill>
                </w14:textFill>
              </w:rPr>
              <w:t>产生。</w:t>
            </w:r>
          </w:p>
          <w:p w14:paraId="0D298680">
            <w:pPr>
              <w:numPr>
                <w:ilvl w:val="0"/>
                <w:numId w:val="0"/>
              </w:numPr>
              <w:ind w:left="0" w:lef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eastAsia="宋体" w:cs="Times New Roman"/>
                <w:b w:val="0"/>
                <w:bCs w:val="0"/>
                <w:i w:val="0"/>
                <w:iCs w:val="0"/>
                <w:smallCaps w:val="0"/>
                <w:strike w:val="0"/>
                <w:dstrike w:val="0"/>
                <w:color w:val="000000" w:themeColor="text1"/>
                <w:spacing w:val="0"/>
                <w:w w:val="100"/>
                <w:kern w:val="2"/>
                <w:position w:val="0"/>
                <w:sz w:val="24"/>
                <w:szCs w:val="24"/>
                <w:u w:val="none"/>
                <w:lang w:val="en-US" w:eastAsia="en-US" w:bidi="en-US"/>
                <w14:textFill>
                  <w14:solidFill>
                    <w14:schemeClr w14:val="tx1"/>
                  </w14:solidFill>
                </w14:textFill>
              </w:rPr>
              <w:t>5</w:t>
            </w: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数据处理及审核：根据实验分析结果，进行数据的整理、分析及审核，得出实验结论</w:t>
            </w:r>
            <w:r>
              <w:rPr>
                <w:rFonts w:hint="default" w:ascii="Times New Roman" w:hAnsi="Times New Roman" w:cs="Times New Roman"/>
                <w:color w:val="000000" w:themeColor="text1"/>
                <w:lang w:bidi="en-US"/>
                <w14:textFill>
                  <w14:solidFill>
                    <w14:schemeClr w14:val="tx1"/>
                  </w14:solidFill>
                </w14:textFill>
              </w:rPr>
              <w:t>。</w:t>
            </w:r>
          </w:p>
          <w:p w14:paraId="42879EA8">
            <w:pPr>
              <w:numPr>
                <w:ilvl w:val="0"/>
                <w:numId w:val="0"/>
              </w:numPr>
              <w:ind w:left="0" w:leftChars="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eastAsia="宋体" w:cs="Times New Roman"/>
                <w:b w:val="0"/>
                <w:bCs w:val="0"/>
                <w:i w:val="0"/>
                <w:iCs w:val="0"/>
                <w:smallCaps w:val="0"/>
                <w:strike w:val="0"/>
                <w:dstrike w:val="0"/>
                <w:color w:val="000000" w:themeColor="text1"/>
                <w:spacing w:val="0"/>
                <w:w w:val="100"/>
                <w:kern w:val="2"/>
                <w:position w:val="0"/>
                <w:sz w:val="24"/>
                <w:szCs w:val="24"/>
                <w:u w:val="none"/>
                <w:lang w:val="en-US" w:eastAsia="en-US" w:bidi="en-US"/>
                <w14:textFill>
                  <w14:solidFill>
                    <w14:schemeClr w14:val="tx1"/>
                  </w14:solidFill>
                </w14:textFill>
              </w:rPr>
              <w:t>6</w:t>
            </w:r>
            <w:r>
              <w:rPr>
                <w:rFonts w:hint="default" w:ascii="Times New Roman" w:hAnsi="Times New Roman" w:cs="Times New Roman"/>
                <w:b w:val="0"/>
                <w:bCs w:val="0"/>
                <w:i w:val="0"/>
                <w:iCs w:val="0"/>
                <w:smallCaps w:val="0"/>
                <w:strike w:val="0"/>
                <w:dstrike w:val="0"/>
                <w:color w:val="000000" w:themeColor="text1"/>
                <w:spacing w:val="0"/>
                <w:w w:val="100"/>
                <w:kern w:val="2"/>
                <w:position w:val="0"/>
                <w:sz w:val="24"/>
                <w:szCs w:val="24"/>
                <w:u w:val="none"/>
                <w:lang w:val="en-US" w:eastAsia="zh-CN" w:bidi="en-US"/>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出具检验报告：根据数据处理结果</w:t>
            </w:r>
            <w:r>
              <w:rPr>
                <w:rFonts w:hint="default" w:ascii="Times New Roman" w:hAnsi="Times New Roman" w:cs="Times New Roman"/>
                <w:color w:val="000000" w:themeColor="text1"/>
                <w:lang w:val="en-US" w:eastAsia="zh-CN"/>
                <w14:textFill>
                  <w14:solidFill>
                    <w14:schemeClr w14:val="tx1"/>
                  </w14:solidFill>
                </w14:textFill>
              </w:rPr>
              <w:t>及金属材料表面腐蚀情况</w:t>
            </w:r>
            <w:r>
              <w:rPr>
                <w:rFonts w:hint="default" w:ascii="Times New Roman" w:hAnsi="Times New Roman" w:cs="Times New Roman"/>
                <w:color w:val="000000" w:themeColor="text1"/>
                <w14:textFill>
                  <w14:solidFill>
                    <w14:schemeClr w14:val="tx1"/>
                  </w14:solidFill>
                </w14:textFill>
              </w:rPr>
              <w:t>，出具相关检验指标的检验报告。</w:t>
            </w:r>
          </w:p>
          <w:p w14:paraId="001B7A22">
            <w:pPr>
              <w:ind w:left="48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本项目主要产污环节和主要污染因子见下表：</w:t>
            </w:r>
          </w:p>
          <w:p w14:paraId="7200C9D0">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bidi="zh-TW"/>
                <w14:textFill>
                  <w14:solidFill>
                    <w14:schemeClr w14:val="tx1"/>
                  </w14:solidFill>
                </w14:textFill>
              </w:rPr>
              <w:t>表</w:t>
            </w:r>
            <w:r>
              <w:rPr>
                <w:rFonts w:hint="default" w:ascii="Times New Roman" w:hAnsi="Times New Roman" w:eastAsia="PMingLiU" w:cs="Times New Roman"/>
                <w:b/>
                <w:bCs/>
                <w:color w:val="000000" w:themeColor="text1"/>
                <w:sz w:val="21"/>
                <w:szCs w:val="21"/>
                <w:lang w:val="zh-TW" w:eastAsia="zh-TW"/>
                <w14:textFill>
                  <w14:solidFill>
                    <w14:schemeClr w14:val="tx1"/>
                  </w14:solidFill>
                </w14:textFill>
              </w:rPr>
              <w:t>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9</w:t>
            </w:r>
            <w:r>
              <w:rPr>
                <w:rFonts w:hint="default" w:ascii="Times New Roman" w:hAnsi="Times New Roman" w:cs="Times New Roman"/>
                <w:b/>
                <w:bCs/>
                <w:color w:val="000000" w:themeColor="text1"/>
                <w:sz w:val="21"/>
                <w:szCs w:val="21"/>
                <w:lang w:bidi="zh-TW"/>
                <w14:textFill>
                  <w14:solidFill>
                    <w14:schemeClr w14:val="tx1"/>
                  </w14:solidFill>
                </w14:textFill>
              </w:rPr>
              <w:t>主要产污环节和主要污染因子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198"/>
              <w:gridCol w:w="2640"/>
              <w:gridCol w:w="3613"/>
            </w:tblGrid>
            <w:tr w14:paraId="66A3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tcBorders>
                    <w:tl2br w:val="nil"/>
                    <w:tr2bl w:val="nil"/>
                  </w:tcBorders>
                  <w:vAlign w:val="center"/>
                </w:tcPr>
                <w:p w14:paraId="0783A16B">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时段</w:t>
                  </w:r>
                </w:p>
              </w:tc>
              <w:tc>
                <w:tcPr>
                  <w:tcW w:w="1198" w:type="dxa"/>
                  <w:tcBorders>
                    <w:tl2br w:val="nil"/>
                    <w:tr2bl w:val="nil"/>
                  </w:tcBorders>
                  <w:vAlign w:val="center"/>
                </w:tcPr>
                <w:p w14:paraId="3E9A7067">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污染因素</w:t>
                  </w:r>
                </w:p>
              </w:tc>
              <w:tc>
                <w:tcPr>
                  <w:tcW w:w="2640" w:type="dxa"/>
                  <w:tcBorders>
                    <w:tl2br w:val="nil"/>
                    <w:tr2bl w:val="nil"/>
                  </w:tcBorders>
                  <w:vAlign w:val="center"/>
                </w:tcPr>
                <w:p w14:paraId="398B2DB4">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污染工序</w:t>
                  </w:r>
                </w:p>
              </w:tc>
              <w:tc>
                <w:tcPr>
                  <w:tcW w:w="3613" w:type="dxa"/>
                  <w:tcBorders>
                    <w:tl2br w:val="nil"/>
                    <w:tr2bl w:val="nil"/>
                  </w:tcBorders>
                  <w:vAlign w:val="center"/>
                </w:tcPr>
                <w:p w14:paraId="0CE58885">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污染因子</w:t>
                  </w:r>
                </w:p>
              </w:tc>
            </w:tr>
            <w:tr w14:paraId="0214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059" w:type="dxa"/>
                  <w:vMerge w:val="restart"/>
                  <w:tcBorders>
                    <w:tl2br w:val="nil"/>
                    <w:tr2bl w:val="nil"/>
                  </w:tcBorders>
                  <w:vAlign w:val="center"/>
                </w:tcPr>
                <w:p w14:paraId="4238BEC6">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运营期</w:t>
                  </w:r>
                </w:p>
              </w:tc>
              <w:tc>
                <w:tcPr>
                  <w:tcW w:w="1198" w:type="dxa"/>
                  <w:vMerge w:val="restart"/>
                  <w:tcBorders>
                    <w:tl2br w:val="nil"/>
                    <w:tr2bl w:val="nil"/>
                  </w:tcBorders>
                  <w:vAlign w:val="center"/>
                </w:tcPr>
                <w:p w14:paraId="376F5EDF">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w:t>
                  </w:r>
                </w:p>
              </w:tc>
              <w:tc>
                <w:tcPr>
                  <w:tcW w:w="2640" w:type="dxa"/>
                  <w:tcBorders>
                    <w:tl2br w:val="nil"/>
                    <w:tr2bl w:val="nil"/>
                  </w:tcBorders>
                  <w:vAlign w:val="center"/>
                </w:tcPr>
                <w:p w14:paraId="3831244C">
                  <w:pPr>
                    <w:pStyle w:val="20"/>
                    <w:spacing w:after="0" w:line="240" w:lineRule="auto"/>
                    <w:ind w:left="0" w:leftChars="0" w:firstLine="210" w:firstLineChars="10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前处理</w:t>
                  </w:r>
                </w:p>
              </w:tc>
              <w:tc>
                <w:tcPr>
                  <w:tcW w:w="3613" w:type="dxa"/>
                  <w:tcBorders>
                    <w:tl2br w:val="nil"/>
                    <w:tr2bl w:val="nil"/>
                  </w:tcBorders>
                  <w:vAlign w:val="center"/>
                </w:tcPr>
                <w:p w14:paraId="5DF46801">
                  <w:pPr>
                    <w:pStyle w:val="20"/>
                    <w:spacing w:after="0" w:line="240" w:lineRule="auto"/>
                    <w:ind w:left="0" w:leftChars="0" w:firstLine="210" w:firstLineChars="10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颗粒物</w:t>
                  </w:r>
                  <w:r>
                    <w:rPr>
                      <w:rFonts w:hint="default" w:ascii="Times New Roman" w:hAnsi="Times New Roman" w:cs="Times New Roman"/>
                      <w:color w:val="000000" w:themeColor="text1"/>
                      <w:sz w:val="21"/>
                      <w:szCs w:val="21"/>
                      <w14:textFill>
                        <w14:solidFill>
                          <w14:schemeClr w14:val="tx1"/>
                        </w14:solidFill>
                      </w14:textFill>
                    </w:rPr>
                    <w:t>、NMHC</w:t>
                  </w:r>
                </w:p>
              </w:tc>
            </w:tr>
            <w:tr w14:paraId="1C9F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059" w:type="dxa"/>
                  <w:vMerge w:val="continue"/>
                  <w:tcBorders>
                    <w:tl2br w:val="nil"/>
                    <w:tr2bl w:val="nil"/>
                  </w:tcBorders>
                  <w:vAlign w:val="center"/>
                </w:tcPr>
                <w:p w14:paraId="3CEC5322">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continue"/>
                  <w:tcBorders>
                    <w:tl2br w:val="nil"/>
                    <w:tr2bl w:val="nil"/>
                  </w:tcBorders>
                  <w:vAlign w:val="center"/>
                </w:tcPr>
                <w:p w14:paraId="70B0B51D">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640" w:type="dxa"/>
                  <w:tcBorders>
                    <w:tl2br w:val="nil"/>
                    <w:tr2bl w:val="nil"/>
                  </w:tcBorders>
                  <w:vAlign w:val="center"/>
                </w:tcPr>
                <w:p w14:paraId="21F6459E">
                  <w:pPr>
                    <w:pStyle w:val="20"/>
                    <w:spacing w:after="0" w:line="240" w:lineRule="auto"/>
                    <w:ind w:left="0" w:leftChars="0" w:firstLine="210" w:firstLineChars="1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金相腐蚀实验废气</w:t>
                  </w:r>
                </w:p>
              </w:tc>
              <w:tc>
                <w:tcPr>
                  <w:tcW w:w="3613" w:type="dxa"/>
                  <w:tcBorders>
                    <w:tl2br w:val="nil"/>
                    <w:tr2bl w:val="nil"/>
                  </w:tcBorders>
                  <w:vAlign w:val="center"/>
                </w:tcPr>
                <w:p w14:paraId="10044AF2">
                  <w:pPr>
                    <w:pStyle w:val="20"/>
                    <w:spacing w:after="0" w:line="240" w:lineRule="auto"/>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酸</w:t>
                  </w:r>
                  <w:r>
                    <w:rPr>
                      <w:rFonts w:hint="eastAsia" w:ascii="Times New Roman" w:hAnsi="Times New Roman" w:cs="Times New Roman"/>
                      <w:color w:val="000000" w:themeColor="text1"/>
                      <w:sz w:val="21"/>
                      <w:szCs w:val="21"/>
                      <w:lang w:eastAsia="zh-CN"/>
                      <w14:textFill>
                        <w14:solidFill>
                          <w14:schemeClr w14:val="tx1"/>
                        </w14:solidFill>
                      </w14:textFill>
                    </w:rPr>
                    <w:t>（氯化氢、硫酸雾、</w:t>
                  </w:r>
                  <w:r>
                    <w:rPr>
                      <w:rFonts w:hint="eastAsia" w:cs="Times New Roman"/>
                      <w:color w:val="000000" w:themeColor="text1"/>
                      <w:sz w:val="21"/>
                      <w:szCs w:val="21"/>
                      <w:lang w:val="en-US" w:eastAsia="zh-CN"/>
                      <w14:textFill>
                        <w14:solidFill>
                          <w14:schemeClr w14:val="tx1"/>
                        </w14:solidFill>
                      </w14:textFill>
                    </w:rPr>
                    <w:t>硝酸雾</w:t>
                  </w:r>
                  <w:r>
                    <w:rPr>
                      <w:rFonts w:hint="eastAsia" w:ascii="Times New Roman" w:hAnsi="Times New Roman" w:cs="Times New Roman"/>
                      <w:color w:val="000000" w:themeColor="text1"/>
                      <w:sz w:val="21"/>
                      <w:szCs w:val="21"/>
                      <w:lang w:val="en-US" w:eastAsia="zh-CN"/>
                      <w14:textFill>
                        <w14:solidFill>
                          <w14:schemeClr w14:val="tx1"/>
                        </w14:solidFill>
                      </w14:textFill>
                    </w:rPr>
                    <w:t>等</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、NMHC</w:t>
                  </w:r>
                  <w:r>
                    <w:rPr>
                      <w:rFonts w:hint="eastAsia" w:cs="Times New Roman"/>
                      <w:color w:val="000000" w:themeColor="text1"/>
                      <w:sz w:val="21"/>
                      <w:szCs w:val="21"/>
                      <w:lang w:val="en-US" w:eastAsia="zh-CN"/>
                      <w14:textFill>
                        <w14:solidFill>
                          <w14:schemeClr w14:val="tx1"/>
                        </w14:solidFill>
                      </w14:textFill>
                    </w:rPr>
                    <w:t>等</w:t>
                  </w:r>
                </w:p>
              </w:tc>
            </w:tr>
            <w:tr w14:paraId="4393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59" w:type="dxa"/>
                  <w:vMerge w:val="continue"/>
                  <w:tcBorders>
                    <w:tl2br w:val="nil"/>
                    <w:tr2bl w:val="nil"/>
                  </w:tcBorders>
                  <w:vAlign w:val="center"/>
                </w:tcPr>
                <w:p w14:paraId="50565F92">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continue"/>
                  <w:tcBorders>
                    <w:tl2br w:val="nil"/>
                    <w:tr2bl w:val="nil"/>
                  </w:tcBorders>
                  <w:vAlign w:val="center"/>
                </w:tcPr>
                <w:p w14:paraId="475EAE94">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640" w:type="dxa"/>
                  <w:tcBorders>
                    <w:tl2br w:val="nil"/>
                    <w:tr2bl w:val="nil"/>
                  </w:tcBorders>
                  <w:vAlign w:val="center"/>
                </w:tcPr>
                <w:p w14:paraId="48F5A2FC">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SSC、HIC</w:t>
                  </w:r>
                  <w:r>
                    <w:rPr>
                      <w:rFonts w:hint="eastAsia" w:cs="Times New Roman"/>
                      <w:color w:val="000000" w:themeColor="text1"/>
                      <w:sz w:val="21"/>
                      <w:szCs w:val="21"/>
                      <w:lang w:val="en-US" w:eastAsia="zh-CN"/>
                      <w14:textFill>
                        <w14:solidFill>
                          <w14:schemeClr w14:val="tx1"/>
                        </w14:solidFill>
                      </w14:textFill>
                    </w:rPr>
                    <w:t>试验</w:t>
                  </w:r>
                  <w:r>
                    <w:rPr>
                      <w:rFonts w:hint="default" w:ascii="Times New Roman" w:hAnsi="Times New Roman" w:cs="Times New Roman"/>
                      <w:color w:val="000000" w:themeColor="text1"/>
                      <w:sz w:val="21"/>
                      <w:szCs w:val="21"/>
                      <w14:textFill>
                        <w14:solidFill>
                          <w14:schemeClr w14:val="tx1"/>
                        </w14:solidFill>
                      </w14:textFill>
                    </w:rPr>
                    <w:t>废气</w:t>
                  </w:r>
                </w:p>
              </w:tc>
              <w:tc>
                <w:tcPr>
                  <w:tcW w:w="3613" w:type="dxa"/>
                  <w:tcBorders>
                    <w:tl2br w:val="nil"/>
                    <w:tr2bl w:val="nil"/>
                  </w:tcBorders>
                  <w:vAlign w:val="center"/>
                </w:tcPr>
                <w:p w14:paraId="332A2175">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en-US"/>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lang w:bidi="en-US"/>
                      <w14:textFill>
                        <w14:solidFill>
                          <w14:schemeClr w14:val="tx1"/>
                        </w14:solidFill>
                      </w14:textFill>
                    </w:rPr>
                    <w:t>S</w:t>
                  </w:r>
                </w:p>
              </w:tc>
            </w:tr>
            <w:tr w14:paraId="0B68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59" w:type="dxa"/>
                  <w:vMerge w:val="continue"/>
                  <w:tcBorders>
                    <w:tl2br w:val="nil"/>
                    <w:tr2bl w:val="nil"/>
                  </w:tcBorders>
                  <w:vAlign w:val="center"/>
                </w:tcPr>
                <w:p w14:paraId="69A63529">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restart"/>
                  <w:tcBorders>
                    <w:tl2br w:val="nil"/>
                    <w:tr2bl w:val="nil"/>
                  </w:tcBorders>
                  <w:vAlign w:val="center"/>
                </w:tcPr>
                <w:p w14:paraId="45CAEF7A">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2640" w:type="dxa"/>
                  <w:tcBorders>
                    <w:tl2br w:val="nil"/>
                    <w:tr2bl w:val="nil"/>
                  </w:tcBorders>
                  <w:vAlign w:val="center"/>
                </w:tcPr>
                <w:p w14:paraId="7595F0A0">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实验废液</w:t>
                  </w:r>
                </w:p>
              </w:tc>
              <w:tc>
                <w:tcPr>
                  <w:tcW w:w="3613" w:type="dxa"/>
                  <w:tcBorders>
                    <w:tl2br w:val="nil"/>
                    <w:tr2bl w:val="nil"/>
                  </w:tcBorders>
                  <w:vAlign w:val="center"/>
                </w:tcPr>
                <w:p w14:paraId="4A5AE960">
                  <w:pPr>
                    <w:pStyle w:val="20"/>
                    <w:spacing w:after="0" w:line="240" w:lineRule="auto"/>
                    <w:ind w:left="0" w:lef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-N、SS</w:t>
                  </w:r>
                  <w:r>
                    <w:rPr>
                      <w:rFonts w:hint="eastAsia" w:ascii="Times New Roman" w:hAnsi="Times New Roman" w:cs="Times New Roman"/>
                      <w:color w:val="000000" w:themeColor="text1"/>
                      <w:sz w:val="21"/>
                      <w:szCs w:val="21"/>
                      <w:lang w:eastAsia="zh-CN"/>
                      <w14:textFill>
                        <w14:solidFill>
                          <w14:schemeClr w14:val="tx1"/>
                        </w14:solidFill>
                      </w14:textFill>
                    </w:rPr>
                    <w:t>、</w:t>
                  </w:r>
                </w:p>
              </w:tc>
            </w:tr>
            <w:tr w14:paraId="4874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59" w:type="dxa"/>
                  <w:vMerge w:val="continue"/>
                  <w:tcBorders>
                    <w:tl2br w:val="nil"/>
                    <w:tr2bl w:val="nil"/>
                  </w:tcBorders>
                  <w:vAlign w:val="center"/>
                </w:tcPr>
                <w:p w14:paraId="04510167">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continue"/>
                  <w:tcBorders>
                    <w:tl2br w:val="nil"/>
                    <w:tr2bl w:val="nil"/>
                  </w:tcBorders>
                  <w:vAlign w:val="center"/>
                </w:tcPr>
                <w:p w14:paraId="3036E9A2">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640" w:type="dxa"/>
                  <w:tcBorders>
                    <w:tl2br w:val="nil"/>
                    <w:tr2bl w:val="nil"/>
                  </w:tcBorders>
                  <w:vAlign w:val="center"/>
                </w:tcPr>
                <w:p w14:paraId="7B4EA5C5">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生活废水</w:t>
                  </w:r>
                </w:p>
              </w:tc>
              <w:tc>
                <w:tcPr>
                  <w:tcW w:w="3613" w:type="dxa"/>
                  <w:tcBorders>
                    <w:tl2br w:val="nil"/>
                    <w:tr2bl w:val="nil"/>
                  </w:tcBorders>
                  <w:vAlign w:val="center"/>
                </w:tcPr>
                <w:p w14:paraId="3CABE108">
                  <w:pPr>
                    <w:pStyle w:val="20"/>
                    <w:spacing w:after="0"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-N、SS</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LAS</w:t>
                  </w:r>
                </w:p>
              </w:tc>
            </w:tr>
            <w:tr w14:paraId="0BF1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59" w:type="dxa"/>
                  <w:vMerge w:val="continue"/>
                  <w:tcBorders>
                    <w:tl2br w:val="nil"/>
                    <w:tr2bl w:val="nil"/>
                  </w:tcBorders>
                  <w:vAlign w:val="center"/>
                </w:tcPr>
                <w:p w14:paraId="31E6B7A6">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continue"/>
                  <w:tcBorders>
                    <w:tl2br w:val="nil"/>
                    <w:tr2bl w:val="nil"/>
                  </w:tcBorders>
                  <w:vAlign w:val="center"/>
                </w:tcPr>
                <w:p w14:paraId="0047F7FD">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640" w:type="dxa"/>
                  <w:tcBorders>
                    <w:tl2br w:val="nil"/>
                    <w:tr2bl w:val="nil"/>
                  </w:tcBorders>
                  <w:vAlign w:val="center"/>
                </w:tcPr>
                <w:p w14:paraId="096F9EA5">
                  <w:pPr>
                    <w:pStyle w:val="20"/>
                    <w:spacing w:after="0"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纯水制备</w:t>
                  </w:r>
                </w:p>
              </w:tc>
              <w:tc>
                <w:tcPr>
                  <w:tcW w:w="3613" w:type="dxa"/>
                  <w:tcBorders>
                    <w:tl2br w:val="nil"/>
                    <w:tr2bl w:val="nil"/>
                  </w:tcBorders>
                  <w:vAlign w:val="center"/>
                </w:tcPr>
                <w:p w14:paraId="496A54A4">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COD、SS</w:t>
                  </w:r>
                </w:p>
              </w:tc>
            </w:tr>
            <w:tr w14:paraId="5FB0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59" w:type="dxa"/>
                  <w:vMerge w:val="continue"/>
                  <w:tcBorders>
                    <w:tl2br w:val="nil"/>
                    <w:tr2bl w:val="nil"/>
                  </w:tcBorders>
                  <w:vAlign w:val="center"/>
                </w:tcPr>
                <w:p w14:paraId="2F7481F5">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tcBorders>
                    <w:tl2br w:val="nil"/>
                    <w:tr2bl w:val="nil"/>
                  </w:tcBorders>
                  <w:vAlign w:val="center"/>
                </w:tcPr>
                <w:p w14:paraId="1EEC755A">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2640" w:type="dxa"/>
                  <w:tcBorders>
                    <w:tl2br w:val="nil"/>
                    <w:tr2bl w:val="nil"/>
                  </w:tcBorders>
                  <w:vAlign w:val="center"/>
                </w:tcPr>
                <w:p w14:paraId="025A940B">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设备噪声</w:t>
                  </w:r>
                </w:p>
              </w:tc>
              <w:tc>
                <w:tcPr>
                  <w:tcW w:w="3613" w:type="dxa"/>
                  <w:tcBorders>
                    <w:tl2br w:val="nil"/>
                    <w:tr2bl w:val="nil"/>
                  </w:tcBorders>
                  <w:vAlign w:val="center"/>
                </w:tcPr>
                <w:p w14:paraId="0EA0AC45">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r>
            <w:tr w14:paraId="3E1F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59" w:type="dxa"/>
                  <w:vMerge w:val="continue"/>
                  <w:tcBorders>
                    <w:tl2br w:val="nil"/>
                    <w:tr2bl w:val="nil"/>
                  </w:tcBorders>
                  <w:vAlign w:val="center"/>
                </w:tcPr>
                <w:p w14:paraId="03CF2468">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restart"/>
                  <w:tcBorders>
                    <w:tl2br w:val="nil"/>
                    <w:tr2bl w:val="nil"/>
                  </w:tcBorders>
                  <w:vAlign w:val="center"/>
                </w:tcPr>
                <w:p w14:paraId="64375A2B">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2640" w:type="dxa"/>
                  <w:tcBorders>
                    <w:tl2br w:val="nil"/>
                    <w:tr2bl w:val="nil"/>
                  </w:tcBorders>
                  <w:vAlign w:val="center"/>
                </w:tcPr>
                <w:p w14:paraId="6BFACC97">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金属样品</w:t>
                  </w:r>
                  <w:r>
                    <w:rPr>
                      <w:rFonts w:hint="eastAsia" w:ascii="Times New Roman" w:hAnsi="Times New Roman" w:cs="Times New Roman"/>
                      <w:color w:val="000000" w:themeColor="text1"/>
                      <w:sz w:val="21"/>
                      <w:szCs w:val="21"/>
                      <w:lang w:val="en-US" w:eastAsia="zh-CN"/>
                      <w14:textFill>
                        <w14:solidFill>
                          <w14:schemeClr w14:val="tx1"/>
                        </w14:solidFill>
                      </w14:textFill>
                    </w:rPr>
                    <w:t>预</w:t>
                  </w:r>
                  <w:r>
                    <w:rPr>
                      <w:rFonts w:hint="default" w:ascii="Times New Roman" w:hAnsi="Times New Roman" w:cs="Times New Roman"/>
                      <w:color w:val="000000" w:themeColor="text1"/>
                      <w:sz w:val="21"/>
                      <w:szCs w:val="21"/>
                      <w14:textFill>
                        <w14:solidFill>
                          <w14:schemeClr w14:val="tx1"/>
                        </w14:solidFill>
                      </w14:textFill>
                    </w:rPr>
                    <w:t>处理</w:t>
                  </w:r>
                </w:p>
              </w:tc>
              <w:tc>
                <w:tcPr>
                  <w:tcW w:w="3613" w:type="dxa"/>
                  <w:tcBorders>
                    <w:tl2br w:val="nil"/>
                    <w:tr2bl w:val="nil"/>
                  </w:tcBorders>
                  <w:vAlign w:val="center"/>
                </w:tcPr>
                <w:p w14:paraId="05C07D7C">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金属碎屑</w:t>
                  </w:r>
                </w:p>
              </w:tc>
            </w:tr>
            <w:tr w14:paraId="16C7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59" w:type="dxa"/>
                  <w:vMerge w:val="continue"/>
                  <w:tcBorders>
                    <w:tl2br w:val="nil"/>
                    <w:tr2bl w:val="nil"/>
                  </w:tcBorders>
                  <w:vAlign w:val="center"/>
                </w:tcPr>
                <w:p w14:paraId="32241C97">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continue"/>
                  <w:tcBorders>
                    <w:tl2br w:val="nil"/>
                    <w:tr2bl w:val="nil"/>
                  </w:tcBorders>
                  <w:vAlign w:val="center"/>
                </w:tcPr>
                <w:p w14:paraId="046702CE">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640" w:type="dxa"/>
                  <w:tcBorders>
                    <w:tl2br w:val="nil"/>
                    <w:tr2bl w:val="nil"/>
                  </w:tcBorders>
                  <w:vAlign w:val="center"/>
                </w:tcPr>
                <w:p w14:paraId="55BE1F3D">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金相腐蚀检验过程</w:t>
                  </w:r>
                </w:p>
              </w:tc>
              <w:tc>
                <w:tcPr>
                  <w:tcW w:w="3613" w:type="dxa"/>
                  <w:tcBorders>
                    <w:tl2br w:val="nil"/>
                    <w:tr2bl w:val="nil"/>
                  </w:tcBorders>
                  <w:vAlign w:val="center"/>
                </w:tcPr>
                <w:p w14:paraId="157ED1E9">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废样品、实验废液</w:t>
                  </w:r>
                </w:p>
              </w:tc>
            </w:tr>
            <w:tr w14:paraId="39C9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59" w:type="dxa"/>
                  <w:vMerge w:val="continue"/>
                  <w:tcBorders>
                    <w:tl2br w:val="nil"/>
                    <w:tr2bl w:val="nil"/>
                  </w:tcBorders>
                  <w:vAlign w:val="center"/>
                </w:tcPr>
                <w:p w14:paraId="661C0C0A">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continue"/>
                  <w:tcBorders>
                    <w:tl2br w:val="nil"/>
                    <w:tr2bl w:val="nil"/>
                  </w:tcBorders>
                  <w:vAlign w:val="center"/>
                </w:tcPr>
                <w:p w14:paraId="28E9CEAF">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640" w:type="dxa"/>
                  <w:tcBorders>
                    <w:tl2br w:val="nil"/>
                    <w:tr2bl w:val="nil"/>
                  </w:tcBorders>
                  <w:vAlign w:val="center"/>
                </w:tcPr>
                <w:p w14:paraId="1F14F71A">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bidi="en-US"/>
                      <w14:textFill>
                        <w14:solidFill>
                          <w14:schemeClr w14:val="tx1"/>
                        </w14:solidFill>
                      </w14:textFill>
                    </w:rPr>
                    <w:t>活性炭+</w:t>
                  </w:r>
                  <w:r>
                    <w:rPr>
                      <w:rFonts w:hint="default" w:ascii="Times New Roman" w:hAnsi="Times New Roman" w:cs="Times New Roman"/>
                      <w:color w:val="000000" w:themeColor="text1"/>
                      <w:sz w:val="21"/>
                      <w:szCs w:val="21"/>
                      <w:lang w:bidi="en-US"/>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lang w:bidi="en-US"/>
                      <w14:textFill>
                        <w14:solidFill>
                          <w14:schemeClr w14:val="tx1"/>
                        </w14:solidFill>
                      </w14:textFill>
                    </w:rPr>
                    <w:t>S废气处理</w:t>
                  </w:r>
                  <w:r>
                    <w:rPr>
                      <w:rFonts w:hint="default" w:ascii="Times New Roman" w:hAnsi="Times New Roman" w:cs="Times New Roman"/>
                      <w:color w:val="000000" w:themeColor="text1"/>
                      <w:sz w:val="21"/>
                      <w:szCs w:val="21"/>
                      <w14:textFill>
                        <w14:solidFill>
                          <w14:schemeClr w14:val="tx1"/>
                        </w14:solidFill>
                      </w14:textFill>
                    </w:rPr>
                    <w:t>装置</w:t>
                  </w:r>
                </w:p>
              </w:tc>
              <w:tc>
                <w:tcPr>
                  <w:tcW w:w="3613" w:type="dxa"/>
                  <w:tcBorders>
                    <w:tl2br w:val="nil"/>
                    <w:tr2bl w:val="nil"/>
                  </w:tcBorders>
                  <w:vAlign w:val="center"/>
                </w:tcPr>
                <w:p w14:paraId="4C43BD6A">
                  <w:pPr>
                    <w:pStyle w:val="20"/>
                    <w:spacing w:after="0"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废液、</w:t>
                  </w:r>
                  <w:r>
                    <w:rPr>
                      <w:rFonts w:hint="eastAsia" w:ascii="Times New Roman" w:hAnsi="Times New Roman" w:cs="Times New Roman"/>
                      <w:color w:val="000000" w:themeColor="text1"/>
                      <w:sz w:val="21"/>
                      <w:szCs w:val="21"/>
                      <w:lang w:val="en-US" w:eastAsia="zh-CN"/>
                      <w14:textFill>
                        <w14:solidFill>
                          <w14:schemeClr w14:val="tx1"/>
                        </w14:solidFill>
                      </w14:textFill>
                    </w:rPr>
                    <w:t>废活性炭</w:t>
                  </w:r>
                </w:p>
              </w:tc>
            </w:tr>
            <w:tr w14:paraId="702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59" w:type="dxa"/>
                  <w:vMerge w:val="continue"/>
                  <w:tcBorders>
                    <w:tl2br w:val="nil"/>
                    <w:tr2bl w:val="nil"/>
                  </w:tcBorders>
                  <w:vAlign w:val="center"/>
                </w:tcPr>
                <w:p w14:paraId="2BA7AF8F">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continue"/>
                  <w:tcBorders>
                    <w:tl2br w:val="nil"/>
                    <w:tr2bl w:val="nil"/>
                  </w:tcBorders>
                  <w:vAlign w:val="center"/>
                </w:tcPr>
                <w:p w14:paraId="263955E5">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640" w:type="dxa"/>
                  <w:tcBorders>
                    <w:tl2br w:val="nil"/>
                    <w:tr2bl w:val="nil"/>
                  </w:tcBorders>
                  <w:vAlign w:val="center"/>
                </w:tcPr>
                <w:p w14:paraId="49087A0B">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原辅材料包装</w:t>
                  </w:r>
                </w:p>
              </w:tc>
              <w:tc>
                <w:tcPr>
                  <w:tcW w:w="3613" w:type="dxa"/>
                  <w:tcBorders>
                    <w:tl2br w:val="nil"/>
                    <w:tr2bl w:val="nil"/>
                  </w:tcBorders>
                  <w:vAlign w:val="center"/>
                </w:tcPr>
                <w:p w14:paraId="7A2209E7">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废包装材料</w:t>
                  </w:r>
                </w:p>
              </w:tc>
            </w:tr>
            <w:tr w14:paraId="5DF5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59" w:type="dxa"/>
                  <w:vMerge w:val="continue"/>
                  <w:tcBorders>
                    <w:tl2br w:val="nil"/>
                    <w:tr2bl w:val="nil"/>
                  </w:tcBorders>
                  <w:vAlign w:val="center"/>
                </w:tcPr>
                <w:p w14:paraId="602294A9">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continue"/>
                  <w:tcBorders>
                    <w:tl2br w:val="nil"/>
                    <w:tr2bl w:val="nil"/>
                  </w:tcBorders>
                  <w:vAlign w:val="center"/>
                </w:tcPr>
                <w:p w14:paraId="66FA50F5">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640" w:type="dxa"/>
                  <w:tcBorders>
                    <w:tl2br w:val="nil"/>
                    <w:tr2bl w:val="nil"/>
                  </w:tcBorders>
                  <w:vAlign w:val="center"/>
                </w:tcPr>
                <w:p w14:paraId="1737D421">
                  <w:pPr>
                    <w:pStyle w:val="20"/>
                    <w:spacing w:after="0"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纯水制备</w:t>
                  </w:r>
                </w:p>
              </w:tc>
              <w:tc>
                <w:tcPr>
                  <w:tcW w:w="3613" w:type="dxa"/>
                  <w:tcBorders>
                    <w:tl2br w:val="nil"/>
                    <w:tr2bl w:val="nil"/>
                  </w:tcBorders>
                  <w:vAlign w:val="center"/>
                </w:tcPr>
                <w:p w14:paraId="6043E210">
                  <w:pPr>
                    <w:pStyle w:val="20"/>
                    <w:spacing w:after="0"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废滤芯、废滤膜</w:t>
                  </w:r>
                </w:p>
              </w:tc>
            </w:tr>
            <w:tr w14:paraId="78FF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59" w:type="dxa"/>
                  <w:vMerge w:val="continue"/>
                  <w:tcBorders>
                    <w:tl2br w:val="nil"/>
                    <w:tr2bl w:val="nil"/>
                  </w:tcBorders>
                  <w:vAlign w:val="center"/>
                </w:tcPr>
                <w:p w14:paraId="3A710CA9">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dxa"/>
                  <w:vMerge w:val="continue"/>
                  <w:tcBorders>
                    <w:tl2br w:val="nil"/>
                    <w:tr2bl w:val="nil"/>
                  </w:tcBorders>
                  <w:vAlign w:val="center"/>
                </w:tcPr>
                <w:p w14:paraId="47C1F2AA">
                  <w:pPr>
                    <w:pStyle w:val="20"/>
                    <w:spacing w:after="0"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640" w:type="dxa"/>
                  <w:tcBorders>
                    <w:tl2br w:val="nil"/>
                    <w:tr2bl w:val="nil"/>
                  </w:tcBorders>
                  <w:vAlign w:val="center"/>
                </w:tcPr>
                <w:p w14:paraId="46150E07">
                  <w:pPr>
                    <w:pStyle w:val="20"/>
                    <w:spacing w:after="0"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办公</w:t>
                  </w:r>
                </w:p>
              </w:tc>
              <w:tc>
                <w:tcPr>
                  <w:tcW w:w="3613" w:type="dxa"/>
                  <w:tcBorders>
                    <w:tl2br w:val="nil"/>
                    <w:tr2bl w:val="nil"/>
                  </w:tcBorders>
                  <w:vAlign w:val="center"/>
                </w:tcPr>
                <w:p w14:paraId="37E36350">
                  <w:pPr>
                    <w:pStyle w:val="20"/>
                    <w:spacing w:after="0"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生活垃圾</w:t>
                  </w:r>
                </w:p>
              </w:tc>
            </w:tr>
          </w:tbl>
          <w:p w14:paraId="67BFDB05">
            <w:pPr>
              <w:pStyle w:val="47"/>
              <w:ind w:firstLine="0" w:firstLineChars="0"/>
              <w:jc w:val="both"/>
              <w:rPr>
                <w:rFonts w:hint="default" w:ascii="Times New Roman" w:hAnsi="Times New Roman" w:cs="Times New Roman"/>
                <w:color w:val="000000" w:themeColor="text1"/>
                <w14:textFill>
                  <w14:solidFill>
                    <w14:schemeClr w14:val="tx1"/>
                  </w14:solidFill>
                </w14:textFill>
              </w:rPr>
            </w:pPr>
          </w:p>
        </w:tc>
      </w:tr>
      <w:tr w14:paraId="63F352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15" w:hRule="atLeast"/>
          <w:jc w:val="center"/>
        </w:trPr>
        <w:tc>
          <w:tcPr>
            <w:tcW w:w="249" w:type="pct"/>
            <w:tcBorders>
              <w:tl2br w:val="nil"/>
              <w:tr2bl w:val="nil"/>
            </w:tcBorders>
            <w:vAlign w:val="center"/>
          </w:tcPr>
          <w:p w14:paraId="09316003">
            <w:pPr>
              <w:adjustRightInd w:val="0"/>
              <w:snapToGrid w:val="0"/>
              <w:spacing w:line="240" w:lineRule="auto"/>
              <w:ind w:firstLine="0" w:firstLine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与项目有关的原有环境污染问题</w:t>
            </w:r>
          </w:p>
        </w:tc>
        <w:tc>
          <w:tcPr>
            <w:tcW w:w="4750" w:type="pct"/>
            <w:tcBorders>
              <w:tl2br w:val="nil"/>
              <w:tr2bl w:val="nil"/>
            </w:tcBorders>
            <w:vAlign w:val="center"/>
          </w:tcPr>
          <w:p w14:paraId="640E8FDD">
            <w:pPr>
              <w:adjustRightInd w:val="0"/>
              <w:snapToGrid w:val="0"/>
              <w:ind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1、租赁场内环保手续履行情况</w:t>
            </w:r>
          </w:p>
          <w:p w14:paraId="24641ACE">
            <w:pPr>
              <w:adjustRightInd w:val="0"/>
              <w:snapToGrid w:val="0"/>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本项目租用巴州大朴石油技术服务有限公司6#厂房，巴州大朴石油技术服务有限公司环保手续履行情况如下：</w:t>
            </w:r>
          </w:p>
          <w:p w14:paraId="009324FF">
            <w:pPr>
              <w:adjustRightInd w:val="0"/>
              <w:snapToGrid w:val="0"/>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2015年5月21日，库尔勒经济技术开发区管理委员会环境保护局出具《关于巴州大朴石油技术服务有限公司汽车修理厂建设项目环境影响报告表的审批意见》（库开管环审</w:t>
            </w:r>
            <w:r>
              <w:rPr>
                <w:rFonts w:hint="default" w:ascii="Times New Roman" w:hAnsi="Times New Roman" w:cs="Times New Roman"/>
                <w:color w:val="000000" w:themeColor="text1"/>
                <w:kern w:val="0"/>
                <w14:textFill>
                  <w14:solidFill>
                    <w14:schemeClr w14:val="tx1"/>
                  </w14:solidFill>
                </w14:textFill>
              </w:rPr>
              <w:t>〔20</w:t>
            </w:r>
            <w:r>
              <w:rPr>
                <w:rFonts w:hint="default" w:ascii="Times New Roman" w:hAnsi="Times New Roman" w:cs="Times New Roman"/>
                <w:color w:val="000000" w:themeColor="text1"/>
                <w:kern w:val="0"/>
                <w:lang w:val="en-US" w:eastAsia="zh-CN"/>
                <w14:textFill>
                  <w14:solidFill>
                    <w14:schemeClr w14:val="tx1"/>
                  </w14:solidFill>
                </w14:textFill>
              </w:rPr>
              <w:t>15</w:t>
            </w:r>
            <w:r>
              <w:rPr>
                <w:rFonts w:hint="default" w:ascii="Times New Roman" w:hAnsi="Times New Roman" w:cs="Times New Roman"/>
                <w:color w:val="000000" w:themeColor="text1"/>
                <w:kern w:val="0"/>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9号）；</w:t>
            </w:r>
          </w:p>
          <w:p w14:paraId="6A167B14">
            <w:pPr>
              <w:adjustRightInd w:val="0"/>
              <w:snapToGrid w:val="0"/>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2017年3月20日，库尔勒经济技术开发区管理委员会环境保护局出具《关于巴州大朴石油技术服务有限公司汽车修理厂建设项目的验收意见》（库开管环验</w:t>
            </w:r>
            <w:r>
              <w:rPr>
                <w:rFonts w:hint="default" w:ascii="Times New Roman" w:hAnsi="Times New Roman" w:cs="Times New Roman"/>
                <w:color w:val="000000" w:themeColor="text1"/>
                <w:kern w:val="0"/>
                <w14:textFill>
                  <w14:solidFill>
                    <w14:schemeClr w14:val="tx1"/>
                  </w14:solidFill>
                </w14:textFill>
              </w:rPr>
              <w:t>〔20</w:t>
            </w:r>
            <w:r>
              <w:rPr>
                <w:rFonts w:hint="default" w:ascii="Times New Roman" w:hAnsi="Times New Roman" w:cs="Times New Roman"/>
                <w:color w:val="000000" w:themeColor="text1"/>
                <w:kern w:val="0"/>
                <w:lang w:val="en-US" w:eastAsia="zh-CN"/>
                <w14:textFill>
                  <w14:solidFill>
                    <w14:schemeClr w14:val="tx1"/>
                  </w14:solidFill>
                </w14:textFill>
              </w:rPr>
              <w:t>17</w:t>
            </w:r>
            <w:r>
              <w:rPr>
                <w:rFonts w:hint="default" w:ascii="Times New Roman" w:hAnsi="Times New Roman" w:cs="Times New Roman"/>
                <w:color w:val="000000" w:themeColor="text1"/>
                <w:kern w:val="0"/>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8号）；</w:t>
            </w:r>
          </w:p>
          <w:p w14:paraId="2F3FD17F">
            <w:pPr>
              <w:adjustRightInd w:val="0"/>
              <w:snapToGrid w:val="0"/>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2014年6月24日，原巴州环境保护局出具《关于石油井下工具设计制造及高温高压模拟井下环境试验室的批复》（巴环评价函</w:t>
            </w:r>
            <w:r>
              <w:rPr>
                <w:rFonts w:hint="default" w:ascii="Times New Roman" w:hAnsi="Times New Roman" w:cs="Times New Roman"/>
                <w:color w:val="000000" w:themeColor="text1"/>
                <w:kern w:val="0"/>
                <w14:textFill>
                  <w14:solidFill>
                    <w14:schemeClr w14:val="tx1"/>
                  </w14:solidFill>
                </w14:textFill>
              </w:rPr>
              <w:t>〔20</w:t>
            </w:r>
            <w:r>
              <w:rPr>
                <w:rFonts w:hint="default" w:ascii="Times New Roman" w:hAnsi="Times New Roman" w:cs="Times New Roman"/>
                <w:color w:val="000000" w:themeColor="text1"/>
                <w:kern w:val="0"/>
                <w:lang w:val="en-US" w:eastAsia="zh-CN"/>
                <w14:textFill>
                  <w14:solidFill>
                    <w14:schemeClr w14:val="tx1"/>
                  </w14:solidFill>
                </w14:textFill>
              </w:rPr>
              <w:t>14</w:t>
            </w:r>
            <w:r>
              <w:rPr>
                <w:rFonts w:hint="default" w:ascii="Times New Roman" w:hAnsi="Times New Roman" w:cs="Times New Roman"/>
                <w:color w:val="000000" w:themeColor="text1"/>
                <w:kern w:val="0"/>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280号</w:t>
            </w:r>
            <w:r>
              <w:rPr>
                <w:rFonts w:hint="default" w:ascii="Times New Roman" w:hAnsi="Times New Roman" w:cs="Times New Roman"/>
                <w:color w:val="000000" w:themeColor="text1"/>
                <w:lang w:val="en-US" w:eastAsia="zh-CN"/>
                <w14:textFill>
                  <w14:solidFill>
                    <w14:schemeClr w14:val="tx1"/>
                  </w14:solidFill>
                </w14:textFill>
              </w:rPr>
              <w:t>）；</w:t>
            </w:r>
          </w:p>
          <w:p w14:paraId="6B733EA1">
            <w:pPr>
              <w:adjustRightInd w:val="0"/>
              <w:snapToGrid w:val="0"/>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2017年12月23日，原巴州环境保护局出具《关于巴州大朴石油技术服务有限公司石油井下工具设计制造及高温高压模拟井下环境实验室建设项目竣工环境保护验收的批复》（巴环评价验</w:t>
            </w:r>
            <w:r>
              <w:rPr>
                <w:rFonts w:hint="default" w:ascii="Times New Roman" w:hAnsi="Times New Roman" w:cs="Times New Roman"/>
                <w:color w:val="000000" w:themeColor="text1"/>
                <w:kern w:val="0"/>
                <w14:textFill>
                  <w14:solidFill>
                    <w14:schemeClr w14:val="tx1"/>
                  </w14:solidFill>
                </w14:textFill>
              </w:rPr>
              <w:t>〔20</w:t>
            </w:r>
            <w:r>
              <w:rPr>
                <w:rFonts w:hint="default" w:ascii="Times New Roman" w:hAnsi="Times New Roman" w:cs="Times New Roman"/>
                <w:color w:val="000000" w:themeColor="text1"/>
                <w:kern w:val="0"/>
                <w:lang w:val="en-US" w:eastAsia="zh-CN"/>
                <w14:textFill>
                  <w14:solidFill>
                    <w14:schemeClr w14:val="tx1"/>
                  </w14:solidFill>
                </w14:textFill>
              </w:rPr>
              <w:t>17</w:t>
            </w:r>
            <w:r>
              <w:rPr>
                <w:rFonts w:hint="default" w:ascii="Times New Roman" w:hAnsi="Times New Roman" w:cs="Times New Roman"/>
                <w:color w:val="000000" w:themeColor="text1"/>
                <w:kern w:val="0"/>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100号）</w:t>
            </w:r>
            <w:r>
              <w:rPr>
                <w:rFonts w:hint="eastAsia" w:cs="Times New Roman"/>
                <w:color w:val="000000" w:themeColor="text1"/>
                <w:lang w:val="en-US" w:eastAsia="zh-CN"/>
                <w14:textFill>
                  <w14:solidFill>
                    <w14:schemeClr w14:val="tx1"/>
                  </w14:solidFill>
                </w14:textFill>
              </w:rPr>
              <w:t>；</w:t>
            </w:r>
          </w:p>
          <w:p w14:paraId="4E9357DF">
            <w:pPr>
              <w:adjustRightInd w:val="0"/>
              <w:snapToGrid w:val="0"/>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2021年4月26日，巴州大朴石油技术服务有限公司制定突发环境事件应急预案并在库尔勒经济技术开发区综合执法局备案，备案号：652801KF-2021-005-L。</w:t>
            </w:r>
          </w:p>
          <w:p w14:paraId="4898E258">
            <w:pPr>
              <w:adjustRightInd w:val="0"/>
              <w:snapToGrid w:val="0"/>
              <w:ind w:firstLine="48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2、与项目相关原有环境污染问题</w:t>
            </w:r>
          </w:p>
          <w:p w14:paraId="5E1D2FFD">
            <w:pPr>
              <w:adjustRightInd w:val="0"/>
              <w:snapToGrid w:val="0"/>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性质为新建</w:t>
            </w:r>
            <w:r>
              <w:rPr>
                <w:rFonts w:hint="default" w:ascii="Times New Roman" w:hAnsi="Times New Roman" w:eastAsia="宋体" w:cs="Times New Roman"/>
                <w:color w:val="000000" w:themeColor="text1"/>
                <w:lang w:val="en-US" w:eastAsia="zh-CN"/>
                <w14:textFill>
                  <w14:solidFill>
                    <w14:schemeClr w14:val="tx1"/>
                  </w14:solidFill>
                </w14:textFill>
              </w:rPr>
              <w:t>，本项目租赁</w:t>
            </w:r>
            <w:r>
              <w:rPr>
                <w:rFonts w:hint="default" w:ascii="Times New Roman" w:hAnsi="Times New Roman" w:cs="Times New Roman"/>
                <w:color w:val="000000" w:themeColor="text1"/>
                <w:lang w:val="en-US" w:eastAsia="zh-CN"/>
                <w14:textFill>
                  <w14:solidFill>
                    <w14:schemeClr w14:val="tx1"/>
                  </w14:solidFill>
                </w14:textFill>
              </w:rPr>
              <w:t>巴州大朴石油技术服务有限公司</w:t>
            </w:r>
            <w:r>
              <w:rPr>
                <w:rFonts w:hint="default" w:ascii="Times New Roman" w:hAnsi="Times New Roman" w:eastAsia="宋体" w:cs="Times New Roman"/>
                <w:color w:val="000000" w:themeColor="text1"/>
                <w:lang w:val="en-US" w:eastAsia="zh-CN"/>
                <w14:textFill>
                  <w14:solidFill>
                    <w14:schemeClr w14:val="tx1"/>
                  </w14:solidFill>
                </w14:textFill>
              </w:rPr>
              <w:t>现有</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lang w:val="en-US" w:eastAsia="zh-CN"/>
                <w14:textFill>
                  <w14:solidFill>
                    <w14:schemeClr w14:val="tx1"/>
                  </w14:solidFill>
                </w14:textFill>
              </w:rPr>
              <w:t>厂房，场地租赁时为空置状态土地</w:t>
            </w:r>
            <w:r>
              <w:rPr>
                <w:rFonts w:hint="default" w:ascii="Times New Roman" w:hAnsi="Times New Roman" w:cs="Times New Roman"/>
                <w:color w:val="000000" w:themeColor="text1"/>
                <w:lang w:val="en-US" w:eastAsia="zh-CN"/>
                <w14:textFill>
                  <w14:solidFill>
                    <w14:schemeClr w14:val="tx1"/>
                  </w14:solidFill>
                </w14:textFill>
              </w:rPr>
              <w:t>手续</w:t>
            </w:r>
            <w:r>
              <w:rPr>
                <w:rFonts w:hint="default" w:ascii="Times New Roman" w:hAnsi="Times New Roman" w:eastAsia="宋体" w:cs="Times New Roman"/>
                <w:color w:val="000000" w:themeColor="text1"/>
                <w:lang w:val="en-US" w:eastAsia="zh-CN"/>
                <w14:textFill>
                  <w14:solidFill>
                    <w14:schemeClr w14:val="tx1"/>
                  </w14:solidFill>
                </w14:textFill>
              </w:rPr>
              <w:t>齐全，不存在</w:t>
            </w:r>
            <w:r>
              <w:rPr>
                <w:rFonts w:hint="default" w:ascii="Times New Roman" w:hAnsi="Times New Roman" w:cs="Times New Roman"/>
                <w:color w:val="000000" w:themeColor="text1"/>
                <w:lang w:val="en-US" w:eastAsia="zh-CN"/>
                <w14:textFill>
                  <w14:solidFill>
                    <w14:schemeClr w14:val="tx1"/>
                  </w14:solidFill>
                </w14:textFill>
              </w:rPr>
              <w:t>与</w:t>
            </w:r>
            <w:r>
              <w:rPr>
                <w:rFonts w:hint="default" w:ascii="Times New Roman" w:hAnsi="Times New Roman" w:eastAsia="宋体" w:cs="Times New Roman"/>
                <w:color w:val="000000" w:themeColor="text1"/>
                <w:lang w:val="en-US" w:eastAsia="zh-CN"/>
                <w14:textFill>
                  <w14:solidFill>
                    <w14:schemeClr w14:val="tx1"/>
                  </w14:solidFill>
                </w14:textFill>
              </w:rPr>
              <w:t>原有项目遗留的污染问题。</w:t>
            </w:r>
          </w:p>
        </w:tc>
      </w:tr>
    </w:tbl>
    <w:p w14:paraId="2BD3AA98">
      <w:pPr>
        <w:ind w:firstLine="480"/>
        <w:jc w:val="center"/>
        <w:outlineLvl w:val="0"/>
        <w:rPr>
          <w:rFonts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bookmarkStart w:id="12" w:name="_Toc7898"/>
      <w:r>
        <w:rPr>
          <w:rFonts w:eastAsia="黑体"/>
          <w:snapToGrid w:val="0"/>
          <w:color w:val="000000" w:themeColor="text1"/>
          <w:sz w:val="30"/>
          <w:szCs w:val="30"/>
          <w14:textFill>
            <w14:solidFill>
              <w14:schemeClr w14:val="tx1"/>
            </w14:solidFill>
          </w14:textFill>
        </w:rPr>
        <w:t>三、区域环境质量现状、环境保护目标及评价标准</w:t>
      </w:r>
      <w:bookmarkEnd w:id="12"/>
    </w:p>
    <w:tbl>
      <w:tblPr>
        <w:tblStyle w:val="29"/>
        <w:tblW w:w="90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23"/>
        <w:gridCol w:w="8438"/>
      </w:tblGrid>
      <w:tr w14:paraId="068A54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92" w:hRule="atLeast"/>
          <w:jc w:val="center"/>
        </w:trPr>
        <w:tc>
          <w:tcPr>
            <w:tcW w:w="633" w:type="dxa"/>
            <w:tcBorders>
              <w:tl2br w:val="nil"/>
              <w:tr2bl w:val="nil"/>
            </w:tcBorders>
            <w:vAlign w:val="center"/>
          </w:tcPr>
          <w:p w14:paraId="6A052C4E">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区域</w:t>
            </w:r>
          </w:p>
          <w:p w14:paraId="16BFCC90">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环境</w:t>
            </w:r>
          </w:p>
          <w:p w14:paraId="24A77731">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质量</w:t>
            </w:r>
          </w:p>
          <w:p w14:paraId="64FD241D">
            <w:pPr>
              <w:adjustRightInd w:val="0"/>
              <w:snapToGrid w:val="0"/>
              <w:ind w:firstLine="0" w:firstLineChars="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现状</w:t>
            </w:r>
          </w:p>
        </w:tc>
        <w:tc>
          <w:tcPr>
            <w:tcW w:w="8428" w:type="dxa"/>
            <w:tcBorders>
              <w:tl2br w:val="nil"/>
              <w:tr2bl w:val="nil"/>
            </w:tcBorders>
            <w:vAlign w:val="center"/>
          </w:tcPr>
          <w:p w14:paraId="32F099EA">
            <w:pPr>
              <w:ind w:firstLine="482"/>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1、大气质量环境现状</w:t>
            </w:r>
          </w:p>
          <w:p w14:paraId="6CB9056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1.1基本污染物质量现状</w:t>
            </w:r>
          </w:p>
          <w:p w14:paraId="001CA372">
            <w:pPr>
              <w:adjustRightInd w:val="0"/>
              <w:snapToGrid w:val="0"/>
              <w:ind w:firstLine="48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（1）数据来源</w:t>
            </w:r>
          </w:p>
          <w:p w14:paraId="477EF826">
            <w:pPr>
              <w:pStyle w:val="49"/>
              <w:ind w:firstLine="48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根据《环境影响评价技术导则·大气环境》（HJ2.2-2018）中“6.2.1.2基本污染物环境质量现状数据采用评价范围内国家或地方环境空气质量监测网中评价基准年连续1年的监测数据，或采用生态环境主管部门公开发布的环境空气质量现状数据。”本选取距离本项目最近</w:t>
            </w:r>
            <w:r>
              <w:rPr>
                <w:rFonts w:hint="eastAsia" w:eastAsia="新宋体"/>
                <w:color w:val="000000" w:themeColor="text1"/>
                <w14:textFill>
                  <w14:solidFill>
                    <w14:schemeClr w14:val="tx1"/>
                  </w14:solidFill>
                </w14:textFill>
              </w:rPr>
              <w:t>5.6</w:t>
            </w:r>
            <w:r>
              <w:rPr>
                <w:rFonts w:eastAsia="新宋体"/>
                <w:color w:val="000000" w:themeColor="text1"/>
                <w14:textFill>
                  <w14:solidFill>
                    <w14:schemeClr w14:val="tx1"/>
                  </w14:solidFill>
                </w14:textFill>
              </w:rPr>
              <w:t>km处的国控监测站库尔勒经济技术开发区2022年的监测数据，对全年6项基本监测因子进行统计，根据统计结果，对SO</w:t>
            </w:r>
            <w:r>
              <w:rPr>
                <w:rFonts w:eastAsia="新宋体"/>
                <w:color w:val="000000" w:themeColor="text1"/>
                <w:vertAlign w:val="subscript"/>
                <w14:textFill>
                  <w14:solidFill>
                    <w14:schemeClr w14:val="tx1"/>
                  </w14:solidFill>
                </w14:textFill>
              </w:rPr>
              <w:t>2</w:t>
            </w:r>
            <w:r>
              <w:rPr>
                <w:rFonts w:eastAsia="新宋体"/>
                <w:color w:val="000000" w:themeColor="text1"/>
                <w14:textFill>
                  <w14:solidFill>
                    <w14:schemeClr w14:val="tx1"/>
                  </w14:solidFill>
                </w14:textFill>
              </w:rPr>
              <w:t>、NO</w:t>
            </w:r>
            <w:r>
              <w:rPr>
                <w:rFonts w:eastAsia="新宋体"/>
                <w:color w:val="000000" w:themeColor="text1"/>
                <w:vertAlign w:val="subscript"/>
                <w14:textFill>
                  <w14:solidFill>
                    <w14:schemeClr w14:val="tx1"/>
                  </w14:solidFill>
                </w14:textFill>
              </w:rPr>
              <w:t>2</w:t>
            </w:r>
            <w:r>
              <w:rPr>
                <w:rFonts w:eastAsia="新宋体"/>
                <w:color w:val="000000" w:themeColor="text1"/>
                <w14:textFill>
                  <w14:solidFill>
                    <w14:schemeClr w14:val="tx1"/>
                  </w14:solidFill>
                </w14:textFill>
              </w:rPr>
              <w:t>、PM</w:t>
            </w:r>
            <w:r>
              <w:rPr>
                <w:rFonts w:eastAsia="新宋体"/>
                <w:color w:val="000000" w:themeColor="text1"/>
                <w:vertAlign w:val="subscript"/>
                <w14:textFill>
                  <w14:solidFill>
                    <w14:schemeClr w14:val="tx1"/>
                  </w14:solidFill>
                </w14:textFill>
              </w:rPr>
              <w:t>10</w:t>
            </w:r>
            <w:r>
              <w:rPr>
                <w:rFonts w:eastAsia="新宋体"/>
                <w:color w:val="000000" w:themeColor="text1"/>
                <w14:textFill>
                  <w14:solidFill>
                    <w14:schemeClr w14:val="tx1"/>
                  </w14:solidFill>
                </w14:textFill>
              </w:rPr>
              <w:t>、PM</w:t>
            </w:r>
            <w:r>
              <w:rPr>
                <w:rFonts w:eastAsia="新宋体"/>
                <w:color w:val="000000" w:themeColor="text1"/>
                <w:vertAlign w:val="subscript"/>
                <w14:textFill>
                  <w14:solidFill>
                    <w14:schemeClr w14:val="tx1"/>
                  </w14:solidFill>
                </w14:textFill>
              </w:rPr>
              <w:t>2.5</w:t>
            </w:r>
            <w:r>
              <w:rPr>
                <w:rFonts w:eastAsia="新宋体"/>
                <w:color w:val="000000" w:themeColor="text1"/>
                <w14:textFill>
                  <w14:solidFill>
                    <w14:schemeClr w14:val="tx1"/>
                  </w14:solidFill>
                </w14:textFill>
              </w:rPr>
              <w:t>、CO和O</w:t>
            </w:r>
            <w:r>
              <w:rPr>
                <w:rFonts w:eastAsia="新宋体"/>
                <w:color w:val="000000" w:themeColor="text1"/>
                <w:vertAlign w:val="subscript"/>
                <w14:textFill>
                  <w14:solidFill>
                    <w14:schemeClr w14:val="tx1"/>
                  </w14:solidFill>
                </w14:textFill>
              </w:rPr>
              <w:t>3</w:t>
            </w:r>
            <w:r>
              <w:rPr>
                <w:rFonts w:eastAsia="新宋体"/>
                <w:color w:val="000000" w:themeColor="text1"/>
                <w14:textFill>
                  <w14:solidFill>
                    <w14:schemeClr w14:val="tx1"/>
                  </w14:solidFill>
                </w14:textFill>
              </w:rPr>
              <w:t>污染物的年评价指标进行环境质量现状评价。基本污染物环境空气质量现状表见表3-1。</w:t>
            </w:r>
          </w:p>
          <w:p w14:paraId="6E89A948">
            <w:pPr>
              <w:adjustRightInd w:val="0"/>
              <w:snapToGrid w:val="0"/>
              <w:ind w:firstLine="48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（2）评价方法</w:t>
            </w:r>
          </w:p>
          <w:p w14:paraId="78257979">
            <w:pPr>
              <w:adjustRightInd w:val="0"/>
              <w:snapToGrid w:val="0"/>
              <w:ind w:firstLine="48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评价方法采用最大质量浓度占相应标准质量浓度限值的百分比，及超标率对监测结果进行评价分析。计算公式如下：</w:t>
            </w:r>
          </w:p>
          <w:p w14:paraId="00E954D3">
            <w:pPr>
              <w:ind w:firstLine="3120" w:firstLineChars="130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P</w:t>
            </w:r>
            <w:r>
              <w:rPr>
                <w:rFonts w:eastAsia="新宋体"/>
                <w:color w:val="000000" w:themeColor="text1"/>
                <w:vertAlign w:val="subscript"/>
                <w14:textFill>
                  <w14:solidFill>
                    <w14:schemeClr w14:val="tx1"/>
                  </w14:solidFill>
                </w14:textFill>
              </w:rPr>
              <w:t>i</w:t>
            </w:r>
            <w:r>
              <w:rPr>
                <w:rFonts w:eastAsia="新宋体"/>
                <w:color w:val="000000" w:themeColor="text1"/>
                <w14:textFill>
                  <w14:solidFill>
                    <w14:schemeClr w14:val="tx1"/>
                  </w14:solidFill>
                </w14:textFill>
              </w:rPr>
              <w:t>=C</w:t>
            </w:r>
            <w:r>
              <w:rPr>
                <w:rFonts w:eastAsia="新宋体"/>
                <w:color w:val="000000" w:themeColor="text1"/>
                <w:vertAlign w:val="subscript"/>
                <w14:textFill>
                  <w14:solidFill>
                    <w14:schemeClr w14:val="tx1"/>
                  </w14:solidFill>
                </w14:textFill>
              </w:rPr>
              <w:t>i</w:t>
            </w:r>
            <w:r>
              <w:rPr>
                <w:rFonts w:eastAsia="新宋体"/>
                <w:color w:val="000000" w:themeColor="text1"/>
                <w14:textFill>
                  <w14:solidFill>
                    <w14:schemeClr w14:val="tx1"/>
                  </w14:solidFill>
                </w14:textFill>
              </w:rPr>
              <w:t>/C</w:t>
            </w:r>
            <w:r>
              <w:rPr>
                <w:rFonts w:eastAsia="新宋体"/>
                <w:color w:val="000000" w:themeColor="text1"/>
                <w:vertAlign w:val="subscript"/>
                <w14:textFill>
                  <w14:solidFill>
                    <w14:schemeClr w14:val="tx1"/>
                  </w14:solidFill>
                </w14:textFill>
              </w:rPr>
              <w:t>oi</w:t>
            </w:r>
            <w:r>
              <w:rPr>
                <w:rFonts w:eastAsia="新宋体"/>
                <w:color w:val="000000" w:themeColor="text1"/>
                <w14:textFill>
                  <w14:solidFill>
                    <w14:schemeClr w14:val="tx1"/>
                  </w14:solidFill>
                </w14:textFill>
              </w:rPr>
              <w:t>×100%</w:t>
            </w:r>
          </w:p>
          <w:p w14:paraId="21A42B85">
            <w:pPr>
              <w:ind w:firstLine="48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式中：P</w:t>
            </w:r>
            <w:r>
              <w:rPr>
                <w:rFonts w:eastAsia="新宋体"/>
                <w:color w:val="000000" w:themeColor="text1"/>
                <w:vertAlign w:val="subscript"/>
                <w14:textFill>
                  <w14:solidFill>
                    <w14:schemeClr w14:val="tx1"/>
                  </w14:solidFill>
                </w14:textFill>
              </w:rPr>
              <w:t>i</w:t>
            </w:r>
            <w:r>
              <w:rPr>
                <w:rFonts w:eastAsia="新宋体"/>
                <w:color w:val="000000" w:themeColor="text1"/>
                <w14:textFill>
                  <w14:solidFill>
                    <w14:schemeClr w14:val="tx1"/>
                  </w14:solidFill>
                </w14:textFill>
              </w:rPr>
              <w:t>—某种污染物的最大地面质量浓度占标率，%；</w:t>
            </w:r>
          </w:p>
          <w:p w14:paraId="4A757646">
            <w:pPr>
              <w:ind w:firstLine="1200" w:firstLineChars="50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C</w:t>
            </w:r>
            <w:r>
              <w:rPr>
                <w:rFonts w:eastAsia="新宋体"/>
                <w:color w:val="000000" w:themeColor="text1"/>
                <w:vertAlign w:val="subscript"/>
                <w14:textFill>
                  <w14:solidFill>
                    <w14:schemeClr w14:val="tx1"/>
                  </w14:solidFill>
                </w14:textFill>
              </w:rPr>
              <w:t>i</w:t>
            </w:r>
            <w:r>
              <w:rPr>
                <w:rFonts w:eastAsia="新宋体"/>
                <w:color w:val="000000" w:themeColor="text1"/>
                <w14:textFill>
                  <w14:solidFill>
                    <w14:schemeClr w14:val="tx1"/>
                  </w14:solidFill>
                </w14:textFill>
              </w:rPr>
              <w:t>—某种污染物的实际监测浓度，mg/m</w:t>
            </w:r>
            <w:r>
              <w:rPr>
                <w:rFonts w:eastAsia="新宋体"/>
                <w:color w:val="000000" w:themeColor="text1"/>
                <w:vertAlign w:val="superscript"/>
                <w14:textFill>
                  <w14:solidFill>
                    <w14:schemeClr w14:val="tx1"/>
                  </w14:solidFill>
                </w14:textFill>
              </w:rPr>
              <w:t>3</w:t>
            </w:r>
            <w:r>
              <w:rPr>
                <w:rFonts w:eastAsia="新宋体"/>
                <w:color w:val="000000" w:themeColor="text1"/>
                <w14:textFill>
                  <w14:solidFill>
                    <w14:schemeClr w14:val="tx1"/>
                  </w14:solidFill>
                </w14:textFill>
              </w:rPr>
              <w:t>；</w:t>
            </w:r>
          </w:p>
          <w:p w14:paraId="24CC732B">
            <w:pPr>
              <w:ind w:firstLine="1200" w:firstLineChars="50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C</w:t>
            </w:r>
            <w:r>
              <w:rPr>
                <w:rFonts w:eastAsia="新宋体"/>
                <w:color w:val="000000" w:themeColor="text1"/>
                <w:vertAlign w:val="subscript"/>
                <w14:textFill>
                  <w14:solidFill>
                    <w14:schemeClr w14:val="tx1"/>
                  </w14:solidFill>
                </w14:textFill>
              </w:rPr>
              <w:t>oi</w:t>
            </w:r>
            <w:r>
              <w:rPr>
                <w:rFonts w:eastAsia="新宋体"/>
                <w:color w:val="000000" w:themeColor="text1"/>
                <w14:textFill>
                  <w14:solidFill>
                    <w14:schemeClr w14:val="tx1"/>
                  </w14:solidFill>
                </w14:textFill>
              </w:rPr>
              <w:t>—某种污染物的环境空气标准浓度，mg/m</w:t>
            </w:r>
            <w:r>
              <w:rPr>
                <w:rFonts w:eastAsia="新宋体"/>
                <w:color w:val="000000" w:themeColor="text1"/>
                <w:vertAlign w:val="superscript"/>
                <w14:textFill>
                  <w14:solidFill>
                    <w14:schemeClr w14:val="tx1"/>
                  </w14:solidFill>
                </w14:textFill>
              </w:rPr>
              <w:t>3</w:t>
            </w:r>
            <w:r>
              <w:rPr>
                <w:rFonts w:eastAsia="新宋体"/>
                <w:color w:val="000000" w:themeColor="text1"/>
                <w14:textFill>
                  <w14:solidFill>
                    <w14:schemeClr w14:val="tx1"/>
                  </w14:solidFill>
                </w14:textFill>
              </w:rPr>
              <w:t>。</w:t>
            </w:r>
          </w:p>
          <w:p w14:paraId="71B44219">
            <w:pPr>
              <w:adjustRightInd w:val="0"/>
              <w:snapToGrid w:val="0"/>
              <w:ind w:firstLine="48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（3）评价结果</w:t>
            </w:r>
          </w:p>
          <w:p w14:paraId="0AFDBC38">
            <w:pPr>
              <w:pStyle w:val="69"/>
              <w:spacing w:line="360" w:lineRule="auto"/>
              <w:ind w:firstLine="482"/>
              <w:jc w:val="center"/>
              <w:rPr>
                <w:rFonts w:ascii="Times New Roman" w:hAnsi="Times New Roman" w:eastAsia="新宋体" w:cs="Times New Roman"/>
                <w:b/>
                <w:bCs/>
                <w:color w:val="000000" w:themeColor="text1"/>
                <w:sz w:val="21"/>
                <w:szCs w:val="21"/>
                <w14:textFill>
                  <w14:solidFill>
                    <w14:schemeClr w14:val="tx1"/>
                  </w14:solidFill>
                </w14:textFill>
              </w:rPr>
            </w:pPr>
            <w:r>
              <w:rPr>
                <w:rFonts w:ascii="Times New Roman" w:hAnsi="Times New Roman" w:eastAsia="新宋体" w:cs="Times New Roman"/>
                <w:b/>
                <w:bCs/>
                <w:color w:val="000000" w:themeColor="text1"/>
                <w:sz w:val="21"/>
                <w:szCs w:val="21"/>
                <w14:textFill>
                  <w14:solidFill>
                    <w14:schemeClr w14:val="tx1"/>
                  </w14:solidFill>
                </w14:textFill>
              </w:rPr>
              <w:t>表3-1环境空气常规因子现状监测及评价结果单位：mg/m</w:t>
            </w:r>
            <w:r>
              <w:rPr>
                <w:rFonts w:ascii="Times New Roman" w:hAnsi="Times New Roman" w:eastAsia="新宋体" w:cs="Times New Roman"/>
                <w:b/>
                <w:bCs/>
                <w:color w:val="000000" w:themeColor="text1"/>
                <w:sz w:val="21"/>
                <w:szCs w:val="21"/>
                <w:vertAlign w:val="superscript"/>
                <w14:textFill>
                  <w14:solidFill>
                    <w14:schemeClr w14:val="tx1"/>
                  </w14:solidFill>
                </w14:textFill>
              </w:rPr>
              <w:t>3</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934"/>
              <w:gridCol w:w="1284"/>
              <w:gridCol w:w="1263"/>
              <w:gridCol w:w="1264"/>
              <w:gridCol w:w="1302"/>
            </w:tblGrid>
            <w:tr w14:paraId="4534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05" w:type="pct"/>
                  <w:tcBorders>
                    <w:tl2br w:val="nil"/>
                    <w:tr2bl w:val="nil"/>
                  </w:tcBorders>
                  <w:vAlign w:val="center"/>
                </w:tcPr>
                <w:p w14:paraId="68ECEF23">
                  <w:pPr>
                    <w:topLinePunct/>
                    <w:snapToGrid w:val="0"/>
                    <w:spacing w:line="240" w:lineRule="auto"/>
                    <w:ind w:firstLine="0" w:firstLineChars="0"/>
                    <w:jc w:val="center"/>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评价因子</w:t>
                  </w:r>
                </w:p>
              </w:tc>
              <w:tc>
                <w:tcPr>
                  <w:tcW w:w="1178" w:type="pct"/>
                  <w:tcBorders>
                    <w:tl2br w:val="nil"/>
                    <w:tr2bl w:val="nil"/>
                  </w:tcBorders>
                  <w:vAlign w:val="center"/>
                </w:tcPr>
                <w:p w14:paraId="43A65302">
                  <w:pPr>
                    <w:topLinePunct/>
                    <w:snapToGrid w:val="0"/>
                    <w:spacing w:line="240" w:lineRule="auto"/>
                    <w:ind w:firstLine="0" w:firstLineChars="0"/>
                    <w:jc w:val="center"/>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平均时段</w:t>
                  </w:r>
                </w:p>
              </w:tc>
              <w:tc>
                <w:tcPr>
                  <w:tcW w:w="782" w:type="pct"/>
                  <w:tcBorders>
                    <w:tl2br w:val="nil"/>
                    <w:tr2bl w:val="nil"/>
                  </w:tcBorders>
                  <w:vAlign w:val="center"/>
                </w:tcPr>
                <w:p w14:paraId="1A91169B">
                  <w:pPr>
                    <w:topLinePunct/>
                    <w:snapToGrid w:val="0"/>
                    <w:spacing w:line="240" w:lineRule="auto"/>
                    <w:ind w:firstLine="0" w:firstLineChars="0"/>
                    <w:jc w:val="center"/>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现状浓度</w:t>
                  </w:r>
                </w:p>
              </w:tc>
              <w:tc>
                <w:tcPr>
                  <w:tcW w:w="769" w:type="pct"/>
                  <w:tcBorders>
                    <w:tl2br w:val="nil"/>
                    <w:tr2bl w:val="nil"/>
                  </w:tcBorders>
                  <w:vAlign w:val="center"/>
                </w:tcPr>
                <w:p w14:paraId="22C6701E">
                  <w:pPr>
                    <w:topLinePunct/>
                    <w:snapToGrid w:val="0"/>
                    <w:spacing w:line="240" w:lineRule="auto"/>
                    <w:ind w:firstLine="0" w:firstLineChars="0"/>
                    <w:jc w:val="center"/>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标准限值</w:t>
                  </w:r>
                </w:p>
              </w:tc>
              <w:tc>
                <w:tcPr>
                  <w:tcW w:w="770" w:type="pct"/>
                  <w:tcBorders>
                    <w:tl2br w:val="nil"/>
                    <w:tr2bl w:val="nil"/>
                  </w:tcBorders>
                  <w:vAlign w:val="center"/>
                </w:tcPr>
                <w:p w14:paraId="1C97B332">
                  <w:pPr>
                    <w:tabs>
                      <w:tab w:val="left" w:pos="463"/>
                    </w:tabs>
                    <w:topLinePunct/>
                    <w:snapToGrid w:val="0"/>
                    <w:spacing w:line="240" w:lineRule="auto"/>
                    <w:ind w:firstLine="0" w:firstLineChars="0"/>
                    <w:jc w:val="center"/>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占标率%</w:t>
                  </w:r>
                </w:p>
              </w:tc>
              <w:tc>
                <w:tcPr>
                  <w:tcW w:w="793" w:type="pct"/>
                  <w:tcBorders>
                    <w:tl2br w:val="nil"/>
                    <w:tr2bl w:val="nil"/>
                  </w:tcBorders>
                  <w:vAlign w:val="center"/>
                </w:tcPr>
                <w:p w14:paraId="7FC8B32D">
                  <w:pPr>
                    <w:tabs>
                      <w:tab w:val="left" w:pos="463"/>
                    </w:tabs>
                    <w:topLinePunct/>
                    <w:snapToGrid w:val="0"/>
                    <w:spacing w:line="240" w:lineRule="auto"/>
                    <w:ind w:firstLine="0" w:firstLineChars="0"/>
                    <w:jc w:val="center"/>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达标情况</w:t>
                  </w:r>
                </w:p>
              </w:tc>
            </w:tr>
            <w:tr w14:paraId="3D4C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05" w:type="pct"/>
                  <w:vMerge w:val="restart"/>
                  <w:tcBorders>
                    <w:tl2br w:val="nil"/>
                    <w:tr2bl w:val="nil"/>
                  </w:tcBorders>
                  <w:vAlign w:val="center"/>
                </w:tcPr>
                <w:p w14:paraId="2C6E9D4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SO</w:t>
                  </w:r>
                  <w:r>
                    <w:rPr>
                      <w:rFonts w:eastAsia="新宋体"/>
                      <w:snapToGrid w:val="0"/>
                      <w:color w:val="000000" w:themeColor="text1"/>
                      <w:kern w:val="0"/>
                      <w:sz w:val="21"/>
                      <w:szCs w:val="21"/>
                      <w:vertAlign w:val="subscript"/>
                      <w14:textFill>
                        <w14:solidFill>
                          <w14:schemeClr w14:val="tx1"/>
                        </w14:solidFill>
                      </w14:textFill>
                    </w:rPr>
                    <w:t>2</w:t>
                  </w:r>
                </w:p>
              </w:tc>
              <w:tc>
                <w:tcPr>
                  <w:tcW w:w="1178" w:type="pct"/>
                  <w:tcBorders>
                    <w:tl2br w:val="nil"/>
                    <w:tr2bl w:val="nil"/>
                  </w:tcBorders>
                  <w:vAlign w:val="center"/>
                </w:tcPr>
                <w:p w14:paraId="39A34113">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年平均浓度</w:t>
                  </w:r>
                </w:p>
              </w:tc>
              <w:tc>
                <w:tcPr>
                  <w:tcW w:w="782" w:type="pct"/>
                  <w:tcBorders>
                    <w:tl2br w:val="nil"/>
                    <w:tr2bl w:val="nil"/>
                  </w:tcBorders>
                  <w:vAlign w:val="center"/>
                </w:tcPr>
                <w:p w14:paraId="1811BCBF">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4.63</w:t>
                  </w:r>
                </w:p>
              </w:tc>
              <w:tc>
                <w:tcPr>
                  <w:tcW w:w="769" w:type="pct"/>
                  <w:tcBorders>
                    <w:tl2br w:val="nil"/>
                    <w:tr2bl w:val="nil"/>
                  </w:tcBorders>
                  <w:vAlign w:val="center"/>
                </w:tcPr>
                <w:p w14:paraId="37AF9EC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60</w:t>
                  </w:r>
                </w:p>
              </w:tc>
              <w:tc>
                <w:tcPr>
                  <w:tcW w:w="770" w:type="pct"/>
                  <w:tcBorders>
                    <w:tl2br w:val="nil"/>
                    <w:tr2bl w:val="nil"/>
                  </w:tcBorders>
                  <w:vAlign w:val="center"/>
                </w:tcPr>
                <w:p w14:paraId="052C08F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7.72</w:t>
                  </w:r>
                </w:p>
              </w:tc>
              <w:tc>
                <w:tcPr>
                  <w:tcW w:w="793" w:type="pct"/>
                  <w:tcBorders>
                    <w:tl2br w:val="nil"/>
                    <w:tr2bl w:val="nil"/>
                  </w:tcBorders>
                  <w:vAlign w:val="center"/>
                </w:tcPr>
                <w:p w14:paraId="148D0E03">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达标</w:t>
                  </w:r>
                </w:p>
              </w:tc>
            </w:tr>
            <w:tr w14:paraId="547E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05" w:type="pct"/>
                  <w:vMerge w:val="continue"/>
                  <w:tcBorders>
                    <w:tl2br w:val="nil"/>
                    <w:tr2bl w:val="nil"/>
                  </w:tcBorders>
                  <w:vAlign w:val="center"/>
                </w:tcPr>
                <w:p w14:paraId="6C92572B">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p>
              </w:tc>
              <w:tc>
                <w:tcPr>
                  <w:tcW w:w="1178" w:type="pct"/>
                  <w:tcBorders>
                    <w:tl2br w:val="nil"/>
                    <w:tr2bl w:val="nil"/>
                  </w:tcBorders>
                  <w:vAlign w:val="center"/>
                </w:tcPr>
                <w:p w14:paraId="04DF16E1">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日平均第95百分位数</w:t>
                  </w:r>
                </w:p>
              </w:tc>
              <w:tc>
                <w:tcPr>
                  <w:tcW w:w="782" w:type="pct"/>
                  <w:tcBorders>
                    <w:tl2br w:val="nil"/>
                    <w:tr2bl w:val="nil"/>
                  </w:tcBorders>
                  <w:vAlign w:val="center"/>
                </w:tcPr>
                <w:p w14:paraId="5782F6A0">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12.75</w:t>
                  </w:r>
                </w:p>
              </w:tc>
              <w:tc>
                <w:tcPr>
                  <w:tcW w:w="769" w:type="pct"/>
                  <w:tcBorders>
                    <w:tl2br w:val="nil"/>
                    <w:tr2bl w:val="nil"/>
                  </w:tcBorders>
                  <w:vAlign w:val="center"/>
                </w:tcPr>
                <w:p w14:paraId="36C76658">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150</w:t>
                  </w:r>
                </w:p>
              </w:tc>
              <w:tc>
                <w:tcPr>
                  <w:tcW w:w="770" w:type="pct"/>
                  <w:tcBorders>
                    <w:tl2br w:val="nil"/>
                    <w:tr2bl w:val="nil"/>
                  </w:tcBorders>
                  <w:vAlign w:val="center"/>
                </w:tcPr>
                <w:p w14:paraId="5072A2DD">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8.5</w:t>
                  </w:r>
                </w:p>
              </w:tc>
              <w:tc>
                <w:tcPr>
                  <w:tcW w:w="793" w:type="pct"/>
                  <w:tcBorders>
                    <w:tl2br w:val="nil"/>
                    <w:tr2bl w:val="nil"/>
                  </w:tcBorders>
                  <w:vAlign w:val="center"/>
                </w:tcPr>
                <w:p w14:paraId="7322AD2D">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达标</w:t>
                  </w:r>
                </w:p>
              </w:tc>
            </w:tr>
            <w:tr w14:paraId="0A45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05" w:type="pct"/>
                  <w:vMerge w:val="restart"/>
                  <w:tcBorders>
                    <w:tl2br w:val="nil"/>
                    <w:tr2bl w:val="nil"/>
                  </w:tcBorders>
                  <w:vAlign w:val="center"/>
                </w:tcPr>
                <w:p w14:paraId="176284D2">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NO</w:t>
                  </w:r>
                  <w:r>
                    <w:rPr>
                      <w:rFonts w:eastAsia="新宋体"/>
                      <w:snapToGrid w:val="0"/>
                      <w:color w:val="000000" w:themeColor="text1"/>
                      <w:kern w:val="0"/>
                      <w:sz w:val="21"/>
                      <w:szCs w:val="21"/>
                      <w:vertAlign w:val="subscript"/>
                      <w14:textFill>
                        <w14:solidFill>
                          <w14:schemeClr w14:val="tx1"/>
                        </w14:solidFill>
                      </w14:textFill>
                    </w:rPr>
                    <w:t>2</w:t>
                  </w:r>
                </w:p>
              </w:tc>
              <w:tc>
                <w:tcPr>
                  <w:tcW w:w="1178" w:type="pct"/>
                  <w:tcBorders>
                    <w:tl2br w:val="nil"/>
                    <w:tr2bl w:val="nil"/>
                  </w:tcBorders>
                  <w:vAlign w:val="center"/>
                </w:tcPr>
                <w:p w14:paraId="09D919E8">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年平均浓度</w:t>
                  </w:r>
                </w:p>
              </w:tc>
              <w:tc>
                <w:tcPr>
                  <w:tcW w:w="782" w:type="pct"/>
                  <w:tcBorders>
                    <w:tl2br w:val="nil"/>
                    <w:tr2bl w:val="nil"/>
                  </w:tcBorders>
                  <w:vAlign w:val="center"/>
                </w:tcPr>
                <w:p w14:paraId="63D275F6">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13</w:t>
                  </w:r>
                </w:p>
              </w:tc>
              <w:tc>
                <w:tcPr>
                  <w:tcW w:w="769" w:type="pct"/>
                  <w:tcBorders>
                    <w:tl2br w:val="nil"/>
                    <w:tr2bl w:val="nil"/>
                  </w:tcBorders>
                  <w:vAlign w:val="center"/>
                </w:tcPr>
                <w:p w14:paraId="1F34BB18">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40</w:t>
                  </w:r>
                </w:p>
              </w:tc>
              <w:tc>
                <w:tcPr>
                  <w:tcW w:w="770" w:type="pct"/>
                  <w:tcBorders>
                    <w:tl2br w:val="nil"/>
                    <w:tr2bl w:val="nil"/>
                  </w:tcBorders>
                  <w:vAlign w:val="center"/>
                </w:tcPr>
                <w:p w14:paraId="5AC4CA66">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32.5</w:t>
                  </w:r>
                </w:p>
              </w:tc>
              <w:tc>
                <w:tcPr>
                  <w:tcW w:w="793" w:type="pct"/>
                  <w:tcBorders>
                    <w:tl2br w:val="nil"/>
                    <w:tr2bl w:val="nil"/>
                  </w:tcBorders>
                  <w:vAlign w:val="center"/>
                </w:tcPr>
                <w:p w14:paraId="7CDC7971">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达标</w:t>
                  </w:r>
                </w:p>
              </w:tc>
            </w:tr>
            <w:tr w14:paraId="4DA9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05" w:type="pct"/>
                  <w:vMerge w:val="continue"/>
                  <w:tcBorders>
                    <w:tl2br w:val="nil"/>
                    <w:tr2bl w:val="nil"/>
                  </w:tcBorders>
                  <w:vAlign w:val="center"/>
                </w:tcPr>
                <w:p w14:paraId="7F04A9B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p>
              </w:tc>
              <w:tc>
                <w:tcPr>
                  <w:tcW w:w="1178" w:type="pct"/>
                  <w:tcBorders>
                    <w:tl2br w:val="nil"/>
                    <w:tr2bl w:val="nil"/>
                  </w:tcBorders>
                  <w:vAlign w:val="center"/>
                </w:tcPr>
                <w:p w14:paraId="2FDE416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日平均第95百分位数</w:t>
                  </w:r>
                </w:p>
              </w:tc>
              <w:tc>
                <w:tcPr>
                  <w:tcW w:w="782" w:type="pct"/>
                  <w:tcBorders>
                    <w:tl2br w:val="nil"/>
                    <w:tr2bl w:val="nil"/>
                  </w:tcBorders>
                  <w:vAlign w:val="center"/>
                </w:tcPr>
                <w:p w14:paraId="343BDE75">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32.08</w:t>
                  </w:r>
                </w:p>
              </w:tc>
              <w:tc>
                <w:tcPr>
                  <w:tcW w:w="769" w:type="pct"/>
                  <w:tcBorders>
                    <w:tl2br w:val="nil"/>
                    <w:tr2bl w:val="nil"/>
                  </w:tcBorders>
                  <w:vAlign w:val="center"/>
                </w:tcPr>
                <w:p w14:paraId="6D6A9578">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80</w:t>
                  </w:r>
                </w:p>
              </w:tc>
              <w:tc>
                <w:tcPr>
                  <w:tcW w:w="770" w:type="pct"/>
                  <w:tcBorders>
                    <w:tl2br w:val="nil"/>
                    <w:tr2bl w:val="nil"/>
                  </w:tcBorders>
                  <w:vAlign w:val="center"/>
                </w:tcPr>
                <w:p w14:paraId="4E8B01A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40.1</w:t>
                  </w:r>
                </w:p>
              </w:tc>
              <w:tc>
                <w:tcPr>
                  <w:tcW w:w="793" w:type="pct"/>
                  <w:tcBorders>
                    <w:tl2br w:val="nil"/>
                    <w:tr2bl w:val="nil"/>
                  </w:tcBorders>
                  <w:vAlign w:val="center"/>
                </w:tcPr>
                <w:p w14:paraId="4F84EE8F">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达标</w:t>
                  </w:r>
                </w:p>
              </w:tc>
            </w:tr>
            <w:tr w14:paraId="47FA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05" w:type="pct"/>
                  <w:tcBorders>
                    <w:tl2br w:val="nil"/>
                    <w:tr2bl w:val="nil"/>
                  </w:tcBorders>
                  <w:vAlign w:val="center"/>
                </w:tcPr>
                <w:p w14:paraId="36B2F121">
                  <w:pPr>
                    <w:widowControl/>
                    <w:topLinePunct/>
                    <w:snapToGrid w:val="0"/>
                    <w:spacing w:line="240" w:lineRule="auto"/>
                    <w:ind w:firstLine="0" w:firstLineChars="0"/>
                    <w:jc w:val="center"/>
                    <w:textAlignment w:val="bottom"/>
                    <w:rPr>
                      <w:rFonts w:eastAsia="新宋体"/>
                      <w:color w:val="000000" w:themeColor="text1"/>
                      <w:kern w:val="0"/>
                      <w:sz w:val="21"/>
                      <w:szCs w:val="21"/>
                      <w14:textFill>
                        <w14:solidFill>
                          <w14:schemeClr w14:val="tx1"/>
                        </w14:solidFill>
                      </w14:textFill>
                    </w:rPr>
                  </w:pPr>
                  <w:r>
                    <w:rPr>
                      <w:rFonts w:eastAsia="新宋体"/>
                      <w:color w:val="000000" w:themeColor="text1"/>
                      <w:kern w:val="0"/>
                      <w:sz w:val="21"/>
                      <w:szCs w:val="21"/>
                      <w14:textFill>
                        <w14:solidFill>
                          <w14:schemeClr w14:val="tx1"/>
                        </w14:solidFill>
                      </w14:textFill>
                    </w:rPr>
                    <w:t>CO</w:t>
                  </w:r>
                </w:p>
              </w:tc>
              <w:tc>
                <w:tcPr>
                  <w:tcW w:w="1178" w:type="pct"/>
                  <w:tcBorders>
                    <w:tl2br w:val="nil"/>
                    <w:tr2bl w:val="nil"/>
                  </w:tcBorders>
                  <w:vAlign w:val="center"/>
                </w:tcPr>
                <w:p w14:paraId="58AFFE18">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百分位上日平均质量浓度</w:t>
                  </w:r>
                </w:p>
              </w:tc>
              <w:tc>
                <w:tcPr>
                  <w:tcW w:w="782" w:type="pct"/>
                  <w:tcBorders>
                    <w:tl2br w:val="nil"/>
                    <w:tr2bl w:val="nil"/>
                  </w:tcBorders>
                  <w:vAlign w:val="center"/>
                </w:tcPr>
                <w:p w14:paraId="33AEEAA8">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600</w:t>
                  </w:r>
                </w:p>
              </w:tc>
              <w:tc>
                <w:tcPr>
                  <w:tcW w:w="769" w:type="pct"/>
                  <w:tcBorders>
                    <w:tl2br w:val="nil"/>
                    <w:tr2bl w:val="nil"/>
                  </w:tcBorders>
                  <w:vAlign w:val="center"/>
                </w:tcPr>
                <w:p w14:paraId="7E9BEFC9">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4000</w:t>
                  </w:r>
                </w:p>
              </w:tc>
              <w:tc>
                <w:tcPr>
                  <w:tcW w:w="770" w:type="pct"/>
                  <w:tcBorders>
                    <w:tl2br w:val="nil"/>
                    <w:tr2bl w:val="nil"/>
                  </w:tcBorders>
                  <w:vAlign w:val="center"/>
                </w:tcPr>
                <w:p w14:paraId="5A3C3470">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15</w:t>
                  </w:r>
                </w:p>
              </w:tc>
              <w:tc>
                <w:tcPr>
                  <w:tcW w:w="793" w:type="pct"/>
                  <w:tcBorders>
                    <w:tl2br w:val="nil"/>
                    <w:tr2bl w:val="nil"/>
                  </w:tcBorders>
                  <w:vAlign w:val="center"/>
                </w:tcPr>
                <w:p w14:paraId="2483F9FE">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达标</w:t>
                  </w:r>
                </w:p>
              </w:tc>
            </w:tr>
            <w:tr w14:paraId="501C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05" w:type="pct"/>
                  <w:tcBorders>
                    <w:tl2br w:val="nil"/>
                    <w:tr2bl w:val="nil"/>
                  </w:tcBorders>
                  <w:vAlign w:val="center"/>
                </w:tcPr>
                <w:p w14:paraId="7D5DA810">
                  <w:pPr>
                    <w:widowControl/>
                    <w:topLinePunct/>
                    <w:snapToGrid w:val="0"/>
                    <w:spacing w:line="240" w:lineRule="auto"/>
                    <w:ind w:firstLine="0" w:firstLineChars="0"/>
                    <w:jc w:val="center"/>
                    <w:textAlignment w:val="bottom"/>
                    <w:rPr>
                      <w:rFonts w:eastAsia="新宋体"/>
                      <w:color w:val="000000" w:themeColor="text1"/>
                      <w:kern w:val="0"/>
                      <w:sz w:val="21"/>
                      <w:szCs w:val="21"/>
                      <w14:textFill>
                        <w14:solidFill>
                          <w14:schemeClr w14:val="tx1"/>
                        </w14:solidFill>
                      </w14:textFill>
                    </w:rPr>
                  </w:pPr>
                  <w:r>
                    <w:rPr>
                      <w:rFonts w:eastAsia="新宋体"/>
                      <w:color w:val="000000" w:themeColor="text1"/>
                      <w:kern w:val="0"/>
                      <w:sz w:val="21"/>
                      <w:szCs w:val="21"/>
                      <w14:textFill>
                        <w14:solidFill>
                          <w14:schemeClr w14:val="tx1"/>
                        </w14:solidFill>
                      </w14:textFill>
                    </w:rPr>
                    <w:t>O</w:t>
                  </w:r>
                  <w:r>
                    <w:rPr>
                      <w:rFonts w:eastAsia="新宋体"/>
                      <w:color w:val="000000" w:themeColor="text1"/>
                      <w:kern w:val="0"/>
                      <w:sz w:val="21"/>
                      <w:szCs w:val="21"/>
                      <w:vertAlign w:val="subscript"/>
                      <w14:textFill>
                        <w14:solidFill>
                          <w14:schemeClr w14:val="tx1"/>
                        </w14:solidFill>
                      </w14:textFill>
                    </w:rPr>
                    <w:t>3</w:t>
                  </w:r>
                </w:p>
              </w:tc>
              <w:tc>
                <w:tcPr>
                  <w:tcW w:w="1178" w:type="pct"/>
                  <w:tcBorders>
                    <w:tl2br w:val="nil"/>
                    <w:tr2bl w:val="nil"/>
                  </w:tcBorders>
                  <w:vAlign w:val="center"/>
                </w:tcPr>
                <w:p w14:paraId="030D2AA2">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百分位上8h平均质量浓度</w:t>
                  </w:r>
                </w:p>
              </w:tc>
              <w:tc>
                <w:tcPr>
                  <w:tcW w:w="782" w:type="pct"/>
                  <w:tcBorders>
                    <w:tl2br w:val="nil"/>
                    <w:tr2bl w:val="nil"/>
                  </w:tcBorders>
                  <w:vAlign w:val="center"/>
                </w:tcPr>
                <w:p w14:paraId="60AA3C06">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111.04</w:t>
                  </w:r>
                </w:p>
              </w:tc>
              <w:tc>
                <w:tcPr>
                  <w:tcW w:w="769" w:type="pct"/>
                  <w:tcBorders>
                    <w:tl2br w:val="nil"/>
                    <w:tr2bl w:val="nil"/>
                  </w:tcBorders>
                  <w:vAlign w:val="center"/>
                </w:tcPr>
                <w:p w14:paraId="4F8E8777">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160</w:t>
                  </w:r>
                </w:p>
              </w:tc>
              <w:tc>
                <w:tcPr>
                  <w:tcW w:w="770" w:type="pct"/>
                  <w:tcBorders>
                    <w:tl2br w:val="nil"/>
                    <w:tr2bl w:val="nil"/>
                  </w:tcBorders>
                  <w:vAlign w:val="center"/>
                </w:tcPr>
                <w:p w14:paraId="5FD2CC82">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69.4</w:t>
                  </w:r>
                </w:p>
              </w:tc>
              <w:tc>
                <w:tcPr>
                  <w:tcW w:w="793" w:type="pct"/>
                  <w:tcBorders>
                    <w:tl2br w:val="nil"/>
                    <w:tr2bl w:val="nil"/>
                  </w:tcBorders>
                  <w:vAlign w:val="center"/>
                </w:tcPr>
                <w:p w14:paraId="1BCF93EE">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达标</w:t>
                  </w:r>
                </w:p>
              </w:tc>
            </w:tr>
            <w:tr w14:paraId="31E7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05" w:type="pct"/>
                  <w:vMerge w:val="restart"/>
                  <w:tcBorders>
                    <w:tl2br w:val="nil"/>
                    <w:tr2bl w:val="nil"/>
                  </w:tcBorders>
                  <w:vAlign w:val="center"/>
                </w:tcPr>
                <w:p w14:paraId="23D496D0">
                  <w:pPr>
                    <w:widowControl/>
                    <w:topLinePunct/>
                    <w:snapToGrid w:val="0"/>
                    <w:spacing w:line="240" w:lineRule="auto"/>
                    <w:ind w:firstLine="0" w:firstLineChars="0"/>
                    <w:jc w:val="center"/>
                    <w:textAlignment w:val="bottom"/>
                    <w:rPr>
                      <w:rFonts w:eastAsia="新宋体"/>
                      <w:color w:val="000000" w:themeColor="text1"/>
                      <w:kern w:val="0"/>
                      <w:sz w:val="21"/>
                      <w:szCs w:val="21"/>
                      <w14:textFill>
                        <w14:solidFill>
                          <w14:schemeClr w14:val="tx1"/>
                        </w14:solidFill>
                      </w14:textFill>
                    </w:rPr>
                  </w:pPr>
                  <w:r>
                    <w:rPr>
                      <w:rFonts w:eastAsia="新宋体"/>
                      <w:color w:val="000000" w:themeColor="text1"/>
                      <w:kern w:val="0"/>
                      <w:sz w:val="21"/>
                      <w:szCs w:val="21"/>
                      <w14:textFill>
                        <w14:solidFill>
                          <w14:schemeClr w14:val="tx1"/>
                        </w14:solidFill>
                      </w14:textFill>
                    </w:rPr>
                    <w:t>PM</w:t>
                  </w:r>
                  <w:r>
                    <w:rPr>
                      <w:rFonts w:eastAsia="新宋体"/>
                      <w:color w:val="000000" w:themeColor="text1"/>
                      <w:kern w:val="0"/>
                      <w:sz w:val="21"/>
                      <w:szCs w:val="21"/>
                      <w:vertAlign w:val="subscript"/>
                      <w14:textFill>
                        <w14:solidFill>
                          <w14:schemeClr w14:val="tx1"/>
                        </w14:solidFill>
                      </w14:textFill>
                    </w:rPr>
                    <w:t>2.5</w:t>
                  </w:r>
                </w:p>
              </w:tc>
              <w:tc>
                <w:tcPr>
                  <w:tcW w:w="1178" w:type="pct"/>
                  <w:tcBorders>
                    <w:tl2br w:val="nil"/>
                    <w:tr2bl w:val="nil"/>
                  </w:tcBorders>
                  <w:vAlign w:val="center"/>
                </w:tcPr>
                <w:p w14:paraId="376C426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年平均浓度</w:t>
                  </w:r>
                </w:p>
              </w:tc>
              <w:tc>
                <w:tcPr>
                  <w:tcW w:w="782" w:type="pct"/>
                  <w:tcBorders>
                    <w:tl2br w:val="nil"/>
                    <w:tr2bl w:val="nil"/>
                  </w:tcBorders>
                  <w:vAlign w:val="center"/>
                </w:tcPr>
                <w:p w14:paraId="6EDB5E2B">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35.95</w:t>
                  </w:r>
                </w:p>
              </w:tc>
              <w:tc>
                <w:tcPr>
                  <w:tcW w:w="769" w:type="pct"/>
                  <w:tcBorders>
                    <w:tl2br w:val="nil"/>
                    <w:tr2bl w:val="nil"/>
                  </w:tcBorders>
                  <w:vAlign w:val="center"/>
                </w:tcPr>
                <w:p w14:paraId="25A35AB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35</w:t>
                  </w:r>
                </w:p>
              </w:tc>
              <w:tc>
                <w:tcPr>
                  <w:tcW w:w="770" w:type="pct"/>
                  <w:tcBorders>
                    <w:tl2br w:val="nil"/>
                    <w:tr2bl w:val="nil"/>
                  </w:tcBorders>
                  <w:vAlign w:val="center"/>
                </w:tcPr>
                <w:p w14:paraId="39DFCEB1">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102.71</w:t>
                  </w:r>
                </w:p>
              </w:tc>
              <w:tc>
                <w:tcPr>
                  <w:tcW w:w="793" w:type="pct"/>
                  <w:tcBorders>
                    <w:tl2br w:val="nil"/>
                    <w:tr2bl w:val="nil"/>
                  </w:tcBorders>
                  <w:vAlign w:val="center"/>
                </w:tcPr>
                <w:p w14:paraId="1A7E1B6D">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超标</w:t>
                  </w:r>
                </w:p>
              </w:tc>
            </w:tr>
            <w:tr w14:paraId="7354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05" w:type="pct"/>
                  <w:vMerge w:val="continue"/>
                  <w:tcBorders>
                    <w:tl2br w:val="nil"/>
                    <w:tr2bl w:val="nil"/>
                  </w:tcBorders>
                  <w:vAlign w:val="center"/>
                </w:tcPr>
                <w:p w14:paraId="6A248836">
                  <w:pPr>
                    <w:widowControl/>
                    <w:topLinePunct/>
                    <w:snapToGrid w:val="0"/>
                    <w:spacing w:line="240" w:lineRule="auto"/>
                    <w:ind w:firstLine="0" w:firstLineChars="0"/>
                    <w:jc w:val="center"/>
                    <w:textAlignment w:val="bottom"/>
                    <w:rPr>
                      <w:rFonts w:eastAsia="新宋体"/>
                      <w:color w:val="000000" w:themeColor="text1"/>
                      <w:kern w:val="0"/>
                      <w:sz w:val="21"/>
                      <w:szCs w:val="21"/>
                      <w14:textFill>
                        <w14:solidFill>
                          <w14:schemeClr w14:val="tx1"/>
                        </w14:solidFill>
                      </w14:textFill>
                    </w:rPr>
                  </w:pPr>
                </w:p>
              </w:tc>
              <w:tc>
                <w:tcPr>
                  <w:tcW w:w="1178" w:type="pct"/>
                  <w:tcBorders>
                    <w:tl2br w:val="nil"/>
                    <w:tr2bl w:val="nil"/>
                  </w:tcBorders>
                  <w:vAlign w:val="center"/>
                </w:tcPr>
                <w:p w14:paraId="6D962A62">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日平均第95百分位数</w:t>
                  </w:r>
                </w:p>
              </w:tc>
              <w:tc>
                <w:tcPr>
                  <w:tcW w:w="782" w:type="pct"/>
                  <w:tcBorders>
                    <w:tl2br w:val="nil"/>
                    <w:tr2bl w:val="nil"/>
                  </w:tcBorders>
                  <w:vAlign w:val="center"/>
                </w:tcPr>
                <w:p w14:paraId="4F370A4E">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75.46</w:t>
                  </w:r>
                </w:p>
              </w:tc>
              <w:tc>
                <w:tcPr>
                  <w:tcW w:w="769" w:type="pct"/>
                  <w:tcBorders>
                    <w:tl2br w:val="nil"/>
                    <w:tr2bl w:val="nil"/>
                  </w:tcBorders>
                  <w:vAlign w:val="center"/>
                </w:tcPr>
                <w:p w14:paraId="665606FE">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75</w:t>
                  </w:r>
                </w:p>
              </w:tc>
              <w:tc>
                <w:tcPr>
                  <w:tcW w:w="770" w:type="pct"/>
                  <w:tcBorders>
                    <w:tl2br w:val="nil"/>
                    <w:tr2bl w:val="nil"/>
                  </w:tcBorders>
                  <w:vAlign w:val="center"/>
                </w:tcPr>
                <w:p w14:paraId="4E26142A">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100.61</w:t>
                  </w:r>
                </w:p>
              </w:tc>
              <w:tc>
                <w:tcPr>
                  <w:tcW w:w="793" w:type="pct"/>
                  <w:tcBorders>
                    <w:tl2br w:val="nil"/>
                    <w:tr2bl w:val="nil"/>
                  </w:tcBorders>
                  <w:vAlign w:val="center"/>
                </w:tcPr>
                <w:p w14:paraId="4A3472F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超标</w:t>
                  </w:r>
                </w:p>
              </w:tc>
            </w:tr>
            <w:tr w14:paraId="0DE3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05" w:type="pct"/>
                  <w:vMerge w:val="restart"/>
                  <w:tcBorders>
                    <w:tl2br w:val="nil"/>
                    <w:tr2bl w:val="nil"/>
                  </w:tcBorders>
                  <w:vAlign w:val="center"/>
                </w:tcPr>
                <w:p w14:paraId="185FD9F8">
                  <w:pPr>
                    <w:widowControl/>
                    <w:topLinePunct/>
                    <w:snapToGrid w:val="0"/>
                    <w:spacing w:line="240" w:lineRule="auto"/>
                    <w:ind w:firstLine="0" w:firstLineChars="0"/>
                    <w:jc w:val="center"/>
                    <w:textAlignment w:val="bottom"/>
                    <w:rPr>
                      <w:rFonts w:eastAsia="新宋体"/>
                      <w:color w:val="000000" w:themeColor="text1"/>
                      <w:kern w:val="0"/>
                      <w:sz w:val="21"/>
                      <w:szCs w:val="21"/>
                      <w14:textFill>
                        <w14:solidFill>
                          <w14:schemeClr w14:val="tx1"/>
                        </w14:solidFill>
                      </w14:textFill>
                    </w:rPr>
                  </w:pPr>
                  <w:r>
                    <w:rPr>
                      <w:rFonts w:eastAsia="新宋体"/>
                      <w:color w:val="000000" w:themeColor="text1"/>
                      <w:kern w:val="0"/>
                      <w:sz w:val="21"/>
                      <w:szCs w:val="21"/>
                      <w14:textFill>
                        <w14:solidFill>
                          <w14:schemeClr w14:val="tx1"/>
                        </w14:solidFill>
                      </w14:textFill>
                    </w:rPr>
                    <w:t>PM</w:t>
                  </w:r>
                  <w:r>
                    <w:rPr>
                      <w:rFonts w:eastAsia="新宋体"/>
                      <w:color w:val="000000" w:themeColor="text1"/>
                      <w:kern w:val="0"/>
                      <w:sz w:val="21"/>
                      <w:szCs w:val="21"/>
                      <w:vertAlign w:val="subscript"/>
                      <w14:textFill>
                        <w14:solidFill>
                          <w14:schemeClr w14:val="tx1"/>
                        </w14:solidFill>
                      </w14:textFill>
                    </w:rPr>
                    <w:t>10</w:t>
                  </w:r>
                </w:p>
              </w:tc>
              <w:tc>
                <w:tcPr>
                  <w:tcW w:w="1178" w:type="pct"/>
                  <w:tcBorders>
                    <w:tl2br w:val="nil"/>
                    <w:tr2bl w:val="nil"/>
                  </w:tcBorders>
                  <w:vAlign w:val="center"/>
                </w:tcPr>
                <w:p w14:paraId="5BEF86DE">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年平均浓度</w:t>
                  </w:r>
                </w:p>
              </w:tc>
              <w:tc>
                <w:tcPr>
                  <w:tcW w:w="782" w:type="pct"/>
                  <w:tcBorders>
                    <w:tl2br w:val="nil"/>
                    <w:tr2bl w:val="nil"/>
                  </w:tcBorders>
                  <w:vAlign w:val="center"/>
                </w:tcPr>
                <w:p w14:paraId="717470B5">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139.5</w:t>
                  </w:r>
                </w:p>
              </w:tc>
              <w:tc>
                <w:tcPr>
                  <w:tcW w:w="769" w:type="pct"/>
                  <w:tcBorders>
                    <w:tl2br w:val="nil"/>
                    <w:tr2bl w:val="nil"/>
                  </w:tcBorders>
                  <w:vAlign w:val="center"/>
                </w:tcPr>
                <w:p w14:paraId="7046E4B3">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70</w:t>
                  </w:r>
                </w:p>
              </w:tc>
              <w:tc>
                <w:tcPr>
                  <w:tcW w:w="770" w:type="pct"/>
                  <w:tcBorders>
                    <w:tl2br w:val="nil"/>
                    <w:tr2bl w:val="nil"/>
                  </w:tcBorders>
                  <w:vAlign w:val="center"/>
                </w:tcPr>
                <w:p w14:paraId="4C4FD193">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199.28</w:t>
                  </w:r>
                </w:p>
              </w:tc>
              <w:tc>
                <w:tcPr>
                  <w:tcW w:w="793" w:type="pct"/>
                  <w:tcBorders>
                    <w:tl2br w:val="nil"/>
                    <w:tr2bl w:val="nil"/>
                  </w:tcBorders>
                  <w:vAlign w:val="center"/>
                </w:tcPr>
                <w:p w14:paraId="12487CE9">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超标</w:t>
                  </w:r>
                </w:p>
              </w:tc>
            </w:tr>
            <w:tr w14:paraId="656C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05" w:type="pct"/>
                  <w:vMerge w:val="continue"/>
                  <w:tcBorders>
                    <w:tl2br w:val="nil"/>
                    <w:tr2bl w:val="nil"/>
                  </w:tcBorders>
                  <w:vAlign w:val="center"/>
                </w:tcPr>
                <w:p w14:paraId="363E075C">
                  <w:pPr>
                    <w:widowControl/>
                    <w:topLinePunct/>
                    <w:snapToGrid w:val="0"/>
                    <w:spacing w:line="240" w:lineRule="auto"/>
                    <w:ind w:firstLine="0" w:firstLineChars="0"/>
                    <w:jc w:val="center"/>
                    <w:textAlignment w:val="bottom"/>
                    <w:rPr>
                      <w:rFonts w:eastAsia="新宋体"/>
                      <w:color w:val="000000" w:themeColor="text1"/>
                      <w:kern w:val="0"/>
                      <w:sz w:val="21"/>
                      <w:szCs w:val="21"/>
                      <w14:textFill>
                        <w14:solidFill>
                          <w14:schemeClr w14:val="tx1"/>
                        </w14:solidFill>
                      </w14:textFill>
                    </w:rPr>
                  </w:pPr>
                </w:p>
              </w:tc>
              <w:tc>
                <w:tcPr>
                  <w:tcW w:w="1178" w:type="pct"/>
                  <w:tcBorders>
                    <w:tl2br w:val="nil"/>
                    <w:tr2bl w:val="nil"/>
                  </w:tcBorders>
                  <w:vAlign w:val="center"/>
                </w:tcPr>
                <w:p w14:paraId="77D5B40E">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日平均第95百分位数</w:t>
                  </w:r>
                </w:p>
              </w:tc>
              <w:tc>
                <w:tcPr>
                  <w:tcW w:w="782" w:type="pct"/>
                  <w:tcBorders>
                    <w:tl2br w:val="nil"/>
                    <w:tr2bl w:val="nil"/>
                  </w:tcBorders>
                  <w:vAlign w:val="center"/>
                </w:tcPr>
                <w:p w14:paraId="096F8A77">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381.29</w:t>
                  </w:r>
                </w:p>
              </w:tc>
              <w:tc>
                <w:tcPr>
                  <w:tcW w:w="769" w:type="pct"/>
                  <w:tcBorders>
                    <w:tl2br w:val="nil"/>
                    <w:tr2bl w:val="nil"/>
                  </w:tcBorders>
                  <w:vAlign w:val="center"/>
                </w:tcPr>
                <w:p w14:paraId="119C7D4C">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150</w:t>
                  </w:r>
                </w:p>
              </w:tc>
              <w:tc>
                <w:tcPr>
                  <w:tcW w:w="770" w:type="pct"/>
                  <w:tcBorders>
                    <w:tl2br w:val="nil"/>
                    <w:tr2bl w:val="nil"/>
                  </w:tcBorders>
                  <w:vAlign w:val="center"/>
                </w:tcPr>
                <w:p w14:paraId="24E548D8">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254.19</w:t>
                  </w:r>
                </w:p>
              </w:tc>
              <w:tc>
                <w:tcPr>
                  <w:tcW w:w="793" w:type="pct"/>
                  <w:tcBorders>
                    <w:tl2br w:val="nil"/>
                    <w:tr2bl w:val="nil"/>
                  </w:tcBorders>
                  <w:vAlign w:val="center"/>
                </w:tcPr>
                <w:p w14:paraId="41FE59E2">
                  <w:pPr>
                    <w:widowControl/>
                    <w:topLinePunct/>
                    <w:snapToGrid w:val="0"/>
                    <w:spacing w:line="240" w:lineRule="auto"/>
                    <w:ind w:firstLine="0" w:firstLineChars="0"/>
                    <w:jc w:val="center"/>
                    <w:textAlignment w:val="bottom"/>
                    <w:rPr>
                      <w:rFonts w:eastAsia="新宋体"/>
                      <w:snapToGrid w:val="0"/>
                      <w:color w:val="000000" w:themeColor="text1"/>
                      <w:kern w:val="0"/>
                      <w:sz w:val="21"/>
                      <w:szCs w:val="21"/>
                      <w14:textFill>
                        <w14:solidFill>
                          <w14:schemeClr w14:val="tx1"/>
                        </w14:solidFill>
                      </w14:textFill>
                    </w:rPr>
                  </w:pPr>
                  <w:r>
                    <w:rPr>
                      <w:rFonts w:eastAsia="新宋体"/>
                      <w:snapToGrid w:val="0"/>
                      <w:color w:val="000000" w:themeColor="text1"/>
                      <w:kern w:val="0"/>
                      <w:sz w:val="21"/>
                      <w:szCs w:val="21"/>
                      <w14:textFill>
                        <w14:solidFill>
                          <w14:schemeClr w14:val="tx1"/>
                        </w14:solidFill>
                      </w14:textFill>
                    </w:rPr>
                    <w:t>超标</w:t>
                  </w:r>
                </w:p>
              </w:tc>
            </w:tr>
          </w:tbl>
          <w:p w14:paraId="117EBE59">
            <w:pPr>
              <w:ind w:firstLine="480"/>
              <w:rPr>
                <w:rFonts w:eastAsia="新宋体"/>
                <w:color w:val="000000" w:themeColor="text1"/>
                <w14:textFill>
                  <w14:solidFill>
                    <w14:schemeClr w14:val="tx1"/>
                  </w14:solidFill>
                </w14:textFill>
              </w:rPr>
            </w:pPr>
            <w:r>
              <w:rPr>
                <w:rFonts w:eastAsia="新宋体"/>
                <w:color w:val="000000" w:themeColor="text1"/>
                <w14:textFill>
                  <w14:solidFill>
                    <w14:schemeClr w14:val="tx1"/>
                  </w14:solidFill>
                </w14:textFill>
              </w:rPr>
              <w:t>由上表可知，</w:t>
            </w:r>
            <w:r>
              <w:rPr>
                <w:rFonts w:eastAsia="新宋体"/>
                <w:color w:val="000000" w:themeColor="text1"/>
                <w:kern w:val="0"/>
                <w:lang w:bidi="ar"/>
                <w14:textFill>
                  <w14:solidFill>
                    <w14:schemeClr w14:val="tx1"/>
                  </w14:solidFill>
                </w14:textFill>
              </w:rPr>
              <w:t>本项目所在区域SO</w:t>
            </w:r>
            <w:r>
              <w:rPr>
                <w:rFonts w:eastAsia="新宋体"/>
                <w:color w:val="000000" w:themeColor="text1"/>
                <w:kern w:val="0"/>
                <w:vertAlign w:val="subscript"/>
                <w:lang w:bidi="ar"/>
                <w14:textFill>
                  <w14:solidFill>
                    <w14:schemeClr w14:val="tx1"/>
                  </w14:solidFill>
                </w14:textFill>
              </w:rPr>
              <w:t>2</w:t>
            </w:r>
            <w:r>
              <w:rPr>
                <w:rFonts w:eastAsia="新宋体"/>
                <w:color w:val="000000" w:themeColor="text1"/>
                <w:kern w:val="0"/>
                <w:lang w:bidi="ar"/>
                <w14:textFill>
                  <w14:solidFill>
                    <w14:schemeClr w14:val="tx1"/>
                  </w14:solidFill>
                </w14:textFill>
              </w:rPr>
              <w:t>、NO</w:t>
            </w:r>
            <w:r>
              <w:rPr>
                <w:rFonts w:eastAsia="新宋体"/>
                <w:color w:val="000000" w:themeColor="text1"/>
                <w:kern w:val="0"/>
                <w:vertAlign w:val="subscript"/>
                <w:lang w:bidi="ar"/>
                <w14:textFill>
                  <w14:solidFill>
                    <w14:schemeClr w14:val="tx1"/>
                  </w14:solidFill>
                </w14:textFill>
              </w:rPr>
              <w:t>2</w:t>
            </w:r>
            <w:r>
              <w:rPr>
                <w:rFonts w:eastAsia="新宋体"/>
                <w:color w:val="000000" w:themeColor="text1"/>
                <w:kern w:val="0"/>
                <w:lang w:bidi="ar"/>
                <w14:textFill>
                  <w14:solidFill>
                    <w14:schemeClr w14:val="tx1"/>
                  </w14:solidFill>
                </w14:textFill>
              </w:rPr>
              <w:t>的年评价指标为达标；CO的百分位上日平均质量浓度为达标；</w:t>
            </w:r>
            <w:r>
              <w:rPr>
                <w:rFonts w:eastAsia="新宋体"/>
                <w:color w:val="000000" w:themeColor="text1"/>
                <w:position w:val="2"/>
                <w14:textFill>
                  <w14:solidFill>
                    <w14:schemeClr w14:val="tx1"/>
                  </w14:solidFill>
                </w14:textFill>
              </w:rPr>
              <w:t>O</w:t>
            </w:r>
            <w:r>
              <w:rPr>
                <w:rFonts w:eastAsia="新宋体"/>
                <w:color w:val="000000" w:themeColor="text1"/>
                <w:position w:val="2"/>
                <w:vertAlign w:val="subscript"/>
                <w14:textFill>
                  <w14:solidFill>
                    <w14:schemeClr w14:val="tx1"/>
                  </w14:solidFill>
                </w14:textFill>
              </w:rPr>
              <w:t>3</w:t>
            </w:r>
            <w:r>
              <w:rPr>
                <w:rFonts w:eastAsia="新宋体"/>
                <w:color w:val="000000" w:themeColor="text1"/>
                <w:position w:val="2"/>
                <w14:textFill>
                  <w14:solidFill>
                    <w14:schemeClr w14:val="tx1"/>
                  </w14:solidFill>
                </w14:textFill>
              </w:rPr>
              <w:t>的百分位上8h平均质量浓度为达标；</w:t>
            </w:r>
            <w:r>
              <w:rPr>
                <w:rFonts w:eastAsia="新宋体"/>
                <w:color w:val="000000" w:themeColor="text1"/>
                <w:kern w:val="0"/>
                <w:lang w:bidi="ar"/>
                <w14:textFill>
                  <w14:solidFill>
                    <w14:schemeClr w14:val="tx1"/>
                  </w14:solidFill>
                </w14:textFill>
              </w:rPr>
              <w:t>颗粒物PM</w:t>
            </w:r>
            <w:r>
              <w:rPr>
                <w:rFonts w:eastAsia="新宋体"/>
                <w:color w:val="000000" w:themeColor="text1"/>
                <w:kern w:val="0"/>
                <w:vertAlign w:val="subscript"/>
                <w:lang w:bidi="ar"/>
                <w14:textFill>
                  <w14:solidFill>
                    <w14:schemeClr w14:val="tx1"/>
                  </w14:solidFill>
                </w14:textFill>
              </w:rPr>
              <w:t>2.5</w:t>
            </w:r>
            <w:r>
              <w:rPr>
                <w:rFonts w:eastAsia="新宋体"/>
                <w:color w:val="000000" w:themeColor="text1"/>
                <w:kern w:val="0"/>
                <w:lang w:bidi="ar"/>
                <w14:textFill>
                  <w14:solidFill>
                    <w14:schemeClr w14:val="tx1"/>
                  </w14:solidFill>
                </w14:textFill>
              </w:rPr>
              <w:t>、PM</w:t>
            </w:r>
            <w:r>
              <w:rPr>
                <w:rFonts w:eastAsia="新宋体"/>
                <w:color w:val="000000" w:themeColor="text1"/>
                <w:kern w:val="0"/>
                <w:vertAlign w:val="subscript"/>
                <w:lang w:bidi="ar"/>
                <w14:textFill>
                  <w14:solidFill>
                    <w14:schemeClr w14:val="tx1"/>
                  </w14:solidFill>
                </w14:textFill>
              </w:rPr>
              <w:t>10</w:t>
            </w:r>
            <w:r>
              <w:rPr>
                <w:rFonts w:eastAsia="新宋体"/>
                <w:color w:val="000000" w:themeColor="text1"/>
                <w:kern w:val="0"/>
                <w:lang w:bidi="ar"/>
                <w14:textFill>
                  <w14:solidFill>
                    <w14:schemeClr w14:val="tx1"/>
                  </w14:solidFill>
                </w14:textFill>
              </w:rPr>
              <w:t>的年评价指标均为超标，原因是库尔勒市地处南疆，周边背景为沙漠导致。因此本项目区域为不达标区。</w:t>
            </w:r>
          </w:p>
          <w:p w14:paraId="5CEA0585">
            <w:pPr>
              <w:ind w:firstLine="482"/>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1.2特征污染物监测因子分析</w:t>
            </w:r>
          </w:p>
          <w:p w14:paraId="78A0016B">
            <w:pPr>
              <w:widowControl/>
              <w:ind w:firstLine="480"/>
              <w:jc w:val="left"/>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引用数据</w:t>
            </w:r>
          </w:p>
          <w:p w14:paraId="7C168A58">
            <w:pPr>
              <w:pageBreakBefore w:val="0"/>
              <w:kinsoku/>
              <w:wordWrap/>
              <w:bidi w:val="0"/>
              <w:adjustRightInd/>
              <w:snapToGrid/>
              <w:spacing w:line="360" w:lineRule="auto"/>
              <w:ind w:firstLine="480" w:firstLineChars="200"/>
              <w:rPr>
                <w:rFonts w:hint="eastAsia" w:ascii="Times New Roman" w:hAnsi="Times New Roman" w:eastAsia="宋体"/>
                <w:bCs/>
                <w:caps w:val="0"/>
                <w:color w:val="000000" w:themeColor="text1"/>
                <w:kern w:val="21"/>
                <w:sz w:val="24"/>
                <w:szCs w:val="24"/>
                <w:highlight w:val="none"/>
                <w:lang w:eastAsia="zh-CN"/>
                <w14:textFill>
                  <w14:solidFill>
                    <w14:schemeClr w14:val="tx1"/>
                  </w14:solidFill>
                </w14:textFill>
              </w:rPr>
            </w:pPr>
            <w:r>
              <w:rPr>
                <w:rFonts w:hint="eastAsia" w:ascii="Times New Roman" w:hAnsi="Times New Roman" w:eastAsia="宋体"/>
                <w:bCs/>
                <w:caps w:val="0"/>
                <w:color w:val="000000" w:themeColor="text1"/>
                <w:kern w:val="21"/>
                <w:sz w:val="24"/>
                <w:szCs w:val="24"/>
                <w:highlight w:val="none"/>
                <w:lang w:eastAsia="zh-CN"/>
                <w14:textFill>
                  <w14:solidFill>
                    <w14:schemeClr w14:val="tx1"/>
                  </w14:solidFill>
                </w14:textFill>
              </w:rPr>
              <w:t>根据《建设项目环境影响报告表编制技术指南（污染影响类）（试行）》：“排放国家、地方环境空气质量标准中有标准限值要求的特征污染物时，引用建设项目周边5</w:t>
            </w:r>
            <w:r>
              <w:rPr>
                <w:rFonts w:hint="eastAsia" w:ascii="Times New Roman" w:hAnsi="Times New Roman" w:eastAsia="宋体"/>
                <w:bCs/>
                <w:caps w:val="0"/>
                <w:color w:val="000000" w:themeColor="text1"/>
                <w:kern w:val="21"/>
                <w:sz w:val="24"/>
                <w:szCs w:val="24"/>
                <w:highlight w:val="none"/>
                <w:lang w:val="en-US" w:eastAsia="zh-CN"/>
                <w14:textFill>
                  <w14:solidFill>
                    <w14:schemeClr w14:val="tx1"/>
                  </w14:solidFill>
                </w14:textFill>
              </w:rPr>
              <w:t>km</w:t>
            </w:r>
            <w:r>
              <w:rPr>
                <w:rFonts w:hint="eastAsia" w:ascii="Times New Roman" w:hAnsi="Times New Roman" w:eastAsia="宋体"/>
                <w:bCs/>
                <w:caps w:val="0"/>
                <w:color w:val="000000" w:themeColor="text1"/>
                <w:kern w:val="21"/>
                <w:sz w:val="24"/>
                <w:szCs w:val="24"/>
                <w:highlight w:val="none"/>
                <w:lang w:eastAsia="zh-CN"/>
                <w14:textFill>
                  <w14:solidFill>
                    <w14:schemeClr w14:val="tx1"/>
                  </w14:solidFill>
                </w14:textFill>
              </w:rPr>
              <w:t>范围内近3年的现有监测数据，无相关数据的选择当季主导风向下风向1个点位补充不少于3天的监测数据。”</w:t>
            </w:r>
          </w:p>
          <w:p w14:paraId="1FEEEEE4">
            <w:pPr>
              <w:widowControl/>
              <w:ind w:firstLine="480"/>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本项目为金相腐蚀</w:t>
            </w:r>
            <w:r>
              <w:rPr>
                <w:rFonts w:hint="eastAsia"/>
                <w:color w:val="000000" w:themeColor="text1"/>
                <w:kern w:val="0"/>
                <w:lang w:eastAsia="zh-CN"/>
                <w14:textFill>
                  <w14:solidFill>
                    <w14:schemeClr w14:val="tx1"/>
                  </w14:solidFill>
                </w14:textFill>
              </w:rPr>
              <w:t>、</w:t>
            </w:r>
            <w:r>
              <w:rPr>
                <w:rFonts w:hint="eastAsia"/>
                <w:color w:val="000000" w:themeColor="text1"/>
                <w:kern w:val="0"/>
                <w:lang w:val="en-US" w:eastAsia="zh-CN"/>
                <w14:textFill>
                  <w14:solidFill>
                    <w14:schemeClr w14:val="tx1"/>
                  </w14:solidFill>
                </w14:textFill>
              </w:rPr>
              <w:t>HIC、SSC实验</w:t>
            </w:r>
            <w:r>
              <w:rPr>
                <w:rFonts w:hint="eastAsia"/>
                <w:color w:val="000000" w:themeColor="text1"/>
                <w:kern w:val="0"/>
                <w14:textFill>
                  <w14:solidFill>
                    <w14:schemeClr w14:val="tx1"/>
                  </w14:solidFill>
                </w14:textFill>
              </w:rPr>
              <w:t>，</w:t>
            </w:r>
            <w:r>
              <w:rPr>
                <w:rFonts w:hint="eastAsia"/>
                <w:color w:val="000000" w:themeColor="text1"/>
                <w:kern w:val="0"/>
                <w:lang w:val="en-US" w:eastAsia="zh-CN"/>
                <w14:textFill>
                  <w14:solidFill>
                    <w14:schemeClr w14:val="tx1"/>
                  </w14:solidFill>
                </w14:textFill>
              </w:rPr>
              <w:t>主要污染物有颗粒物、H</w:t>
            </w:r>
            <w:r>
              <w:rPr>
                <w:rFonts w:hint="eastAsia"/>
                <w:color w:val="000000" w:themeColor="text1"/>
                <w:kern w:val="0"/>
                <w:vertAlign w:val="subscript"/>
                <w:lang w:val="en-US" w:eastAsia="zh-CN"/>
                <w14:textFill>
                  <w14:solidFill>
                    <w14:schemeClr w14:val="tx1"/>
                  </w14:solidFill>
                </w14:textFill>
              </w:rPr>
              <w:t>2</w:t>
            </w:r>
            <w:r>
              <w:rPr>
                <w:rFonts w:hint="eastAsia"/>
                <w:color w:val="000000" w:themeColor="text1"/>
                <w:kern w:val="0"/>
                <w:lang w:val="en-US" w:eastAsia="zh-CN"/>
                <w14:textFill>
                  <w14:solidFill>
                    <w14:schemeClr w14:val="tx1"/>
                  </w14:solidFill>
                </w14:textFill>
              </w:rPr>
              <w:t>S</w:t>
            </w:r>
            <w:r>
              <w:rPr>
                <w:rFonts w:hint="eastAsia"/>
                <w:color w:val="000000" w:themeColor="text1"/>
                <w:kern w:val="0"/>
                <w14:textFill>
                  <w14:solidFill>
                    <w14:schemeClr w14:val="tx1"/>
                  </w14:solidFill>
                </w14:textFill>
              </w:rPr>
              <w:t>。</w:t>
            </w:r>
          </w:p>
          <w:p w14:paraId="45DB4268">
            <w:pPr>
              <w:autoSpaceDE w:val="0"/>
              <w:autoSpaceDN w:val="0"/>
              <w:adjustRightInd w:val="0"/>
              <w:snapToGrid w:val="0"/>
              <w:ind w:firstLine="48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次评价引用《新疆惠光光电科技有限公司高端显示基材项目》由新疆中测测试有限责任公司于2022年8月4日-8月11日项目区现状监测数据，监测点位坐标：86.251712，41.652774，位于本项目区东南侧3.51km处，监测点位示意图见附图4。</w:t>
            </w:r>
          </w:p>
          <w:p w14:paraId="01851694">
            <w:pPr>
              <w:spacing w:line="360" w:lineRule="auto"/>
              <w:ind w:firstLine="482"/>
              <w:jc w:val="center"/>
              <w:textAlignment w:val="center"/>
              <w:rPr>
                <w:b/>
                <w:color w:val="000000" w:themeColor="text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3-2</w:t>
            </w:r>
            <w:r>
              <w:rPr>
                <w:rFonts w:hint="eastAsia"/>
                <w:b/>
                <w:color w:val="000000" w:themeColor="text1"/>
                <w:sz w:val="21"/>
                <w:szCs w:val="21"/>
                <w:lang w:val="en-US" w:eastAsia="zh-CN"/>
                <w14:textFill>
                  <w14:solidFill>
                    <w14:schemeClr w14:val="tx1"/>
                  </w14:solidFill>
                </w14:textFill>
              </w:rPr>
              <w:t>引用</w:t>
            </w:r>
            <w:r>
              <w:rPr>
                <w:b/>
                <w:color w:val="000000" w:themeColor="text1"/>
                <w:sz w:val="21"/>
                <w:szCs w:val="21"/>
                <w14:textFill>
                  <w14:solidFill>
                    <w14:schemeClr w14:val="tx1"/>
                  </w14:solidFill>
                </w14:textFill>
              </w:rPr>
              <w:t>监测点位基本信息</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1713"/>
              <w:gridCol w:w="1994"/>
              <w:gridCol w:w="1550"/>
              <w:gridCol w:w="1640"/>
            </w:tblGrid>
            <w:tr w14:paraId="53BA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tl2br w:val="nil"/>
                    <w:tr2bl w:val="nil"/>
                  </w:tcBorders>
                  <w:vAlign w:val="center"/>
                </w:tcPr>
                <w:p w14:paraId="2E8D789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监测点名称</w:t>
                  </w:r>
                </w:p>
              </w:tc>
              <w:tc>
                <w:tcPr>
                  <w:tcW w:w="1043" w:type="pct"/>
                  <w:tcBorders>
                    <w:tl2br w:val="nil"/>
                    <w:tr2bl w:val="nil"/>
                  </w:tcBorders>
                  <w:vAlign w:val="center"/>
                </w:tcPr>
                <w:p w14:paraId="4106DCA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监测点坐标</w:t>
                  </w:r>
                </w:p>
              </w:tc>
              <w:tc>
                <w:tcPr>
                  <w:tcW w:w="1214" w:type="pct"/>
                  <w:tcBorders>
                    <w:tl2br w:val="nil"/>
                    <w:tr2bl w:val="nil"/>
                  </w:tcBorders>
                  <w:vAlign w:val="center"/>
                </w:tcPr>
                <w:p w14:paraId="35159D2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监测因子</w:t>
                  </w:r>
                </w:p>
              </w:tc>
              <w:tc>
                <w:tcPr>
                  <w:tcW w:w="944" w:type="pct"/>
                  <w:tcBorders>
                    <w:tl2br w:val="nil"/>
                    <w:tr2bl w:val="nil"/>
                  </w:tcBorders>
                  <w:vAlign w:val="center"/>
                </w:tcPr>
                <w:p w14:paraId="23C7C08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相对厂界方位</w:t>
                  </w:r>
                </w:p>
              </w:tc>
              <w:tc>
                <w:tcPr>
                  <w:tcW w:w="998" w:type="pct"/>
                  <w:tcBorders>
                    <w:tl2br w:val="nil"/>
                    <w:tr2bl w:val="nil"/>
                  </w:tcBorders>
                  <w:vAlign w:val="center"/>
                </w:tcPr>
                <w:p w14:paraId="527EB15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相对厂界距离</w:t>
                  </w:r>
                </w:p>
              </w:tc>
            </w:tr>
            <w:tr w14:paraId="79EA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99" w:type="pct"/>
                  <w:tcBorders>
                    <w:tl2br w:val="nil"/>
                    <w:tr2bl w:val="nil"/>
                  </w:tcBorders>
                  <w:vAlign w:val="center"/>
                </w:tcPr>
                <w:p w14:paraId="2382F62A">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引用监测点</w:t>
                  </w:r>
                </w:p>
              </w:tc>
              <w:tc>
                <w:tcPr>
                  <w:tcW w:w="1043" w:type="pct"/>
                  <w:tcBorders>
                    <w:tl2br w:val="nil"/>
                    <w:tr2bl w:val="nil"/>
                  </w:tcBorders>
                  <w:vAlign w:val="center"/>
                </w:tcPr>
                <w:p w14:paraId="7BA67EA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86.251712，41.652774</w:t>
                  </w:r>
                </w:p>
              </w:tc>
              <w:tc>
                <w:tcPr>
                  <w:tcW w:w="1214" w:type="pct"/>
                  <w:tcBorders>
                    <w:tl2br w:val="nil"/>
                    <w:tr2bl w:val="nil"/>
                  </w:tcBorders>
                  <w:vAlign w:val="center"/>
                </w:tcPr>
                <w:p w14:paraId="284117A4">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TSP</w:t>
                  </w:r>
                </w:p>
              </w:tc>
              <w:tc>
                <w:tcPr>
                  <w:tcW w:w="944" w:type="pct"/>
                  <w:tcBorders>
                    <w:tl2br w:val="nil"/>
                    <w:tr2bl w:val="nil"/>
                  </w:tcBorders>
                  <w:vAlign w:val="center"/>
                </w:tcPr>
                <w:p w14:paraId="0847FEE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东南</w:t>
                  </w:r>
                </w:p>
              </w:tc>
              <w:tc>
                <w:tcPr>
                  <w:tcW w:w="998" w:type="pct"/>
                  <w:tcBorders>
                    <w:tl2br w:val="nil"/>
                    <w:tr2bl w:val="nil"/>
                  </w:tcBorders>
                  <w:vAlign w:val="center"/>
                </w:tcPr>
                <w:p w14:paraId="42691BB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3.51</w:t>
                  </w:r>
                  <w:r>
                    <w:rPr>
                      <w:rFonts w:hint="eastAsia"/>
                      <w:color w:val="000000" w:themeColor="text1"/>
                      <w:sz w:val="21"/>
                      <w:szCs w:val="21"/>
                      <w14:textFill>
                        <w14:solidFill>
                          <w14:schemeClr w14:val="tx1"/>
                        </w14:solidFill>
                      </w14:textFill>
                    </w:rPr>
                    <w:t>km</w:t>
                  </w:r>
                </w:p>
              </w:tc>
            </w:tr>
          </w:tbl>
          <w:p w14:paraId="6254B550">
            <w:pPr>
              <w:widowControl/>
              <w:ind w:firstLine="480"/>
              <w:jc w:val="left"/>
              <w:rPr>
                <w:color w:val="000000" w:themeColor="text1"/>
                <w:szCs w:val="22"/>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）评价标</w:t>
            </w:r>
            <w:r>
              <w:rPr>
                <w:rFonts w:hint="eastAsia"/>
                <w:color w:val="000000" w:themeColor="text1"/>
                <w:szCs w:val="22"/>
                <w14:textFill>
                  <w14:solidFill>
                    <w14:schemeClr w14:val="tx1"/>
                  </w14:solidFill>
                </w14:textFill>
              </w:rPr>
              <w:t>准</w:t>
            </w:r>
          </w:p>
          <w:p w14:paraId="1A93A7C7">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TSP执行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《环境空气质量标准》（GB3095-2012）中及修改单的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vertAlign w:val="baseline"/>
                <w:lang w:eastAsia="zh-CN"/>
                <w14:textFill>
                  <w14:solidFill>
                    <w14:schemeClr w14:val="tx1"/>
                  </w14:solidFill>
                </w14:textFill>
              </w:rPr>
              <w:t>。</w:t>
            </w:r>
          </w:p>
          <w:p w14:paraId="458ACDA3">
            <w:pPr>
              <w:adjustRightInd w:val="0"/>
              <w:ind w:firstLine="480"/>
              <w:jc w:val="left"/>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t>
            </w:r>
            <w:r>
              <w:rPr>
                <w:rFonts w:hint="eastAsia"/>
                <w:color w:val="000000" w:themeColor="text1"/>
                <w:szCs w:val="22"/>
                <w:lang w:val="en-US" w:eastAsia="zh-CN"/>
                <w14:textFill>
                  <w14:solidFill>
                    <w14:schemeClr w14:val="tx1"/>
                  </w14:solidFill>
                </w14:textFill>
              </w:rPr>
              <w:t>3</w:t>
            </w:r>
            <w:r>
              <w:rPr>
                <w:rFonts w:hint="eastAsia"/>
                <w:color w:val="000000" w:themeColor="text1"/>
                <w:szCs w:val="22"/>
                <w14:textFill>
                  <w14:solidFill>
                    <w14:schemeClr w14:val="tx1"/>
                  </w14:solidFill>
                </w14:textFill>
              </w:rPr>
              <w:t>）</w:t>
            </w:r>
            <w:r>
              <w:rPr>
                <w:rFonts w:hint="eastAsia"/>
                <w:color w:val="000000" w:themeColor="text1"/>
                <w:szCs w:val="22"/>
                <w:lang w:val="en-US" w:eastAsia="zh-CN"/>
                <w14:textFill>
                  <w14:solidFill>
                    <w14:schemeClr w14:val="tx1"/>
                  </w14:solidFill>
                </w14:textFill>
              </w:rPr>
              <w:t>评价</w:t>
            </w:r>
            <w:r>
              <w:rPr>
                <w:rFonts w:hint="eastAsia"/>
                <w:color w:val="000000" w:themeColor="text1"/>
                <w:szCs w:val="22"/>
                <w14:textFill>
                  <w14:solidFill>
                    <w14:schemeClr w14:val="tx1"/>
                  </w14:solidFill>
                </w14:textFill>
              </w:rPr>
              <w:t>方法</w:t>
            </w:r>
          </w:p>
          <w:p w14:paraId="3D967581">
            <w:pPr>
              <w:tabs>
                <w:tab w:val="left" w:pos="1960"/>
              </w:tabs>
              <w:adjustRightInd w:val="0"/>
              <w:ind w:firstLine="480"/>
              <w:rPr>
                <w:color w:val="000000" w:themeColor="text1"/>
                <w14:textFill>
                  <w14:solidFill>
                    <w14:schemeClr w14:val="tx1"/>
                  </w14:solidFill>
                </w14:textFill>
              </w:rPr>
            </w:pPr>
            <w:r>
              <w:rPr>
                <w:color w:val="000000" w:themeColor="text1"/>
                <w14:textFill>
                  <w14:solidFill>
                    <w14:schemeClr w14:val="tx1"/>
                  </w14:solidFill>
                </w14:textFill>
              </w:rPr>
              <w:t>采用单因子标准指数法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根据评价标准对项目环境空气质量现状进行评价。单因子污染指数公式为：</w:t>
            </w:r>
          </w:p>
          <w:p w14:paraId="454899EB">
            <w:pPr>
              <w:tabs>
                <w:tab w:val="left" w:pos="1960"/>
              </w:tabs>
              <w:adjustRightInd w:val="0"/>
              <w:ind w:firstLine="170" w:firstLineChars="71"/>
              <w:jc w:val="center"/>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oi</w:t>
            </w:r>
          </w:p>
          <w:p w14:paraId="01ED3B17">
            <w:pPr>
              <w:tabs>
                <w:tab w:val="left" w:pos="1960"/>
              </w:tabs>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式中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——i物质的污染指数；</w:t>
            </w:r>
          </w:p>
          <w:p w14:paraId="68B9FAB8">
            <w:pPr>
              <w:tabs>
                <w:tab w:val="left" w:pos="1960"/>
              </w:tabs>
              <w:adjustRightInd w:val="0"/>
              <w:ind w:firstLine="1320" w:firstLineChars="550"/>
              <w:jc w:val="left"/>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——i物质的监测浓度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5833B2C8">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oi</w:t>
            </w:r>
            <w:r>
              <w:rPr>
                <w:color w:val="000000" w:themeColor="text1"/>
                <w14:textFill>
                  <w14:solidFill>
                    <w14:schemeClr w14:val="tx1"/>
                  </w14:solidFill>
                </w14:textFill>
              </w:rPr>
              <w:t>——i物质的评价标准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759CC97E">
            <w:pPr>
              <w:ind w:firstLine="480"/>
              <w:rPr>
                <w:color w:val="000000" w:themeColor="text1"/>
                <w14:textFill>
                  <w14:solidFill>
                    <w14:schemeClr w14:val="tx1"/>
                  </w14:solidFill>
                </w14:textFill>
              </w:rPr>
            </w:pPr>
            <w:r>
              <w:rPr>
                <w:color w:val="000000" w:themeColor="text1"/>
                <w14:textFill>
                  <w14:solidFill>
                    <w14:schemeClr w14:val="tx1"/>
                  </w14:solidFill>
                </w14:textFill>
              </w:rPr>
              <w:t>当Pi&lt;1时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表示大气环境中该污染物不超标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当Pi≥1时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表示该污染物超过评价标准。Pi值越大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说明该污染物的含量越高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污染越重。</w:t>
            </w:r>
          </w:p>
          <w:p w14:paraId="4D3687B5">
            <w:pPr>
              <w:pStyle w:val="4"/>
              <w:spacing w:before="0" w:after="0" w:line="360" w:lineRule="auto"/>
              <w:ind w:firstLine="480"/>
              <w:jc w:val="left"/>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4</w:t>
            </w:r>
            <w:r>
              <w:rPr>
                <w:rFonts w:hint="eastAsia"/>
                <w:b w:val="0"/>
                <w:bCs w:val="0"/>
                <w:color w:val="000000" w:themeColor="text1"/>
                <w:sz w:val="24"/>
                <w:szCs w:val="24"/>
                <w14:textFill>
                  <w14:solidFill>
                    <w14:schemeClr w14:val="tx1"/>
                  </w14:solidFill>
                </w14:textFill>
              </w:rPr>
              <w:t>）检测结果及分析</w:t>
            </w:r>
          </w:p>
          <w:p w14:paraId="522FA3CA">
            <w:pPr>
              <w:spacing w:line="240" w:lineRule="auto"/>
              <w:ind w:firstLine="422"/>
              <w:jc w:val="center"/>
              <w:rPr>
                <w:color w:val="000000" w:themeColor="text1"/>
                <w14:textFill>
                  <w14:solidFill>
                    <w14:schemeClr w14:val="tx1"/>
                  </w14:solidFill>
                </w14:textFill>
              </w:rPr>
            </w:pPr>
            <w:r>
              <w:rPr>
                <w:b/>
                <w:color w:val="000000" w:themeColor="text1"/>
                <w:sz w:val="21"/>
                <w14:textFill>
                  <w14:solidFill>
                    <w14:schemeClr w14:val="tx1"/>
                  </w14:solidFill>
                </w14:textFill>
              </w:rPr>
              <w:t>表</w:t>
            </w:r>
            <w:r>
              <w:rPr>
                <w:rFonts w:hint="eastAsia"/>
                <w:b/>
                <w:color w:val="000000" w:themeColor="text1"/>
                <w:sz w:val="21"/>
                <w14:textFill>
                  <w14:solidFill>
                    <w14:schemeClr w14:val="tx1"/>
                  </w14:solidFill>
                </w14:textFill>
              </w:rPr>
              <w:t>3-3</w:t>
            </w:r>
            <w:r>
              <w:rPr>
                <w:b/>
                <w:color w:val="000000" w:themeColor="text1"/>
                <w:sz w:val="21"/>
                <w14:textFill>
                  <w14:solidFill>
                    <w14:schemeClr w14:val="tx1"/>
                  </w14:solidFill>
                </w14:textFill>
              </w:rPr>
              <w:t>特征污染物环境质量现状监测结果</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782"/>
              <w:gridCol w:w="843"/>
              <w:gridCol w:w="1256"/>
              <w:gridCol w:w="1529"/>
              <w:gridCol w:w="1089"/>
              <w:gridCol w:w="792"/>
              <w:gridCol w:w="793"/>
            </w:tblGrid>
            <w:tr w14:paraId="5AF3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82" w:type="pct"/>
                  <w:tcBorders>
                    <w:tl2br w:val="nil"/>
                    <w:tr2bl w:val="nil"/>
                  </w:tcBorders>
                  <w:vAlign w:val="center"/>
                </w:tcPr>
                <w:p w14:paraId="4EEDC139">
                  <w:pPr>
                    <w:pStyle w:val="72"/>
                    <w:spacing w:line="240" w:lineRule="auto"/>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引用数据点位</w:t>
                  </w:r>
                </w:p>
              </w:tc>
              <w:tc>
                <w:tcPr>
                  <w:tcW w:w="476" w:type="pct"/>
                  <w:tcBorders>
                    <w:tl2br w:val="nil"/>
                    <w:tr2bl w:val="nil"/>
                  </w:tcBorders>
                  <w:vAlign w:val="center"/>
                </w:tcPr>
                <w:p w14:paraId="6289954B">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513" w:type="pct"/>
                  <w:tcBorders>
                    <w:tl2br w:val="nil"/>
                    <w:tr2bl w:val="nil"/>
                  </w:tcBorders>
                  <w:vAlign w:val="center"/>
                </w:tcPr>
                <w:p w14:paraId="4A334CF1">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平均</w:t>
                  </w:r>
                </w:p>
                <w:p w14:paraId="191BA1BB">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时间</w:t>
                  </w:r>
                </w:p>
              </w:tc>
              <w:tc>
                <w:tcPr>
                  <w:tcW w:w="765" w:type="pct"/>
                  <w:tcBorders>
                    <w:tl2br w:val="nil"/>
                    <w:tr2bl w:val="nil"/>
                  </w:tcBorders>
                  <w:vAlign w:val="center"/>
                </w:tcPr>
                <w:p w14:paraId="130D97F8">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评价标准（</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931" w:type="pct"/>
                  <w:tcBorders>
                    <w:tl2br w:val="nil"/>
                    <w:tr2bl w:val="nil"/>
                  </w:tcBorders>
                  <w:vAlign w:val="center"/>
                </w:tcPr>
                <w:p w14:paraId="6B8B388D">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监测浓度范围（</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663" w:type="pct"/>
                  <w:tcBorders>
                    <w:tl2br w:val="nil"/>
                    <w:tr2bl w:val="nil"/>
                  </w:tcBorders>
                  <w:vAlign w:val="center"/>
                </w:tcPr>
                <w:p w14:paraId="0271E33A">
                  <w:pPr>
                    <w:pStyle w:val="72"/>
                    <w:spacing w:line="240" w:lineRule="auto"/>
                    <w:ind w:firstLine="0" w:firstLineChars="0"/>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最大浓度占标率</w:t>
                  </w:r>
                  <w:r>
                    <w:rPr>
                      <w:rFonts w:hint="eastAsia"/>
                      <w:color w:val="000000" w:themeColor="text1"/>
                      <w:lang w:val="en-US" w:eastAsia="zh-CN"/>
                      <w14:textFill>
                        <w14:solidFill>
                          <w14:schemeClr w14:val="tx1"/>
                        </w14:solidFill>
                      </w14:textFill>
                    </w:rPr>
                    <w:t>%</w:t>
                  </w:r>
                </w:p>
              </w:tc>
              <w:tc>
                <w:tcPr>
                  <w:tcW w:w="482" w:type="pct"/>
                  <w:tcBorders>
                    <w:tl2br w:val="nil"/>
                    <w:tr2bl w:val="nil"/>
                  </w:tcBorders>
                  <w:vAlign w:val="center"/>
                </w:tcPr>
                <w:p w14:paraId="276D8466">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超标率%</w:t>
                  </w:r>
                </w:p>
              </w:tc>
              <w:tc>
                <w:tcPr>
                  <w:tcW w:w="483" w:type="pct"/>
                  <w:tcBorders>
                    <w:tl2br w:val="nil"/>
                    <w:tr2bl w:val="nil"/>
                  </w:tcBorders>
                  <w:vAlign w:val="center"/>
                </w:tcPr>
                <w:p w14:paraId="3D6E27F7">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14:paraId="4A2B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682" w:type="pct"/>
                  <w:tcBorders>
                    <w:tl2br w:val="nil"/>
                    <w:tr2bl w:val="nil"/>
                  </w:tcBorders>
                  <w:vAlign w:val="center"/>
                </w:tcPr>
                <w:p w14:paraId="450522BC">
                  <w:pPr>
                    <w:pStyle w:val="72"/>
                    <w:spacing w:line="240" w:lineRule="auto"/>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项目区东南侧3.51km处</w:t>
                  </w:r>
                </w:p>
              </w:tc>
              <w:tc>
                <w:tcPr>
                  <w:tcW w:w="476" w:type="pct"/>
                  <w:tcBorders>
                    <w:tl2br w:val="nil"/>
                    <w:tr2bl w:val="nil"/>
                  </w:tcBorders>
                  <w:vAlign w:val="center"/>
                </w:tcPr>
                <w:p w14:paraId="2FBBD532">
                  <w:pPr>
                    <w:pStyle w:val="72"/>
                    <w:spacing w:line="240" w:lineRule="auto"/>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TSP</w:t>
                  </w:r>
                </w:p>
              </w:tc>
              <w:tc>
                <w:tcPr>
                  <w:tcW w:w="513" w:type="pct"/>
                  <w:tcBorders>
                    <w:tl2br w:val="nil"/>
                    <w:tr2bl w:val="nil"/>
                  </w:tcBorders>
                  <w:vAlign w:val="center"/>
                </w:tcPr>
                <w:p w14:paraId="27794937">
                  <w:pPr>
                    <w:pStyle w:val="72"/>
                    <w:spacing w:line="240" w:lineRule="auto"/>
                    <w:ind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日均值</w:t>
                  </w:r>
                </w:p>
              </w:tc>
              <w:tc>
                <w:tcPr>
                  <w:tcW w:w="765" w:type="pct"/>
                  <w:tcBorders>
                    <w:tl2br w:val="nil"/>
                    <w:tr2bl w:val="nil"/>
                  </w:tcBorders>
                  <w:vAlign w:val="center"/>
                </w:tcPr>
                <w:p w14:paraId="7D9DB3F3">
                  <w:pPr>
                    <w:pStyle w:val="72"/>
                    <w:spacing w:line="240" w:lineRule="auto"/>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w:t>
                  </w:r>
                </w:p>
              </w:tc>
              <w:tc>
                <w:tcPr>
                  <w:tcW w:w="931" w:type="pct"/>
                  <w:tcBorders>
                    <w:tl2br w:val="nil"/>
                    <w:tr2bl w:val="nil"/>
                  </w:tcBorders>
                  <w:vAlign w:val="center"/>
                </w:tcPr>
                <w:p w14:paraId="6092D6F0">
                  <w:pPr>
                    <w:pStyle w:val="72"/>
                    <w:spacing w:line="240" w:lineRule="auto"/>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0.176-0.189</w:t>
                  </w:r>
                </w:p>
              </w:tc>
              <w:tc>
                <w:tcPr>
                  <w:tcW w:w="663" w:type="pct"/>
                  <w:tcBorders>
                    <w:tl2br w:val="nil"/>
                    <w:tr2bl w:val="nil"/>
                  </w:tcBorders>
                  <w:vAlign w:val="center"/>
                </w:tcPr>
                <w:p w14:paraId="53346ADB">
                  <w:pPr>
                    <w:pStyle w:val="72"/>
                    <w:spacing w:line="240" w:lineRule="auto"/>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63</w:t>
                  </w:r>
                </w:p>
              </w:tc>
              <w:tc>
                <w:tcPr>
                  <w:tcW w:w="482" w:type="pct"/>
                  <w:tcBorders>
                    <w:tl2br w:val="nil"/>
                    <w:tr2bl w:val="nil"/>
                  </w:tcBorders>
                  <w:vAlign w:val="center"/>
                </w:tcPr>
                <w:p w14:paraId="5EAC788A">
                  <w:pPr>
                    <w:pStyle w:val="72"/>
                    <w:spacing w:line="240" w:lineRule="auto"/>
                    <w:ind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483" w:type="pct"/>
                  <w:tcBorders>
                    <w:tl2br w:val="nil"/>
                    <w:tr2bl w:val="nil"/>
                  </w:tcBorders>
                  <w:vAlign w:val="center"/>
                </w:tcPr>
                <w:p w14:paraId="78600905">
                  <w:pPr>
                    <w:pStyle w:val="72"/>
                    <w:spacing w:line="240" w:lineRule="auto"/>
                    <w:ind w:firstLine="0" w:firstLineChars="0"/>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达标</w:t>
                  </w:r>
                </w:p>
              </w:tc>
            </w:tr>
          </w:tbl>
          <w:p w14:paraId="20F67945">
            <w:pPr>
              <w:ind w:firstLine="480"/>
              <w:rPr>
                <w:b/>
                <w:color w:val="000000" w:themeColor="text1"/>
                <w14:textFill>
                  <w14:solidFill>
                    <w14:schemeClr w14:val="tx1"/>
                  </w14:solidFill>
                </w14:textFill>
              </w:rPr>
            </w:pPr>
            <w:r>
              <w:rPr>
                <w:color w:val="000000" w:themeColor="text1"/>
                <w14:textFill>
                  <w14:solidFill>
                    <w14:schemeClr w14:val="tx1"/>
                  </w14:solidFill>
                </w14:textFill>
              </w:rPr>
              <w:t>从监测结果可知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区域</w:t>
            </w:r>
            <w:r>
              <w:rPr>
                <w:rFonts w:hint="eastAsia"/>
                <w:color w:val="000000" w:themeColor="text1"/>
                <w:lang w:val="en-US" w:eastAsia="zh-CN"/>
                <w14:textFill>
                  <w14:solidFill>
                    <w14:schemeClr w14:val="tx1"/>
                  </w14:solidFill>
                </w14:textFill>
              </w:rPr>
              <w:t>TSP现状评价指标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w:t>
            </w:r>
            <w:r>
              <w:rPr>
                <w:rFonts w:hint="default" w:ascii="Times New Roman" w:hAnsi="Times New Roman" w:cs="Times New Roman"/>
                <w:color w:val="000000" w:themeColor="text1"/>
                <w:spacing w:val="0"/>
                <w:w w:val="100"/>
                <w:position w:val="0"/>
                <w:sz w:val="24"/>
                <w:szCs w:val="24"/>
                <w:highlight w:val="none"/>
                <w14:textFill>
                  <w14:solidFill>
                    <w14:schemeClr w14:val="tx1"/>
                  </w14:solidFill>
                </w14:textFill>
              </w:rPr>
              <w:t>《环境空气质量标准》（GB3095－2012）</w:t>
            </w:r>
            <w:r>
              <w:rPr>
                <w:rFonts w:hint="default" w:ascii="Times New Roman" w:hAnsi="Times New Roman" w:cs="Times New Roman"/>
                <w:color w:val="000000" w:themeColor="text1"/>
                <w:spacing w:val="0"/>
                <w:w w:val="100"/>
                <w:position w:val="0"/>
                <w:sz w:val="24"/>
                <w:szCs w:val="24"/>
                <w:highlight w:val="none"/>
                <w:lang w:val="en-US" w:eastAsia="zh-CN"/>
                <w14:textFill>
                  <w14:solidFill>
                    <w14:schemeClr w14:val="tx1"/>
                  </w14:solidFill>
                </w14:textFill>
              </w:rPr>
              <w:t>及其修改单</w:t>
            </w:r>
            <w:r>
              <w:rPr>
                <w:rFonts w:hint="default" w:ascii="Times New Roman" w:hAnsi="Times New Roman" w:cs="Times New Roman"/>
                <w:color w:val="000000" w:themeColor="text1"/>
                <w:spacing w:val="0"/>
                <w:w w:val="100"/>
                <w:position w:val="0"/>
                <w:sz w:val="24"/>
                <w:szCs w:val="24"/>
                <w:highlight w:val="none"/>
                <w14:textFill>
                  <w14:solidFill>
                    <w14:schemeClr w14:val="tx1"/>
                  </w14:solidFill>
                </w14:textFill>
              </w:rPr>
              <w:t>中的二级标准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8746E51">
            <w:pPr>
              <w:ind w:left="480" w:leftChars="200"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地表水环境质量现状调查与评价</w:t>
            </w:r>
          </w:p>
          <w:p w14:paraId="7C25FF28">
            <w:pPr>
              <w:tabs>
                <w:tab w:val="left" w:pos="7170"/>
              </w:tabs>
              <w:snapToGrid w:val="0"/>
              <w:ind w:firstLine="480"/>
              <w:rPr>
                <w:rFonts w:hint="eastAsia"/>
                <w:color w:val="000000" w:themeColor="text1"/>
                <w14:textFill>
                  <w14:solidFill>
                    <w14:schemeClr w14:val="tx1"/>
                  </w14:solidFill>
                </w14:textFill>
              </w:rPr>
            </w:pPr>
            <w:r>
              <w:rPr>
                <w:rFonts w:hint="default" w:ascii="Times New Roman" w:hAnsi="Times New Roman" w:eastAsia="宋体" w:cs="Times New Roman"/>
                <w:snapToGrid/>
                <w:color w:val="000000" w:themeColor="text1"/>
                <w:spacing w:val="0"/>
                <w:kern w:val="0"/>
                <w:sz w:val="24"/>
                <w:szCs w:val="24"/>
                <w:lang w:val="en-US" w:eastAsia="zh-CN" w:bidi="ar"/>
                <w14:textFill>
                  <w14:solidFill>
                    <w14:schemeClr w14:val="tx1"/>
                  </w14:solidFill>
                </w14:textFill>
              </w:rPr>
              <w:t>根据《202</w:t>
            </w:r>
            <w:r>
              <w:rPr>
                <w:rFonts w:hint="default" w:ascii="Times New Roman" w:hAnsi="Times New Roman" w:cs="Times New Roman"/>
                <w:snapToGrid/>
                <w:color w:val="000000" w:themeColor="text1"/>
                <w:spacing w:val="0"/>
                <w:kern w:val="0"/>
                <w:sz w:val="24"/>
                <w:szCs w:val="24"/>
                <w:lang w:val="en-US" w:eastAsia="zh-CN" w:bidi="ar"/>
                <w14:textFill>
                  <w14:solidFill>
                    <w14:schemeClr w14:val="tx1"/>
                  </w14:solidFill>
                </w14:textFill>
              </w:rPr>
              <w:t>3</w:t>
            </w:r>
            <w:r>
              <w:rPr>
                <w:rFonts w:hint="default" w:ascii="Times New Roman" w:hAnsi="Times New Roman" w:eastAsia="宋体" w:cs="Times New Roman"/>
                <w:snapToGrid/>
                <w:color w:val="000000" w:themeColor="text1"/>
                <w:spacing w:val="0"/>
                <w:kern w:val="0"/>
                <w:sz w:val="24"/>
                <w:szCs w:val="24"/>
                <w:lang w:val="en-US" w:eastAsia="zh-CN" w:bidi="ar"/>
                <w14:textFill>
                  <w14:solidFill>
                    <w14:schemeClr w14:val="tx1"/>
                  </w14:solidFill>
                </w14:textFill>
              </w:rPr>
              <w:t>年巴音郭楞蒙古自治州生态环境状况公报》可知：全州地表水监测的31个考核断面（点位）中，Ⅰ~Ⅲ类优良水质断面（点位）占77.42%，Ⅳ类水质断面（点位）占22.58%。6条主要河流19个监测断面中Ⅰ~Ⅲ类优良水质断面占100%，3个重要湖泊（水库）12个监测点位中Ⅰ~Ⅲ类优良水质点位占42%，无劣Ⅴ类水体，湖泊主要水质影响因子为高锰酸盐指数和化学需氧量；水库主要水质影响因子为氟化物</w:t>
            </w:r>
            <w:r>
              <w:rPr>
                <w:rFonts w:hint="default" w:ascii="Times New Roman" w:hAnsi="Times New Roman" w:cs="Times New Roman"/>
                <w:snapToGrid/>
                <w:color w:val="000000" w:themeColor="text1"/>
                <w:spacing w:val="0"/>
                <w:kern w:val="0"/>
                <w:sz w:val="24"/>
                <w:szCs w:val="24"/>
                <w:lang w:val="en-US" w:eastAsia="zh-CN" w:bidi="ar"/>
                <w14:textFill>
                  <w14:solidFill>
                    <w14:schemeClr w14:val="tx1"/>
                  </w14:solidFill>
                </w14:textFill>
              </w:rPr>
              <w:t>。</w:t>
            </w:r>
          </w:p>
          <w:p w14:paraId="4A9F7A7A">
            <w:pPr>
              <w:tabs>
                <w:tab w:val="left" w:pos="7170"/>
              </w:tabs>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据本项目最近地表水体为东侧1.5km处白鹭河，</w:t>
            </w:r>
            <w:r>
              <w:rPr>
                <w:color w:val="000000" w:themeColor="text1"/>
                <w:kern w:val="0"/>
                <w14:textFill>
                  <w14:solidFill>
                    <w14:schemeClr w14:val="tx1"/>
                  </w14:solidFill>
                </w14:textFill>
              </w:rPr>
              <w:t>水源地为孔雀河</w:t>
            </w:r>
            <w:r>
              <w:rPr>
                <w:rFonts w:hint="eastAsia"/>
                <w:color w:val="000000" w:themeColor="text1"/>
                <w:kern w:val="0"/>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水质可满足《地表水环境质量标准》（GB3838-2002）中Ⅲ类水质标准</w:t>
            </w:r>
            <w:r>
              <w:rPr>
                <w:rFonts w:hint="eastAsia" w:cs="Times New Roman"/>
                <w:color w:val="000000" w:themeColor="text1"/>
                <w:sz w:val="24"/>
                <w:szCs w:val="24"/>
                <w:lang w:val="en-US" w:eastAsia="zh-CN"/>
                <w14:textFill>
                  <w14:solidFill>
                    <w14:schemeClr w14:val="tx1"/>
                  </w14:solidFill>
                </w14:textFill>
              </w:rPr>
              <w:t>，本项目废水与地表水无水力联系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18FD9422">
            <w:pPr>
              <w:pStyle w:val="46"/>
              <w:spacing w:line="360" w:lineRule="auto"/>
              <w:ind w:firstLine="502"/>
              <w:rPr>
                <w:rFonts w:ascii="Times New Roman" w:hAnsi="Times New Roman" w:eastAsia="宋体"/>
                <w:b/>
                <w:color w:val="000000" w:themeColor="text1"/>
                <w:sz w:val="25"/>
                <w:szCs w:val="25"/>
                <w14:textFill>
                  <w14:solidFill>
                    <w14:schemeClr w14:val="tx1"/>
                  </w14:solidFill>
                </w14:textFill>
              </w:rPr>
            </w:pPr>
            <w:r>
              <w:rPr>
                <w:rFonts w:ascii="Times New Roman" w:hAnsi="Times New Roman" w:eastAsia="宋体"/>
                <w:b/>
                <w:color w:val="000000" w:themeColor="text1"/>
                <w:sz w:val="25"/>
                <w:szCs w:val="25"/>
                <w14:textFill>
                  <w14:solidFill>
                    <w14:schemeClr w14:val="tx1"/>
                  </w14:solidFill>
                </w14:textFill>
              </w:rPr>
              <w:t>3</w:t>
            </w:r>
            <w:r>
              <w:rPr>
                <w:rFonts w:hint="eastAsia" w:ascii="Times New Roman" w:hAnsi="Times New Roman" w:eastAsia="宋体"/>
                <w:b/>
                <w:color w:val="000000" w:themeColor="text1"/>
                <w:sz w:val="25"/>
                <w:szCs w:val="25"/>
                <w14:textFill>
                  <w14:solidFill>
                    <w14:schemeClr w14:val="tx1"/>
                  </w14:solidFill>
                </w14:textFill>
              </w:rPr>
              <w:t>、</w:t>
            </w:r>
            <w:r>
              <w:rPr>
                <w:rFonts w:ascii="Times New Roman" w:hAnsi="Times New Roman" w:eastAsia="宋体"/>
                <w:b/>
                <w:color w:val="000000" w:themeColor="text1"/>
                <w:sz w:val="25"/>
                <w:szCs w:val="25"/>
                <w14:textFill>
                  <w14:solidFill>
                    <w14:schemeClr w14:val="tx1"/>
                  </w14:solidFill>
                </w14:textFill>
              </w:rPr>
              <w:t>声环境质量现状</w:t>
            </w:r>
          </w:p>
          <w:p w14:paraId="7BCF2BEF">
            <w:pPr>
              <w:tabs>
                <w:tab w:val="left" w:pos="7170"/>
              </w:tabs>
              <w:snapToGrid w:val="0"/>
              <w:ind w:firstLine="480"/>
              <w:rPr>
                <w:rFonts w:hint="eastAsia"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依据《建设项目环境影响报告表编制技术指南（污染影响类）（试行）》厂界外周边50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lang w:eastAsia="zh-CN"/>
                <w14:textFill>
                  <w14:solidFill>
                    <w14:schemeClr w14:val="tx1"/>
                  </w14:solidFill>
                </w14:textFill>
              </w:rPr>
              <w:t>范围内存在声环境保护目标的建设项目，应监测保护目标声环境质量现状并评价达标情况。根据现场勘查项目区厂界</w:t>
            </w:r>
            <w:r>
              <w:rPr>
                <w:rFonts w:hint="default" w:ascii="Times New Roman" w:hAnsi="Times New Roman" w:eastAsia="宋体" w:cs="Times New Roman"/>
                <w:color w:val="000000" w:themeColor="text1"/>
                <w:lang w:val="en-US" w:eastAsia="zh-CN"/>
                <w14:textFill>
                  <w14:solidFill>
                    <w14:schemeClr w14:val="tx1"/>
                  </w14:solidFill>
                </w14:textFill>
              </w:rPr>
              <w:t>50m范围内无声环境敏感目标，故</w:t>
            </w:r>
            <w:r>
              <w:rPr>
                <w:rFonts w:hint="default" w:ascii="Times New Roman" w:hAnsi="Times New Roman" w:eastAsia="宋体" w:cs="Times New Roman"/>
                <w:color w:val="000000" w:themeColor="text1"/>
                <w14:textFill>
                  <w14:solidFill>
                    <w14:schemeClr w14:val="tx1"/>
                  </w14:solidFill>
                </w14:textFill>
              </w:rPr>
              <w:t>本次评价不对</w:t>
            </w:r>
            <w:r>
              <w:rPr>
                <w:rFonts w:hint="default" w:ascii="Times New Roman" w:hAnsi="Times New Roman" w:eastAsia="宋体" w:cs="Times New Roman"/>
                <w:color w:val="000000" w:themeColor="text1"/>
                <w:lang w:eastAsia="zh-CN"/>
                <w14:textFill>
                  <w14:solidFill>
                    <w14:schemeClr w14:val="tx1"/>
                  </w14:solidFill>
                </w14:textFill>
              </w:rPr>
              <w:t>声</w:t>
            </w:r>
            <w:r>
              <w:rPr>
                <w:rFonts w:hint="default" w:ascii="Times New Roman" w:hAnsi="Times New Roman" w:eastAsia="宋体" w:cs="Times New Roman"/>
                <w:color w:val="000000" w:themeColor="text1"/>
                <w14:textFill>
                  <w14:solidFill>
                    <w14:schemeClr w14:val="tx1"/>
                  </w14:solidFill>
                </w14:textFill>
              </w:rPr>
              <w:t>环境进行评价</w:t>
            </w:r>
            <w:r>
              <w:rPr>
                <w:rFonts w:hint="default" w:ascii="Times New Roman" w:hAnsi="Times New Roman" w:eastAsia="宋体" w:cs="Times New Roman"/>
                <w:color w:val="000000" w:themeColor="text1"/>
                <w:lang w:eastAsia="zh-CN"/>
                <w14:textFill>
                  <w14:solidFill>
                    <w14:schemeClr w14:val="tx1"/>
                  </w14:solidFill>
                </w14:textFill>
              </w:rPr>
              <w:t>。</w:t>
            </w:r>
          </w:p>
          <w:p w14:paraId="37D8E024">
            <w:pPr>
              <w:pStyle w:val="47"/>
              <w:ind w:left="480" w:leftChars="200" w:firstLine="0" w:firstLineChars="0"/>
              <w:rPr>
                <w:b/>
                <w:color w:val="000000" w:themeColor="text1"/>
                <w:sz w:val="25"/>
                <w:szCs w:val="25"/>
                <w:lang w:bidi="ug-CN"/>
                <w14:textFill>
                  <w14:solidFill>
                    <w14:schemeClr w14:val="tx1"/>
                  </w14:solidFill>
                </w14:textFill>
              </w:rPr>
            </w:pPr>
            <w:r>
              <w:rPr>
                <w:b/>
                <w:color w:val="000000" w:themeColor="text1"/>
                <w:sz w:val="25"/>
                <w:szCs w:val="25"/>
                <w:lang w:bidi="ug-CN"/>
                <w14:textFill>
                  <w14:solidFill>
                    <w14:schemeClr w14:val="tx1"/>
                  </w14:solidFill>
                </w14:textFill>
              </w:rPr>
              <w:t>4</w:t>
            </w:r>
            <w:r>
              <w:rPr>
                <w:rFonts w:hint="eastAsia"/>
                <w:b/>
                <w:color w:val="000000" w:themeColor="text1"/>
                <w:sz w:val="25"/>
                <w:szCs w:val="25"/>
                <w:lang w:bidi="ug-CN"/>
                <w14:textFill>
                  <w14:solidFill>
                    <w14:schemeClr w14:val="tx1"/>
                  </w14:solidFill>
                </w14:textFill>
              </w:rPr>
              <w:t>、</w:t>
            </w:r>
            <w:r>
              <w:rPr>
                <w:b/>
                <w:color w:val="000000" w:themeColor="text1"/>
                <w:sz w:val="25"/>
                <w:szCs w:val="25"/>
                <w:lang w:bidi="ug-CN"/>
                <w14:textFill>
                  <w14:solidFill>
                    <w14:schemeClr w14:val="tx1"/>
                  </w14:solidFill>
                </w14:textFill>
              </w:rPr>
              <w:t>地下水和土壤质量现状</w:t>
            </w:r>
          </w:p>
          <w:p w14:paraId="1F5A1807">
            <w:pPr>
              <w:pStyle w:val="47"/>
              <w:ind w:firstLine="480"/>
              <w:rPr>
                <w:color w:val="000000" w:themeColor="text1"/>
                <w14:textFill>
                  <w14:solidFill>
                    <w14:schemeClr w14:val="tx1"/>
                  </w14:solidFill>
                </w14:textFill>
              </w:rPr>
            </w:pPr>
            <w:r>
              <w:rPr>
                <w:rFonts w:hint="default" w:ascii="Times New Roman" w:hAnsi="Times New Roman" w:eastAsia="新宋体" w:cs="Times New Roman"/>
                <w:color w:val="000000" w:themeColor="text1"/>
                <w:sz w:val="24"/>
                <w:lang w:eastAsia="zh-CN"/>
                <w14:textFill>
                  <w14:solidFill>
                    <w14:schemeClr w14:val="tx1"/>
                  </w14:solidFill>
                </w14:textFill>
              </w:rPr>
              <w:t>《建设项目环境影响报告表编制技术指南（污染影响类）（试行）》中规定</w:t>
            </w:r>
            <w:r>
              <w:rPr>
                <w:rFonts w:hint="eastAsia" w:ascii="Times New Roman" w:hAnsi="Times New Roman" w:eastAsia="新宋体" w:cs="Times New Roman"/>
                <w:color w:val="000000" w:themeColor="text1"/>
                <w:sz w:val="24"/>
                <w:lang w:eastAsia="zh-CN"/>
                <w14:textFill>
                  <w14:solidFill>
                    <w14:schemeClr w14:val="tx1"/>
                  </w14:solidFill>
                </w14:textFill>
              </w:rPr>
              <w:t>“</w:t>
            </w:r>
            <w:r>
              <w:rPr>
                <w:rFonts w:hint="default" w:ascii="Times New Roman" w:hAnsi="Times New Roman" w:eastAsia="新宋体" w:cs="Times New Roman"/>
                <w:color w:val="000000" w:themeColor="text1"/>
                <w:sz w:val="24"/>
                <w:lang w:eastAsia="zh-CN"/>
                <w14:textFill>
                  <w14:solidFill>
                    <w14:schemeClr w14:val="tx1"/>
                  </w14:solidFill>
                </w14:textFill>
              </w:rPr>
              <w:t>地下水、土壤环境原则上不开展环境质量现状调查。建设项目存在土壤、地下水环境污染途径的，应结合污染源、保护目标分布情况开展现状调查以留作背景值</w:t>
            </w:r>
            <w:r>
              <w:rPr>
                <w:rFonts w:hint="eastAsia" w:ascii="Times New Roman" w:hAnsi="Times New Roman" w:eastAsia="新宋体" w:cs="Times New Roman"/>
                <w:color w:val="000000" w:themeColor="text1"/>
                <w:sz w:val="24"/>
                <w:lang w:eastAsia="zh-CN"/>
                <w14:textFill>
                  <w14:solidFill>
                    <w14:schemeClr w14:val="tx1"/>
                  </w14:solidFill>
                </w14:textFill>
              </w:rPr>
              <w:t>”</w:t>
            </w:r>
            <w:r>
              <w:rPr>
                <w:rFonts w:hint="eastAsia" w:eastAsia="新宋体" w:cs="Times New Roman"/>
                <w:color w:val="000000" w:themeColor="text1"/>
                <w:sz w:val="24"/>
                <w:lang w:eastAsia="zh-CN"/>
                <w14:textFill>
                  <w14:solidFill>
                    <w14:schemeClr w14:val="tx1"/>
                  </w14:solidFill>
                </w14:textFill>
              </w:rPr>
              <w:t>。</w:t>
            </w:r>
            <w:r>
              <w:rPr>
                <w:rFonts w:hint="eastAsia"/>
                <w:color w:val="000000" w:themeColor="text1"/>
                <w14:textFill>
                  <w14:solidFill>
                    <w14:schemeClr w14:val="tx1"/>
                  </w14:solidFill>
                </w14:textFill>
              </w:rPr>
              <w:t>拟建项目</w:t>
            </w:r>
            <w:r>
              <w:rPr>
                <w:rFonts w:hint="eastAsia"/>
                <w:color w:val="000000" w:themeColor="text1"/>
                <w:lang w:val="en-US" w:eastAsia="zh-CN"/>
                <w14:textFill>
                  <w14:solidFill>
                    <w14:schemeClr w14:val="tx1"/>
                  </w14:solidFill>
                </w14:textFill>
              </w:rPr>
              <w:t>实验废水、生活污水</w:t>
            </w:r>
            <w:r>
              <w:rPr>
                <w:rFonts w:hint="eastAsia"/>
                <w:color w:val="000000" w:themeColor="text1"/>
                <w14:textFill>
                  <w14:solidFill>
                    <w14:schemeClr w14:val="tx1"/>
                  </w14:solidFill>
                </w14:textFill>
              </w:rPr>
              <w:t>输送采用防渗管线，危险废物暂存间采取重点防渗措施</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化学实验室做一般防渗处理</w:t>
            </w:r>
            <w:r>
              <w:rPr>
                <w:rFonts w:hint="eastAsia"/>
                <w:color w:val="000000" w:themeColor="text1"/>
                <w14:textFill>
                  <w14:solidFill>
                    <w14:schemeClr w14:val="tx1"/>
                  </w14:solidFill>
                </w14:textFill>
              </w:rPr>
              <w:t>，通过采取上述措施后，拟建项目营运后对地下水和土壤基本无影响。</w:t>
            </w:r>
            <w:r>
              <w:rPr>
                <w:rFonts w:hint="eastAsia" w:eastAsia="新宋体" w:cs="Times New Roman"/>
                <w:color w:val="000000" w:themeColor="text1"/>
                <w:sz w:val="24"/>
                <w:lang w:val="en-US" w:eastAsia="zh-CN"/>
                <w14:textFill>
                  <w14:solidFill>
                    <w14:schemeClr w14:val="tx1"/>
                  </w14:solidFill>
                </w14:textFill>
              </w:rPr>
              <w:t>因此</w:t>
            </w:r>
            <w:r>
              <w:rPr>
                <w:rFonts w:hint="default" w:ascii="Times New Roman" w:hAnsi="Times New Roman" w:eastAsia="新宋体" w:cs="Times New Roman"/>
                <w:color w:val="000000" w:themeColor="text1"/>
                <w:sz w:val="24"/>
                <w:lang w:eastAsia="zh-CN"/>
                <w14:textFill>
                  <w14:solidFill>
                    <w14:schemeClr w14:val="tx1"/>
                  </w14:solidFill>
                </w14:textFill>
              </w:rPr>
              <w:t>不开展环境质量现状调查。</w:t>
            </w:r>
          </w:p>
          <w:p w14:paraId="0C52283C">
            <w:pPr>
              <w:pStyle w:val="47"/>
              <w:ind w:left="480" w:leftChars="200" w:firstLine="0" w:firstLineChars="0"/>
              <w:rPr>
                <w:b/>
                <w:color w:val="000000" w:themeColor="text1"/>
                <w:sz w:val="25"/>
                <w:szCs w:val="25"/>
                <w:lang w:bidi="ug-CN"/>
                <w14:textFill>
                  <w14:solidFill>
                    <w14:schemeClr w14:val="tx1"/>
                  </w14:solidFill>
                </w14:textFill>
              </w:rPr>
            </w:pPr>
            <w:r>
              <w:rPr>
                <w:b/>
                <w:color w:val="000000" w:themeColor="text1"/>
                <w:sz w:val="25"/>
                <w:szCs w:val="25"/>
                <w:lang w:bidi="ug-CN"/>
                <w14:textFill>
                  <w14:solidFill>
                    <w14:schemeClr w14:val="tx1"/>
                  </w14:solidFill>
                </w14:textFill>
              </w:rPr>
              <w:t>5</w:t>
            </w:r>
            <w:r>
              <w:rPr>
                <w:rFonts w:hint="eastAsia"/>
                <w:b/>
                <w:color w:val="000000" w:themeColor="text1"/>
                <w:sz w:val="25"/>
                <w:szCs w:val="25"/>
                <w:lang w:bidi="ug-CN"/>
                <w14:textFill>
                  <w14:solidFill>
                    <w14:schemeClr w14:val="tx1"/>
                  </w14:solidFill>
                </w14:textFill>
              </w:rPr>
              <w:t>、</w:t>
            </w:r>
            <w:r>
              <w:rPr>
                <w:b/>
                <w:color w:val="000000" w:themeColor="text1"/>
                <w:sz w:val="25"/>
                <w:szCs w:val="25"/>
                <w:lang w:bidi="ug-CN"/>
                <w14:textFill>
                  <w14:solidFill>
                    <w14:schemeClr w14:val="tx1"/>
                  </w14:solidFill>
                </w14:textFill>
              </w:rPr>
              <w:t>生态环境质量现状</w:t>
            </w:r>
          </w:p>
          <w:p w14:paraId="606AA38C">
            <w:pPr>
              <w:pStyle w:val="16"/>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本项目位于</w:t>
            </w:r>
            <w:r>
              <w:rPr>
                <w:rFonts w:hint="eastAsia"/>
                <w:color w:val="000000" w:themeColor="text1"/>
                <w:lang w:bidi="zh-CN"/>
                <w14:textFill>
                  <w14:solidFill>
                    <w14:schemeClr w14:val="tx1"/>
                  </w14:solidFill>
                </w14:textFill>
              </w:rPr>
              <w:t>库尔勒经济技术开发区</w:t>
            </w:r>
            <w:r>
              <w:rPr>
                <w:rFonts w:hint="eastAsia"/>
                <w:color w:val="000000" w:themeColor="text1"/>
                <w:lang w:val="en-US" w:bidi="zh-CN"/>
                <w14:textFill>
                  <w14:solidFill>
                    <w14:schemeClr w14:val="tx1"/>
                  </w14:solidFill>
                </w14:textFill>
              </w:rPr>
              <w:t>东一巷26号</w:t>
            </w:r>
            <w:r>
              <w:rPr>
                <w:rFonts w:hint="eastAsia"/>
                <w:color w:val="000000" w:themeColor="text1"/>
                <w14:textFill>
                  <w14:solidFill>
                    <w14:schemeClr w14:val="tx1"/>
                  </w14:solidFill>
                </w14:textFill>
              </w:rPr>
              <w:t>，周围相邻生产建设企业，</w:t>
            </w:r>
            <w:r>
              <w:rPr>
                <w:color w:val="000000" w:themeColor="text1"/>
                <w14:textFill>
                  <w14:solidFill>
                    <w14:schemeClr w14:val="tx1"/>
                  </w14:solidFill>
                </w14:textFill>
              </w:rPr>
              <w:t>人类活动特征较明显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生物多样性指数比较低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无国家保护的珍稀濒危</w:t>
            </w:r>
            <w:r>
              <w:rPr>
                <w:rFonts w:hint="eastAsia"/>
                <w:color w:val="000000" w:themeColor="text1"/>
                <w14:textFill>
                  <w14:solidFill>
                    <w14:schemeClr w14:val="tx1"/>
                  </w14:solidFill>
                </w14:textFill>
              </w:rPr>
              <w:t>动植物</w:t>
            </w:r>
            <w:r>
              <w:rPr>
                <w:color w:val="000000" w:themeColor="text1"/>
                <w14:textFill>
                  <w14:solidFill>
                    <w14:schemeClr w14:val="tx1"/>
                  </w14:solidFill>
                </w14:textFill>
              </w:rPr>
              <w:t>种类和自然保护区等特殊生态敏感区</w:t>
            </w:r>
            <w:r>
              <w:rPr>
                <w:rFonts w:hint="eastAsia"/>
                <w:color w:val="000000" w:themeColor="text1"/>
                <w14:textFill>
                  <w14:solidFill>
                    <w14:schemeClr w14:val="tx1"/>
                  </w14:solidFill>
                </w14:textFill>
              </w:rPr>
              <w:t>。因此无生态环境保护目标，无需开展生态现状调查。</w:t>
            </w:r>
          </w:p>
        </w:tc>
      </w:tr>
      <w:tr w14:paraId="360160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3" w:type="dxa"/>
            <w:tcBorders>
              <w:tl2br w:val="nil"/>
              <w:tr2bl w:val="nil"/>
            </w:tcBorders>
            <w:vAlign w:val="center"/>
          </w:tcPr>
          <w:p w14:paraId="5463A8F0">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环境保护</w:t>
            </w:r>
          </w:p>
          <w:p w14:paraId="003C1947">
            <w:pPr>
              <w:adjustRightInd w:val="0"/>
              <w:snapToGrid w:val="0"/>
              <w:ind w:firstLine="0" w:firstLineChars="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目标</w:t>
            </w:r>
          </w:p>
        </w:tc>
        <w:tc>
          <w:tcPr>
            <w:tcW w:w="8428" w:type="dxa"/>
            <w:tcBorders>
              <w:tl2br w:val="nil"/>
              <w:tr2bl w:val="nil"/>
            </w:tcBorders>
            <w:vAlign w:val="center"/>
          </w:tcPr>
          <w:p w14:paraId="344B4F56">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Cs w:val="21"/>
                <w:lang w:val="en-US" w:eastAsia="zh-CN"/>
                <w14:textFill>
                  <w14:solidFill>
                    <w14:schemeClr w14:val="tx1"/>
                  </w14:solidFill>
                </w14:textFill>
              </w:rPr>
              <w:t>本项目选址位于巴州大朴石油技术服务有限公司院内</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根据《建设项目环境影响报告表编制技术指南》（污染影响类）（试行），确定环境保护目标划定范围为：大气环境：厂界外500m范围内的自然保护区、风景名胜区、居住区、文化区和农村地区中人群较集中的区域等；声环境：厂界外50m范围内的声环境保护目标；地下水环境：厂界外500m范围内的地下水集中式饮用水源和热水、矿泉水、温泉等特殊地下水源。</w:t>
            </w:r>
          </w:p>
          <w:p w14:paraId="4F1F0392">
            <w:pPr>
              <w:pStyle w:val="66"/>
              <w:autoSpaceDE w:val="0"/>
              <w:autoSpaceDN w:val="0"/>
              <w:ind w:firstLine="480"/>
              <w:rPr>
                <w:color w:val="000000" w:themeColor="text1"/>
                <w:kern w:val="0"/>
                <w:szCs w:val="21"/>
                <w14:textFill>
                  <w14:solidFill>
                    <w14:schemeClr w14:val="tx1"/>
                  </w14:solidFill>
                </w14:textFill>
              </w:rPr>
            </w:pPr>
            <w:r>
              <w:rPr>
                <w:rFonts w:hint="eastAsia" w:eastAsia="新宋体" w:cs="Times New Roman"/>
                <w:color w:val="000000" w:themeColor="text1"/>
                <w:kern w:val="0"/>
                <w:szCs w:val="21"/>
                <w:lang w:val="en-US" w:eastAsia="zh-CN"/>
                <w14:textFill>
                  <w14:solidFill>
                    <w14:schemeClr w14:val="tx1"/>
                  </w14:solidFill>
                </w14:textFill>
              </w:rPr>
              <w:t>根据项目选址及现场踏勘结果，评价范围内无上述环境保护目标。</w:t>
            </w:r>
          </w:p>
        </w:tc>
      </w:tr>
      <w:tr w14:paraId="51D2AD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3" w:type="dxa"/>
            <w:tcBorders>
              <w:tl2br w:val="nil"/>
              <w:tr2bl w:val="nil"/>
            </w:tcBorders>
            <w:tcMar>
              <w:left w:w="28" w:type="dxa"/>
              <w:right w:w="28" w:type="dxa"/>
            </w:tcMar>
            <w:vAlign w:val="center"/>
          </w:tcPr>
          <w:p w14:paraId="3B97CFF1">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污染</w:t>
            </w:r>
          </w:p>
          <w:p w14:paraId="16086AF9">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物排</w:t>
            </w:r>
          </w:p>
          <w:p w14:paraId="556C3A4E">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放控</w:t>
            </w:r>
          </w:p>
          <w:p w14:paraId="4DEF5D54">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制标</w:t>
            </w:r>
          </w:p>
          <w:p w14:paraId="09BF06A6">
            <w:pPr>
              <w:adjustRightInd w:val="0"/>
              <w:snapToGrid w:val="0"/>
              <w:ind w:firstLine="0" w:firstLineChars="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准</w:t>
            </w:r>
          </w:p>
        </w:tc>
        <w:tc>
          <w:tcPr>
            <w:tcW w:w="8428" w:type="dxa"/>
            <w:tcBorders>
              <w:tl2br w:val="nil"/>
              <w:tr2bl w:val="nil"/>
            </w:tcBorders>
            <w:vAlign w:val="center"/>
          </w:tcPr>
          <w:p w14:paraId="38AABF9C">
            <w:pPr>
              <w:pStyle w:val="2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b w:val="0"/>
                <w:bCs/>
                <w:color w:val="000000" w:themeColor="text1"/>
                <w:lang w:val="en-US" w:eastAsia="zh-CN"/>
                <w14:textFill>
                  <w14:solidFill>
                    <w14:schemeClr w14:val="tx1"/>
                  </w14:solidFill>
                </w14:textFill>
              </w:rPr>
            </w:pPr>
            <w:bookmarkStart w:id="13" w:name="_Hlk147415925"/>
            <w:r>
              <w:rPr>
                <w:rFonts w:hint="eastAsia"/>
                <w:b w:val="0"/>
                <w:bCs/>
                <w:color w:val="000000" w:themeColor="text1"/>
                <w:lang w:val="en-US" w:eastAsia="zh-CN"/>
                <w14:textFill>
                  <w14:solidFill>
                    <w14:schemeClr w14:val="tx1"/>
                  </w14:solidFill>
                </w14:textFill>
              </w:rPr>
              <w:t>由于本项目建设租赁</w:t>
            </w:r>
            <w:r>
              <w:rPr>
                <w:rFonts w:hint="eastAsia" w:eastAsia="新宋体" w:cs="Times New Roman"/>
                <w:color w:val="000000" w:themeColor="text1"/>
                <w:kern w:val="0"/>
                <w:szCs w:val="21"/>
                <w:lang w:val="en-US" w:eastAsia="zh-CN"/>
                <w14:textFill>
                  <w14:solidFill>
                    <w14:schemeClr w14:val="tx1"/>
                  </w14:solidFill>
                </w14:textFill>
              </w:rPr>
              <w:t>巴州大朴石油技术服务有限公司已建成厂房，施工期仅对厂房内部装修改造，因此不对施工期污染物排放标准做具体评价，仅做简单定性分析。</w:t>
            </w:r>
          </w:p>
          <w:p w14:paraId="72F04236">
            <w:pPr>
              <w:pStyle w:val="23"/>
              <w:ind w:left="480" w:leftChars="200" w:firstLine="0" w:firstLineChars="0"/>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t>、运营期</w:t>
            </w:r>
          </w:p>
          <w:p w14:paraId="70616287">
            <w:pPr>
              <w:ind w:firstLine="480"/>
              <w:jc w:val="left"/>
              <w:rPr>
                <w:bCs/>
                <w:color w:val="000000" w:themeColor="text1"/>
                <w14:textFill>
                  <w14:solidFill>
                    <w14:schemeClr w14:val="tx1"/>
                  </w14:solidFill>
                </w14:textFill>
              </w:rPr>
            </w:pPr>
            <w:r>
              <w:rPr>
                <w:bCs/>
                <w:color w:val="000000" w:themeColor="text1"/>
                <w14:textFill>
                  <w14:solidFill>
                    <w14:schemeClr w14:val="tx1"/>
                  </w14:solidFill>
                </w14:textFill>
              </w:rPr>
              <w:t>（1）</w:t>
            </w:r>
            <w:r>
              <w:rPr>
                <w:rFonts w:hint="eastAsia"/>
                <w:bCs/>
                <w:color w:val="000000" w:themeColor="text1"/>
                <w:lang w:val="en-US" w:eastAsia="zh-CN"/>
                <w14:textFill>
                  <w14:solidFill>
                    <w14:schemeClr w14:val="tx1"/>
                  </w14:solidFill>
                </w14:textFill>
              </w:rPr>
              <w:t>实验</w:t>
            </w:r>
            <w:r>
              <w:rPr>
                <w:rFonts w:hint="eastAsia"/>
                <w:bCs/>
                <w:color w:val="000000" w:themeColor="text1"/>
                <w14:textFill>
                  <w14:solidFill>
                    <w14:schemeClr w14:val="tx1"/>
                  </w14:solidFill>
                </w14:textFill>
              </w:rPr>
              <w:t>废气</w:t>
            </w:r>
          </w:p>
          <w:p w14:paraId="179C7454">
            <w:pPr>
              <w:ind w:firstLine="480"/>
              <w:jc w:val="left"/>
              <w:rPr>
                <w:bCs/>
                <w:color w:val="000000" w:themeColor="text1"/>
                <w14:textFill>
                  <w14:solidFill>
                    <w14:schemeClr w14:val="tx1"/>
                  </w14:solidFill>
                </w14:textFill>
              </w:rPr>
            </w:pPr>
            <w:r>
              <w:rPr>
                <w:bCs/>
                <w:color w:val="000000" w:themeColor="text1"/>
                <w14:textFill>
                  <w14:solidFill>
                    <w14:schemeClr w14:val="tx1"/>
                  </w14:solidFill>
                </w14:textFill>
              </w:rPr>
              <w:t>项目无机废气主要是以HCl、NOx、硫酸雾、</w:t>
            </w:r>
            <w:r>
              <w:rPr>
                <w:rFonts w:hint="eastAsia"/>
                <w:bCs/>
                <w:color w:val="000000" w:themeColor="text1"/>
                <w:lang w:val="en-US" w:eastAsia="zh-CN"/>
                <w14:textFill>
                  <w14:solidFill>
                    <w14:schemeClr w14:val="tx1"/>
                  </w14:solidFill>
                </w14:textFill>
              </w:rPr>
              <w:t>非甲烷总烃、</w:t>
            </w:r>
            <w:r>
              <w:rPr>
                <w:rFonts w:hint="eastAsia"/>
                <w:bCs/>
                <w:color w:val="000000" w:themeColor="text1"/>
                <w14:textFill>
                  <w14:solidFill>
                    <w14:schemeClr w14:val="tx1"/>
                  </w14:solidFill>
                </w14:textFill>
              </w:rPr>
              <w:t>硫化氢</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颗粒物</w:t>
            </w:r>
            <w:r>
              <w:rPr>
                <w:bCs/>
                <w:color w:val="000000" w:themeColor="text1"/>
                <w14:textFill>
                  <w14:solidFill>
                    <w14:schemeClr w14:val="tx1"/>
                  </w14:solidFill>
                </w14:textFill>
              </w:rPr>
              <w:t>等为主，</w:t>
            </w:r>
            <w:r>
              <w:rPr>
                <w:rFonts w:hint="eastAsia"/>
                <w:bCs/>
                <w:color w:val="000000" w:themeColor="text1"/>
                <w:lang w:val="en-US" w:eastAsia="zh-CN"/>
                <w14:textFill>
                  <w14:solidFill>
                    <w14:schemeClr w14:val="tx1"/>
                  </w14:solidFill>
                </w14:textFill>
              </w:rPr>
              <w:t>无机废气与颗粒物</w:t>
            </w:r>
            <w:r>
              <w:rPr>
                <w:bCs/>
                <w:color w:val="000000" w:themeColor="text1"/>
                <w14:textFill>
                  <w14:solidFill>
                    <w14:schemeClr w14:val="tx1"/>
                  </w14:solidFill>
                </w14:textFill>
              </w:rPr>
              <w:t>执行</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大气污染物综合排放标准</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GB16297-1996</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最高允许排放浓度和无组织排放监控浓度限值；</w:t>
            </w:r>
            <w:r>
              <w:rPr>
                <w:rFonts w:hint="eastAsia"/>
                <w:bCs/>
                <w:color w:val="000000" w:themeColor="text1"/>
                <w14:textFill>
                  <w14:solidFill>
                    <w14:schemeClr w14:val="tx1"/>
                  </w14:solidFill>
                </w14:textFill>
              </w:rPr>
              <w:t>硫化氢和臭气浓度</w:t>
            </w:r>
            <w:r>
              <w:rPr>
                <w:bCs/>
                <w:color w:val="000000" w:themeColor="text1"/>
                <w14:textFill>
                  <w14:solidFill>
                    <w14:schemeClr w14:val="tx1"/>
                  </w14:solidFill>
                </w14:textFill>
              </w:rPr>
              <w:t>执行《恶臭污染物排放标准》</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GB14554-93</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表1恶臭污染物厂界二级新扩改建标准值。</w:t>
            </w:r>
          </w:p>
          <w:p w14:paraId="7D960C91">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表3-</w:t>
            </w:r>
            <w:r>
              <w:rPr>
                <w:rFonts w:hint="eastAsia"/>
                <w:b/>
                <w:bCs/>
                <w:color w:val="000000" w:themeColor="text1"/>
                <w:sz w:val="21"/>
                <w:szCs w:val="21"/>
                <w:lang w:val="en-US" w:eastAsia="zh-CN"/>
                <w14:textFill>
                  <w14:solidFill>
                    <w14:schemeClr w14:val="tx1"/>
                  </w14:solidFill>
                </w14:textFill>
              </w:rPr>
              <w:t>4</w:t>
            </w:r>
            <w:r>
              <w:rPr>
                <w:rFonts w:hint="eastAsia"/>
                <w:b/>
                <w:bCs/>
                <w:color w:val="000000" w:themeColor="text1"/>
                <w:sz w:val="21"/>
                <w:szCs w:val="21"/>
                <w14:textFill>
                  <w14:solidFill>
                    <w14:schemeClr w14:val="tx1"/>
                  </w14:solidFill>
                </w14:textFill>
              </w:rPr>
              <w:t>《大气污染物综合排放标准》（GB16297-1996）管控限值要求（摘录）</w:t>
            </w:r>
          </w:p>
          <w:tbl>
            <w:tblPr>
              <w:tblStyle w:val="30"/>
              <w:tblW w:w="8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968"/>
              <w:gridCol w:w="1364"/>
              <w:gridCol w:w="1692"/>
              <w:gridCol w:w="694"/>
              <w:gridCol w:w="1246"/>
              <w:gridCol w:w="1580"/>
            </w:tblGrid>
            <w:tr w14:paraId="4928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restart"/>
                  <w:tcBorders>
                    <w:tl2br w:val="nil"/>
                    <w:tr2bl w:val="nil"/>
                  </w:tcBorders>
                  <w:vAlign w:val="center"/>
                </w:tcPr>
                <w:p w14:paraId="58A52558">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968" w:type="dxa"/>
                  <w:vMerge w:val="restart"/>
                  <w:tcBorders>
                    <w:tl2br w:val="nil"/>
                    <w:tr2bl w:val="nil"/>
                  </w:tcBorders>
                  <w:vAlign w:val="center"/>
                </w:tcPr>
                <w:p w14:paraId="452DE8A7">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1364" w:type="dxa"/>
                  <w:vMerge w:val="restart"/>
                  <w:tcBorders>
                    <w:tl2br w:val="nil"/>
                    <w:tr2bl w:val="nil"/>
                  </w:tcBorders>
                  <w:vAlign w:val="center"/>
                </w:tcPr>
                <w:p w14:paraId="13655108">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最高允许浓度（mg/m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2386" w:type="dxa"/>
                  <w:gridSpan w:val="2"/>
                  <w:tcBorders>
                    <w:tl2br w:val="nil"/>
                    <w:tr2bl w:val="nil"/>
                  </w:tcBorders>
                  <w:vAlign w:val="center"/>
                </w:tcPr>
                <w:p w14:paraId="75944948">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最高允许速率（kg/h）</w:t>
                  </w:r>
                </w:p>
              </w:tc>
              <w:tc>
                <w:tcPr>
                  <w:tcW w:w="2826" w:type="dxa"/>
                  <w:gridSpan w:val="2"/>
                  <w:tcBorders>
                    <w:tl2br w:val="nil"/>
                    <w:tr2bl w:val="nil"/>
                  </w:tcBorders>
                  <w:vAlign w:val="center"/>
                </w:tcPr>
                <w:p w14:paraId="4D232A7A">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无组织浓度监控浓度限值（mg/m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r>
            <w:tr w14:paraId="4172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tcBorders>
                    <w:tl2br w:val="nil"/>
                    <w:tr2bl w:val="nil"/>
                  </w:tcBorders>
                  <w:vAlign w:val="center"/>
                </w:tcPr>
                <w:p w14:paraId="32FEAAAB">
                  <w:pPr>
                    <w:pStyle w:val="72"/>
                    <w:spacing w:line="240" w:lineRule="auto"/>
                    <w:ind w:firstLine="0" w:firstLineChars="0"/>
                    <w:rPr>
                      <w:color w:val="000000" w:themeColor="text1"/>
                      <w14:textFill>
                        <w14:solidFill>
                          <w14:schemeClr w14:val="tx1"/>
                        </w14:solidFill>
                      </w14:textFill>
                    </w:rPr>
                  </w:pPr>
                </w:p>
              </w:tc>
              <w:tc>
                <w:tcPr>
                  <w:tcW w:w="968" w:type="dxa"/>
                  <w:vMerge w:val="continue"/>
                  <w:tcBorders>
                    <w:tl2br w:val="nil"/>
                    <w:tr2bl w:val="nil"/>
                  </w:tcBorders>
                  <w:vAlign w:val="center"/>
                </w:tcPr>
                <w:p w14:paraId="0F137B6A">
                  <w:pPr>
                    <w:pStyle w:val="72"/>
                    <w:spacing w:line="240" w:lineRule="auto"/>
                    <w:ind w:firstLine="0" w:firstLineChars="0"/>
                    <w:rPr>
                      <w:color w:val="000000" w:themeColor="text1"/>
                      <w14:textFill>
                        <w14:solidFill>
                          <w14:schemeClr w14:val="tx1"/>
                        </w14:solidFill>
                      </w14:textFill>
                    </w:rPr>
                  </w:pPr>
                </w:p>
              </w:tc>
              <w:tc>
                <w:tcPr>
                  <w:tcW w:w="1364" w:type="dxa"/>
                  <w:vMerge w:val="continue"/>
                  <w:tcBorders>
                    <w:tl2br w:val="nil"/>
                    <w:tr2bl w:val="nil"/>
                  </w:tcBorders>
                  <w:vAlign w:val="center"/>
                </w:tcPr>
                <w:p w14:paraId="36BAD77B">
                  <w:pPr>
                    <w:pStyle w:val="72"/>
                    <w:spacing w:line="240" w:lineRule="auto"/>
                    <w:ind w:firstLine="0" w:firstLineChars="0"/>
                    <w:rPr>
                      <w:color w:val="000000" w:themeColor="text1"/>
                      <w14:textFill>
                        <w14:solidFill>
                          <w14:schemeClr w14:val="tx1"/>
                        </w14:solidFill>
                      </w14:textFill>
                    </w:rPr>
                  </w:pPr>
                </w:p>
              </w:tc>
              <w:tc>
                <w:tcPr>
                  <w:tcW w:w="1692" w:type="dxa"/>
                  <w:tcBorders>
                    <w:tl2br w:val="nil"/>
                    <w:tr2bl w:val="nil"/>
                  </w:tcBorders>
                  <w:vAlign w:val="center"/>
                </w:tcPr>
                <w:p w14:paraId="1D601042">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排气筒高度（m）</w:t>
                  </w:r>
                </w:p>
              </w:tc>
              <w:tc>
                <w:tcPr>
                  <w:tcW w:w="694" w:type="dxa"/>
                  <w:tcBorders>
                    <w:tl2br w:val="nil"/>
                    <w:tr2bl w:val="nil"/>
                  </w:tcBorders>
                  <w:vAlign w:val="center"/>
                </w:tcPr>
                <w:p w14:paraId="684475AF">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速率</w:t>
                  </w:r>
                </w:p>
              </w:tc>
              <w:tc>
                <w:tcPr>
                  <w:tcW w:w="1246" w:type="dxa"/>
                  <w:tcBorders>
                    <w:tl2br w:val="nil"/>
                    <w:tr2bl w:val="nil"/>
                  </w:tcBorders>
                  <w:vAlign w:val="center"/>
                </w:tcPr>
                <w:p w14:paraId="18F9AD96">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监控点</w:t>
                  </w:r>
                </w:p>
              </w:tc>
              <w:tc>
                <w:tcPr>
                  <w:tcW w:w="1580" w:type="dxa"/>
                  <w:tcBorders>
                    <w:tl2br w:val="nil"/>
                    <w:tr2bl w:val="nil"/>
                  </w:tcBorders>
                  <w:vAlign w:val="center"/>
                </w:tcPr>
                <w:p w14:paraId="3754193B">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p>
              </w:tc>
            </w:tr>
            <w:tr w14:paraId="2D41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tcBorders>
                    <w:tl2br w:val="nil"/>
                    <w:tr2bl w:val="nil"/>
                  </w:tcBorders>
                  <w:vAlign w:val="center"/>
                </w:tcPr>
                <w:p w14:paraId="7C48589A">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1</w:t>
                  </w:r>
                </w:p>
              </w:tc>
              <w:tc>
                <w:tcPr>
                  <w:tcW w:w="968" w:type="dxa"/>
                  <w:tcBorders>
                    <w:tl2br w:val="nil"/>
                    <w:tr2bl w:val="nil"/>
                  </w:tcBorders>
                  <w:vAlign w:val="center"/>
                </w:tcPr>
                <w:p w14:paraId="57287B68">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氯化氢</w:t>
                  </w:r>
                </w:p>
              </w:tc>
              <w:tc>
                <w:tcPr>
                  <w:tcW w:w="1364" w:type="dxa"/>
                  <w:tcBorders>
                    <w:tl2br w:val="nil"/>
                    <w:tr2bl w:val="nil"/>
                  </w:tcBorders>
                  <w:vAlign w:val="center"/>
                </w:tcPr>
                <w:p w14:paraId="6DCED9C1">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692" w:type="dxa"/>
                  <w:vMerge w:val="restart"/>
                  <w:tcBorders>
                    <w:tl2br w:val="nil"/>
                    <w:tr2bl w:val="nil"/>
                  </w:tcBorders>
                  <w:vAlign w:val="center"/>
                </w:tcPr>
                <w:p w14:paraId="3AA9BD12">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694" w:type="dxa"/>
                  <w:tcBorders>
                    <w:tl2br w:val="nil"/>
                    <w:tr2bl w:val="nil"/>
                  </w:tcBorders>
                  <w:vAlign w:val="center"/>
                </w:tcPr>
                <w:p w14:paraId="27DE2194">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0.26</w:t>
                  </w:r>
                </w:p>
              </w:tc>
              <w:tc>
                <w:tcPr>
                  <w:tcW w:w="1246" w:type="dxa"/>
                  <w:vMerge w:val="restart"/>
                  <w:tcBorders>
                    <w:tl2br w:val="nil"/>
                    <w:tr2bl w:val="nil"/>
                  </w:tcBorders>
                  <w:vAlign w:val="center"/>
                </w:tcPr>
                <w:p w14:paraId="6FE68CA9">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周界外浓</w:t>
                  </w:r>
                </w:p>
                <w:p w14:paraId="7E4A361A">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度最高点</w:t>
                  </w:r>
                </w:p>
              </w:tc>
              <w:tc>
                <w:tcPr>
                  <w:tcW w:w="1580" w:type="dxa"/>
                  <w:tcBorders>
                    <w:tl2br w:val="nil"/>
                    <w:tr2bl w:val="nil"/>
                  </w:tcBorders>
                  <w:vAlign w:val="center"/>
                </w:tcPr>
                <w:p w14:paraId="0CB731B9">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0.20</w:t>
                  </w:r>
                </w:p>
              </w:tc>
            </w:tr>
            <w:tr w14:paraId="566B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tcBorders>
                    <w:tl2br w:val="nil"/>
                    <w:tr2bl w:val="nil"/>
                  </w:tcBorders>
                  <w:vAlign w:val="center"/>
                </w:tcPr>
                <w:p w14:paraId="171B5811">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68" w:type="dxa"/>
                  <w:tcBorders>
                    <w:tl2br w:val="nil"/>
                    <w:tr2bl w:val="nil"/>
                  </w:tcBorders>
                  <w:vAlign w:val="center"/>
                </w:tcPr>
                <w:p w14:paraId="33BCAB22">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NO</w:t>
                  </w:r>
                  <w:r>
                    <w:rPr>
                      <w:rFonts w:hint="eastAsia"/>
                      <w:color w:val="000000" w:themeColor="text1"/>
                      <w14:textFill>
                        <w14:solidFill>
                          <w14:schemeClr w14:val="tx1"/>
                        </w14:solidFill>
                      </w14:textFill>
                    </w:rPr>
                    <w:t>x</w:t>
                  </w:r>
                </w:p>
              </w:tc>
              <w:tc>
                <w:tcPr>
                  <w:tcW w:w="1364" w:type="dxa"/>
                  <w:tcBorders>
                    <w:tl2br w:val="nil"/>
                    <w:tr2bl w:val="nil"/>
                  </w:tcBorders>
                  <w:vAlign w:val="center"/>
                </w:tcPr>
                <w:p w14:paraId="17E44B9F">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240</w:t>
                  </w:r>
                </w:p>
              </w:tc>
              <w:tc>
                <w:tcPr>
                  <w:tcW w:w="1692" w:type="dxa"/>
                  <w:vMerge w:val="continue"/>
                  <w:tcBorders>
                    <w:tl2br w:val="nil"/>
                    <w:tr2bl w:val="nil"/>
                  </w:tcBorders>
                  <w:vAlign w:val="center"/>
                </w:tcPr>
                <w:p w14:paraId="2E92A777">
                  <w:pPr>
                    <w:pStyle w:val="72"/>
                    <w:spacing w:line="240" w:lineRule="auto"/>
                    <w:ind w:firstLine="0" w:firstLineChars="0"/>
                    <w:rPr>
                      <w:color w:val="000000" w:themeColor="text1"/>
                      <w14:textFill>
                        <w14:solidFill>
                          <w14:schemeClr w14:val="tx1"/>
                        </w14:solidFill>
                      </w14:textFill>
                    </w:rPr>
                  </w:pPr>
                </w:p>
              </w:tc>
              <w:tc>
                <w:tcPr>
                  <w:tcW w:w="694" w:type="dxa"/>
                  <w:tcBorders>
                    <w:tl2br w:val="nil"/>
                    <w:tr2bl w:val="nil"/>
                  </w:tcBorders>
                  <w:vAlign w:val="center"/>
                </w:tcPr>
                <w:p w14:paraId="3A3B08F0">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0.77</w:t>
                  </w:r>
                </w:p>
              </w:tc>
              <w:tc>
                <w:tcPr>
                  <w:tcW w:w="1246" w:type="dxa"/>
                  <w:vMerge w:val="continue"/>
                  <w:tcBorders>
                    <w:tl2br w:val="nil"/>
                    <w:tr2bl w:val="nil"/>
                  </w:tcBorders>
                  <w:vAlign w:val="center"/>
                </w:tcPr>
                <w:p w14:paraId="26007591">
                  <w:pPr>
                    <w:pStyle w:val="72"/>
                    <w:spacing w:line="240" w:lineRule="auto"/>
                    <w:ind w:firstLine="0" w:firstLineChars="0"/>
                    <w:rPr>
                      <w:color w:val="000000" w:themeColor="text1"/>
                      <w14:textFill>
                        <w14:solidFill>
                          <w14:schemeClr w14:val="tx1"/>
                        </w14:solidFill>
                      </w14:textFill>
                    </w:rPr>
                  </w:pPr>
                </w:p>
              </w:tc>
              <w:tc>
                <w:tcPr>
                  <w:tcW w:w="1580" w:type="dxa"/>
                  <w:tcBorders>
                    <w:tl2br w:val="nil"/>
                    <w:tr2bl w:val="nil"/>
                  </w:tcBorders>
                  <w:vAlign w:val="center"/>
                </w:tcPr>
                <w:p w14:paraId="32D0DD35">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0.12</w:t>
                  </w:r>
                </w:p>
              </w:tc>
            </w:tr>
            <w:tr w14:paraId="2BEC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tcBorders>
                    <w:tl2br w:val="nil"/>
                    <w:tr2bl w:val="nil"/>
                  </w:tcBorders>
                  <w:vAlign w:val="center"/>
                </w:tcPr>
                <w:p w14:paraId="3DC84A4D">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3</w:t>
                  </w:r>
                </w:p>
              </w:tc>
              <w:tc>
                <w:tcPr>
                  <w:tcW w:w="968" w:type="dxa"/>
                  <w:tcBorders>
                    <w:tl2br w:val="nil"/>
                    <w:tr2bl w:val="nil"/>
                  </w:tcBorders>
                  <w:vAlign w:val="center"/>
                </w:tcPr>
                <w:p w14:paraId="7E1293E8">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硫酸雾</w:t>
                  </w:r>
                </w:p>
              </w:tc>
              <w:tc>
                <w:tcPr>
                  <w:tcW w:w="1364" w:type="dxa"/>
                  <w:tcBorders>
                    <w:tl2br w:val="nil"/>
                    <w:tr2bl w:val="nil"/>
                  </w:tcBorders>
                  <w:vAlign w:val="center"/>
                </w:tcPr>
                <w:p w14:paraId="1A9447C2">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1692" w:type="dxa"/>
                  <w:vMerge w:val="continue"/>
                  <w:tcBorders>
                    <w:tl2br w:val="nil"/>
                    <w:tr2bl w:val="nil"/>
                  </w:tcBorders>
                  <w:vAlign w:val="center"/>
                </w:tcPr>
                <w:p w14:paraId="4A170B38">
                  <w:pPr>
                    <w:pStyle w:val="72"/>
                    <w:spacing w:line="240" w:lineRule="auto"/>
                    <w:ind w:firstLine="0" w:firstLineChars="0"/>
                    <w:rPr>
                      <w:color w:val="000000" w:themeColor="text1"/>
                      <w14:textFill>
                        <w14:solidFill>
                          <w14:schemeClr w14:val="tx1"/>
                        </w14:solidFill>
                      </w14:textFill>
                    </w:rPr>
                  </w:pPr>
                </w:p>
              </w:tc>
              <w:tc>
                <w:tcPr>
                  <w:tcW w:w="694" w:type="dxa"/>
                  <w:tcBorders>
                    <w:tl2br w:val="nil"/>
                    <w:tr2bl w:val="nil"/>
                  </w:tcBorders>
                  <w:vAlign w:val="center"/>
                </w:tcPr>
                <w:p w14:paraId="1F0DBAC4">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246" w:type="dxa"/>
                  <w:vMerge w:val="continue"/>
                  <w:tcBorders>
                    <w:tl2br w:val="nil"/>
                    <w:tr2bl w:val="nil"/>
                  </w:tcBorders>
                  <w:vAlign w:val="center"/>
                </w:tcPr>
                <w:p w14:paraId="583A527C">
                  <w:pPr>
                    <w:pStyle w:val="72"/>
                    <w:spacing w:line="240" w:lineRule="auto"/>
                    <w:ind w:firstLine="0" w:firstLineChars="0"/>
                    <w:rPr>
                      <w:color w:val="000000" w:themeColor="text1"/>
                      <w14:textFill>
                        <w14:solidFill>
                          <w14:schemeClr w14:val="tx1"/>
                        </w14:solidFill>
                      </w14:textFill>
                    </w:rPr>
                  </w:pPr>
                </w:p>
              </w:tc>
              <w:tc>
                <w:tcPr>
                  <w:tcW w:w="1580" w:type="dxa"/>
                  <w:tcBorders>
                    <w:tl2br w:val="nil"/>
                    <w:tr2bl w:val="nil"/>
                  </w:tcBorders>
                  <w:vAlign w:val="center"/>
                </w:tcPr>
                <w:p w14:paraId="7EAAFCC4">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r>
            <w:tr w14:paraId="4164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tcBorders>
                    <w:tl2br w:val="nil"/>
                    <w:tr2bl w:val="nil"/>
                  </w:tcBorders>
                  <w:vAlign w:val="center"/>
                </w:tcPr>
                <w:p w14:paraId="0EE1AA52">
                  <w:pPr>
                    <w:pStyle w:val="72"/>
                    <w:spacing w:line="240" w:lineRule="auto"/>
                    <w:ind w:firstLine="0" w:firstLineChars="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968" w:type="dxa"/>
                  <w:tcBorders>
                    <w:tl2br w:val="nil"/>
                    <w:tr2bl w:val="nil"/>
                  </w:tcBorders>
                  <w:vAlign w:val="center"/>
                </w:tcPr>
                <w:p w14:paraId="73C45AA4">
                  <w:pPr>
                    <w:pStyle w:val="72"/>
                    <w:spacing w:line="240" w:lineRule="auto"/>
                    <w:ind w:firstLine="0" w:firstLineChars="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1364" w:type="dxa"/>
                  <w:tcBorders>
                    <w:tl2br w:val="nil"/>
                    <w:tr2bl w:val="nil"/>
                  </w:tcBorders>
                  <w:vAlign w:val="center"/>
                </w:tcPr>
                <w:p w14:paraId="238C7A3B">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20</w:t>
                  </w:r>
                </w:p>
              </w:tc>
              <w:tc>
                <w:tcPr>
                  <w:tcW w:w="1692" w:type="dxa"/>
                  <w:vMerge w:val="continue"/>
                  <w:tcBorders>
                    <w:bottom w:val="nil"/>
                    <w:tl2br w:val="nil"/>
                    <w:tr2bl w:val="nil"/>
                  </w:tcBorders>
                  <w:vAlign w:val="center"/>
                </w:tcPr>
                <w:p w14:paraId="177E114C">
                  <w:pPr>
                    <w:pStyle w:val="72"/>
                    <w:spacing w:line="240" w:lineRule="auto"/>
                    <w:ind w:firstLine="0" w:firstLineChars="0"/>
                    <w:rPr>
                      <w:color w:val="000000" w:themeColor="text1"/>
                      <w14:textFill>
                        <w14:solidFill>
                          <w14:schemeClr w14:val="tx1"/>
                        </w14:solidFill>
                      </w14:textFill>
                    </w:rPr>
                  </w:pPr>
                </w:p>
              </w:tc>
              <w:tc>
                <w:tcPr>
                  <w:tcW w:w="694" w:type="dxa"/>
                  <w:tcBorders>
                    <w:tl2br w:val="nil"/>
                    <w:tr2bl w:val="nil"/>
                  </w:tcBorders>
                  <w:vAlign w:val="center"/>
                </w:tcPr>
                <w:p w14:paraId="0C8246CE">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1246" w:type="dxa"/>
                  <w:vMerge w:val="continue"/>
                  <w:tcBorders>
                    <w:bottom w:val="nil"/>
                    <w:tl2br w:val="nil"/>
                    <w:tr2bl w:val="nil"/>
                  </w:tcBorders>
                  <w:vAlign w:val="center"/>
                </w:tcPr>
                <w:p w14:paraId="26ADF06C">
                  <w:pPr>
                    <w:pStyle w:val="72"/>
                    <w:spacing w:line="240" w:lineRule="auto"/>
                    <w:ind w:firstLine="0" w:firstLineChars="0"/>
                    <w:rPr>
                      <w:color w:val="000000" w:themeColor="text1"/>
                      <w14:textFill>
                        <w14:solidFill>
                          <w14:schemeClr w14:val="tx1"/>
                        </w14:solidFill>
                      </w14:textFill>
                    </w:rPr>
                  </w:pPr>
                </w:p>
              </w:tc>
              <w:tc>
                <w:tcPr>
                  <w:tcW w:w="1580" w:type="dxa"/>
                  <w:tcBorders>
                    <w:tl2br w:val="nil"/>
                    <w:tr2bl w:val="nil"/>
                  </w:tcBorders>
                  <w:vAlign w:val="center"/>
                </w:tcPr>
                <w:p w14:paraId="1E70123A">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tr w14:paraId="666F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tcBorders>
                    <w:tl2br w:val="nil"/>
                    <w:tr2bl w:val="nil"/>
                  </w:tcBorders>
                  <w:vAlign w:val="center"/>
                </w:tcPr>
                <w:p w14:paraId="0C27AA08">
                  <w:pPr>
                    <w:pStyle w:val="72"/>
                    <w:spacing w:line="240" w:lineRule="auto"/>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968" w:type="dxa"/>
                  <w:tcBorders>
                    <w:tl2br w:val="nil"/>
                    <w:tr2bl w:val="nil"/>
                  </w:tcBorders>
                  <w:vAlign w:val="center"/>
                </w:tcPr>
                <w:p w14:paraId="23A90B14">
                  <w:pPr>
                    <w:pStyle w:val="72"/>
                    <w:spacing w:line="240" w:lineRule="auto"/>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364" w:type="dxa"/>
                  <w:tcBorders>
                    <w:tl2br w:val="nil"/>
                    <w:tr2bl w:val="nil"/>
                  </w:tcBorders>
                  <w:vAlign w:val="center"/>
                </w:tcPr>
                <w:p w14:paraId="40AFD77A">
                  <w:pPr>
                    <w:pStyle w:val="72"/>
                    <w:spacing w:line="240" w:lineRule="auto"/>
                    <w:ind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92" w:type="dxa"/>
                  <w:tcBorders>
                    <w:top w:val="nil"/>
                    <w:tl2br w:val="nil"/>
                    <w:tr2bl w:val="nil"/>
                  </w:tcBorders>
                  <w:vAlign w:val="center"/>
                </w:tcPr>
                <w:p w14:paraId="6825A52A">
                  <w:pPr>
                    <w:pStyle w:val="72"/>
                    <w:spacing w:line="240" w:lineRule="auto"/>
                    <w:ind w:firstLine="0" w:firstLineChars="0"/>
                    <w:rPr>
                      <w:color w:val="000000" w:themeColor="text1"/>
                      <w14:textFill>
                        <w14:solidFill>
                          <w14:schemeClr w14:val="tx1"/>
                        </w14:solidFill>
                      </w14:textFill>
                    </w:rPr>
                  </w:pPr>
                </w:p>
              </w:tc>
              <w:tc>
                <w:tcPr>
                  <w:tcW w:w="694" w:type="dxa"/>
                  <w:tcBorders>
                    <w:tl2br w:val="nil"/>
                    <w:tr2bl w:val="nil"/>
                  </w:tcBorders>
                  <w:vAlign w:val="center"/>
                </w:tcPr>
                <w:p w14:paraId="72DB0403">
                  <w:pPr>
                    <w:pStyle w:val="72"/>
                    <w:spacing w:line="240" w:lineRule="auto"/>
                    <w:ind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246" w:type="dxa"/>
                  <w:tcBorders>
                    <w:top w:val="nil"/>
                    <w:tl2br w:val="nil"/>
                    <w:tr2bl w:val="nil"/>
                  </w:tcBorders>
                  <w:vAlign w:val="center"/>
                </w:tcPr>
                <w:p w14:paraId="00AF9995">
                  <w:pPr>
                    <w:pStyle w:val="72"/>
                    <w:spacing w:line="240" w:lineRule="auto"/>
                    <w:ind w:firstLine="0" w:firstLineChars="0"/>
                    <w:rPr>
                      <w:color w:val="000000" w:themeColor="text1"/>
                      <w14:textFill>
                        <w14:solidFill>
                          <w14:schemeClr w14:val="tx1"/>
                        </w14:solidFill>
                      </w14:textFill>
                    </w:rPr>
                  </w:pPr>
                </w:p>
              </w:tc>
              <w:tc>
                <w:tcPr>
                  <w:tcW w:w="1580" w:type="dxa"/>
                  <w:tcBorders>
                    <w:tl2br w:val="nil"/>
                    <w:tr2bl w:val="nil"/>
                  </w:tcBorders>
                  <w:vAlign w:val="center"/>
                </w:tcPr>
                <w:p w14:paraId="00726263">
                  <w:pPr>
                    <w:pStyle w:val="72"/>
                    <w:spacing w:line="240" w:lineRule="auto"/>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r>
          </w:tbl>
          <w:p w14:paraId="7E0DF333">
            <w:pPr>
              <w:spacing w:line="240" w:lineRule="auto"/>
              <w:ind w:firstLine="0" w:firstLineChars="0"/>
              <w:jc w:val="center"/>
              <w:rPr>
                <w:bCs/>
                <w:color w:val="000000" w:themeColor="text1"/>
                <w14:textFill>
                  <w14:solidFill>
                    <w14:schemeClr w14:val="tx1"/>
                  </w14:solidFill>
                </w14:textFill>
              </w:rPr>
            </w:pPr>
            <w:r>
              <w:rPr>
                <w:b/>
                <w:bCs/>
                <w:color w:val="000000" w:themeColor="text1"/>
                <w:sz w:val="21"/>
                <w:szCs w:val="21"/>
                <w14:textFill>
                  <w14:solidFill>
                    <w14:schemeClr w14:val="tx1"/>
                  </w14:solidFill>
                </w14:textFill>
              </w:rPr>
              <w:t>表3-</w:t>
            </w:r>
            <w:r>
              <w:rPr>
                <w:rFonts w:hint="eastAsia"/>
                <w:b/>
                <w:bCs/>
                <w:color w:val="000000" w:themeColor="text1"/>
                <w:sz w:val="21"/>
                <w:szCs w:val="21"/>
                <w:lang w:val="en-US" w:eastAsia="zh-CN"/>
                <w14:textFill>
                  <w14:solidFill>
                    <w14:schemeClr w14:val="tx1"/>
                  </w14:solidFill>
                </w14:textFill>
              </w:rPr>
              <w:t>5</w:t>
            </w:r>
            <w:r>
              <w:rPr>
                <w:rFonts w:hint="eastAsia"/>
                <w:b/>
                <w:bCs/>
                <w:color w:val="000000" w:themeColor="text1"/>
                <w:sz w:val="21"/>
                <w:szCs w:val="21"/>
                <w14:textFill>
                  <w14:solidFill>
                    <w14:schemeClr w14:val="tx1"/>
                  </w14:solidFill>
                </w14:textFill>
              </w:rPr>
              <w:t>《恶臭污染物排放标准》（GB14554-1993）管控限值要求</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989"/>
              <w:gridCol w:w="1739"/>
              <w:gridCol w:w="1609"/>
              <w:gridCol w:w="1360"/>
              <w:gridCol w:w="1901"/>
            </w:tblGrid>
            <w:tr w14:paraId="02FC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tcBorders>
                    <w:tl2br w:val="nil"/>
                    <w:tr2bl w:val="nil"/>
                  </w:tcBorders>
                  <w:vAlign w:val="center"/>
                </w:tcPr>
                <w:p w14:paraId="24AFE278">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0" w:type="auto"/>
                  <w:vMerge w:val="restart"/>
                  <w:tcBorders>
                    <w:tl2br w:val="nil"/>
                    <w:tr2bl w:val="nil"/>
                  </w:tcBorders>
                  <w:vAlign w:val="center"/>
                </w:tcPr>
                <w:p w14:paraId="5BBE38A6">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0" w:type="auto"/>
                  <w:gridSpan w:val="2"/>
                  <w:tcBorders>
                    <w:tl2br w:val="nil"/>
                    <w:tr2bl w:val="nil"/>
                  </w:tcBorders>
                  <w:vAlign w:val="center"/>
                </w:tcPr>
                <w:p w14:paraId="6E2ACE32">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最高允许速率kg/h）</w:t>
                  </w:r>
                </w:p>
              </w:tc>
              <w:tc>
                <w:tcPr>
                  <w:tcW w:w="0" w:type="auto"/>
                  <w:gridSpan w:val="2"/>
                  <w:tcBorders>
                    <w:tl2br w:val="nil"/>
                    <w:tr2bl w:val="nil"/>
                  </w:tcBorders>
                  <w:vAlign w:val="center"/>
                </w:tcPr>
                <w:p w14:paraId="36EB3DAB">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无组织浓度监控浓度限值（mg/m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r>
            <w:tr w14:paraId="7099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vAlign w:val="center"/>
                </w:tcPr>
                <w:p w14:paraId="1E583958">
                  <w:pPr>
                    <w:pStyle w:val="72"/>
                    <w:spacing w:line="240" w:lineRule="auto"/>
                    <w:ind w:firstLine="0" w:firstLineChars="0"/>
                    <w:rPr>
                      <w:color w:val="000000" w:themeColor="text1"/>
                      <w14:textFill>
                        <w14:solidFill>
                          <w14:schemeClr w14:val="tx1"/>
                        </w14:solidFill>
                      </w14:textFill>
                    </w:rPr>
                  </w:pPr>
                </w:p>
              </w:tc>
              <w:tc>
                <w:tcPr>
                  <w:tcW w:w="0" w:type="auto"/>
                  <w:vMerge w:val="continue"/>
                  <w:tcBorders>
                    <w:tl2br w:val="nil"/>
                    <w:tr2bl w:val="nil"/>
                  </w:tcBorders>
                  <w:vAlign w:val="center"/>
                </w:tcPr>
                <w:p w14:paraId="7DCC8EDC">
                  <w:pPr>
                    <w:pStyle w:val="72"/>
                    <w:spacing w:line="240" w:lineRule="auto"/>
                    <w:ind w:firstLine="0" w:firstLineChars="0"/>
                    <w:rPr>
                      <w:color w:val="000000" w:themeColor="text1"/>
                      <w14:textFill>
                        <w14:solidFill>
                          <w14:schemeClr w14:val="tx1"/>
                        </w14:solidFill>
                      </w14:textFill>
                    </w:rPr>
                  </w:pPr>
                </w:p>
              </w:tc>
              <w:tc>
                <w:tcPr>
                  <w:tcW w:w="0" w:type="auto"/>
                  <w:tcBorders>
                    <w:tl2br w:val="nil"/>
                    <w:tr2bl w:val="nil"/>
                  </w:tcBorders>
                  <w:vAlign w:val="center"/>
                </w:tcPr>
                <w:p w14:paraId="55AC4BBE">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排气筒高度（m）</w:t>
                  </w:r>
                </w:p>
              </w:tc>
              <w:tc>
                <w:tcPr>
                  <w:tcW w:w="0" w:type="auto"/>
                  <w:tcBorders>
                    <w:tl2br w:val="nil"/>
                    <w:tr2bl w:val="nil"/>
                  </w:tcBorders>
                  <w:vAlign w:val="center"/>
                </w:tcPr>
                <w:p w14:paraId="6621A75A">
                  <w:pPr>
                    <w:pStyle w:val="72"/>
                    <w:spacing w:line="240" w:lineRule="auto"/>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浓度</w:t>
                  </w:r>
                </w:p>
              </w:tc>
              <w:tc>
                <w:tcPr>
                  <w:tcW w:w="0" w:type="auto"/>
                  <w:tcBorders>
                    <w:tl2br w:val="nil"/>
                    <w:tr2bl w:val="nil"/>
                  </w:tcBorders>
                  <w:vAlign w:val="center"/>
                </w:tcPr>
                <w:p w14:paraId="120786ED">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监控点</w:t>
                  </w:r>
                </w:p>
              </w:tc>
              <w:tc>
                <w:tcPr>
                  <w:tcW w:w="0" w:type="auto"/>
                  <w:tcBorders>
                    <w:tl2br w:val="nil"/>
                    <w:tr2bl w:val="nil"/>
                  </w:tcBorders>
                  <w:vAlign w:val="center"/>
                </w:tcPr>
                <w:p w14:paraId="729EE2F1">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p>
              </w:tc>
            </w:tr>
            <w:tr w14:paraId="3B1A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0" w:type="auto"/>
                  <w:tcBorders>
                    <w:tl2br w:val="nil"/>
                    <w:tr2bl w:val="nil"/>
                  </w:tcBorders>
                  <w:vAlign w:val="center"/>
                </w:tcPr>
                <w:p w14:paraId="2FE1911F">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1</w:t>
                  </w:r>
                </w:p>
              </w:tc>
              <w:tc>
                <w:tcPr>
                  <w:tcW w:w="0" w:type="auto"/>
                  <w:tcBorders>
                    <w:tl2br w:val="nil"/>
                    <w:tr2bl w:val="nil"/>
                  </w:tcBorders>
                  <w:vAlign w:val="center"/>
                </w:tcPr>
                <w:p w14:paraId="572574FA">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0" w:type="auto"/>
                  <w:vMerge w:val="restart"/>
                  <w:tcBorders>
                    <w:tl2br w:val="nil"/>
                    <w:tr2bl w:val="nil"/>
                  </w:tcBorders>
                  <w:vAlign w:val="center"/>
                </w:tcPr>
                <w:p w14:paraId="3A4B1ABF">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0" w:type="auto"/>
                  <w:tcBorders>
                    <w:tl2br w:val="nil"/>
                    <w:tr2bl w:val="nil"/>
                  </w:tcBorders>
                  <w:vAlign w:val="center"/>
                </w:tcPr>
                <w:p w14:paraId="74C1B6AE">
                  <w:pPr>
                    <w:pStyle w:val="72"/>
                    <w:spacing w:line="240" w:lineRule="auto"/>
                    <w:ind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速率：</w:t>
                  </w:r>
                  <w:r>
                    <w:rPr>
                      <w:color w:val="000000" w:themeColor="text1"/>
                      <w14:textFill>
                        <w14:solidFill>
                          <w14:schemeClr w14:val="tx1"/>
                        </w14:solidFill>
                      </w14:textFill>
                    </w:rPr>
                    <w:t>0.33</w:t>
                  </w:r>
                  <w:r>
                    <w:rPr>
                      <w:rFonts w:hint="eastAsia"/>
                      <w:color w:val="000000" w:themeColor="text1"/>
                      <w:lang w:val="en-US" w:eastAsia="zh-CN"/>
                      <w14:textFill>
                        <w14:solidFill>
                          <w14:schemeClr w14:val="tx1"/>
                        </w14:solidFill>
                      </w14:textFill>
                    </w:rPr>
                    <w:t>kg/h</w:t>
                  </w:r>
                </w:p>
              </w:tc>
              <w:tc>
                <w:tcPr>
                  <w:tcW w:w="0" w:type="auto"/>
                  <w:vMerge w:val="restart"/>
                  <w:tcBorders>
                    <w:tl2br w:val="nil"/>
                    <w:tr2bl w:val="nil"/>
                  </w:tcBorders>
                  <w:vAlign w:val="center"/>
                </w:tcPr>
                <w:p w14:paraId="4AEE899A">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周界外浓</w:t>
                  </w:r>
                </w:p>
                <w:p w14:paraId="034D9D47">
                  <w:pPr>
                    <w:pStyle w:val="72"/>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度最高点</w:t>
                  </w:r>
                </w:p>
              </w:tc>
              <w:tc>
                <w:tcPr>
                  <w:tcW w:w="0" w:type="auto"/>
                  <w:tcBorders>
                    <w:tl2br w:val="nil"/>
                    <w:tr2bl w:val="nil"/>
                  </w:tcBorders>
                  <w:vAlign w:val="center"/>
                </w:tcPr>
                <w:p w14:paraId="0E267F94">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r>
            <w:tr w14:paraId="5360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l2br w:val="nil"/>
                    <w:tr2bl w:val="nil"/>
                  </w:tcBorders>
                  <w:vAlign w:val="center"/>
                </w:tcPr>
                <w:p w14:paraId="37609FE1">
                  <w:pPr>
                    <w:pStyle w:val="72"/>
                    <w:spacing w:line="240" w:lineRule="auto"/>
                    <w:ind w:firstLine="0" w:firstLineChars="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0" w:type="auto"/>
                  <w:tcBorders>
                    <w:tl2br w:val="nil"/>
                    <w:tr2bl w:val="nil"/>
                  </w:tcBorders>
                  <w:vAlign w:val="center"/>
                </w:tcPr>
                <w:p w14:paraId="03F804F3">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臭气浓度</w:t>
                  </w:r>
                </w:p>
              </w:tc>
              <w:tc>
                <w:tcPr>
                  <w:tcW w:w="0" w:type="auto"/>
                  <w:vMerge w:val="continue"/>
                  <w:tcBorders>
                    <w:tl2br w:val="nil"/>
                    <w:tr2bl w:val="nil"/>
                  </w:tcBorders>
                  <w:vAlign w:val="center"/>
                </w:tcPr>
                <w:p w14:paraId="2EC99AB6">
                  <w:pPr>
                    <w:pStyle w:val="72"/>
                    <w:spacing w:line="240" w:lineRule="auto"/>
                    <w:ind w:firstLine="0" w:firstLineChars="0"/>
                    <w:rPr>
                      <w:color w:val="000000" w:themeColor="text1"/>
                      <w14:textFill>
                        <w14:solidFill>
                          <w14:schemeClr w14:val="tx1"/>
                        </w14:solidFill>
                      </w14:textFill>
                    </w:rPr>
                  </w:pPr>
                </w:p>
              </w:tc>
              <w:tc>
                <w:tcPr>
                  <w:tcW w:w="0" w:type="auto"/>
                  <w:tcBorders>
                    <w:tl2br w:val="nil"/>
                    <w:tr2bl w:val="nil"/>
                  </w:tcBorders>
                  <w:vAlign w:val="center"/>
                </w:tcPr>
                <w:p w14:paraId="40A65CD1">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2000（无量纲）</w:t>
                  </w:r>
                </w:p>
              </w:tc>
              <w:tc>
                <w:tcPr>
                  <w:tcW w:w="0" w:type="auto"/>
                  <w:vMerge w:val="continue"/>
                  <w:tcBorders>
                    <w:tl2br w:val="nil"/>
                    <w:tr2bl w:val="nil"/>
                  </w:tcBorders>
                  <w:vAlign w:val="center"/>
                </w:tcPr>
                <w:p w14:paraId="7D37E7E5">
                  <w:pPr>
                    <w:pStyle w:val="72"/>
                    <w:spacing w:line="240" w:lineRule="auto"/>
                    <w:ind w:firstLine="0" w:firstLineChars="0"/>
                    <w:rPr>
                      <w:color w:val="000000" w:themeColor="text1"/>
                      <w14:textFill>
                        <w14:solidFill>
                          <w14:schemeClr w14:val="tx1"/>
                        </w14:solidFill>
                      </w14:textFill>
                    </w:rPr>
                  </w:pPr>
                </w:p>
              </w:tc>
              <w:tc>
                <w:tcPr>
                  <w:tcW w:w="0" w:type="auto"/>
                  <w:tcBorders>
                    <w:tl2br w:val="nil"/>
                    <w:tr2bl w:val="nil"/>
                  </w:tcBorders>
                  <w:vAlign w:val="center"/>
                </w:tcPr>
                <w:p w14:paraId="3F53690C">
                  <w:pPr>
                    <w:pStyle w:val="72"/>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20（无量纲）</w:t>
                  </w:r>
                </w:p>
              </w:tc>
            </w:tr>
          </w:tbl>
          <w:p w14:paraId="30007778">
            <w:pPr>
              <w:ind w:firstLine="480"/>
              <w:jc w:val="left"/>
              <w:rPr>
                <w:bCs/>
                <w:color w:val="000000" w:themeColor="text1"/>
                <w14:textFill>
                  <w14:solidFill>
                    <w14:schemeClr w14:val="tx1"/>
                  </w14:solidFill>
                </w14:textFill>
              </w:rPr>
            </w:pP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无组织有机</w:t>
            </w:r>
            <w:r>
              <w:rPr>
                <w:bCs/>
                <w:color w:val="000000" w:themeColor="text1"/>
                <w14:textFill>
                  <w14:solidFill>
                    <w14:schemeClr w14:val="tx1"/>
                  </w14:solidFill>
                </w14:textFill>
              </w:rPr>
              <w:t>废气</w:t>
            </w:r>
          </w:p>
          <w:p w14:paraId="5FD3D6AC">
            <w:pPr>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无水乙醇和甲醇等产生的挥发性废气以非甲烷总烃表征，实验过程中厂界内非甲烷总烃无组织排放执行《挥发性有机物无组织排放控制标准》（GB37822-2019）</w:t>
            </w:r>
            <w:r>
              <w:rPr>
                <w:rFonts w:hint="eastAsia"/>
                <w:bCs/>
                <w:color w:val="000000" w:themeColor="text1"/>
                <w:lang w:val="en-US" w:eastAsia="zh-CN"/>
                <w14:textFill>
                  <w14:solidFill>
                    <w14:schemeClr w14:val="tx1"/>
                  </w14:solidFill>
                </w14:textFill>
              </w:rPr>
              <w:t>附录A.1</w:t>
            </w:r>
            <w:r>
              <w:rPr>
                <w:rFonts w:hint="eastAsia"/>
                <w:bCs/>
                <w:color w:val="000000" w:themeColor="text1"/>
                <w14:textFill>
                  <w14:solidFill>
                    <w14:schemeClr w14:val="tx1"/>
                  </w14:solidFill>
                </w14:textFill>
              </w:rPr>
              <w:t>厂区内无组织排放限值</w:t>
            </w:r>
            <w:r>
              <w:rPr>
                <w:bCs/>
                <w:color w:val="000000" w:themeColor="text1"/>
                <w14:textFill>
                  <w14:solidFill>
                    <w14:schemeClr w14:val="tx1"/>
                  </w14:solidFill>
                </w14:textFill>
              </w:rPr>
              <w:t>。</w:t>
            </w:r>
          </w:p>
          <w:p w14:paraId="2DB23B61">
            <w:pPr>
              <w:pStyle w:val="20"/>
              <w:spacing w:after="0" w:line="240" w:lineRule="auto"/>
              <w:ind w:left="0" w:leftChars="0" w:firstLine="482"/>
              <w:jc w:val="center"/>
              <w:rPr>
                <w:color w:val="000000" w:themeColor="text1"/>
                <w14:textFill>
                  <w14:solidFill>
                    <w14:schemeClr w14:val="tx1"/>
                  </w14:solidFill>
                </w14:textFill>
              </w:rPr>
            </w:pPr>
            <w:r>
              <w:rPr>
                <w:b/>
                <w:bCs/>
                <w:color w:val="000000" w:themeColor="text1"/>
                <w:sz w:val="21"/>
                <w:szCs w:val="21"/>
                <w14:textFill>
                  <w14:solidFill>
                    <w14:schemeClr w14:val="tx1"/>
                  </w14:solidFill>
                </w14:textFill>
              </w:rPr>
              <w:t>表3-</w:t>
            </w:r>
            <w:r>
              <w:rPr>
                <w:rFonts w:hint="eastAsia"/>
                <w:b/>
                <w:bCs/>
                <w:color w:val="000000" w:themeColor="text1"/>
                <w:sz w:val="21"/>
                <w:szCs w:val="21"/>
                <w:lang w:val="en-US" w:eastAsia="zh-CN"/>
                <w14:textFill>
                  <w14:solidFill>
                    <w14:schemeClr w14:val="tx1"/>
                  </w14:solidFill>
                </w14:textFill>
              </w:rPr>
              <w:t>6</w:t>
            </w:r>
            <w:r>
              <w:rPr>
                <w:rFonts w:hint="eastAsia"/>
                <w:b/>
                <w:bCs/>
                <w:color w:val="000000" w:themeColor="text1"/>
                <w:sz w:val="21"/>
                <w:szCs w:val="21"/>
                <w14:textFill>
                  <w14:solidFill>
                    <w14:schemeClr w14:val="tx1"/>
                  </w14:solidFill>
                </w14:textFill>
              </w:rPr>
              <w:t>非甲烷总烃无组织</w:t>
            </w:r>
            <w:r>
              <w:rPr>
                <w:b/>
                <w:bCs/>
                <w:color w:val="000000" w:themeColor="text1"/>
                <w:sz w:val="21"/>
                <w:szCs w:val="21"/>
                <w14:textFill>
                  <w14:solidFill>
                    <w14:schemeClr w14:val="tx1"/>
                  </w14:solidFill>
                </w14:textFill>
              </w:rPr>
              <w:t>排放标准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28"/>
              <w:gridCol w:w="999"/>
              <w:gridCol w:w="2762"/>
              <w:gridCol w:w="3623"/>
            </w:tblGrid>
            <w:tr w14:paraId="5A6E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4" w:type="pct"/>
                  <w:vMerge w:val="restart"/>
                  <w:tcBorders>
                    <w:tl2br w:val="nil"/>
                    <w:tr2bl w:val="nil"/>
                  </w:tcBorders>
                  <w:vAlign w:val="center"/>
                </w:tcPr>
                <w:p w14:paraId="5E6C871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排放形式</w:t>
                  </w:r>
                </w:p>
              </w:tc>
              <w:tc>
                <w:tcPr>
                  <w:tcW w:w="2289" w:type="pct"/>
                  <w:gridSpan w:val="2"/>
                  <w:tcBorders>
                    <w:tl2br w:val="nil"/>
                    <w:tr2bl w:val="nil"/>
                  </w:tcBorders>
                  <w:vAlign w:val="center"/>
                </w:tcPr>
                <w:p w14:paraId="4F29EF4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浓度限值</w:t>
                  </w:r>
                </w:p>
              </w:tc>
              <w:tc>
                <w:tcPr>
                  <w:tcW w:w="2205" w:type="pct"/>
                  <w:vMerge w:val="restart"/>
                  <w:tcBorders>
                    <w:tl2br w:val="nil"/>
                    <w:tr2bl w:val="nil"/>
                  </w:tcBorders>
                  <w:vAlign w:val="center"/>
                </w:tcPr>
                <w:p w14:paraId="315DF2C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标准依据</w:t>
                  </w:r>
                </w:p>
              </w:tc>
            </w:tr>
            <w:tr w14:paraId="4043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4" w:type="pct"/>
                  <w:vMerge w:val="continue"/>
                  <w:tcBorders>
                    <w:tl2br w:val="nil"/>
                    <w:tr2bl w:val="nil"/>
                  </w:tcBorders>
                  <w:vAlign w:val="center"/>
                </w:tcPr>
                <w:p w14:paraId="65B45AF7">
                  <w:pPr>
                    <w:spacing w:line="240" w:lineRule="auto"/>
                    <w:ind w:firstLine="0" w:firstLineChars="0"/>
                    <w:jc w:val="center"/>
                    <w:rPr>
                      <w:color w:val="000000" w:themeColor="text1"/>
                      <w:sz w:val="21"/>
                      <w:szCs w:val="21"/>
                      <w14:textFill>
                        <w14:solidFill>
                          <w14:schemeClr w14:val="tx1"/>
                        </w14:solidFill>
                      </w14:textFill>
                    </w:rPr>
                  </w:pPr>
                </w:p>
              </w:tc>
              <w:tc>
                <w:tcPr>
                  <w:tcW w:w="608" w:type="pct"/>
                  <w:tcBorders>
                    <w:tl2br w:val="nil"/>
                    <w:tr2bl w:val="nil"/>
                  </w:tcBorders>
                  <w:vAlign w:val="center"/>
                </w:tcPr>
                <w:p w14:paraId="49E49AC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监控点</w:t>
                  </w:r>
                </w:p>
              </w:tc>
              <w:tc>
                <w:tcPr>
                  <w:tcW w:w="1681" w:type="pct"/>
                  <w:tcBorders>
                    <w:tl2br w:val="nil"/>
                    <w:tr2bl w:val="nil"/>
                  </w:tcBorders>
                  <w:vAlign w:val="center"/>
                </w:tcPr>
                <w:p w14:paraId="5717BEB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浓度（mg/m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2205" w:type="pct"/>
                  <w:vMerge w:val="continue"/>
                  <w:tcBorders>
                    <w:tl2br w:val="nil"/>
                    <w:tr2bl w:val="nil"/>
                  </w:tcBorders>
                  <w:vAlign w:val="center"/>
                </w:tcPr>
                <w:p w14:paraId="5CCB1871">
                  <w:pPr>
                    <w:spacing w:line="240" w:lineRule="auto"/>
                    <w:ind w:firstLine="0" w:firstLineChars="0"/>
                    <w:jc w:val="center"/>
                    <w:rPr>
                      <w:color w:val="000000" w:themeColor="text1"/>
                      <w:sz w:val="21"/>
                      <w:szCs w:val="21"/>
                      <w14:textFill>
                        <w14:solidFill>
                          <w14:schemeClr w14:val="tx1"/>
                        </w14:solidFill>
                      </w14:textFill>
                    </w:rPr>
                  </w:pPr>
                </w:p>
              </w:tc>
            </w:tr>
            <w:tr w14:paraId="5219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4" w:type="pct"/>
                  <w:tcBorders>
                    <w:tl2br w:val="nil"/>
                    <w:tr2bl w:val="nil"/>
                  </w:tcBorders>
                  <w:vAlign w:val="center"/>
                </w:tcPr>
                <w:p w14:paraId="5588B10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w:t>
                  </w:r>
                </w:p>
              </w:tc>
              <w:tc>
                <w:tcPr>
                  <w:tcW w:w="608" w:type="pct"/>
                  <w:tcBorders>
                    <w:tl2br w:val="nil"/>
                    <w:tr2bl w:val="nil"/>
                  </w:tcBorders>
                  <w:vAlign w:val="center"/>
                </w:tcPr>
                <w:p w14:paraId="762C6AC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厂房外设置监控点</w:t>
                  </w:r>
                </w:p>
              </w:tc>
              <w:tc>
                <w:tcPr>
                  <w:tcW w:w="1681" w:type="pct"/>
                  <w:tcBorders>
                    <w:tl2br w:val="nil"/>
                    <w:tr2bl w:val="nil"/>
                  </w:tcBorders>
                  <w:vAlign w:val="center"/>
                </w:tcPr>
                <w:p w14:paraId="3A2F96C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监控点处</w:t>
                  </w:r>
                  <w:r>
                    <w:rPr>
                      <w:color w:val="000000" w:themeColor="text1"/>
                      <w:sz w:val="21"/>
                      <w:szCs w:val="21"/>
                      <w14:textFill>
                        <w14:solidFill>
                          <w14:schemeClr w14:val="tx1"/>
                        </w14:solidFill>
                      </w14:textFill>
                    </w:rPr>
                    <w:t>1h</w:t>
                  </w:r>
                  <w:r>
                    <w:rPr>
                      <w:rFonts w:hint="eastAsia"/>
                      <w:color w:val="000000" w:themeColor="text1"/>
                      <w:sz w:val="21"/>
                      <w:szCs w:val="21"/>
                      <w14:textFill>
                        <w14:solidFill>
                          <w14:schemeClr w14:val="tx1"/>
                        </w14:solidFill>
                      </w14:textFill>
                    </w:rPr>
                    <w:t>平均浓度值6；</w:t>
                  </w:r>
                </w:p>
                <w:p w14:paraId="6F71E6B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监控点处任意一次浓度值20</w:t>
                  </w:r>
                </w:p>
              </w:tc>
              <w:tc>
                <w:tcPr>
                  <w:tcW w:w="2205" w:type="pct"/>
                  <w:tcBorders>
                    <w:tl2br w:val="nil"/>
                    <w:tr2bl w:val="nil"/>
                  </w:tcBorders>
                  <w:vAlign w:val="center"/>
                </w:tcPr>
                <w:p w14:paraId="5E8A381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《挥发性有机物无组织排放控制标准》（GB37822-2019）附录A表A.1</w:t>
                  </w:r>
                </w:p>
              </w:tc>
            </w:tr>
            <w:bookmarkEnd w:id="13"/>
          </w:tbl>
          <w:p w14:paraId="51843664">
            <w:pPr>
              <w:ind w:firstLine="482"/>
              <w:rPr>
                <w:b/>
                <w:color w:val="000000" w:themeColor="text1"/>
                <w14:textFill>
                  <w14:solidFill>
                    <w14:schemeClr w14:val="tx1"/>
                  </w14:solidFill>
                </w14:textFill>
              </w:rPr>
            </w:pPr>
            <w:r>
              <w:rPr>
                <w:b/>
                <w:color w:val="000000" w:themeColor="text1"/>
                <w14:textFill>
                  <w14:solidFill>
                    <w14:schemeClr w14:val="tx1"/>
                  </w14:solidFill>
                </w14:textFill>
              </w:rPr>
              <w:t>2、废水</w:t>
            </w:r>
          </w:p>
          <w:p w14:paraId="35992E3F">
            <w:pPr>
              <w:widowControl/>
              <w:ind w:firstLine="480"/>
              <w:jc w:val="both"/>
              <w:rPr>
                <w:color w:val="000000" w:themeColor="text1"/>
                <w14:textFill>
                  <w14:solidFill>
                    <w14:schemeClr w14:val="tx1"/>
                  </w14:solidFill>
                </w14:textFill>
              </w:rPr>
            </w:pPr>
            <w:r>
              <w:rPr>
                <w:rFonts w:hint="eastAsia"/>
                <w:color w:val="000000" w:themeColor="text1"/>
                <w:kern w:val="0"/>
                <w:lang w:val="en-US" w:eastAsia="zh-CN" w:bidi="ar"/>
                <w14:textFill>
                  <w14:solidFill>
                    <w14:schemeClr w14:val="tx1"/>
                  </w14:solidFill>
                </w14:textFill>
              </w:rPr>
              <w:t>本项目生活废水、纯水机制备废水、超声清洗废水经管网进入库尔勒经济技术开发区工业废水处理回用厂</w:t>
            </w:r>
            <w:r>
              <w:rPr>
                <w:rFonts w:hint="eastAsia"/>
                <w:color w:val="000000" w:themeColor="text1"/>
                <w:kern w:val="0"/>
                <w:lang w:eastAsia="zh-CN" w:bidi="ar"/>
                <w14:textFill>
                  <w14:solidFill>
                    <w14:schemeClr w14:val="tx1"/>
                  </w14:solidFill>
                </w14:textFill>
              </w:rPr>
              <w:t>，</w:t>
            </w:r>
            <w:r>
              <w:rPr>
                <w:color w:val="000000" w:themeColor="text1"/>
                <w:kern w:val="0"/>
                <w:lang w:bidi="ar"/>
                <w14:textFill>
                  <w14:solidFill>
                    <w14:schemeClr w14:val="tx1"/>
                  </w14:solidFill>
                </w14:textFill>
              </w:rPr>
              <w:t>入厂水质控制指标为《污水综合排放标准》（GB8978-1996）三级标准，氨氮</w:t>
            </w:r>
            <w:r>
              <w:rPr>
                <w:rFonts w:hint="eastAsia"/>
                <w:color w:val="000000" w:themeColor="text1"/>
                <w:kern w:val="0"/>
                <w:lang w:eastAsia="zh-CN" w:bidi="ar"/>
                <w14:textFill>
                  <w14:solidFill>
                    <w14:schemeClr w14:val="tx1"/>
                  </w14:solidFill>
                </w14:textFill>
              </w:rPr>
              <w:t>参照</w:t>
            </w:r>
            <w:r>
              <w:rPr>
                <w:color w:val="000000" w:themeColor="text1"/>
                <w:kern w:val="0"/>
                <w:lang w:bidi="ar"/>
                <w14:textFill>
                  <w14:solidFill>
                    <w14:schemeClr w14:val="tx1"/>
                  </w14:solidFill>
                </w14:textFill>
              </w:rPr>
              <w:t>《污水排入城镇下水道水质标准》（GB/T31962-2015）表1中B级标准限值。</w:t>
            </w:r>
          </w:p>
          <w:p w14:paraId="75581719">
            <w:pPr>
              <w:numPr>
                <w:ilvl w:val="255"/>
                <w:numId w:val="0"/>
              </w:num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表3-</w:t>
            </w:r>
            <w:r>
              <w:rPr>
                <w:rFonts w:hint="eastAsia"/>
                <w:b/>
                <w:color w:val="000000" w:themeColor="text1"/>
                <w:sz w:val="21"/>
                <w:szCs w:val="21"/>
                <w:lang w:val="en-US" w:eastAsia="zh-CN"/>
                <w14:textFill>
                  <w14:solidFill>
                    <w14:schemeClr w14:val="tx1"/>
                  </w14:solidFill>
                </w14:textFill>
              </w:rPr>
              <w:t>7</w:t>
            </w:r>
            <w:r>
              <w:rPr>
                <w:b/>
                <w:color w:val="000000" w:themeColor="text1"/>
                <w:sz w:val="21"/>
                <w:szCs w:val="21"/>
                <w14:textFill>
                  <w14:solidFill>
                    <w14:schemeClr w14:val="tx1"/>
                  </w14:solidFill>
                </w14:textFill>
              </w:rPr>
              <w:t>项目污水排放标准限值一览表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606"/>
              <w:gridCol w:w="4048"/>
            </w:tblGrid>
            <w:tr w14:paraId="4AEC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l2br w:val="nil"/>
                    <w:tr2bl w:val="nil"/>
                  </w:tcBorders>
                  <w:vAlign w:val="center"/>
                </w:tcPr>
                <w:p w14:paraId="169D9C7C">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污染物名称</w:t>
                  </w:r>
                </w:p>
              </w:tc>
              <w:tc>
                <w:tcPr>
                  <w:tcW w:w="1587" w:type="pct"/>
                  <w:tcBorders>
                    <w:tl2br w:val="nil"/>
                    <w:tr2bl w:val="nil"/>
                  </w:tcBorders>
                  <w:vAlign w:val="center"/>
                </w:tcPr>
                <w:p w14:paraId="176251FE">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标准限值（mg/L）</w:t>
                  </w:r>
                </w:p>
              </w:tc>
              <w:tc>
                <w:tcPr>
                  <w:tcW w:w="2465" w:type="pct"/>
                  <w:tcBorders>
                    <w:tl2br w:val="nil"/>
                    <w:tr2bl w:val="nil"/>
                  </w:tcBorders>
                  <w:vAlign w:val="center"/>
                </w:tcPr>
                <w:p w14:paraId="6C3D2E81">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标准来源</w:t>
                  </w:r>
                </w:p>
              </w:tc>
            </w:tr>
            <w:tr w14:paraId="47B5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l2br w:val="nil"/>
                    <w:tr2bl w:val="nil"/>
                  </w:tcBorders>
                  <w:vAlign w:val="center"/>
                </w:tcPr>
                <w:p w14:paraId="1995F9CA">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pH值</w:t>
                  </w:r>
                </w:p>
              </w:tc>
              <w:tc>
                <w:tcPr>
                  <w:tcW w:w="1587" w:type="pct"/>
                  <w:tcBorders>
                    <w:tl2br w:val="nil"/>
                    <w:tr2bl w:val="nil"/>
                  </w:tcBorders>
                  <w:vAlign w:val="center"/>
                </w:tcPr>
                <w:p w14:paraId="6EB64978">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6-9（无量纲）</w:t>
                  </w:r>
                </w:p>
              </w:tc>
              <w:tc>
                <w:tcPr>
                  <w:tcW w:w="2465" w:type="pct"/>
                  <w:vMerge w:val="restart"/>
                  <w:tcBorders>
                    <w:tl2br w:val="nil"/>
                    <w:tr2bl w:val="nil"/>
                  </w:tcBorders>
                  <w:vAlign w:val="center"/>
                </w:tcPr>
                <w:p w14:paraId="68BD4529">
                  <w:pPr>
                    <w:numPr>
                      <w:ilvl w:val="255"/>
                      <w:numId w:val="0"/>
                    </w:numPr>
                    <w:spacing w:line="240" w:lineRule="auto"/>
                    <w:jc w:val="center"/>
                    <w:rPr>
                      <w:bCs/>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《污水综合排放标准》（GB8978-1996）三级标准</w:t>
                  </w:r>
                </w:p>
              </w:tc>
            </w:tr>
            <w:tr w14:paraId="2A95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l2br w:val="nil"/>
                    <w:tr2bl w:val="nil"/>
                  </w:tcBorders>
                  <w:vAlign w:val="center"/>
                </w:tcPr>
                <w:p w14:paraId="04899C39">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COD</w:t>
                  </w:r>
                </w:p>
              </w:tc>
              <w:tc>
                <w:tcPr>
                  <w:tcW w:w="1587" w:type="pct"/>
                  <w:tcBorders>
                    <w:tl2br w:val="nil"/>
                    <w:tr2bl w:val="nil"/>
                  </w:tcBorders>
                  <w:vAlign w:val="center"/>
                </w:tcPr>
                <w:p w14:paraId="58D2241B">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500</w:t>
                  </w:r>
                </w:p>
              </w:tc>
              <w:tc>
                <w:tcPr>
                  <w:tcW w:w="2465" w:type="pct"/>
                  <w:vMerge w:val="continue"/>
                  <w:tcBorders>
                    <w:tl2br w:val="nil"/>
                    <w:tr2bl w:val="nil"/>
                  </w:tcBorders>
                  <w:vAlign w:val="center"/>
                </w:tcPr>
                <w:p w14:paraId="50546EB6">
                  <w:pPr>
                    <w:numPr>
                      <w:ilvl w:val="255"/>
                      <w:numId w:val="0"/>
                    </w:numPr>
                    <w:spacing w:line="240" w:lineRule="auto"/>
                    <w:jc w:val="center"/>
                    <w:rPr>
                      <w:bCs/>
                      <w:color w:val="000000" w:themeColor="text1"/>
                      <w:sz w:val="21"/>
                      <w:szCs w:val="21"/>
                      <w14:textFill>
                        <w14:solidFill>
                          <w14:schemeClr w14:val="tx1"/>
                        </w14:solidFill>
                      </w14:textFill>
                    </w:rPr>
                  </w:pPr>
                </w:p>
              </w:tc>
            </w:tr>
            <w:tr w14:paraId="1B58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l2br w:val="nil"/>
                    <w:tr2bl w:val="nil"/>
                  </w:tcBorders>
                  <w:vAlign w:val="center"/>
                </w:tcPr>
                <w:p w14:paraId="7886EC62">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BOD</w:t>
                  </w:r>
                  <w:r>
                    <w:rPr>
                      <w:bCs/>
                      <w:color w:val="000000" w:themeColor="text1"/>
                      <w:sz w:val="21"/>
                      <w:szCs w:val="21"/>
                      <w:vertAlign w:val="subscript"/>
                      <w14:textFill>
                        <w14:solidFill>
                          <w14:schemeClr w14:val="tx1"/>
                        </w14:solidFill>
                      </w14:textFill>
                    </w:rPr>
                    <w:t>5</w:t>
                  </w:r>
                </w:p>
              </w:tc>
              <w:tc>
                <w:tcPr>
                  <w:tcW w:w="1587" w:type="pct"/>
                  <w:tcBorders>
                    <w:tl2br w:val="nil"/>
                    <w:tr2bl w:val="nil"/>
                  </w:tcBorders>
                  <w:vAlign w:val="center"/>
                </w:tcPr>
                <w:p w14:paraId="3B328C9C">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300</w:t>
                  </w:r>
                </w:p>
              </w:tc>
              <w:tc>
                <w:tcPr>
                  <w:tcW w:w="2465" w:type="pct"/>
                  <w:vMerge w:val="continue"/>
                  <w:tcBorders>
                    <w:tl2br w:val="nil"/>
                    <w:tr2bl w:val="nil"/>
                  </w:tcBorders>
                  <w:vAlign w:val="center"/>
                </w:tcPr>
                <w:p w14:paraId="7453AA3C">
                  <w:pPr>
                    <w:numPr>
                      <w:ilvl w:val="255"/>
                      <w:numId w:val="0"/>
                    </w:numPr>
                    <w:spacing w:line="240" w:lineRule="auto"/>
                    <w:jc w:val="center"/>
                    <w:rPr>
                      <w:bCs/>
                      <w:color w:val="000000" w:themeColor="text1"/>
                      <w:sz w:val="21"/>
                      <w:szCs w:val="21"/>
                      <w14:textFill>
                        <w14:solidFill>
                          <w14:schemeClr w14:val="tx1"/>
                        </w14:solidFill>
                      </w14:textFill>
                    </w:rPr>
                  </w:pPr>
                </w:p>
              </w:tc>
            </w:tr>
            <w:tr w14:paraId="2461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l2br w:val="nil"/>
                    <w:tr2bl w:val="nil"/>
                  </w:tcBorders>
                  <w:vAlign w:val="center"/>
                </w:tcPr>
                <w:p w14:paraId="132D8990">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SS</w:t>
                  </w:r>
                </w:p>
              </w:tc>
              <w:tc>
                <w:tcPr>
                  <w:tcW w:w="1587" w:type="pct"/>
                  <w:tcBorders>
                    <w:tl2br w:val="nil"/>
                    <w:tr2bl w:val="nil"/>
                  </w:tcBorders>
                  <w:vAlign w:val="center"/>
                </w:tcPr>
                <w:p w14:paraId="03FDDC8C">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400</w:t>
                  </w:r>
                </w:p>
              </w:tc>
              <w:tc>
                <w:tcPr>
                  <w:tcW w:w="2465" w:type="pct"/>
                  <w:vMerge w:val="continue"/>
                  <w:tcBorders>
                    <w:tl2br w:val="nil"/>
                    <w:tr2bl w:val="nil"/>
                  </w:tcBorders>
                  <w:vAlign w:val="center"/>
                </w:tcPr>
                <w:p w14:paraId="6A1285FD">
                  <w:pPr>
                    <w:numPr>
                      <w:ilvl w:val="255"/>
                      <w:numId w:val="0"/>
                    </w:numPr>
                    <w:spacing w:line="240" w:lineRule="auto"/>
                    <w:jc w:val="center"/>
                    <w:rPr>
                      <w:bCs/>
                      <w:color w:val="000000" w:themeColor="text1"/>
                      <w:sz w:val="21"/>
                      <w:szCs w:val="21"/>
                      <w14:textFill>
                        <w14:solidFill>
                          <w14:schemeClr w14:val="tx1"/>
                        </w14:solidFill>
                      </w14:textFill>
                    </w:rPr>
                  </w:pPr>
                </w:p>
              </w:tc>
            </w:tr>
            <w:tr w14:paraId="168A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l2br w:val="nil"/>
                    <w:tr2bl w:val="nil"/>
                  </w:tcBorders>
                  <w:vAlign w:val="center"/>
                </w:tcPr>
                <w:p w14:paraId="28695B7A">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NH</w:t>
                  </w:r>
                  <w:r>
                    <w:rPr>
                      <w:bCs/>
                      <w:color w:val="000000" w:themeColor="text1"/>
                      <w:sz w:val="21"/>
                      <w:szCs w:val="21"/>
                      <w:vertAlign w:val="subscript"/>
                      <w14:textFill>
                        <w14:solidFill>
                          <w14:schemeClr w14:val="tx1"/>
                        </w14:solidFill>
                      </w14:textFill>
                    </w:rPr>
                    <w:t>3</w:t>
                  </w:r>
                  <w:r>
                    <w:rPr>
                      <w:bCs/>
                      <w:color w:val="000000" w:themeColor="text1"/>
                      <w:sz w:val="21"/>
                      <w:szCs w:val="21"/>
                      <w14:textFill>
                        <w14:solidFill>
                          <w14:schemeClr w14:val="tx1"/>
                        </w14:solidFill>
                      </w14:textFill>
                    </w:rPr>
                    <w:t>-N</w:t>
                  </w:r>
                </w:p>
              </w:tc>
              <w:tc>
                <w:tcPr>
                  <w:tcW w:w="1587" w:type="pct"/>
                  <w:tcBorders>
                    <w:tl2br w:val="nil"/>
                    <w:tr2bl w:val="nil"/>
                  </w:tcBorders>
                  <w:vAlign w:val="center"/>
                </w:tcPr>
                <w:p w14:paraId="6160C70D">
                  <w:pPr>
                    <w:numPr>
                      <w:ilvl w:val="255"/>
                      <w:numId w:val="0"/>
                    </w:numPr>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45</w:t>
                  </w:r>
                </w:p>
              </w:tc>
              <w:tc>
                <w:tcPr>
                  <w:tcW w:w="2465" w:type="pct"/>
                  <w:tcBorders>
                    <w:tl2br w:val="nil"/>
                    <w:tr2bl w:val="nil"/>
                  </w:tcBorders>
                  <w:vAlign w:val="center"/>
                </w:tcPr>
                <w:p w14:paraId="5EF9F9A0">
                  <w:pPr>
                    <w:numPr>
                      <w:ilvl w:val="255"/>
                      <w:numId w:val="0"/>
                    </w:numPr>
                    <w:spacing w:line="240" w:lineRule="auto"/>
                    <w:jc w:val="center"/>
                    <w:rPr>
                      <w:bCs/>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《污水排入城镇下水道水质标准》（GB/T31962-2015）表1中B级</w:t>
                  </w:r>
                </w:p>
              </w:tc>
            </w:tr>
          </w:tbl>
          <w:p w14:paraId="694CD50A">
            <w:pPr>
              <w:numPr>
                <w:ilvl w:val="255"/>
                <w:numId w:val="0"/>
              </w:numPr>
              <w:ind w:firstLine="482" w:firstLineChars="200"/>
              <w:jc w:val="left"/>
              <w:rPr>
                <w:b/>
                <w:color w:val="000000" w:themeColor="text1"/>
                <w14:textFill>
                  <w14:solidFill>
                    <w14:schemeClr w14:val="tx1"/>
                  </w14:solidFill>
                </w14:textFill>
              </w:rPr>
            </w:pPr>
            <w:r>
              <w:rPr>
                <w:b/>
                <w:color w:val="000000" w:themeColor="text1"/>
                <w14:textFill>
                  <w14:solidFill>
                    <w14:schemeClr w14:val="tx1"/>
                  </w14:solidFill>
                </w14:textFill>
              </w:rPr>
              <w:t>3、噪声</w:t>
            </w:r>
          </w:p>
          <w:p w14:paraId="4B8B71C1">
            <w:pPr>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运营期四周厂界噪声排放执行《工业企业厂界环境噪声排放标准》（GB12348-2008）中的3类标准值</w:t>
            </w:r>
            <w:r>
              <w:rPr>
                <w:rFonts w:hint="eastAsia"/>
                <w:color w:val="000000" w:themeColor="text1"/>
                <w:lang w:eastAsia="zh-CN"/>
                <w14:textFill>
                  <w14:solidFill>
                    <w14:schemeClr w14:val="tx1"/>
                  </w14:solidFill>
                </w14:textFill>
              </w:rPr>
              <w:t>。</w:t>
            </w:r>
          </w:p>
          <w:p w14:paraId="0064D2FC">
            <w:pPr>
              <w:pStyle w:val="71"/>
              <w:spacing w:before="0" w:beforeLines="0" w:line="240" w:lineRule="auto"/>
              <w:ind w:firstLine="482"/>
              <w:rPr>
                <w:color w:val="000000" w:themeColor="text1"/>
                <w14:textFill>
                  <w14:solidFill>
                    <w14:schemeClr w14:val="tx1"/>
                  </w14:solidFill>
                </w14:textFill>
              </w:rPr>
            </w:pPr>
            <w:r>
              <w:rPr>
                <w:color w:val="000000" w:themeColor="text1"/>
                <w:sz w:val="21"/>
                <w:szCs w:val="21"/>
                <w14:textFill>
                  <w14:solidFill>
                    <w14:schemeClr w14:val="tx1"/>
                  </w14:solidFill>
                </w14:textFill>
              </w:rPr>
              <w:t>表3-</w:t>
            </w:r>
            <w:r>
              <w:rPr>
                <w:rFonts w:hint="eastAsia"/>
                <w:color w:val="000000" w:themeColor="text1"/>
                <w:sz w:val="21"/>
                <w:szCs w:val="21"/>
                <w:lang w:val="en-US" w:eastAsia="zh-CN"/>
                <w14:textFill>
                  <w14:solidFill>
                    <w14:schemeClr w14:val="tx1"/>
                  </w14:solidFill>
                </w14:textFill>
              </w:rPr>
              <w:t>8</w:t>
            </w:r>
            <w:r>
              <w:rPr>
                <w:color w:val="000000" w:themeColor="text1"/>
                <w:sz w:val="21"/>
                <w:szCs w:val="21"/>
                <w14:textFill>
                  <w14:solidFill>
                    <w14:schemeClr w14:val="tx1"/>
                  </w14:solidFill>
                </w14:textFill>
              </w:rPr>
              <w:t>工业企业厂界环境噪声排放标准单位：dB（A）</w:t>
            </w:r>
          </w:p>
          <w:tbl>
            <w:tblPr>
              <w:tblStyle w:val="29"/>
              <w:tblW w:w="4998"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5"/>
              <w:gridCol w:w="1521"/>
              <w:gridCol w:w="1552"/>
              <w:gridCol w:w="3751"/>
            </w:tblGrid>
            <w:tr w14:paraId="7362D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843" w:type="pct"/>
                  <w:vMerge w:val="restart"/>
                  <w:tcBorders>
                    <w:tl2br w:val="nil"/>
                    <w:tr2bl w:val="nil"/>
                  </w:tcBorders>
                  <w:vAlign w:val="center"/>
                </w:tcPr>
                <w:p w14:paraId="77BDC5C5">
                  <w:pPr>
                    <w:pStyle w:val="73"/>
                    <w:spacing w:line="240" w:lineRule="auto"/>
                    <w:ind w:firstLine="0" w:firstLineChars="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类别</w:t>
                  </w:r>
                </w:p>
              </w:tc>
              <w:tc>
                <w:tcPr>
                  <w:tcW w:w="1871" w:type="pct"/>
                  <w:gridSpan w:val="2"/>
                  <w:tcBorders>
                    <w:tl2br w:val="nil"/>
                    <w:tr2bl w:val="nil"/>
                  </w:tcBorders>
                  <w:vAlign w:val="center"/>
                </w:tcPr>
                <w:p w14:paraId="4086E0C2">
                  <w:pPr>
                    <w:pStyle w:val="73"/>
                    <w:spacing w:line="240" w:lineRule="auto"/>
                    <w:ind w:firstLine="0" w:firstLineChars="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标准值</w:t>
                  </w:r>
                </w:p>
              </w:tc>
              <w:tc>
                <w:tcPr>
                  <w:tcW w:w="2284" w:type="pct"/>
                  <w:vMerge w:val="restart"/>
                  <w:tcBorders>
                    <w:tl2br w:val="nil"/>
                    <w:tr2bl w:val="nil"/>
                  </w:tcBorders>
                  <w:vAlign w:val="center"/>
                </w:tcPr>
                <w:p w14:paraId="3800FFB0">
                  <w:pPr>
                    <w:pStyle w:val="73"/>
                    <w:spacing w:line="240" w:lineRule="auto"/>
                    <w:ind w:firstLine="0" w:firstLineChars="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标准来源</w:t>
                  </w:r>
                </w:p>
              </w:tc>
            </w:tr>
            <w:tr w14:paraId="1B1D1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exact"/>
              </w:trPr>
              <w:tc>
                <w:tcPr>
                  <w:tcW w:w="843" w:type="pct"/>
                  <w:vMerge w:val="continue"/>
                  <w:tcBorders>
                    <w:tl2br w:val="nil"/>
                    <w:tr2bl w:val="nil"/>
                  </w:tcBorders>
                  <w:vAlign w:val="center"/>
                </w:tcPr>
                <w:p w14:paraId="5D0D7833">
                  <w:pPr>
                    <w:pStyle w:val="73"/>
                    <w:spacing w:line="240" w:lineRule="auto"/>
                    <w:ind w:firstLine="0" w:firstLineChars="0"/>
                    <w:rPr>
                      <w:rFonts w:ascii="Times New Roman" w:hAnsi="Times New Roman"/>
                      <w:color w:val="000000" w:themeColor="text1"/>
                      <w:sz w:val="21"/>
                      <w14:textFill>
                        <w14:solidFill>
                          <w14:schemeClr w14:val="tx1"/>
                        </w14:solidFill>
                      </w14:textFill>
                    </w:rPr>
                  </w:pPr>
                </w:p>
              </w:tc>
              <w:tc>
                <w:tcPr>
                  <w:tcW w:w="926" w:type="pct"/>
                  <w:tcBorders>
                    <w:tl2br w:val="nil"/>
                    <w:tr2bl w:val="nil"/>
                  </w:tcBorders>
                  <w:vAlign w:val="center"/>
                </w:tcPr>
                <w:p w14:paraId="709E9935">
                  <w:pPr>
                    <w:pStyle w:val="73"/>
                    <w:spacing w:line="240" w:lineRule="auto"/>
                    <w:ind w:firstLine="0" w:firstLineChars="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昼间</w:t>
                  </w:r>
                </w:p>
              </w:tc>
              <w:tc>
                <w:tcPr>
                  <w:tcW w:w="945" w:type="pct"/>
                  <w:tcBorders>
                    <w:tl2br w:val="nil"/>
                    <w:tr2bl w:val="nil"/>
                  </w:tcBorders>
                  <w:vAlign w:val="center"/>
                </w:tcPr>
                <w:p w14:paraId="361BE54F">
                  <w:pPr>
                    <w:pStyle w:val="73"/>
                    <w:spacing w:line="240" w:lineRule="auto"/>
                    <w:ind w:firstLine="0" w:firstLineChars="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夜间</w:t>
                  </w:r>
                </w:p>
              </w:tc>
              <w:tc>
                <w:tcPr>
                  <w:tcW w:w="2284" w:type="pct"/>
                  <w:vMerge w:val="continue"/>
                  <w:tcBorders>
                    <w:tl2br w:val="nil"/>
                    <w:tr2bl w:val="nil"/>
                  </w:tcBorders>
                  <w:vAlign w:val="center"/>
                </w:tcPr>
                <w:p w14:paraId="431E1C47">
                  <w:pPr>
                    <w:pStyle w:val="73"/>
                    <w:spacing w:line="240" w:lineRule="auto"/>
                    <w:ind w:firstLine="0" w:firstLineChars="0"/>
                    <w:rPr>
                      <w:rFonts w:ascii="Times New Roman" w:hAnsi="Times New Roman"/>
                      <w:color w:val="000000" w:themeColor="text1"/>
                      <w:sz w:val="21"/>
                      <w14:textFill>
                        <w14:solidFill>
                          <w14:schemeClr w14:val="tx1"/>
                        </w14:solidFill>
                      </w14:textFill>
                    </w:rPr>
                  </w:pPr>
                </w:p>
              </w:tc>
            </w:tr>
            <w:tr w14:paraId="31207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exact"/>
              </w:trPr>
              <w:tc>
                <w:tcPr>
                  <w:tcW w:w="843" w:type="pct"/>
                  <w:tcBorders>
                    <w:tl2br w:val="nil"/>
                    <w:tr2bl w:val="nil"/>
                  </w:tcBorders>
                  <w:vAlign w:val="center"/>
                </w:tcPr>
                <w:p w14:paraId="12D96523">
                  <w:pPr>
                    <w:pStyle w:val="73"/>
                    <w:spacing w:line="240" w:lineRule="auto"/>
                    <w:ind w:firstLine="0" w:firstLineChars="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3类功能区</w:t>
                  </w:r>
                </w:p>
              </w:tc>
              <w:tc>
                <w:tcPr>
                  <w:tcW w:w="926" w:type="pct"/>
                  <w:tcBorders>
                    <w:tl2br w:val="nil"/>
                    <w:tr2bl w:val="nil"/>
                  </w:tcBorders>
                  <w:vAlign w:val="center"/>
                </w:tcPr>
                <w:p w14:paraId="78F8C9A4">
                  <w:pPr>
                    <w:pStyle w:val="73"/>
                    <w:spacing w:line="240" w:lineRule="auto"/>
                    <w:ind w:firstLine="0" w:firstLineChars="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65</w:t>
                  </w:r>
                </w:p>
              </w:tc>
              <w:tc>
                <w:tcPr>
                  <w:tcW w:w="945" w:type="pct"/>
                  <w:tcBorders>
                    <w:tl2br w:val="nil"/>
                    <w:tr2bl w:val="nil"/>
                  </w:tcBorders>
                  <w:vAlign w:val="center"/>
                </w:tcPr>
                <w:p w14:paraId="4C80281D">
                  <w:pPr>
                    <w:pStyle w:val="73"/>
                    <w:spacing w:line="240" w:lineRule="auto"/>
                    <w:ind w:firstLine="0" w:firstLineChars="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55</w:t>
                  </w:r>
                </w:p>
              </w:tc>
              <w:tc>
                <w:tcPr>
                  <w:tcW w:w="2284" w:type="pct"/>
                  <w:tcBorders>
                    <w:tl2br w:val="nil"/>
                    <w:tr2bl w:val="nil"/>
                  </w:tcBorders>
                  <w:vAlign w:val="center"/>
                </w:tcPr>
                <w:p w14:paraId="55E5A14D">
                  <w:pPr>
                    <w:pStyle w:val="73"/>
                    <w:spacing w:line="240" w:lineRule="auto"/>
                    <w:ind w:firstLine="0" w:firstLineChars="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《工业企业厂界环境噪声排放标准》（GB12348-2008）中的3类标准</w:t>
                  </w:r>
                </w:p>
              </w:tc>
            </w:tr>
          </w:tbl>
          <w:p w14:paraId="02A7E306">
            <w:pPr>
              <w:ind w:firstLine="482"/>
              <w:jc w:val="left"/>
              <w:rPr>
                <w:b/>
                <w:color w:val="000000" w:themeColor="text1"/>
                <w14:textFill>
                  <w14:solidFill>
                    <w14:schemeClr w14:val="tx1"/>
                  </w14:solidFill>
                </w14:textFill>
              </w:rPr>
            </w:pPr>
            <w:r>
              <w:rPr>
                <w:b/>
                <w:color w:val="000000" w:themeColor="text1"/>
                <w14:textFill>
                  <w14:solidFill>
                    <w14:schemeClr w14:val="tx1"/>
                  </w14:solidFill>
                </w14:textFill>
              </w:rPr>
              <w:t>4</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固废</w:t>
            </w:r>
          </w:p>
          <w:p w14:paraId="76E826DB">
            <w:pPr>
              <w:ind w:firstLine="480"/>
              <w:rPr>
                <w:color w:val="000000" w:themeColor="text1"/>
                <w14:textFill>
                  <w14:solidFill>
                    <w14:schemeClr w14:val="tx1"/>
                  </w14:solidFill>
                </w14:textFill>
              </w:rPr>
            </w:pPr>
            <w:r>
              <w:rPr>
                <w:color w:val="000000" w:themeColor="text1"/>
                <w14:textFill>
                  <w14:solidFill>
                    <w14:schemeClr w14:val="tx1"/>
                  </w14:solidFill>
                </w14:textFill>
              </w:rPr>
              <w:t>（1）一般固废处置执行</w:t>
            </w:r>
            <w:r>
              <w:rPr>
                <w:rFonts w:hint="eastAsia"/>
                <w:color w:val="000000" w:themeColor="text1"/>
                <w14:textFill>
                  <w14:solidFill>
                    <w14:schemeClr w14:val="tx1"/>
                  </w14:solidFill>
                </w14:textFill>
              </w:rPr>
              <w:t>《中华人民共和国固体废物污染环境防治法》（</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日修订）要求</w:t>
            </w:r>
            <w:r>
              <w:rPr>
                <w:color w:val="000000" w:themeColor="text1"/>
                <w14:textFill>
                  <w14:solidFill>
                    <w14:schemeClr w14:val="tx1"/>
                  </w14:solidFill>
                </w14:textFill>
              </w:rPr>
              <w:t>。</w:t>
            </w:r>
          </w:p>
          <w:p w14:paraId="4FD69AFE">
            <w:pPr>
              <w:ind w:firstLine="480"/>
              <w:rPr>
                <w:color w:val="000000" w:themeColor="text1"/>
                <w14:textFill>
                  <w14:solidFill>
                    <w14:schemeClr w14:val="tx1"/>
                  </w14:solidFill>
                </w14:textFill>
              </w:rPr>
            </w:pPr>
            <w:r>
              <w:rPr>
                <w:color w:val="000000" w:themeColor="text1"/>
                <w14:textFill>
                  <w14:solidFill>
                    <w14:schemeClr w14:val="tx1"/>
                  </w14:solidFill>
                </w14:textFill>
              </w:rPr>
              <w:t>（2）危险废物处置执行《危险废物贮存污染控制标准》（GB18597-20</w:t>
            </w:r>
            <w:r>
              <w:rPr>
                <w:rFonts w:hint="eastAsia"/>
                <w:color w:val="000000" w:themeColor="text1"/>
                <w14:textFill>
                  <w14:solidFill>
                    <w14:schemeClr w14:val="tx1"/>
                  </w14:solidFill>
                </w14:textFill>
              </w:rPr>
              <w:t>23</w:t>
            </w:r>
            <w:r>
              <w:rPr>
                <w:color w:val="000000" w:themeColor="text1"/>
                <w14:textFill>
                  <w14:solidFill>
                    <w14:schemeClr w14:val="tx1"/>
                  </w14:solidFill>
                </w14:textFill>
              </w:rPr>
              <w:t>）的相关规定。</w:t>
            </w:r>
          </w:p>
        </w:tc>
      </w:tr>
      <w:tr w14:paraId="73061E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8" w:hRule="atLeast"/>
          <w:jc w:val="center"/>
        </w:trPr>
        <w:tc>
          <w:tcPr>
            <w:tcW w:w="633" w:type="dxa"/>
            <w:tcBorders>
              <w:tl2br w:val="nil"/>
              <w:tr2bl w:val="nil"/>
            </w:tcBorders>
            <w:vAlign w:val="center"/>
          </w:tcPr>
          <w:p w14:paraId="6EE94BD0">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总量</w:t>
            </w:r>
          </w:p>
          <w:p w14:paraId="4D2E9C18">
            <w:pPr>
              <w:adjustRightInd w:val="0"/>
              <w:snapToGri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控制</w:t>
            </w:r>
          </w:p>
          <w:p w14:paraId="7C6FF37B">
            <w:pPr>
              <w:adjustRightInd w:val="0"/>
              <w:snapToGrid w:val="0"/>
              <w:ind w:firstLine="0" w:firstLineChars="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指标</w:t>
            </w:r>
          </w:p>
        </w:tc>
        <w:tc>
          <w:tcPr>
            <w:tcW w:w="8428" w:type="dxa"/>
            <w:tcBorders>
              <w:tl2br w:val="nil"/>
              <w:tr2bl w:val="nil"/>
            </w:tcBorders>
            <w:vAlign w:val="center"/>
          </w:tcPr>
          <w:p w14:paraId="525E0911">
            <w:pPr>
              <w:spacing w:line="5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根据工程分析结果，项目总量控制建议指标见表</w:t>
            </w:r>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w:t>
            </w:r>
          </w:p>
          <w:p w14:paraId="3A8F99A5">
            <w:pPr>
              <w:spacing w:line="500" w:lineRule="exact"/>
              <w:ind w:right="964"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w:t>
            </w:r>
            <w:r>
              <w:rPr>
                <w:b/>
                <w:bCs/>
                <w:color w:val="000000" w:themeColor="text1"/>
                <w:sz w:val="21"/>
                <w:szCs w:val="21"/>
                <w14:textFill>
                  <w14:solidFill>
                    <w14:schemeClr w14:val="tx1"/>
                  </w14:solidFill>
                </w14:textFill>
              </w:rPr>
              <w:t>3-</w:t>
            </w:r>
            <w:r>
              <w:rPr>
                <w:rFonts w:hint="eastAsia"/>
                <w:b/>
                <w:bCs/>
                <w:color w:val="000000" w:themeColor="text1"/>
                <w:sz w:val="21"/>
                <w:szCs w:val="21"/>
                <w:lang w:val="en-US" w:eastAsia="zh-CN"/>
                <w14:textFill>
                  <w14:solidFill>
                    <w14:schemeClr w14:val="tx1"/>
                  </w14:solidFill>
                </w14:textFill>
              </w:rPr>
              <w:t>9</w:t>
            </w:r>
            <w:r>
              <w:rPr>
                <w:rFonts w:hint="eastAsia"/>
                <w:b/>
                <w:bCs/>
                <w:color w:val="000000" w:themeColor="text1"/>
                <w:sz w:val="21"/>
                <w:szCs w:val="21"/>
                <w14:textFill>
                  <w14:solidFill>
                    <w14:schemeClr w14:val="tx1"/>
                  </w14:solidFill>
                </w14:textFill>
              </w:rPr>
              <w:t>总量控制建议指标</w:t>
            </w:r>
            <w:r>
              <w:rPr>
                <w:rFonts w:hint="eastAsia"/>
                <w:b/>
                <w:bCs/>
                <w:color w:val="000000" w:themeColor="text1"/>
                <w:sz w:val="21"/>
                <w:szCs w:val="21"/>
                <w:lang w:eastAsia="zh-CN"/>
                <w14:textFill>
                  <w14:solidFill>
                    <w14:schemeClr w14:val="tx1"/>
                  </w14:solidFill>
                </w14:textFill>
              </w:rPr>
              <w:t>（</w:t>
            </w:r>
            <w:r>
              <w:rPr>
                <w:rFonts w:hint="eastAsia"/>
                <w:b/>
                <w:bCs/>
                <w:color w:val="000000" w:themeColor="text1"/>
                <w:sz w:val="21"/>
                <w:szCs w:val="21"/>
                <w14:textFill>
                  <w14:solidFill>
                    <w14:schemeClr w14:val="tx1"/>
                  </w14:solidFill>
                </w14:textFill>
              </w:rPr>
              <w:t>单位：</w:t>
            </w:r>
            <w:r>
              <w:rPr>
                <w:rFonts w:hint="eastAsia"/>
                <w:b/>
                <w:bCs/>
                <w:color w:val="000000" w:themeColor="text1"/>
                <w:sz w:val="21"/>
                <w:szCs w:val="21"/>
                <w:lang w:val="en-US" w:eastAsia="zh-CN"/>
                <w14:textFill>
                  <w14:solidFill>
                    <w14:schemeClr w14:val="tx1"/>
                  </w14:solidFill>
                </w14:textFill>
              </w:rPr>
              <w:t>kg</w:t>
            </w:r>
            <w:r>
              <w:rPr>
                <w:b/>
                <w:bCs/>
                <w:color w:val="000000" w:themeColor="text1"/>
                <w:sz w:val="21"/>
                <w:szCs w:val="21"/>
                <w14:textFill>
                  <w14:solidFill>
                    <w14:schemeClr w14:val="tx1"/>
                  </w14:solidFill>
                </w14:textFill>
              </w:rPr>
              <w:t>/a</w:t>
            </w:r>
            <w:r>
              <w:rPr>
                <w:rFonts w:hint="eastAsia"/>
                <w:b/>
                <w:bCs/>
                <w:color w:val="000000" w:themeColor="text1"/>
                <w:sz w:val="21"/>
                <w:szCs w:val="21"/>
                <w:lang w:eastAsia="zh-CN"/>
                <w14:textFill>
                  <w14:solidFill>
                    <w14:schemeClr w14:val="tx1"/>
                  </w14:solidFill>
                </w14:textFill>
              </w:rPr>
              <w:t>）</w:t>
            </w:r>
          </w:p>
          <w:tbl>
            <w:tblPr>
              <w:tblStyle w:val="30"/>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288"/>
              <w:gridCol w:w="3871"/>
              <w:gridCol w:w="1943"/>
            </w:tblGrid>
            <w:tr w14:paraId="3CA5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gridSpan w:val="2"/>
                  <w:vMerge w:val="restart"/>
                  <w:tcBorders>
                    <w:tl2br w:val="nil"/>
                    <w:tr2bl w:val="nil"/>
                  </w:tcBorders>
                  <w:vAlign w:val="center"/>
                </w:tcPr>
                <w:p w14:paraId="3269B7D5">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污染物名称</w:t>
                  </w:r>
                </w:p>
              </w:tc>
              <w:tc>
                <w:tcPr>
                  <w:tcW w:w="3540" w:type="pct"/>
                  <w:gridSpan w:val="2"/>
                  <w:tcBorders>
                    <w:tl2br w:val="nil"/>
                    <w:tr2bl w:val="nil"/>
                  </w:tcBorders>
                  <w:vAlign w:val="center"/>
                </w:tcPr>
                <w:p w14:paraId="15AECC4C">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w:t>
                  </w:r>
                </w:p>
              </w:tc>
            </w:tr>
            <w:tr w14:paraId="73E1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gridSpan w:val="2"/>
                  <w:vMerge w:val="continue"/>
                  <w:tcBorders>
                    <w:tl2br w:val="nil"/>
                    <w:tr2bl w:val="nil"/>
                  </w:tcBorders>
                  <w:vAlign w:val="center"/>
                </w:tcPr>
                <w:p w14:paraId="548E6146">
                  <w:pPr>
                    <w:widowControl/>
                    <w:spacing w:line="240" w:lineRule="auto"/>
                    <w:ind w:firstLine="0" w:firstLineChars="0"/>
                    <w:jc w:val="left"/>
                    <w:rPr>
                      <w:color w:val="000000" w:themeColor="text1"/>
                      <w:sz w:val="21"/>
                      <w:szCs w:val="21"/>
                      <w14:textFill>
                        <w14:solidFill>
                          <w14:schemeClr w14:val="tx1"/>
                        </w14:solidFill>
                      </w14:textFill>
                    </w:rPr>
                  </w:pPr>
                </w:p>
              </w:tc>
              <w:tc>
                <w:tcPr>
                  <w:tcW w:w="2357" w:type="pct"/>
                  <w:tcBorders>
                    <w:tl2br w:val="nil"/>
                    <w:tr2bl w:val="nil"/>
                  </w:tcBorders>
                  <w:vAlign w:val="center"/>
                </w:tcPr>
                <w:p w14:paraId="4B405301">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产生量</w:t>
                  </w:r>
                </w:p>
              </w:tc>
              <w:tc>
                <w:tcPr>
                  <w:tcW w:w="1182" w:type="pct"/>
                  <w:tcBorders>
                    <w:tl2br w:val="nil"/>
                    <w:tr2bl w:val="nil"/>
                  </w:tcBorders>
                  <w:vAlign w:val="center"/>
                </w:tcPr>
                <w:p w14:paraId="6DC022AB">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排放量</w:t>
                  </w:r>
                </w:p>
              </w:tc>
            </w:tr>
            <w:tr w14:paraId="50AA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pct"/>
                  <w:vMerge w:val="restart"/>
                  <w:tcBorders>
                    <w:tl2br w:val="nil"/>
                    <w:tr2bl w:val="nil"/>
                  </w:tcBorders>
                  <w:vAlign w:val="center"/>
                </w:tcPr>
                <w:p w14:paraId="230C8472">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783" w:type="pct"/>
                  <w:tcBorders>
                    <w:tl2br w:val="nil"/>
                    <w:tr2bl w:val="nil"/>
                  </w:tcBorders>
                  <w:vAlign w:val="center"/>
                </w:tcPr>
                <w:p w14:paraId="05182636">
                  <w:pPr>
                    <w:spacing w:line="320" w:lineRule="exact"/>
                    <w:ind w:firstLine="0" w:firstLineChars="0"/>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NMHC</w:t>
                  </w:r>
                </w:p>
              </w:tc>
              <w:tc>
                <w:tcPr>
                  <w:tcW w:w="2357" w:type="pct"/>
                  <w:tcBorders>
                    <w:tl2br w:val="nil"/>
                    <w:tr2bl w:val="nil"/>
                  </w:tcBorders>
                  <w:vAlign w:val="center"/>
                </w:tcPr>
                <w:p w14:paraId="460C3830">
                  <w:pPr>
                    <w:spacing w:line="320" w:lineRule="exact"/>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125.09</w:t>
                  </w:r>
                </w:p>
              </w:tc>
              <w:tc>
                <w:tcPr>
                  <w:tcW w:w="1182" w:type="pct"/>
                  <w:tcBorders>
                    <w:tl2br w:val="nil"/>
                    <w:tr2bl w:val="nil"/>
                  </w:tcBorders>
                  <w:vAlign w:val="center"/>
                </w:tcPr>
                <w:p w14:paraId="79A1081B">
                  <w:pPr>
                    <w:spacing w:line="320" w:lineRule="exact"/>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70.504</w:t>
                  </w:r>
                </w:p>
              </w:tc>
            </w:tr>
            <w:tr w14:paraId="0C1E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Merge w:val="continue"/>
                  <w:tcBorders>
                    <w:tl2br w:val="nil"/>
                    <w:tr2bl w:val="nil"/>
                  </w:tcBorders>
                  <w:vAlign w:val="center"/>
                </w:tcPr>
                <w:p w14:paraId="1A3972D2">
                  <w:pPr>
                    <w:widowControl/>
                    <w:spacing w:line="240" w:lineRule="auto"/>
                    <w:ind w:firstLine="0" w:firstLineChars="0"/>
                    <w:jc w:val="left"/>
                    <w:rPr>
                      <w:color w:val="000000" w:themeColor="text1"/>
                      <w:sz w:val="21"/>
                      <w:szCs w:val="21"/>
                      <w14:textFill>
                        <w14:solidFill>
                          <w14:schemeClr w14:val="tx1"/>
                        </w14:solidFill>
                      </w14:textFill>
                    </w:rPr>
                  </w:pPr>
                </w:p>
              </w:tc>
              <w:tc>
                <w:tcPr>
                  <w:tcW w:w="783" w:type="pct"/>
                  <w:tcBorders>
                    <w:tl2br w:val="nil"/>
                    <w:tr2bl w:val="nil"/>
                  </w:tcBorders>
                  <w:vAlign w:val="center"/>
                </w:tcPr>
                <w:p w14:paraId="56E1C7C2">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X</w:t>
                  </w:r>
                </w:p>
              </w:tc>
              <w:tc>
                <w:tcPr>
                  <w:tcW w:w="2357" w:type="pct"/>
                  <w:tcBorders>
                    <w:tl2br w:val="nil"/>
                    <w:tr2bl w:val="nil"/>
                  </w:tcBorders>
                  <w:vAlign w:val="center"/>
                </w:tcPr>
                <w:p w14:paraId="542657E4">
                  <w:pPr>
                    <w:spacing w:line="320" w:lineRule="exact"/>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5.10</w:t>
                  </w:r>
                </w:p>
              </w:tc>
              <w:tc>
                <w:tcPr>
                  <w:tcW w:w="1182" w:type="pct"/>
                  <w:tcBorders>
                    <w:tl2br w:val="nil"/>
                    <w:tr2bl w:val="nil"/>
                  </w:tcBorders>
                  <w:vAlign w:val="center"/>
                </w:tcPr>
                <w:p w14:paraId="0E716E47">
                  <w:pPr>
                    <w:spacing w:line="320" w:lineRule="exact"/>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1.632</w:t>
                  </w:r>
                </w:p>
              </w:tc>
            </w:tr>
          </w:tbl>
          <w:p w14:paraId="1532A07A">
            <w:pPr>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本环评建议核定非甲烷总烃年排放量0.07t/a、NOx0.002t/a。</w:t>
            </w:r>
          </w:p>
        </w:tc>
      </w:tr>
    </w:tbl>
    <w:p w14:paraId="2FB7ED56">
      <w:pPr>
        <w:spacing w:line="240" w:lineRule="auto"/>
        <w:ind w:firstLine="480"/>
        <w:jc w:val="center"/>
        <w:outlineLvl w:val="0"/>
        <w:rPr>
          <w:rFonts w:eastAsia="黑体"/>
          <w:snapToGrid w:val="0"/>
          <w:color w:val="000000" w:themeColor="text1"/>
          <w:sz w:val="30"/>
          <w:szCs w:val="30"/>
          <w14:textFill>
            <w14:solidFill>
              <w14:schemeClr w14:val="tx1"/>
            </w14:solidFill>
          </w14:textFill>
        </w:rPr>
      </w:pPr>
      <w:r>
        <w:rPr>
          <w:color w:val="000000" w:themeColor="text1"/>
          <w14:textFill>
            <w14:solidFill>
              <w14:schemeClr w14:val="tx1"/>
            </w14:solidFill>
          </w14:textFill>
        </w:rPr>
        <w:br w:type="page"/>
      </w:r>
      <w:bookmarkStart w:id="14" w:name="_Toc16752"/>
      <w:r>
        <w:rPr>
          <w:rFonts w:eastAsia="黑体"/>
          <w:snapToGrid w:val="0"/>
          <w:color w:val="000000" w:themeColor="text1"/>
          <w:sz w:val="30"/>
          <w:szCs w:val="30"/>
          <w14:textFill>
            <w14:solidFill>
              <w14:schemeClr w14:val="tx1"/>
            </w14:solidFill>
          </w14:textFill>
        </w:rPr>
        <w:t>四、主要环境影响和保护措施</w:t>
      </w:r>
      <w:bookmarkEnd w:id="14"/>
    </w:p>
    <w:tbl>
      <w:tblPr>
        <w:tblStyle w:val="30"/>
        <w:tblW w:w="535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6"/>
        <w:gridCol w:w="8673"/>
      </w:tblGrid>
      <w:tr w14:paraId="7C94EB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0" w:hRule="atLeast"/>
          <w:jc w:val="center"/>
        </w:trPr>
        <w:tc>
          <w:tcPr>
            <w:tcW w:w="249" w:type="pct"/>
            <w:tcBorders>
              <w:tl2br w:val="nil"/>
              <w:tr2bl w:val="nil"/>
            </w:tcBorders>
            <w:vAlign w:val="center"/>
          </w:tcPr>
          <w:p w14:paraId="1BFA8549">
            <w:pPr>
              <w:pStyle w:val="25"/>
              <w:adjustRightInd w:val="0"/>
              <w:snapToGrid w:val="0"/>
              <w:spacing w:before="0" w:beforeAutospacing="0" w:after="0" w:afterAutospacing="0"/>
              <w:ind w:firstLine="0" w:firstLineChars="0"/>
              <w:jc w:val="center"/>
              <w:rPr>
                <w:rFonts w:hint="default" w:ascii="Times New Roman" w:hAnsi="Times New Roman" w:cs="Times New Roman"/>
                <w:color w:val="000000" w:themeColor="text1"/>
                <w:kern w:val="2"/>
                <w:szCs w:val="22"/>
                <w14:textFill>
                  <w14:solidFill>
                    <w14:schemeClr w14:val="tx1"/>
                  </w14:solidFill>
                </w14:textFill>
              </w:rPr>
            </w:pPr>
            <w:r>
              <w:rPr>
                <w:rFonts w:hint="default" w:ascii="Times New Roman" w:hAnsi="Times New Roman" w:cs="Times New Roman"/>
                <w:color w:val="000000" w:themeColor="text1"/>
                <w:kern w:val="2"/>
                <w:szCs w:val="22"/>
                <w14:textFill>
                  <w14:solidFill>
                    <w14:schemeClr w14:val="tx1"/>
                  </w14:solidFill>
                </w14:textFill>
              </w:rPr>
              <w:t>施工</w:t>
            </w:r>
          </w:p>
          <w:p w14:paraId="0953022C">
            <w:pPr>
              <w:pStyle w:val="25"/>
              <w:adjustRightInd w:val="0"/>
              <w:snapToGrid w:val="0"/>
              <w:spacing w:before="0" w:beforeAutospacing="0" w:after="0" w:afterAutospacing="0"/>
              <w:ind w:firstLine="0" w:firstLineChars="0"/>
              <w:jc w:val="center"/>
              <w:rPr>
                <w:rFonts w:hint="default" w:ascii="Times New Roman" w:hAnsi="Times New Roman" w:cs="Times New Roman"/>
                <w:color w:val="000000" w:themeColor="text1"/>
                <w:kern w:val="2"/>
                <w:szCs w:val="22"/>
                <w14:textFill>
                  <w14:solidFill>
                    <w14:schemeClr w14:val="tx1"/>
                  </w14:solidFill>
                </w14:textFill>
              </w:rPr>
            </w:pPr>
            <w:r>
              <w:rPr>
                <w:rFonts w:hint="default" w:ascii="Times New Roman" w:hAnsi="Times New Roman" w:cs="Times New Roman"/>
                <w:color w:val="000000" w:themeColor="text1"/>
                <w:kern w:val="2"/>
                <w:szCs w:val="22"/>
                <w14:textFill>
                  <w14:solidFill>
                    <w14:schemeClr w14:val="tx1"/>
                  </w14:solidFill>
                </w14:textFill>
              </w:rPr>
              <w:t>期环</w:t>
            </w:r>
          </w:p>
          <w:p w14:paraId="16F5428A">
            <w:pPr>
              <w:pStyle w:val="25"/>
              <w:adjustRightInd w:val="0"/>
              <w:snapToGrid w:val="0"/>
              <w:spacing w:before="0" w:beforeAutospacing="0" w:after="0" w:afterAutospacing="0"/>
              <w:ind w:firstLine="0" w:firstLineChars="0"/>
              <w:jc w:val="center"/>
              <w:rPr>
                <w:rFonts w:hint="default" w:ascii="Times New Roman" w:hAnsi="Times New Roman" w:cs="Times New Roman"/>
                <w:color w:val="000000" w:themeColor="text1"/>
                <w:kern w:val="2"/>
                <w:szCs w:val="22"/>
                <w14:textFill>
                  <w14:solidFill>
                    <w14:schemeClr w14:val="tx1"/>
                  </w14:solidFill>
                </w14:textFill>
              </w:rPr>
            </w:pPr>
            <w:r>
              <w:rPr>
                <w:rFonts w:hint="default" w:ascii="Times New Roman" w:hAnsi="Times New Roman" w:cs="Times New Roman"/>
                <w:color w:val="000000" w:themeColor="text1"/>
                <w:kern w:val="2"/>
                <w:szCs w:val="22"/>
                <w14:textFill>
                  <w14:solidFill>
                    <w14:schemeClr w14:val="tx1"/>
                  </w14:solidFill>
                </w14:textFill>
              </w:rPr>
              <w:t>境保</w:t>
            </w:r>
          </w:p>
          <w:p w14:paraId="5BFE3CEC">
            <w:pPr>
              <w:pStyle w:val="25"/>
              <w:adjustRightInd w:val="0"/>
              <w:snapToGrid w:val="0"/>
              <w:spacing w:before="0" w:beforeAutospacing="0" w:after="0" w:afterAutospacing="0"/>
              <w:ind w:firstLine="0" w:firstLineChars="0"/>
              <w:jc w:val="center"/>
              <w:rPr>
                <w:rFonts w:hint="default" w:ascii="Times New Roman" w:hAnsi="Times New Roman" w:cs="Times New Roman"/>
                <w:color w:val="000000" w:themeColor="text1"/>
                <w:kern w:val="2"/>
                <w:szCs w:val="22"/>
                <w14:textFill>
                  <w14:solidFill>
                    <w14:schemeClr w14:val="tx1"/>
                  </w14:solidFill>
                </w14:textFill>
              </w:rPr>
            </w:pPr>
            <w:r>
              <w:rPr>
                <w:rFonts w:hint="default" w:ascii="Times New Roman" w:hAnsi="Times New Roman" w:cs="Times New Roman"/>
                <w:color w:val="000000" w:themeColor="text1"/>
                <w:kern w:val="2"/>
                <w:szCs w:val="22"/>
                <w14:textFill>
                  <w14:solidFill>
                    <w14:schemeClr w14:val="tx1"/>
                  </w14:solidFill>
                </w14:textFill>
              </w:rPr>
              <w:t>护措</w:t>
            </w:r>
          </w:p>
          <w:p w14:paraId="0C9B6B55">
            <w:pPr>
              <w:pStyle w:val="25"/>
              <w:adjustRightInd w:val="0"/>
              <w:snapToGrid w:val="0"/>
              <w:spacing w:before="0" w:beforeAutospacing="0" w:after="0" w:afterAutospacing="0"/>
              <w:ind w:firstLine="0" w:firstLineChars="0"/>
              <w:jc w:val="center"/>
              <w:rPr>
                <w:rFonts w:hint="default" w:ascii="Times New Roman" w:hAnsi="Times New Roman" w:cs="Times New Roman"/>
                <w:color w:val="000000" w:themeColor="text1"/>
                <w:kern w:val="2"/>
                <w:szCs w:val="22"/>
                <w14:textFill>
                  <w14:solidFill>
                    <w14:schemeClr w14:val="tx1"/>
                  </w14:solidFill>
                </w14:textFill>
              </w:rPr>
            </w:pPr>
            <w:r>
              <w:rPr>
                <w:rFonts w:hint="default" w:ascii="Times New Roman" w:hAnsi="Times New Roman" w:cs="Times New Roman"/>
                <w:color w:val="000000" w:themeColor="text1"/>
                <w:kern w:val="2"/>
                <w:szCs w:val="22"/>
                <w14:textFill>
                  <w14:solidFill>
                    <w14:schemeClr w14:val="tx1"/>
                  </w14:solidFill>
                </w14:textFill>
              </w:rPr>
              <w:t>施</w:t>
            </w:r>
          </w:p>
          <w:p w14:paraId="4BDA35D8">
            <w:pPr>
              <w:pStyle w:val="25"/>
              <w:adjustRightInd w:val="0"/>
              <w:snapToGrid w:val="0"/>
              <w:spacing w:before="0" w:beforeAutospacing="0" w:after="0" w:afterAutospacing="0"/>
              <w:ind w:firstLine="0" w:firstLineChars="0"/>
              <w:jc w:val="center"/>
              <w:rPr>
                <w:rFonts w:hint="default" w:ascii="Times New Roman" w:hAnsi="Times New Roman" w:cs="Times New Roman"/>
                <w:bCs/>
                <w:color w:val="000000" w:themeColor="text1"/>
                <w:kern w:val="2"/>
                <w:sz w:val="21"/>
                <w:szCs w:val="21"/>
                <w14:textFill>
                  <w14:solidFill>
                    <w14:schemeClr w14:val="tx1"/>
                  </w14:solidFill>
                </w14:textFill>
              </w:rPr>
            </w:pPr>
          </w:p>
        </w:tc>
        <w:tc>
          <w:tcPr>
            <w:tcW w:w="4750" w:type="pct"/>
            <w:tcBorders>
              <w:tl2br w:val="nil"/>
              <w:tr2bl w:val="nil"/>
            </w:tcBorders>
            <w:vAlign w:val="top"/>
          </w:tcPr>
          <w:p w14:paraId="1EC9CA89">
            <w:pPr>
              <w:ind w:firstLine="482"/>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14:textFill>
                  <w14:solidFill>
                    <w14:schemeClr w14:val="tx1"/>
                  </w14:solidFill>
                </w14:textFill>
              </w:rPr>
              <w:t>、大气环境保护措施</w:t>
            </w:r>
          </w:p>
          <w:p w14:paraId="318CE4C2">
            <w:pPr>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项目主要在现有实验楼内进行改造及设备安装，工程量较小。项目施工期间产生的废气为少量施工</w:t>
            </w:r>
            <w:r>
              <w:rPr>
                <w:rFonts w:hint="default" w:ascii="Times New Roman" w:hAnsi="Times New Roman" w:cs="Times New Roman"/>
                <w:color w:val="000000" w:themeColor="text1"/>
                <w:lang w:val="en-US" w:eastAsia="zh-CN"/>
                <w14:textFill>
                  <w14:solidFill>
                    <w14:schemeClr w14:val="tx1"/>
                  </w14:solidFill>
                </w14:textFill>
              </w:rPr>
              <w:t>废气</w:t>
            </w:r>
            <w:r>
              <w:rPr>
                <w:rFonts w:hint="default" w:ascii="Times New Roman" w:hAnsi="Times New Roman" w:cs="Times New Roman"/>
                <w:color w:val="000000" w:themeColor="text1"/>
                <w14:textFill>
                  <w14:solidFill>
                    <w14:schemeClr w14:val="tx1"/>
                  </w14:solidFill>
                </w14:textFill>
              </w:rPr>
              <w:t>，主要污染源为</w:t>
            </w:r>
            <w:r>
              <w:rPr>
                <w:rFonts w:hint="default" w:ascii="Times New Roman" w:hAnsi="Times New Roman" w:cs="Times New Roman"/>
                <w:color w:val="000000" w:themeColor="text1"/>
                <w:lang w:val="en-US" w:eastAsia="zh-CN"/>
                <w14:textFill>
                  <w14:solidFill>
                    <w14:schemeClr w14:val="tx1"/>
                  </w14:solidFill>
                </w14:textFill>
              </w:rPr>
              <w:t>装修废气</w:t>
            </w:r>
            <w:r>
              <w:rPr>
                <w:rFonts w:hint="default" w:ascii="Times New Roman" w:hAnsi="Times New Roman" w:cs="Times New Roman"/>
                <w:color w:val="000000" w:themeColor="text1"/>
                <w14:textFill>
                  <w14:solidFill>
                    <w14:schemeClr w14:val="tx1"/>
                  </w14:solidFill>
                </w14:textFill>
              </w:rPr>
              <w:t>，属无组织排放。</w:t>
            </w:r>
          </w:p>
          <w:p w14:paraId="5BDFC616">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之，施工区目前的空气环境质量较好，大气稀释能力和环境容量都比较大，不会对当地的大气环境产生明显的影响。施工期的活动属短期行为，且工程量较小，随着施工的结束，施工场地将得到恢复。环境空气质量将恢复到原有水平。</w:t>
            </w:r>
          </w:p>
          <w:p w14:paraId="34E8F3F6">
            <w:pPr>
              <w:autoSpaceDE w:val="0"/>
              <w:autoSpaceDN w:val="0"/>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、水环境保护措施</w:t>
            </w:r>
          </w:p>
          <w:p w14:paraId="7E4EE8D7">
            <w:pPr>
              <w:autoSpaceDE w:val="0"/>
              <w:autoSpaceDN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本项目建筑装修内容</w:t>
            </w:r>
            <w:r>
              <w:rPr>
                <w:rFonts w:hint="default" w:ascii="Times New Roman" w:hAnsi="Times New Roman" w:cs="Times New Roman"/>
                <w:color w:val="000000" w:themeColor="text1"/>
                <w14:textFill>
                  <w14:solidFill>
                    <w14:schemeClr w14:val="tx1"/>
                  </w14:solidFill>
                </w14:textFill>
              </w:rPr>
              <w:t>，预计施工高峰期施工人员15人，项目不设施工营地，雇佣施工人员均不在场内食宿，施工期生活污水依托场内大朴石油院给排水设施，生活污水最终进入西侧</w:t>
            </w:r>
            <w:r>
              <w:rPr>
                <w:rFonts w:hint="default" w:ascii="Times New Roman" w:hAnsi="Times New Roman" w:cs="Times New Roman"/>
                <w:color w:val="000000" w:themeColor="text1"/>
                <w:kern w:val="0"/>
                <w:lang w:bidi="ar"/>
                <w14:textFill>
                  <w14:solidFill>
                    <w14:schemeClr w14:val="tx1"/>
                  </w14:solidFill>
                </w14:textFill>
              </w:rPr>
              <w:t>库尔勒经济技术开发区工业废水处理回用厂处理</w:t>
            </w:r>
            <w:r>
              <w:rPr>
                <w:rFonts w:hint="default" w:ascii="Times New Roman" w:hAnsi="Times New Roman" w:cs="Times New Roman"/>
                <w:color w:val="000000" w:themeColor="text1"/>
                <w14:textFill>
                  <w14:solidFill>
                    <w14:schemeClr w14:val="tx1"/>
                  </w14:solidFill>
                </w14:textFill>
              </w:rPr>
              <w:t>，对周围环境影响较小。</w:t>
            </w:r>
          </w:p>
          <w:p w14:paraId="68FF3BD3">
            <w:pPr>
              <w:autoSpaceDE w:val="0"/>
              <w:autoSpaceDN w:val="0"/>
              <w:ind w:firstLine="482"/>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、声环境保护措施</w:t>
            </w:r>
          </w:p>
          <w:p w14:paraId="4D8A42EA">
            <w:pPr>
              <w:autoSpaceDE w:val="0"/>
              <w:autoSpaceDN w:val="0"/>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施工期噪声主要由施工机械产生，具有阶段性、临时性和不固定性。</w:t>
            </w:r>
          </w:p>
          <w:p w14:paraId="06E0F38C">
            <w:pPr>
              <w:autoSpaceDE w:val="0"/>
              <w:autoSpaceDN w:val="0"/>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本评价采取以下措施：</w:t>
            </w:r>
          </w:p>
          <w:p w14:paraId="357FE0F6">
            <w:pPr>
              <w:autoSpaceDE w:val="0"/>
              <w:autoSpaceDN w:val="0"/>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建设单位在施工操作上要加强环保措施，选用低噪声施工设备。</w:t>
            </w:r>
          </w:p>
          <w:p w14:paraId="78AF8479">
            <w:pPr>
              <w:autoSpaceDE w:val="0"/>
              <w:autoSpaceDN w:val="0"/>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合理设计施工总平面布置图，尽量避免高噪声设备同时施工。</w:t>
            </w:r>
          </w:p>
          <w:p w14:paraId="332E0546">
            <w:pPr>
              <w:autoSpaceDE w:val="0"/>
              <w:autoSpaceDN w:val="0"/>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对动力机械设备定期进行维修和养护，避免因松动部件振动或消声器损坏而加大设备工作时的声级。</w:t>
            </w:r>
          </w:p>
          <w:p w14:paraId="51D10624">
            <w:pPr>
              <w:autoSpaceDE w:val="0"/>
              <w:autoSpaceDN w:val="0"/>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禁止</w:t>
            </w:r>
            <w:r>
              <w:rPr>
                <w:rFonts w:hint="default" w:ascii="Times New Roman" w:hAnsi="Times New Roman" w:cs="Times New Roman"/>
                <w:color w:val="000000" w:themeColor="text1"/>
                <w14:textFill>
                  <w14:solidFill>
                    <w14:schemeClr w14:val="tx1"/>
                  </w14:solidFill>
                </w14:textFill>
              </w:rPr>
              <w:t>夜间施工。</w:t>
            </w:r>
          </w:p>
          <w:p w14:paraId="444A67C4">
            <w:pPr>
              <w:autoSpaceDE w:val="0"/>
              <w:autoSpaceDN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建设单位全面落实上述要求，使施工各阶段的场界噪声符合《建筑施工场界环境噪声排放标准》（GB12523-2011）中的规定，对项目周边声环境影响较小，该影响随着施工期的结束而结束。</w:t>
            </w:r>
          </w:p>
          <w:p w14:paraId="7E4B8DDC">
            <w:pPr>
              <w:autoSpaceDE w:val="0"/>
              <w:autoSpaceDN w:val="0"/>
              <w:ind w:firstLine="482"/>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14:textFill>
                  <w14:solidFill>
                    <w14:schemeClr w14:val="tx1"/>
                  </w14:solidFill>
                </w14:textFill>
              </w:rPr>
              <w:t>、固体废物环境保护措施</w:t>
            </w:r>
          </w:p>
          <w:p w14:paraId="6CA632C2">
            <w:pPr>
              <w:autoSpaceDE w:val="0"/>
              <w:autoSpaceDN w:val="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为减少施工期固体废物的影响，采取以下措施：</w:t>
            </w:r>
          </w:p>
          <w:p w14:paraId="09BA7AE3">
            <w:pPr>
              <w:autoSpaceDE w:val="0"/>
              <w:autoSpaceDN w:val="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施工生产建筑垃圾的处理：对装修的下脚料可以分类回收，交废品收购站处理，其他建筑垃圾集中堆放，及时清运到指定的弃渣堆放场；</w:t>
            </w:r>
          </w:p>
          <w:p w14:paraId="7E9BC44C">
            <w:pPr>
              <w:autoSpaceDE w:val="0"/>
              <w:autoSpaceDN w:val="0"/>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施工人员生活垃圾的管理：加强对施工期生活垃圾的管理，生活垃圾不得随意丢弃、</w:t>
            </w:r>
            <w:r>
              <w:rPr>
                <w:rFonts w:hint="eastAsia" w:cs="Times New Roman"/>
                <w:color w:val="000000" w:themeColor="text1"/>
                <w:lang w:eastAsia="zh-CN"/>
                <w14:textFill>
                  <w14:solidFill>
                    <w14:schemeClr w14:val="tx1"/>
                  </w14:solidFill>
                </w14:textFill>
              </w:rPr>
              <w:t>抛撒</w:t>
            </w:r>
            <w:r>
              <w:rPr>
                <w:rFonts w:hint="default" w:ascii="Times New Roman" w:hAnsi="Times New Roman" w:eastAsia="宋体" w:cs="Times New Roman"/>
                <w:color w:val="000000" w:themeColor="text1"/>
                <w14:textFill>
                  <w14:solidFill>
                    <w14:schemeClr w14:val="tx1"/>
                  </w14:solidFill>
                </w14:textFill>
              </w:rPr>
              <w:t>，集中收集后交由垃圾填埋场处理</w:t>
            </w:r>
            <w:r>
              <w:rPr>
                <w:rFonts w:hint="default" w:ascii="Times New Roman" w:hAnsi="Times New Roman" w:eastAsia="宋体" w:cs="Times New Roman"/>
                <w:color w:val="000000" w:themeColor="text1"/>
                <w:lang w:eastAsia="zh-CN"/>
                <w14:textFill>
                  <w14:solidFill>
                    <w14:schemeClr w14:val="tx1"/>
                  </w14:solidFill>
                </w14:textFill>
              </w:rPr>
              <w:t>。</w:t>
            </w:r>
          </w:p>
          <w:p w14:paraId="33174F15">
            <w:pPr>
              <w:autoSpaceDE w:val="0"/>
              <w:autoSpaceDN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在采取上述措施后，施工期不会对周围环境造成明显影响。</w:t>
            </w:r>
          </w:p>
        </w:tc>
      </w:tr>
      <w:tr w14:paraId="7947C9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2" w:hRule="atLeast"/>
          <w:jc w:val="center"/>
        </w:trPr>
        <w:tc>
          <w:tcPr>
            <w:tcW w:w="249" w:type="pct"/>
            <w:tcBorders>
              <w:tl2br w:val="nil"/>
              <w:tr2bl w:val="nil"/>
            </w:tcBorders>
          </w:tcPr>
          <w:p w14:paraId="38D28E73">
            <w:pPr>
              <w:adjustRightInd w:val="0"/>
              <w:snapToGrid w:val="0"/>
              <w:ind w:firstLine="0" w:firstLineChars="0"/>
              <w:jc w:val="center"/>
              <w:rPr>
                <w:rFonts w:hint="default" w:ascii="Times New Roman" w:hAnsi="Times New Roman" w:cs="Times New Roman"/>
                <w:bCs/>
                <w:color w:val="000000" w:themeColor="text1"/>
                <w:szCs w:val="22"/>
                <w14:textFill>
                  <w14:solidFill>
                    <w14:schemeClr w14:val="tx1"/>
                  </w14:solidFill>
                </w14:textFill>
              </w:rPr>
            </w:pPr>
            <w:r>
              <w:rPr>
                <w:rFonts w:hint="default" w:ascii="Times New Roman" w:hAnsi="Times New Roman" w:cs="Times New Roman"/>
                <w:bCs/>
                <w:color w:val="000000" w:themeColor="text1"/>
                <w:szCs w:val="22"/>
                <w14:textFill>
                  <w14:solidFill>
                    <w14:schemeClr w14:val="tx1"/>
                  </w14:solidFill>
                </w14:textFill>
              </w:rPr>
              <w:t>运营</w:t>
            </w:r>
          </w:p>
          <w:p w14:paraId="6B2616B8">
            <w:pPr>
              <w:adjustRightInd w:val="0"/>
              <w:snapToGrid w:val="0"/>
              <w:ind w:firstLine="0" w:firstLineChars="0"/>
              <w:jc w:val="center"/>
              <w:rPr>
                <w:rFonts w:hint="default" w:ascii="Times New Roman" w:hAnsi="Times New Roman" w:cs="Times New Roman"/>
                <w:bCs/>
                <w:color w:val="000000" w:themeColor="text1"/>
                <w:szCs w:val="22"/>
                <w14:textFill>
                  <w14:solidFill>
                    <w14:schemeClr w14:val="tx1"/>
                  </w14:solidFill>
                </w14:textFill>
              </w:rPr>
            </w:pPr>
            <w:r>
              <w:rPr>
                <w:rFonts w:hint="default" w:ascii="Times New Roman" w:hAnsi="Times New Roman" w:cs="Times New Roman"/>
                <w:bCs/>
                <w:color w:val="000000" w:themeColor="text1"/>
                <w:szCs w:val="22"/>
                <w14:textFill>
                  <w14:solidFill>
                    <w14:schemeClr w14:val="tx1"/>
                  </w14:solidFill>
                </w14:textFill>
              </w:rPr>
              <w:t>期环</w:t>
            </w:r>
          </w:p>
          <w:p w14:paraId="240C9DE1">
            <w:pPr>
              <w:adjustRightInd w:val="0"/>
              <w:snapToGrid w:val="0"/>
              <w:ind w:firstLine="0" w:firstLineChars="0"/>
              <w:jc w:val="center"/>
              <w:rPr>
                <w:rFonts w:hint="default" w:ascii="Times New Roman" w:hAnsi="Times New Roman" w:cs="Times New Roman"/>
                <w:bCs/>
                <w:color w:val="000000" w:themeColor="text1"/>
                <w:szCs w:val="22"/>
                <w14:textFill>
                  <w14:solidFill>
                    <w14:schemeClr w14:val="tx1"/>
                  </w14:solidFill>
                </w14:textFill>
              </w:rPr>
            </w:pPr>
            <w:r>
              <w:rPr>
                <w:rFonts w:hint="default" w:ascii="Times New Roman" w:hAnsi="Times New Roman" w:cs="Times New Roman"/>
                <w:bCs/>
                <w:color w:val="000000" w:themeColor="text1"/>
                <w:szCs w:val="22"/>
                <w14:textFill>
                  <w14:solidFill>
                    <w14:schemeClr w14:val="tx1"/>
                  </w14:solidFill>
                </w14:textFill>
              </w:rPr>
              <w:t>境影</w:t>
            </w:r>
          </w:p>
          <w:p w14:paraId="65168444">
            <w:pPr>
              <w:adjustRightInd w:val="0"/>
              <w:snapToGrid w:val="0"/>
              <w:ind w:firstLine="0" w:firstLineChars="0"/>
              <w:jc w:val="center"/>
              <w:rPr>
                <w:rFonts w:hint="default" w:ascii="Times New Roman" w:hAnsi="Times New Roman" w:cs="Times New Roman"/>
                <w:bCs/>
                <w:color w:val="000000" w:themeColor="text1"/>
                <w:szCs w:val="22"/>
                <w14:textFill>
                  <w14:solidFill>
                    <w14:schemeClr w14:val="tx1"/>
                  </w14:solidFill>
                </w14:textFill>
              </w:rPr>
            </w:pPr>
            <w:r>
              <w:rPr>
                <w:rFonts w:hint="default" w:ascii="Times New Roman" w:hAnsi="Times New Roman" w:cs="Times New Roman"/>
                <w:bCs/>
                <w:color w:val="000000" w:themeColor="text1"/>
                <w:szCs w:val="22"/>
                <w14:textFill>
                  <w14:solidFill>
                    <w14:schemeClr w14:val="tx1"/>
                  </w14:solidFill>
                </w14:textFill>
              </w:rPr>
              <w:t>响和</w:t>
            </w:r>
          </w:p>
          <w:p w14:paraId="7E86BFC5">
            <w:pPr>
              <w:adjustRightInd w:val="0"/>
              <w:snapToGrid w:val="0"/>
              <w:ind w:firstLine="0" w:firstLineChars="0"/>
              <w:jc w:val="center"/>
              <w:rPr>
                <w:rFonts w:hint="default" w:ascii="Times New Roman" w:hAnsi="Times New Roman" w:cs="Times New Roman"/>
                <w:bCs/>
                <w:color w:val="000000" w:themeColor="text1"/>
                <w:szCs w:val="22"/>
                <w14:textFill>
                  <w14:solidFill>
                    <w14:schemeClr w14:val="tx1"/>
                  </w14:solidFill>
                </w14:textFill>
              </w:rPr>
            </w:pPr>
            <w:r>
              <w:rPr>
                <w:rFonts w:hint="default" w:ascii="Times New Roman" w:hAnsi="Times New Roman" w:cs="Times New Roman"/>
                <w:bCs/>
                <w:color w:val="000000" w:themeColor="text1"/>
                <w:szCs w:val="22"/>
                <w14:textFill>
                  <w14:solidFill>
                    <w14:schemeClr w14:val="tx1"/>
                  </w14:solidFill>
                </w14:textFill>
              </w:rPr>
              <w:t>保护</w:t>
            </w:r>
          </w:p>
          <w:p w14:paraId="1F3CE612">
            <w:pPr>
              <w:adjustRightInd w:val="0"/>
              <w:snapToGrid w:val="0"/>
              <w:ind w:firstLine="0" w:firstLineChars="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2"/>
                <w14:textFill>
                  <w14:solidFill>
                    <w14:schemeClr w14:val="tx1"/>
                  </w14:solidFill>
                </w14:textFill>
              </w:rPr>
              <w:t>措施</w:t>
            </w:r>
          </w:p>
        </w:tc>
        <w:tc>
          <w:tcPr>
            <w:tcW w:w="4750" w:type="pct"/>
            <w:tcBorders>
              <w:tl2br w:val="nil"/>
              <w:tr2bl w:val="nil"/>
            </w:tcBorders>
          </w:tcPr>
          <w:p w14:paraId="74EA8765">
            <w:pPr>
              <w:keepNext/>
              <w:keepLines/>
              <w:ind w:firstLine="482"/>
              <w:textAlignment w:val="center"/>
              <w:outlineLvl w:val="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1、废气</w:t>
            </w:r>
          </w:p>
          <w:p w14:paraId="0181A0C9">
            <w:pPr>
              <w:pStyle w:val="1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项目产生的废气主要为</w:t>
            </w:r>
            <w:r>
              <w:rPr>
                <w:rFonts w:hint="default" w:ascii="Times New Roman" w:hAnsi="Times New Roman" w:cs="Times New Roman"/>
                <w:color w:val="000000" w:themeColor="text1"/>
                <w:lang w:val="en-US" w:eastAsia="zh-CN"/>
                <w14:textFill>
                  <w14:solidFill>
                    <w14:schemeClr w14:val="tx1"/>
                  </w14:solidFill>
                </w14:textFill>
              </w:rPr>
              <w:t>试样前处理打磨切割颗粒物、前处理有机废气、</w:t>
            </w:r>
            <w:r>
              <w:rPr>
                <w:rFonts w:hint="default" w:ascii="Times New Roman" w:hAnsi="Times New Roman" w:cs="Times New Roman"/>
                <w:color w:val="000000" w:themeColor="text1"/>
                <w14:textFill>
                  <w14:solidFill>
                    <w14:schemeClr w14:val="tx1"/>
                  </w14:solidFill>
                </w14:textFill>
              </w:rPr>
              <w:t>实验室</w:t>
            </w:r>
            <w:r>
              <w:rPr>
                <w:rFonts w:hint="default" w:ascii="Times New Roman" w:hAnsi="Times New Roman" w:cs="Times New Roman"/>
                <w:color w:val="000000" w:themeColor="text1"/>
                <w:lang w:val="en-US" w:eastAsia="zh-CN"/>
                <w14:textFill>
                  <w14:solidFill>
                    <w14:schemeClr w14:val="tx1"/>
                  </w14:solidFill>
                </w14:textFill>
              </w:rPr>
              <w:t>化学试剂配置</w:t>
            </w:r>
            <w:r>
              <w:rPr>
                <w:rFonts w:hint="default" w:ascii="Times New Roman" w:hAnsi="Times New Roman" w:cs="Times New Roman"/>
                <w:color w:val="000000" w:themeColor="text1"/>
                <w14:textFill>
                  <w14:solidFill>
                    <w14:schemeClr w14:val="tx1"/>
                  </w14:solidFill>
                </w14:textFill>
              </w:rPr>
              <w:t>产生的无机和有机废气</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金相腐蚀酸性废气</w:t>
            </w:r>
            <w:r>
              <w:rPr>
                <w:rFonts w:hint="default" w:ascii="Times New Roman" w:hAnsi="Times New Roman" w:cs="Times New Roman"/>
                <w:color w:val="000000" w:themeColor="text1"/>
                <w14:textFill>
                  <w14:solidFill>
                    <w14:schemeClr w14:val="tx1"/>
                  </w14:solidFill>
                </w14:textFill>
              </w:rPr>
              <w:t>以及H</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S应力腐蚀实验和氢致开裂实验产生的废气。</w:t>
            </w:r>
          </w:p>
          <w:p w14:paraId="6A56806A">
            <w:pPr>
              <w:pStyle w:val="19"/>
              <w:numPr>
                <w:ilvl w:val="0"/>
                <w:numId w:val="0"/>
              </w:numPr>
              <w:ind w:firstLine="482" w:firstLineChars="20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1.1主要污染工序</w:t>
            </w:r>
          </w:p>
          <w:p w14:paraId="16116C6F">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本项目试剂配制和实验过程中均有</w:t>
            </w:r>
            <w:r>
              <w:rPr>
                <w:rFonts w:hint="default" w:ascii="Times New Roman" w:hAnsi="Times New Roman" w:cs="Times New Roman"/>
                <w:color w:val="000000" w:themeColor="text1"/>
                <w:lang w:val="en-US" w:eastAsia="zh-CN"/>
                <w14:textFill>
                  <w14:solidFill>
                    <w14:schemeClr w14:val="tx1"/>
                  </w14:solidFill>
                </w14:textFill>
              </w:rPr>
              <w:t>试剂酸性废气</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挥发性有机废气、</w:t>
            </w:r>
            <w:r>
              <w:rPr>
                <w:rFonts w:hint="default" w:ascii="Times New Roman" w:hAnsi="Times New Roman" w:cs="Times New Roman"/>
                <w:color w:val="000000" w:themeColor="text1"/>
                <w14:textFill>
                  <w14:solidFill>
                    <w14:schemeClr w14:val="tx1"/>
                  </w14:solidFill>
                </w14:textFill>
              </w:rPr>
              <w:t>H</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S应力腐蚀实验和氢致开裂实验产生的废气绝大部分实验废气经通风橱收集后经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碱喷淋+</w:t>
            </w:r>
            <w:r>
              <w:rPr>
                <w:rFonts w:hint="default" w:ascii="Times New Roman" w:hAnsi="Times New Roman" w:cs="Times New Roman"/>
                <w:color w:val="000000" w:themeColor="text1"/>
                <w14:textFill>
                  <w14:solidFill>
                    <w14:schemeClr w14:val="tx1"/>
                  </w14:solidFill>
                </w14:textFill>
              </w:rPr>
              <w:t>活性炭吸附装置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处理，通过3楼楼顶15m</w:t>
            </w:r>
            <w:r>
              <w:rPr>
                <w:rFonts w:hint="eastAsia" w:cs="Times New Roman"/>
                <w:color w:val="000000" w:themeColor="text1"/>
                <w:lang w:eastAsia="zh-CN"/>
                <w14:textFill>
                  <w14:solidFill>
                    <w14:schemeClr w14:val="tx1"/>
                  </w14:solidFill>
                </w14:textFill>
              </w:rPr>
              <w:t>高</w:t>
            </w:r>
            <w:r>
              <w:rPr>
                <w:rFonts w:hint="default" w:ascii="Times New Roman" w:hAnsi="Times New Roman" w:cs="Times New Roman"/>
                <w:color w:val="000000" w:themeColor="text1"/>
                <w14:textFill>
                  <w14:solidFill>
                    <w14:schemeClr w14:val="tx1"/>
                  </w14:solidFill>
                </w14:textFill>
              </w:rPr>
              <w:t>排气筒DA</w:t>
            </w:r>
            <w:r>
              <w:rPr>
                <w:rFonts w:hint="default" w:ascii="Times New Roman" w:hAnsi="Times New Roman" w:cs="Times New Roman"/>
                <w:color w:val="000000" w:themeColor="text1"/>
                <w:lang w:val="en-US" w:eastAsia="zh-CN"/>
                <w14:textFill>
                  <w14:solidFill>
                    <w14:schemeClr w14:val="tx1"/>
                  </w14:solidFill>
                </w14:textFill>
              </w:rPr>
              <w:t>001</w:t>
            </w:r>
            <w:r>
              <w:rPr>
                <w:rFonts w:hint="default" w:ascii="Times New Roman" w:hAnsi="Times New Roman" w:cs="Times New Roman"/>
                <w:color w:val="000000" w:themeColor="text1"/>
                <w14:textFill>
                  <w14:solidFill>
                    <w14:schemeClr w14:val="tx1"/>
                  </w14:solidFill>
                </w14:textFill>
              </w:rPr>
              <w:t>排放。</w:t>
            </w:r>
          </w:p>
          <w:p w14:paraId="1754DA6E">
            <w:pPr>
              <w:ind w:firstLine="482"/>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1.2源强</w:t>
            </w:r>
            <w:r>
              <w:rPr>
                <w:rFonts w:hint="default" w:ascii="Times New Roman" w:hAnsi="Times New Roman" w:cs="Times New Roman"/>
                <w:b/>
                <w:bCs/>
                <w:color w:val="000000" w:themeColor="text1"/>
                <w:lang w:val="en-US" w:eastAsia="zh-CN"/>
                <w14:textFill>
                  <w14:solidFill>
                    <w14:schemeClr w14:val="tx1"/>
                  </w14:solidFill>
                </w14:textFill>
              </w:rPr>
              <w:t>分析</w:t>
            </w:r>
          </w:p>
          <w:p w14:paraId="0F607B82">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切割打磨废气</w:t>
            </w:r>
          </w:p>
          <w:p w14:paraId="02C2D0F5">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本项目检测送样初步手持切割、砂带/光谱磨样达到GB/T4157-2017实验标准，由于送样规格较小，机加工过程有自来水冷却，因此机加工过程产生颗粒物可忽略不计，不做定量分析。</w:t>
            </w:r>
          </w:p>
          <w:p w14:paraId="24A37D99">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前处理废气</w:t>
            </w:r>
          </w:p>
          <w:p w14:paraId="260CC07A">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本项目预处理废气主要为使用无水乙醇、四氯化碳等擦拭样品时挥发的少量非甲烷总烃废气。由于擦拭使用的试剂较少，因此挥发产生的非甲烷总烃废气较少，本次不进行定量分析，加强通风后排放。</w:t>
            </w:r>
          </w:p>
          <w:p w14:paraId="1F9BA962">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实验废气</w:t>
            </w:r>
          </w:p>
          <w:p w14:paraId="0391ADB2">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根据实验室提供的原辅材料用量，对检验过程中产生的废气污染物进行定量分析在检验过程中使用的硝酸、盐酸、硫酸、氢氟酸、乙酸、苦味酸、甲醇、乙醇、氨水等试剂均为挥发性试剂，它们在试剂配制和实验检验过程中可挥发出酸性废气和有机废气。</w:t>
            </w:r>
            <w:r>
              <w:rPr>
                <w:rFonts w:hint="default" w:ascii="Times New Roman" w:hAnsi="Times New Roman" w:cs="Times New Roman"/>
                <w:color w:val="000000" w:themeColor="text1"/>
                <w:lang w:val="en-US" w:eastAsia="zh-CN"/>
                <w14:textFill>
                  <w14:solidFill>
                    <w14:schemeClr w14:val="tx1"/>
                  </w14:solidFill>
                </w14:textFill>
              </w:rPr>
              <w:t>本环评</w:t>
            </w:r>
            <w:r>
              <w:rPr>
                <w:rFonts w:hint="default" w:ascii="Times New Roman" w:hAnsi="Times New Roman" w:cs="Times New Roman"/>
                <w:color w:val="000000" w:themeColor="text1"/>
                <w14:textFill>
                  <w14:solidFill>
                    <w14:schemeClr w14:val="tx1"/>
                  </w14:solidFill>
                </w14:textFill>
              </w:rPr>
              <w:t>根据项目试剂的使用量、密度及浓度等来计算实验废气污染物产生量。</w:t>
            </w:r>
          </w:p>
          <w:p w14:paraId="61402EDF">
            <w:pPr>
              <w:pStyle w:val="66"/>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①无机废气</w:t>
            </w:r>
          </w:p>
          <w:p w14:paraId="6F526C19">
            <w:pPr>
              <w:pStyle w:val="66"/>
              <w:ind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本项目为环境类检验检测实验室项目，建设完成后在实验检测过程中会使用到酸性药品和试剂，</w:t>
            </w:r>
            <w:r>
              <w:rPr>
                <w:rFonts w:hint="eastAsia" w:cs="Times New Roman"/>
                <w:color w:val="000000" w:themeColor="text1"/>
                <w:lang w:val="en-US" w:eastAsia="zh-CN"/>
                <w14:textFill>
                  <w14:solidFill>
                    <w14:schemeClr w14:val="tx1"/>
                  </w14:solidFill>
                </w14:textFill>
              </w:rPr>
              <w:t>主要含酸试剂及用量</w:t>
            </w:r>
            <w:r>
              <w:rPr>
                <w:rFonts w:hint="default" w:ascii="Times New Roman" w:hAnsi="Times New Roman" w:cs="Times New Roman"/>
                <w:color w:val="000000" w:themeColor="text1"/>
                <w14:textFill>
                  <w14:solidFill>
                    <w14:schemeClr w14:val="tx1"/>
                  </w14:solidFill>
                </w14:textFill>
              </w:rPr>
              <w:t>为硫酸</w:t>
            </w:r>
            <w:r>
              <w:rPr>
                <w:rFonts w:hint="default" w:ascii="Times New Roman" w:hAnsi="Times New Roman" w:cs="Times New Roman"/>
                <w:color w:val="000000" w:themeColor="text1"/>
                <w:lang w:val="en-US" w:eastAsia="zh-CN"/>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00mL/a，盐酸</w:t>
            </w:r>
            <w:r>
              <w:rPr>
                <w:rFonts w:hint="default"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00mL/a，硝酸</w:t>
            </w:r>
            <w:r>
              <w:rPr>
                <w:rFonts w:hint="default" w:ascii="Times New Roman" w:hAnsi="Times New Roman" w:cs="Times New Roman"/>
                <w:color w:val="000000" w:themeColor="text1"/>
                <w:lang w:val="en-US" w:eastAsia="zh-CN"/>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00mL/a。本项目对其污染物进行分析，根据项目试剂的使用量、密度及浓度等来计算实验废气污染物产生量，本次评价以最不利情况考虑，各挥发性试剂以全部挥发进行污染源强核算，则项目实验废气污染物产生情况见下表4-</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p>
          <w:p w14:paraId="74E8141D">
            <w:pPr>
              <w:tabs>
                <w:tab w:val="left" w:pos="2040"/>
              </w:tabs>
              <w:spacing w:line="240" w:lineRule="auto"/>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表4-1</w:t>
            </w:r>
            <w:r>
              <w:rPr>
                <w:rFonts w:hint="default" w:ascii="Times New Roman" w:hAnsi="Times New Roman" w:cs="Times New Roman"/>
                <w:b/>
                <w:bCs/>
                <w:color w:val="000000" w:themeColor="text1"/>
                <w:sz w:val="21"/>
                <w:szCs w:val="21"/>
                <w:lang w:val="en-US" w:eastAsia="zh-CN"/>
                <w14:textFill>
                  <w14:solidFill>
                    <w14:schemeClr w14:val="tx1"/>
                  </w14:solidFill>
                </w14:textFill>
              </w:rPr>
              <w:t>实验酸性废气产生情况一览表</w:t>
            </w:r>
          </w:p>
          <w:tbl>
            <w:tblPr>
              <w:tblStyle w:val="30"/>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140"/>
              <w:gridCol w:w="1335"/>
              <w:gridCol w:w="1485"/>
              <w:gridCol w:w="1530"/>
              <w:gridCol w:w="1798"/>
            </w:tblGrid>
            <w:tr w14:paraId="671C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73B10269">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污染物</w:t>
                  </w:r>
                </w:p>
              </w:tc>
              <w:tc>
                <w:tcPr>
                  <w:tcW w:w="1140" w:type="dxa"/>
                </w:tcPr>
                <w:p w14:paraId="52F37650">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试剂</w:t>
                  </w:r>
                </w:p>
              </w:tc>
              <w:tc>
                <w:tcPr>
                  <w:tcW w:w="1335" w:type="dxa"/>
                </w:tcPr>
                <w:p w14:paraId="5FF637BE">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用量（mL/a）</w:t>
                  </w:r>
                </w:p>
              </w:tc>
              <w:tc>
                <w:tcPr>
                  <w:tcW w:w="1485" w:type="dxa"/>
                </w:tcPr>
                <w:p w14:paraId="0504E4C6">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密度（g/cm</w:t>
                  </w:r>
                  <w:r>
                    <w:rPr>
                      <w:rFonts w:hint="default" w:ascii="Times New Roman" w:hAnsi="Times New Roman"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c>
                <w:tcPr>
                  <w:tcW w:w="1530" w:type="dxa"/>
                </w:tcPr>
                <w:p w14:paraId="12BB9722">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挥发占比（%）</w:t>
                  </w:r>
                </w:p>
              </w:tc>
              <w:tc>
                <w:tcPr>
                  <w:tcW w:w="1798" w:type="dxa"/>
                </w:tcPr>
                <w:p w14:paraId="273E0989">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废气产生量（kg/a）</w:t>
                  </w:r>
                </w:p>
              </w:tc>
            </w:tr>
            <w:tr w14:paraId="523D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5896081E">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硫酸雾</w:t>
                  </w:r>
                </w:p>
              </w:tc>
              <w:tc>
                <w:tcPr>
                  <w:tcW w:w="1140" w:type="dxa"/>
                </w:tcPr>
                <w:p w14:paraId="43F0B944">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98%硫酸</w:t>
                  </w:r>
                </w:p>
              </w:tc>
              <w:tc>
                <w:tcPr>
                  <w:tcW w:w="1335" w:type="dxa"/>
                </w:tcPr>
                <w:p w14:paraId="0F63F1EA">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5000</w:t>
                  </w:r>
                </w:p>
              </w:tc>
              <w:tc>
                <w:tcPr>
                  <w:tcW w:w="1485" w:type="dxa"/>
                </w:tcPr>
                <w:p w14:paraId="4E348900">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1.84</w:t>
                  </w:r>
                </w:p>
              </w:tc>
              <w:tc>
                <w:tcPr>
                  <w:tcW w:w="1530" w:type="dxa"/>
                </w:tcPr>
                <w:p w14:paraId="0E298B43">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w:t>
                  </w:r>
                </w:p>
              </w:tc>
              <w:tc>
                <w:tcPr>
                  <w:tcW w:w="1798" w:type="dxa"/>
                </w:tcPr>
                <w:p w14:paraId="060E7756">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9.016</w:t>
                  </w:r>
                </w:p>
              </w:tc>
            </w:tr>
            <w:tr w14:paraId="51F5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3601B19">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氯化氢</w:t>
                  </w:r>
                </w:p>
              </w:tc>
              <w:tc>
                <w:tcPr>
                  <w:tcW w:w="1140" w:type="dxa"/>
                </w:tcPr>
                <w:p w14:paraId="3443C3AC">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38%盐酸</w:t>
                  </w:r>
                </w:p>
              </w:tc>
              <w:tc>
                <w:tcPr>
                  <w:tcW w:w="1335" w:type="dxa"/>
                </w:tcPr>
                <w:p w14:paraId="7CE6E0E3">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2500</w:t>
                  </w:r>
                </w:p>
              </w:tc>
              <w:tc>
                <w:tcPr>
                  <w:tcW w:w="1485" w:type="dxa"/>
                </w:tcPr>
                <w:p w14:paraId="159E502A">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1.19</w:t>
                  </w:r>
                </w:p>
              </w:tc>
              <w:tc>
                <w:tcPr>
                  <w:tcW w:w="1530" w:type="dxa"/>
                </w:tcPr>
                <w:p w14:paraId="79813886">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w:t>
                  </w:r>
                </w:p>
              </w:tc>
              <w:tc>
                <w:tcPr>
                  <w:tcW w:w="1798" w:type="dxa"/>
                </w:tcPr>
                <w:p w14:paraId="041EFBD3">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1.131</w:t>
                  </w:r>
                </w:p>
              </w:tc>
            </w:tr>
            <w:tr w14:paraId="6DE8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1BF09D3">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氮氧化物</w:t>
                  </w:r>
                </w:p>
              </w:tc>
              <w:tc>
                <w:tcPr>
                  <w:tcW w:w="1140" w:type="dxa"/>
                </w:tcPr>
                <w:p w14:paraId="34A302CB">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68%硝酸</w:t>
                  </w:r>
                </w:p>
              </w:tc>
              <w:tc>
                <w:tcPr>
                  <w:tcW w:w="1335" w:type="dxa"/>
                </w:tcPr>
                <w:p w14:paraId="4959F3F4">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5000</w:t>
                  </w:r>
                </w:p>
              </w:tc>
              <w:tc>
                <w:tcPr>
                  <w:tcW w:w="1485" w:type="dxa"/>
                </w:tcPr>
                <w:p w14:paraId="62A96A1B">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1.5</w:t>
                  </w:r>
                </w:p>
              </w:tc>
              <w:tc>
                <w:tcPr>
                  <w:tcW w:w="1530" w:type="dxa"/>
                </w:tcPr>
                <w:p w14:paraId="2A01DA60">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w:t>
                  </w:r>
                </w:p>
              </w:tc>
              <w:tc>
                <w:tcPr>
                  <w:tcW w:w="1798" w:type="dxa"/>
                </w:tcPr>
                <w:p w14:paraId="3C770B0B">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5.10</w:t>
                  </w:r>
                </w:p>
              </w:tc>
            </w:tr>
          </w:tbl>
          <w:p w14:paraId="42003C23">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本项目产生的酸碱废气量较小，实验过程酸性废气在化学实验室通风橱收集后通过活性炭吸附装置处理后与有机废气一同经一根15m排气筒（DA001）楼顶排放，（风机风量3500m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/h，年运行时间2400h）。</w:t>
            </w:r>
          </w:p>
          <w:p w14:paraId="671F04D7">
            <w:pPr>
              <w:keepNext w:val="0"/>
              <w:keepLines w:val="0"/>
              <w:widowControl/>
              <w:suppressLineNumbers w:val="0"/>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由上表计算得：硫酸雾产生量9.016kg/a，产生速率0.004kg/h，产生浓度1.07mg/m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。氯化氢产生量</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1.131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kg/a，产生速率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0.00047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kg/h，产生浓度</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0.13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氮氧化物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产生量</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5.10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kg/a，产生速率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0.002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kg/h，产生浓度</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0.61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08B2B547">
            <w:pPr>
              <w:pStyle w:val="66"/>
              <w:ind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②有机废气</w:t>
            </w:r>
          </w:p>
          <w:p w14:paraId="6214D113">
            <w:pPr>
              <w:pStyle w:val="66"/>
              <w:ind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实验过程中会使用无水乙醇、</w:t>
            </w:r>
            <w:r>
              <w:rPr>
                <w:rFonts w:hint="default" w:ascii="Times New Roman" w:hAnsi="Times New Roman" w:cs="Times New Roman"/>
                <w:color w:val="000000" w:themeColor="text1"/>
                <w:lang w:val="en-US" w:eastAsia="zh-CN"/>
                <w14:textFill>
                  <w14:solidFill>
                    <w14:schemeClr w14:val="tx1"/>
                  </w14:solidFill>
                </w14:textFill>
              </w:rPr>
              <w:t>四氯化碳、甲醇、冰醋酸、甘油</w:t>
            </w:r>
            <w:r>
              <w:rPr>
                <w:rFonts w:hint="default" w:ascii="Times New Roman" w:hAnsi="Times New Roman" w:cs="Times New Roman"/>
                <w:color w:val="000000" w:themeColor="text1"/>
                <w14:textFill>
                  <w14:solidFill>
                    <w14:schemeClr w14:val="tx1"/>
                  </w14:solidFill>
                </w14:textFill>
              </w:rPr>
              <w:t>等有机溶剂，由于实验过程中使用有机溶剂时会向其中加入样品</w:t>
            </w:r>
            <w:r>
              <w:rPr>
                <w:rFonts w:hint="default" w:ascii="Times New Roman" w:hAnsi="Times New Roman" w:cs="Times New Roman"/>
                <w:color w:val="000000" w:themeColor="text1"/>
                <w:lang w:val="en-US" w:eastAsia="zh-CN"/>
                <w14:textFill>
                  <w14:solidFill>
                    <w14:schemeClr w14:val="tx1"/>
                  </w14:solidFill>
                </w14:textFill>
              </w:rPr>
              <w:t>或前处理</w:t>
            </w:r>
            <w:r>
              <w:rPr>
                <w:rFonts w:hint="default" w:ascii="Times New Roman" w:hAnsi="Times New Roman" w:cs="Times New Roman"/>
                <w:color w:val="000000" w:themeColor="text1"/>
                <w14:textFill>
                  <w14:solidFill>
                    <w14:schemeClr w14:val="tx1"/>
                  </w14:solidFill>
                </w14:textFill>
              </w:rPr>
              <w:t>，故不会完全挥发至大气中，会产生少量挥发性有机废气（以非甲烷总烃计）。本次评价以最不利情况考虑，各挥发性试剂以全部挥发进行污染源强核算，本项目有机废气（以非甲烷总烃计）挥发量见表</w:t>
            </w:r>
            <w:r>
              <w:rPr>
                <w:rFonts w:hint="default" w:ascii="Times New Roman" w:hAnsi="Times New Roman" w:cs="Times New Roman"/>
                <w:color w:val="000000" w:themeColor="text1"/>
                <w:lang w:val="en-US" w:eastAsia="zh-CN"/>
                <w14:textFill>
                  <w14:solidFill>
                    <w14:schemeClr w14:val="tx1"/>
                  </w14:solidFill>
                </w14:textFill>
              </w:rPr>
              <w:t>4-2</w:t>
            </w:r>
            <w:r>
              <w:rPr>
                <w:rFonts w:hint="default" w:ascii="Times New Roman" w:hAnsi="Times New Roman" w:cs="Times New Roman"/>
                <w:color w:val="000000" w:themeColor="text1"/>
                <w14:textFill>
                  <w14:solidFill>
                    <w14:schemeClr w14:val="tx1"/>
                  </w14:solidFill>
                </w14:textFill>
              </w:rPr>
              <w:t>。</w:t>
            </w:r>
          </w:p>
          <w:p w14:paraId="4D029F0E">
            <w:pPr>
              <w:tabs>
                <w:tab w:val="left" w:pos="2040"/>
              </w:tabs>
              <w:spacing w:line="240" w:lineRule="auto"/>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表4-</w:t>
            </w:r>
            <w:r>
              <w:rPr>
                <w:rFonts w:hint="default" w:ascii="Times New Roman" w:hAnsi="Times New Roman" w:cs="Times New Roman"/>
                <w:b/>
                <w:bCs/>
                <w:color w:val="000000" w:themeColor="text1"/>
                <w:sz w:val="21"/>
                <w:szCs w:val="21"/>
                <w:lang w:val="en-US" w:eastAsia="zh-CN"/>
                <w14:textFill>
                  <w14:solidFill>
                    <w14:schemeClr w14:val="tx1"/>
                  </w14:solidFill>
                </w14:textFill>
              </w:rPr>
              <w:t>2实验有机废气产生情况一览表</w:t>
            </w:r>
          </w:p>
          <w:tbl>
            <w:tblPr>
              <w:tblStyle w:val="30"/>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140"/>
              <w:gridCol w:w="1335"/>
              <w:gridCol w:w="1485"/>
              <w:gridCol w:w="1530"/>
              <w:gridCol w:w="1798"/>
            </w:tblGrid>
            <w:tr w14:paraId="4F48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vAlign w:val="center"/>
                </w:tcPr>
                <w:p w14:paraId="6DCF815B">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污染物</w:t>
                  </w:r>
                </w:p>
              </w:tc>
              <w:tc>
                <w:tcPr>
                  <w:tcW w:w="1140" w:type="dxa"/>
                  <w:vAlign w:val="center"/>
                </w:tcPr>
                <w:p w14:paraId="32696D83">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试剂</w:t>
                  </w:r>
                </w:p>
              </w:tc>
              <w:tc>
                <w:tcPr>
                  <w:tcW w:w="1335" w:type="dxa"/>
                  <w:vAlign w:val="center"/>
                </w:tcPr>
                <w:p w14:paraId="336BE946">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用量（mL/a）</w:t>
                  </w:r>
                </w:p>
              </w:tc>
              <w:tc>
                <w:tcPr>
                  <w:tcW w:w="1485" w:type="dxa"/>
                  <w:vAlign w:val="center"/>
                </w:tcPr>
                <w:p w14:paraId="6005F3B5">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密度（g/cm</w:t>
                  </w:r>
                  <w:r>
                    <w:rPr>
                      <w:rFonts w:hint="default" w:ascii="Times New Roman" w:hAnsi="Times New Roman"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c>
                <w:tcPr>
                  <w:tcW w:w="1530" w:type="dxa"/>
                  <w:vAlign w:val="center"/>
                </w:tcPr>
                <w:p w14:paraId="3DE35D86">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挥发占比（%）</w:t>
                  </w:r>
                </w:p>
              </w:tc>
              <w:tc>
                <w:tcPr>
                  <w:tcW w:w="1798" w:type="dxa"/>
                  <w:vAlign w:val="center"/>
                </w:tcPr>
                <w:p w14:paraId="67542C50">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废气产生量（kg/a）</w:t>
                  </w:r>
                </w:p>
              </w:tc>
            </w:tr>
            <w:tr w14:paraId="6B94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vMerge w:val="restart"/>
                  <w:vAlign w:val="center"/>
                </w:tcPr>
                <w:p w14:paraId="06C566E9">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非甲烷总烃</w:t>
                  </w:r>
                </w:p>
              </w:tc>
              <w:tc>
                <w:tcPr>
                  <w:tcW w:w="1140" w:type="dxa"/>
                  <w:vAlign w:val="center"/>
                </w:tcPr>
                <w:p w14:paraId="4B32C8BB">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无水乙醇</w:t>
                  </w:r>
                </w:p>
              </w:tc>
              <w:tc>
                <w:tcPr>
                  <w:tcW w:w="1335" w:type="dxa"/>
                  <w:vAlign w:val="center"/>
                </w:tcPr>
                <w:p w14:paraId="347C129F">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150000</w:t>
                  </w:r>
                </w:p>
              </w:tc>
              <w:tc>
                <w:tcPr>
                  <w:tcW w:w="1485" w:type="dxa"/>
                  <w:vAlign w:val="center"/>
                </w:tcPr>
                <w:p w14:paraId="0B48B443">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0.79</w:t>
                  </w:r>
                </w:p>
              </w:tc>
              <w:tc>
                <w:tcPr>
                  <w:tcW w:w="1530" w:type="dxa"/>
                  <w:vAlign w:val="center"/>
                </w:tcPr>
                <w:p w14:paraId="63901D51">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w:t>
                  </w:r>
                </w:p>
              </w:tc>
              <w:tc>
                <w:tcPr>
                  <w:tcW w:w="1798" w:type="dxa"/>
                  <w:vAlign w:val="center"/>
                </w:tcPr>
                <w:p w14:paraId="6355CC6D">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118.5</w:t>
                  </w:r>
                </w:p>
              </w:tc>
            </w:tr>
            <w:tr w14:paraId="1621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vMerge w:val="continue"/>
                  <w:vAlign w:val="center"/>
                </w:tcPr>
                <w:p w14:paraId="112895C1">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140" w:type="dxa"/>
                  <w:vAlign w:val="center"/>
                </w:tcPr>
                <w:p w14:paraId="153B34DF">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四氯化碳</w:t>
                  </w:r>
                </w:p>
              </w:tc>
              <w:tc>
                <w:tcPr>
                  <w:tcW w:w="1335" w:type="dxa"/>
                  <w:vAlign w:val="center"/>
                </w:tcPr>
                <w:p w14:paraId="4C96C32D">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1000</w:t>
                  </w:r>
                </w:p>
              </w:tc>
              <w:tc>
                <w:tcPr>
                  <w:tcW w:w="1485" w:type="dxa"/>
                  <w:vAlign w:val="center"/>
                </w:tcPr>
                <w:p w14:paraId="25582E3B">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1.59</w:t>
                  </w:r>
                </w:p>
              </w:tc>
              <w:tc>
                <w:tcPr>
                  <w:tcW w:w="1530" w:type="dxa"/>
                  <w:vAlign w:val="center"/>
                </w:tcPr>
                <w:p w14:paraId="2993F262">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w:t>
                  </w:r>
                </w:p>
              </w:tc>
              <w:tc>
                <w:tcPr>
                  <w:tcW w:w="1798" w:type="dxa"/>
                  <w:vAlign w:val="center"/>
                </w:tcPr>
                <w:p w14:paraId="2A0711A5">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1.59</w:t>
                  </w:r>
                </w:p>
              </w:tc>
            </w:tr>
            <w:tr w14:paraId="719A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vMerge w:val="continue"/>
                  <w:vAlign w:val="center"/>
                </w:tcPr>
                <w:p w14:paraId="2C6A98D4">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140" w:type="dxa"/>
                  <w:vAlign w:val="center"/>
                </w:tcPr>
                <w:p w14:paraId="62BBDAA7">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甲醇</w:t>
                  </w:r>
                </w:p>
              </w:tc>
              <w:tc>
                <w:tcPr>
                  <w:tcW w:w="1335" w:type="dxa"/>
                  <w:vAlign w:val="center"/>
                </w:tcPr>
                <w:p w14:paraId="0DEBE189">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1000</w:t>
                  </w:r>
                </w:p>
              </w:tc>
              <w:tc>
                <w:tcPr>
                  <w:tcW w:w="1485" w:type="dxa"/>
                  <w:vAlign w:val="center"/>
                </w:tcPr>
                <w:p w14:paraId="23EB26DE">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0.80</w:t>
                  </w:r>
                </w:p>
              </w:tc>
              <w:tc>
                <w:tcPr>
                  <w:tcW w:w="1530" w:type="dxa"/>
                  <w:vAlign w:val="center"/>
                </w:tcPr>
                <w:p w14:paraId="7F887234">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w:t>
                  </w:r>
                </w:p>
              </w:tc>
              <w:tc>
                <w:tcPr>
                  <w:tcW w:w="1798" w:type="dxa"/>
                  <w:vAlign w:val="center"/>
                </w:tcPr>
                <w:p w14:paraId="6DF30141">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0.80</w:t>
                  </w:r>
                </w:p>
              </w:tc>
            </w:tr>
            <w:tr w14:paraId="4748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vMerge w:val="continue"/>
                  <w:vAlign w:val="center"/>
                </w:tcPr>
                <w:p w14:paraId="755516BA">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140" w:type="dxa"/>
                  <w:vAlign w:val="center"/>
                </w:tcPr>
                <w:p w14:paraId="0BFF9D42">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冰醋酸</w:t>
                  </w:r>
                </w:p>
              </w:tc>
              <w:tc>
                <w:tcPr>
                  <w:tcW w:w="1335" w:type="dxa"/>
                  <w:vAlign w:val="center"/>
                </w:tcPr>
                <w:p w14:paraId="3DE76DA9">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1000</w:t>
                  </w:r>
                </w:p>
              </w:tc>
              <w:tc>
                <w:tcPr>
                  <w:tcW w:w="1485" w:type="dxa"/>
                  <w:vAlign w:val="center"/>
                </w:tcPr>
                <w:p w14:paraId="2FE471F7">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1.05</w:t>
                  </w:r>
                </w:p>
              </w:tc>
              <w:tc>
                <w:tcPr>
                  <w:tcW w:w="1530" w:type="dxa"/>
                  <w:vAlign w:val="center"/>
                </w:tcPr>
                <w:p w14:paraId="200E0838">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w:t>
                  </w:r>
                </w:p>
              </w:tc>
              <w:tc>
                <w:tcPr>
                  <w:tcW w:w="1798" w:type="dxa"/>
                  <w:vAlign w:val="center"/>
                </w:tcPr>
                <w:p w14:paraId="55398480">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1.05</w:t>
                  </w:r>
                </w:p>
              </w:tc>
            </w:tr>
            <w:tr w14:paraId="5EC3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vMerge w:val="continue"/>
                  <w:vAlign w:val="center"/>
                </w:tcPr>
                <w:p w14:paraId="29AD9ED2">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140" w:type="dxa"/>
                  <w:vAlign w:val="center"/>
                </w:tcPr>
                <w:p w14:paraId="6A095189">
                  <w:pPr>
                    <w:tabs>
                      <w:tab w:val="left" w:pos="2040"/>
                    </w:tabs>
                    <w:spacing w:line="240" w:lineRule="auto"/>
                    <w:ind w:firstLine="0" w:firstLineChars="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甘油</w:t>
                  </w:r>
                </w:p>
              </w:tc>
              <w:tc>
                <w:tcPr>
                  <w:tcW w:w="1335" w:type="dxa"/>
                  <w:vAlign w:val="center"/>
                </w:tcPr>
                <w:p w14:paraId="76256DA8">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2500</w:t>
                  </w:r>
                </w:p>
              </w:tc>
              <w:tc>
                <w:tcPr>
                  <w:tcW w:w="1485" w:type="dxa"/>
                  <w:vAlign w:val="center"/>
                </w:tcPr>
                <w:p w14:paraId="4DD06392">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1.26</w:t>
                  </w:r>
                </w:p>
              </w:tc>
              <w:tc>
                <w:tcPr>
                  <w:tcW w:w="1530" w:type="dxa"/>
                  <w:vAlign w:val="center"/>
                </w:tcPr>
                <w:p w14:paraId="669C3DD1">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100</w:t>
                  </w:r>
                </w:p>
              </w:tc>
              <w:tc>
                <w:tcPr>
                  <w:tcW w:w="1798" w:type="dxa"/>
                  <w:vAlign w:val="center"/>
                </w:tcPr>
                <w:p w14:paraId="47BFD8AE">
                  <w:pPr>
                    <w:tabs>
                      <w:tab w:val="left" w:pos="2040"/>
                    </w:tabs>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3.15</w:t>
                  </w:r>
                </w:p>
              </w:tc>
            </w:tr>
          </w:tbl>
          <w:p w14:paraId="35FEF6DA">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由上表可得有机废气产生量125.09kg/a，产生速率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0.052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kg/h，产生浓度</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14.86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1562C4B4">
            <w:pPr>
              <w:pStyle w:val="66"/>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③硫化氢废气</w:t>
            </w:r>
          </w:p>
          <w:p w14:paraId="667E4C87">
            <w:pPr>
              <w:pStyle w:val="66"/>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491740" cy="2735580"/>
                  <wp:effectExtent l="0" t="0" r="3810" b="7620"/>
                  <wp:docPr id="2" name="图片 3" descr="试验橱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试验橱窗-1"/>
                          <pic:cNvPicPr>
                            <a:picLocks noChangeAspect="1"/>
                          </pic:cNvPicPr>
                        </pic:nvPicPr>
                        <pic:blipFill>
                          <a:blip r:embed="rId19"/>
                          <a:stretch>
                            <a:fillRect/>
                          </a:stretch>
                        </pic:blipFill>
                        <pic:spPr>
                          <a:xfrm>
                            <a:off x="0" y="0"/>
                            <a:ext cx="2491740" cy="2735580"/>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w:drawing>
                <wp:inline distT="0" distB="0" distL="114300" distR="114300">
                  <wp:extent cx="2728595" cy="2563495"/>
                  <wp:effectExtent l="0" t="0" r="8255" b="14605"/>
                  <wp:docPr id="3" name="图片 4" descr="试验橱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试验橱窗-3"/>
                          <pic:cNvPicPr>
                            <a:picLocks noChangeAspect="1"/>
                          </pic:cNvPicPr>
                        </pic:nvPicPr>
                        <pic:blipFill>
                          <a:blip r:embed="rId20"/>
                          <a:srcRect l="8449" t="13695" r="14169" b="11264"/>
                          <a:stretch>
                            <a:fillRect/>
                          </a:stretch>
                        </pic:blipFill>
                        <pic:spPr>
                          <a:xfrm rot="5400000">
                            <a:off x="0" y="0"/>
                            <a:ext cx="2728595" cy="2563495"/>
                          </a:xfrm>
                          <a:prstGeom prst="rect">
                            <a:avLst/>
                          </a:prstGeom>
                        </pic:spPr>
                      </pic:pic>
                    </a:graphicData>
                  </a:graphic>
                </wp:inline>
              </w:drawing>
            </w:r>
          </w:p>
          <w:p w14:paraId="2C2E42B8">
            <w:pPr>
              <w:pStyle w:val="66"/>
              <w:ind w:firstLine="480"/>
              <w:jc w:val="left"/>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试样金属浸没容器腔内通入氮气除氧后通入硫化氢气体，硫化氢气体经气瓶→实验室管路→容器腔→实验室管路→喷淋塔，</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SSC</w:t>
            </w:r>
            <w:r>
              <w:rPr>
                <w:rFonts w:hint="default" w:ascii="Times New Roman" w:hAnsi="Times New Roman" w:cs="Times New Roman" w:eastAsiaTheme="minorEastAsia"/>
                <w:color w:val="000000" w:themeColor="text1"/>
                <w:kern w:val="0"/>
                <w14:textFill>
                  <w14:solidFill>
                    <w14:schemeClr w14:val="tx1"/>
                  </w14:solidFill>
                </w14:textFill>
              </w:rPr>
              <w:t>应力腐蚀实验和</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HIC</w:t>
            </w:r>
            <w:r>
              <w:rPr>
                <w:rFonts w:hint="default" w:ascii="Times New Roman" w:hAnsi="Times New Roman" w:cs="Times New Roman" w:eastAsiaTheme="minorEastAsia"/>
                <w:color w:val="000000" w:themeColor="text1"/>
                <w:kern w:val="0"/>
                <w14:textFill>
                  <w14:solidFill>
                    <w14:schemeClr w14:val="tx1"/>
                  </w14:solidFill>
                </w14:textFill>
              </w:rPr>
              <w:t>氢致开裂实验在密闭的专用实验设备应力环、容器腔内操作，实验过程基本没有无组织废气产生，因此无组织废气予以忽略。</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以</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00mL/min</w:t>
            </w:r>
            <w:r>
              <w:rPr>
                <w:rFonts w:hint="default" w:ascii="Times New Roman" w:hAnsi="Times New Roman" w:cs="Times New Roman" w:eastAsiaTheme="minorEastAsia"/>
                <w:color w:val="000000" w:themeColor="text1"/>
                <w:kern w:val="0"/>
                <w:shd w:val="clear" w:color="auto" w:fill="FFFFFF"/>
                <w:lang w:bidi="en-US"/>
                <w14:textFill>
                  <w14:solidFill>
                    <w14:schemeClr w14:val="tx1"/>
                  </w14:solidFill>
                </w14:textFill>
              </w:rPr>
              <w:t>H</w:t>
            </w:r>
            <w:r>
              <w:rPr>
                <w:rFonts w:hint="default" w:ascii="Times New Roman" w:hAnsi="Times New Roman" w:cs="Times New Roman" w:eastAsiaTheme="minorEastAsia"/>
                <w:color w:val="000000" w:themeColor="text1"/>
                <w:kern w:val="0"/>
                <w:vertAlign w:val="subscript"/>
                <w14:textFill>
                  <w14:solidFill>
                    <w14:schemeClr w14:val="tx1"/>
                  </w14:solidFill>
                </w14:textFill>
              </w:rPr>
              <w:t>2</w:t>
            </w:r>
            <w:r>
              <w:rPr>
                <w:rFonts w:hint="default" w:ascii="Times New Roman" w:hAnsi="Times New Roman" w:cs="Times New Roman" w:eastAsiaTheme="minorEastAsia"/>
                <w:color w:val="000000" w:themeColor="text1"/>
                <w:kern w:val="0"/>
                <w:shd w:val="clear" w:color="auto" w:fill="FFFFFF"/>
                <w:lang w:bidi="en-US"/>
                <w14:textFill>
                  <w14:solidFill>
                    <w14:schemeClr w14:val="tx1"/>
                  </w14:solidFill>
                </w14:textFill>
              </w:rPr>
              <w:t>S</w:t>
            </w:r>
            <w:r>
              <w:rPr>
                <w:rFonts w:hint="default" w:ascii="Times New Roman" w:hAnsi="Times New Roman" w:cs="Times New Roman" w:eastAsiaTheme="minorEastAsia"/>
                <w:color w:val="000000" w:themeColor="text1"/>
                <w:kern w:val="0"/>
                <w:shd w:val="clear" w:color="auto" w:fill="FFFFFF"/>
                <w:lang w:val="en-US" w:eastAsia="zh-CN" w:bidi="en-US"/>
                <w14:textFill>
                  <w14:solidFill>
                    <w14:schemeClr w14:val="tx1"/>
                  </w14:solidFill>
                </w14:textFill>
              </w:rPr>
              <w:t>饱和速度及年</w:t>
            </w:r>
            <w:r>
              <w:rPr>
                <w:rFonts w:hint="default" w:ascii="Times New Roman" w:hAnsi="Times New Roman" w:cs="Times New Roman" w:eastAsiaTheme="minorEastAsia"/>
                <w:color w:val="000000" w:themeColor="text1"/>
                <w:kern w:val="0"/>
                <w:shd w:val="clear" w:color="auto" w:fill="FFFFFF"/>
                <w:lang w:bidi="en-US"/>
                <w14:textFill>
                  <w14:solidFill>
                    <w14:schemeClr w14:val="tx1"/>
                  </w14:solidFill>
                </w14:textFill>
              </w:rPr>
              <w:t>H</w:t>
            </w:r>
            <w:r>
              <w:rPr>
                <w:rFonts w:hint="default" w:ascii="Times New Roman" w:hAnsi="Times New Roman" w:cs="Times New Roman" w:eastAsiaTheme="minorEastAsia"/>
                <w:color w:val="000000" w:themeColor="text1"/>
                <w:kern w:val="0"/>
                <w:vertAlign w:val="subscript"/>
                <w14:textFill>
                  <w14:solidFill>
                    <w14:schemeClr w14:val="tx1"/>
                  </w14:solidFill>
                </w14:textFill>
              </w:rPr>
              <w:t>2</w:t>
            </w:r>
            <w:r>
              <w:rPr>
                <w:rFonts w:hint="default" w:ascii="Times New Roman" w:hAnsi="Times New Roman" w:cs="Times New Roman" w:eastAsiaTheme="minorEastAsia"/>
                <w:color w:val="000000" w:themeColor="text1"/>
                <w:kern w:val="0"/>
                <w:shd w:val="clear" w:color="auto" w:fill="FFFFFF"/>
                <w:lang w:bidi="en-US"/>
                <w14:textFill>
                  <w14:solidFill>
                    <w14:schemeClr w14:val="tx1"/>
                  </w14:solidFill>
                </w14:textFill>
              </w:rPr>
              <w:t>S</w:t>
            </w:r>
            <w:r>
              <w:rPr>
                <w:rFonts w:hint="default" w:ascii="Times New Roman" w:hAnsi="Times New Roman" w:cs="Times New Roman" w:eastAsiaTheme="minorEastAsia"/>
                <w:color w:val="000000" w:themeColor="text1"/>
                <w:kern w:val="0"/>
                <w:shd w:val="clear" w:color="auto" w:fill="FFFFFF"/>
                <w:lang w:val="en-US" w:eastAsia="zh-CN" w:bidi="en-US"/>
                <w14:textFill>
                  <w14:solidFill>
                    <w14:schemeClr w14:val="tx1"/>
                  </w14:solidFill>
                </w14:textFill>
              </w:rPr>
              <w:t>气瓶用量产生量约500kg/a，容器腔内损耗约15%，硫化氢年产生量375kg/a，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产生速率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0.313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kg/h，产生浓度</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89.29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414ADB70">
            <w:pPr>
              <w:ind w:firstLine="480" w:firstLineChars="0"/>
              <w:jc w:val="left"/>
              <w:rPr>
                <w:rFonts w:hint="default" w:ascii="Times New Roman" w:hAnsi="Times New Roman" w:cs="Times New Roman" w:eastAsiaTheme="minorEastAsia"/>
                <w:color w:val="000000" w:themeColor="text1"/>
                <w:kern w:val="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lang w:val="en-US" w:eastAsia="zh-CN"/>
                <w14:textFill>
                  <w14:solidFill>
                    <w14:schemeClr w14:val="tx1"/>
                  </w14:solidFill>
                </w14:textFill>
              </w:rPr>
              <w:t>④恶臭异味</w:t>
            </w:r>
          </w:p>
          <w:p w14:paraId="408BDE56">
            <w:pPr>
              <w:ind w:firstLine="480" w:firstLineChars="0"/>
              <w:jc w:val="left"/>
              <w:rPr>
                <w:rFonts w:hint="default" w:ascii="Times New Roman" w:hAnsi="Times New Roman" w:cs="Times New Roman" w:eastAsiaTheme="minorEastAsia"/>
                <w:color w:val="000000" w:themeColor="text1"/>
                <w:kern w:val="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lang w:val="en-US" w:eastAsia="zh-CN"/>
                <w14:textFill>
                  <w14:solidFill>
                    <w14:schemeClr w14:val="tx1"/>
                  </w14:solidFill>
                </w14:textFill>
              </w:rPr>
              <w:t>本项目实验试剂年用量较少，主要异味集中在硫化氢气体排放、酸性废液挥发，生产过程中产生的刺激性气味，建设单位采用通风橱+密闭管道收集处理、</w:t>
            </w:r>
            <w:r>
              <w:rPr>
                <w:rFonts w:hint="default" w:ascii="Times New Roman" w:hAnsi="Times New Roman" w:cs="Times New Roman" w:eastAsiaTheme="minorEastAsia"/>
                <w:color w:val="000000" w:themeColor="text1"/>
                <w:kern w:val="0"/>
                <w:shd w:val="clear" w:color="auto" w:fill="FFFFFF"/>
                <w:lang w:bidi="en-US"/>
                <w14:textFill>
                  <w14:solidFill>
                    <w14:schemeClr w14:val="tx1"/>
                  </w14:solidFill>
                </w14:textFill>
              </w:rPr>
              <w:t>H</w:t>
            </w:r>
            <w:r>
              <w:rPr>
                <w:rFonts w:hint="default" w:ascii="Times New Roman" w:hAnsi="Times New Roman" w:cs="Times New Roman" w:eastAsiaTheme="minorEastAsia"/>
                <w:color w:val="000000" w:themeColor="text1"/>
                <w:kern w:val="0"/>
                <w:vertAlign w:val="subscript"/>
                <w14:textFill>
                  <w14:solidFill>
                    <w14:schemeClr w14:val="tx1"/>
                  </w14:solidFill>
                </w14:textFill>
              </w:rPr>
              <w:t>2</w:t>
            </w:r>
            <w:r>
              <w:rPr>
                <w:rFonts w:hint="default" w:ascii="Times New Roman" w:hAnsi="Times New Roman" w:cs="Times New Roman" w:eastAsiaTheme="minorEastAsia"/>
                <w:color w:val="000000" w:themeColor="text1"/>
                <w:kern w:val="0"/>
                <w:shd w:val="clear" w:color="auto" w:fill="FFFFFF"/>
                <w:lang w:bidi="en-US"/>
                <w14:textFill>
                  <w14:solidFill>
                    <w14:schemeClr w14:val="tx1"/>
                  </w14:solidFill>
                </w14:textFill>
              </w:rPr>
              <w:t>S</w:t>
            </w:r>
            <w:r>
              <w:rPr>
                <w:rFonts w:hint="default" w:ascii="Times New Roman" w:hAnsi="Times New Roman" w:cs="Times New Roman" w:eastAsiaTheme="minorEastAsia"/>
                <w:color w:val="000000" w:themeColor="text1"/>
                <w:kern w:val="0"/>
                <w:shd w:val="clear" w:color="auto" w:fill="FFFFFF"/>
                <w:lang w:val="en-US" w:eastAsia="zh-CN" w:bidi="en-US"/>
                <w14:textFill>
                  <w14:solidFill>
                    <w14:schemeClr w14:val="tx1"/>
                  </w14:solidFill>
                </w14:textFill>
              </w:rPr>
              <w:t>密闭气路</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，合理控制人员进出车间，加强员工操作管理，废液桶等不用时加盖密封等尽可能防止废气弥散，并将收集的废气采用“碱喷淋+活性炭吸附”处理后有组织排放，因此该异味不会对周边环境产生较大影响。</w:t>
            </w:r>
          </w:p>
          <w:p w14:paraId="08EA3BD2">
            <w:pPr>
              <w:widowControl/>
              <w:ind w:firstLine="480"/>
              <w:jc w:val="left"/>
              <w:rPr>
                <w:rFonts w:hint="default" w:ascii="Times New Roman" w:hAnsi="Times New Roman"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1.3废气治理措施</w:t>
            </w:r>
          </w:p>
          <w:p w14:paraId="1A0E9128">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在实验室内设置通风橱和集气罩，经通风橱收集的酸雾（氯化氢、硫酸雾、硝酸雾）和有机废气通过通风橱密闭管道与硫化氢气路收集一同经“碱液喷淋+活性炭吸附”处理后由15m高排气筒（DA001）高空排放。</w:t>
            </w:r>
          </w:p>
          <w:p w14:paraId="1A94BAC3">
            <w:pPr>
              <w:keepNext w:val="0"/>
              <w:keepLines w:val="0"/>
              <w:widowControl/>
              <w:suppressLineNumbers w:val="0"/>
              <w:jc w:val="left"/>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关于印发〈主要污染物总量减排核算技术指南（2022年）〉的通知》（环办综合函〔2022〕350号）中表2-3可知，半封闭集气罩收集效率可达65%，外部集气罩收集效率为30%；通风橱属于半封闭集气罩，其挡板可上下移动，在试样前处理及酸性试剂配制尽量将挡板拉至最低，可使其收集效率提高，加上本项目试剂年用量较少，综合考虑本项目实验废气收集效率为80%；硫化氢气瓶连接实验气路通入容器腔，最终由密闭管路引入碱喷淋装置，因此硫化氢收集效率可视为100%进入碱喷淋装置中。</w:t>
            </w:r>
          </w:p>
          <w:p w14:paraId="180E6A4F">
            <w:pPr>
              <w:widowControl/>
              <w:ind w:firstLine="480"/>
              <w:jc w:val="left"/>
              <w:rPr>
                <w:rFonts w:hint="default" w:ascii="Times New Roman" w:hAnsi="Times New Roman" w:cs="Times New Roman"/>
                <w:color w:val="000000" w:themeColor="text1"/>
                <w:kern w:val="0"/>
                <w:lang w:val="en-US"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末端治理措施为“碱喷淋+活性炭吸附”装置，参考指南活性炭对VOCs吸附效率为30%；参考《三废处理工程技术手册》（废气卷）（刘天齐主编，黄小林、邢连壁、耿其博副主编），碱液喷淋塔对酸雾的处理效率为80</w:t>
            </w:r>
            <w:r>
              <w:rPr>
                <w:rFonts w:hint="eastAsia" w:cs="Times New Roman"/>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90%，由于本项目酸性废气产生浓度较低，因此“碱喷淋+活性炭”对酸雾处理效率保守按60%</w:t>
            </w:r>
            <w:r>
              <w:rPr>
                <w:rFonts w:hint="eastAsia" w:cs="Times New Roman"/>
                <w:color w:val="000000" w:themeColor="text1"/>
                <w:kern w:val="0"/>
                <w:lang w:val="en-US" w:eastAsia="zh-CN"/>
                <w14:textFill>
                  <w14:solidFill>
                    <w14:schemeClr w14:val="tx1"/>
                  </w14:solidFill>
                </w14:textFill>
              </w:rPr>
              <w:t>计算</w:t>
            </w:r>
            <w:r>
              <w:rPr>
                <w:rFonts w:hint="default" w:ascii="Times New Roman" w:hAnsi="Times New Roman" w:cs="Times New Roman"/>
                <w:color w:val="000000" w:themeColor="text1"/>
                <w:kern w:val="0"/>
                <w:lang w:val="en-US" w:eastAsia="zh-CN"/>
                <w14:textFill>
                  <w14:solidFill>
                    <w14:schemeClr w14:val="tx1"/>
                  </w14:solidFill>
                </w14:textFill>
              </w:rPr>
              <w:t>；</w:t>
            </w:r>
            <w:r>
              <w:rPr>
                <w:rFonts w:hint="eastAsia" w:ascii="Times New Roman" w:hAnsi="Times New Roman" w:cs="Times New Roman"/>
                <w:color w:val="000000" w:themeColor="text1"/>
                <w:kern w:val="0"/>
                <w:lang w:val="en-US" w:eastAsia="zh-CN"/>
                <w14:textFill>
                  <w14:solidFill>
                    <w14:schemeClr w14:val="tx1"/>
                  </w14:solidFill>
                </w14:textFill>
              </w:rPr>
              <w:t>参考《化工环保》第五期碱回收法回收废气中的硫化氢：</w:t>
            </w:r>
            <w:r>
              <w:rPr>
                <w:rFonts w:hint="default" w:ascii="Times New Roman" w:hAnsi="Times New Roman" w:cs="Times New Roman"/>
                <w:color w:val="000000" w:themeColor="text1"/>
                <w:kern w:val="0"/>
                <w:lang w:val="en-US" w:eastAsia="zh-CN"/>
                <w14:textFill>
                  <w14:solidFill>
                    <w14:schemeClr w14:val="tx1"/>
                  </w14:solidFill>
                </w14:textFill>
              </w:rPr>
              <w:t>碱液喷淋塔对酸雾的处理效率</w:t>
            </w:r>
            <w:r>
              <w:rPr>
                <w:rFonts w:hint="eastAsia" w:ascii="Times New Roman" w:hAnsi="Times New Roman" w:cs="Times New Roman"/>
                <w:color w:val="000000" w:themeColor="text1"/>
                <w:kern w:val="0"/>
                <w:lang w:val="en-US" w:eastAsia="zh-CN"/>
                <w14:textFill>
                  <w14:solidFill>
                    <w14:schemeClr w14:val="tx1"/>
                  </w14:solidFill>
                </w14:textFill>
              </w:rPr>
              <w:t>可达9</w:t>
            </w:r>
            <w:r>
              <w:rPr>
                <w:rFonts w:hint="default" w:ascii="Times New Roman" w:hAnsi="Times New Roman" w:cs="Times New Roman"/>
                <w:color w:val="000000" w:themeColor="text1"/>
                <w:kern w:val="0"/>
                <w:lang w:val="en-US" w:eastAsia="zh-CN"/>
                <w14:textFill>
                  <w14:solidFill>
                    <w14:schemeClr w14:val="tx1"/>
                  </w14:solidFill>
                </w14:textFill>
              </w:rPr>
              <w:t>0%</w:t>
            </w:r>
            <w:r>
              <w:rPr>
                <w:rFonts w:hint="eastAsia" w:ascii="Times New Roman" w:hAnsi="Times New Roman" w:cs="Times New Roman"/>
                <w:color w:val="000000" w:themeColor="text1"/>
                <w:kern w:val="0"/>
                <w:lang w:val="en-US" w:eastAsia="zh-CN"/>
                <w14:textFill>
                  <w14:solidFill>
                    <w14:schemeClr w14:val="tx1"/>
                  </w14:solidFill>
                </w14:textFill>
              </w:rPr>
              <w:t>以上</w:t>
            </w:r>
            <w:r>
              <w:rPr>
                <w:rFonts w:hint="default" w:ascii="Times New Roman" w:hAnsi="Times New Roman" w:cs="Times New Roman"/>
                <w:color w:val="000000" w:themeColor="text1"/>
                <w:kern w:val="0"/>
                <w:lang w:val="en-US" w:eastAsia="zh-CN"/>
                <w14:textFill>
                  <w14:solidFill>
                    <w14:schemeClr w14:val="tx1"/>
                  </w14:solidFill>
                </w14:textFill>
              </w:rPr>
              <w:t>，</w:t>
            </w:r>
            <w:r>
              <w:rPr>
                <w:rFonts w:hint="eastAsia" w:ascii="Times New Roman" w:hAnsi="Times New Roman" w:cs="Times New Roman"/>
                <w:color w:val="000000" w:themeColor="text1"/>
                <w:kern w:val="0"/>
                <w:lang w:val="en-US" w:eastAsia="zh-CN"/>
                <w14:textFill>
                  <w14:solidFill>
                    <w14:schemeClr w14:val="tx1"/>
                  </w14:solidFill>
                </w14:textFill>
              </w:rPr>
              <w:t>本环评</w:t>
            </w:r>
            <w:r>
              <w:rPr>
                <w:rFonts w:hint="default" w:ascii="Times New Roman" w:hAnsi="Times New Roman" w:cs="Times New Roman"/>
                <w:color w:val="000000" w:themeColor="text1"/>
                <w:kern w:val="0"/>
                <w:lang w:val="en-US" w:eastAsia="zh-CN"/>
                <w14:textFill>
                  <w14:solidFill>
                    <w14:schemeClr w14:val="tx1"/>
                  </w14:solidFill>
                </w14:textFill>
              </w:rPr>
              <w:t>吸附综合效率保守按80%计算。</w:t>
            </w:r>
          </w:p>
          <w:p w14:paraId="49C20522">
            <w:pPr>
              <w:widowControl/>
              <w:ind w:firstLine="480"/>
              <w:jc w:val="left"/>
              <w:rPr>
                <w:rFonts w:hint="default" w:ascii="Times New Roman" w:hAnsi="Times New Roman"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1.4污染物排放情况</w:t>
            </w:r>
          </w:p>
          <w:p w14:paraId="4BE8A510">
            <w:pPr>
              <w:widowControl/>
              <w:ind w:firstLine="480"/>
              <w:jc w:val="left"/>
              <w:rPr>
                <w:rFonts w:hint="default" w:ascii="Times New Roman" w:hAnsi="Times New Roman" w:cs="Times New Roman"/>
                <w:color w:val="000000" w:themeColor="text1"/>
                <w:kern w:val="0"/>
                <w:lang w:val="en-US"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酸性废气与有机废气经通风橱收集与硫化氢气路一同排入“碱喷淋+活性炭吸附”装置处理后引至15m高（DA001）排放。</w:t>
            </w:r>
          </w:p>
          <w:p w14:paraId="79AD2EF5">
            <w:pPr>
              <w:widowControl/>
              <w:ind w:firstLine="480"/>
              <w:jc w:val="left"/>
              <w:rPr>
                <w:rFonts w:hint="default" w:ascii="Times New Roman" w:hAnsi="Times New Roman" w:cs="Times New Roman"/>
                <w:color w:val="000000" w:themeColor="text1"/>
                <w:kern w:val="0"/>
                <w:lang w:val="en-US"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（1）酸性废气</w:t>
            </w:r>
          </w:p>
          <w:p w14:paraId="3EA6C4F3">
            <w:pPr>
              <w:keepNext w:val="0"/>
              <w:keepLines w:val="0"/>
              <w:widowControl/>
              <w:suppressLineNumbers w:val="0"/>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硫酸雾有组织排放量为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2.885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kg/a，排放速率</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0.0012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kg/h，排放浓度为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0.34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，无组织排放量为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1.8032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kg/a，排放速率为0.000</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w:t>
            </w:r>
          </w:p>
          <w:p w14:paraId="74CEA23B">
            <w:pPr>
              <w:keepNext w:val="0"/>
              <w:keepLines w:val="0"/>
              <w:widowControl/>
              <w:suppressLineNumbers w:val="0"/>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氯化氢有组织排放量为0.362kg/a，排放速率0.00015kg/h，排放浓度为0.043mg/m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，无组织排放量为0.2262kg/a，排放速率为0.00009kg/h。</w:t>
            </w:r>
          </w:p>
          <w:p w14:paraId="78FC16ED">
            <w:pPr>
              <w:keepNext w:val="0"/>
              <w:keepLines w:val="0"/>
              <w:widowControl/>
              <w:suppressLineNumbers w:val="0"/>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硝酸雾有组织排放量为1.632kg/a，排放速率0.00068kg/h，排放浓度为0.19mg/m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，无组织排放量为1.02kg/a，排放速率为0.0004kg/h。</w:t>
            </w:r>
          </w:p>
          <w:p w14:paraId="5EF314B1">
            <w:pPr>
              <w:widowControl/>
              <w:ind w:firstLine="480"/>
              <w:jc w:val="both"/>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（2）有机废气</w:t>
            </w:r>
          </w:p>
          <w:p w14:paraId="758B4DBF">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项目有机废气（以非甲烷总烃计）有组织排放量为70.0504kg/a，排放速率0.029kg/h，排放浓度为8.34mg/m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，无组织排放量为25.018kg/a，排放速率为0.010kg/h。</w:t>
            </w:r>
          </w:p>
          <w:p w14:paraId="5F6EFFCE">
            <w:pPr>
              <w:widowControl/>
              <w:ind w:firstLine="480"/>
              <w:jc w:val="left"/>
              <w:rPr>
                <w:rFonts w:hint="default" w:ascii="Times New Roman" w:hAnsi="Times New Roman" w:cs="Times New Roman"/>
                <w:color w:val="000000" w:themeColor="text1"/>
                <w:kern w:val="0"/>
                <w:lang w:val="en-US" w:eastAsia="zh-CN"/>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（3）硫化氢废气</w:t>
            </w:r>
          </w:p>
          <w:p w14:paraId="5398F9D3">
            <w:pPr>
              <w:widowControl/>
              <w:ind w:firstLine="480"/>
              <w:jc w:val="left"/>
              <w:rPr>
                <w:rFonts w:hint="default" w:ascii="Times New Roman" w:hAnsi="Times New Roman" w:cs="Times New Roman"/>
                <w:color w:val="000000" w:themeColor="text1"/>
                <w:kern w:val="0"/>
                <w:lang w:val="en-US" w:eastAsia="zh-CN"/>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腐蚀过程硫化氢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有组织排放量为</w:t>
            </w:r>
            <w:r>
              <w:rPr>
                <w:rFonts w:hint="eastAsia" w:cs="Times New Roman"/>
                <w:color w:val="000000" w:themeColor="text1"/>
                <w:kern w:val="0"/>
                <w:sz w:val="24"/>
                <w:szCs w:val="24"/>
                <w:lang w:val="en-US" w:eastAsia="zh-CN" w:bidi="ar"/>
                <w14:textFill>
                  <w14:solidFill>
                    <w14:schemeClr w14:val="tx1"/>
                  </w14:solidFill>
                </w14:textFill>
              </w:rPr>
              <w:t>75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kg/a，排放速率</w:t>
            </w:r>
            <w:r>
              <w:rPr>
                <w:rFonts w:hint="eastAsia" w:cs="Times New Roman"/>
                <w:color w:val="000000" w:themeColor="text1"/>
                <w:kern w:val="0"/>
                <w:sz w:val="24"/>
                <w:szCs w:val="24"/>
                <w:lang w:val="en-US" w:eastAsia="zh-CN" w:bidi="ar"/>
                <w14:textFill>
                  <w14:solidFill>
                    <w14:schemeClr w14:val="tx1"/>
                  </w14:solidFill>
                </w14:textFill>
              </w:rPr>
              <w:t>0.0625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kg/h，排放浓度为</w:t>
            </w:r>
            <w:r>
              <w:rPr>
                <w:rFonts w:hint="eastAsia" w:cs="Times New Roman"/>
                <w:color w:val="000000" w:themeColor="text1"/>
                <w:kern w:val="0"/>
                <w:sz w:val="24"/>
                <w:szCs w:val="24"/>
                <w:lang w:val="en-US" w:eastAsia="zh-CN" w:bidi="ar"/>
                <w14:textFill>
                  <w14:solidFill>
                    <w14:schemeClr w14:val="tx1"/>
                  </w14:solidFill>
                </w14:textFill>
              </w:rPr>
              <w:t>17.86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eastAsia" w:cs="Times New Roman"/>
                <w:color w:val="000000" w:themeColor="text1"/>
                <w:kern w:val="0"/>
                <w:sz w:val="24"/>
                <w:szCs w:val="24"/>
                <w:lang w:val="en-US" w:eastAsia="zh-CN" w:bidi="ar"/>
                <w14:textFill>
                  <w14:solidFill>
                    <w14:schemeClr w14:val="tx1"/>
                  </w14:solidFill>
                </w14:textFill>
              </w:rPr>
              <w:t>。</w:t>
            </w:r>
          </w:p>
          <w:p w14:paraId="31E1A298">
            <w:pPr>
              <w:ind w:firstLine="480" w:firstLineChars="0"/>
              <w:jc w:val="left"/>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eastAsiaTheme="minorEastAsia"/>
                <w:color w:val="000000" w:themeColor="text1"/>
                <w:kern w:val="0"/>
                <w:lang w:val="en-US" w:eastAsia="zh-CN"/>
                <w14:textFill>
                  <w14:solidFill>
                    <w14:schemeClr w14:val="tx1"/>
                  </w14:solidFill>
                </w14:textFill>
              </w:rPr>
              <w:t>经以上计算可得</w:t>
            </w:r>
            <w:r>
              <w:rPr>
                <w:rFonts w:hint="eastAsia" w:eastAsiaTheme="minorEastAsia"/>
                <w:color w:val="000000" w:themeColor="text1"/>
                <w:kern w:val="0"/>
                <w14:textFill>
                  <w14:solidFill>
                    <w14:schemeClr w14:val="tx1"/>
                  </w14:solidFill>
                </w14:textFill>
              </w:rPr>
              <w:t>，NOx、</w:t>
            </w:r>
            <w:r>
              <w:rPr>
                <w:rFonts w:eastAsiaTheme="minorEastAsia"/>
                <w:color w:val="000000" w:themeColor="text1"/>
                <w:kern w:val="0"/>
                <w14:textFill>
                  <w14:solidFill>
                    <w14:schemeClr w14:val="tx1"/>
                  </w14:solidFill>
                </w14:textFill>
              </w:rPr>
              <w:t>氯化氢、硫酸雾和</w:t>
            </w:r>
            <w:r>
              <w:rPr>
                <w:rFonts w:hint="eastAsia" w:eastAsiaTheme="minorEastAsia"/>
                <w:color w:val="000000" w:themeColor="text1"/>
                <w:kern w:val="0"/>
                <w:lang w:bidi="en-US"/>
                <w14:textFill>
                  <w14:solidFill>
                    <w14:schemeClr w14:val="tx1"/>
                  </w14:solidFill>
                </w14:textFill>
              </w:rPr>
              <w:t>NMHC</w:t>
            </w:r>
            <w:r>
              <w:rPr>
                <w:rFonts w:eastAsiaTheme="minorEastAsia"/>
                <w:color w:val="000000" w:themeColor="text1"/>
                <w:kern w:val="0"/>
                <w14:textFill>
                  <w14:solidFill>
                    <w14:schemeClr w14:val="tx1"/>
                  </w14:solidFill>
                </w14:textFill>
              </w:rPr>
              <w:t>排放浓度和排放速率</w:t>
            </w:r>
            <w:r>
              <w:rPr>
                <w:rFonts w:hint="eastAsia" w:eastAsiaTheme="minorEastAsia"/>
                <w:color w:val="000000" w:themeColor="text1"/>
                <w:kern w:val="0"/>
                <w14:textFill>
                  <w14:solidFill>
                    <w14:schemeClr w14:val="tx1"/>
                  </w14:solidFill>
                </w14:textFill>
              </w:rPr>
              <w:t>远低于</w:t>
            </w:r>
            <w:r>
              <w:rPr>
                <w:rFonts w:eastAsiaTheme="minorEastAsia"/>
                <w:color w:val="000000" w:themeColor="text1"/>
                <w:kern w:val="0"/>
                <w14:textFill>
                  <w14:solidFill>
                    <w14:schemeClr w14:val="tx1"/>
                  </w14:solidFill>
                </w14:textFill>
              </w:rPr>
              <w:t>《大气污染物综合排放标准》（</w:t>
            </w:r>
            <w:r>
              <w:rPr>
                <w:rFonts w:eastAsiaTheme="minorEastAsia"/>
                <w:color w:val="000000" w:themeColor="text1"/>
                <w:kern w:val="0"/>
                <w:shd w:val="clear" w:color="auto" w:fill="FFFFFF"/>
                <w:lang w:bidi="en-US"/>
                <w14:textFill>
                  <w14:solidFill>
                    <w14:schemeClr w14:val="tx1"/>
                  </w14:solidFill>
                </w14:textFill>
              </w:rPr>
              <w:t>GB</w:t>
            </w:r>
            <w:r>
              <w:rPr>
                <w:rFonts w:eastAsiaTheme="minorEastAsia"/>
                <w:color w:val="000000" w:themeColor="text1"/>
                <w:kern w:val="0"/>
                <w14:textFill>
                  <w14:solidFill>
                    <w14:schemeClr w14:val="tx1"/>
                  </w14:solidFill>
                </w14:textFill>
              </w:rPr>
              <w:t>1629749-96</w:t>
            </w:r>
            <w:r>
              <w:rPr>
                <w:rFonts w:hint="eastAsia" w:eastAsiaTheme="minorEastAsia"/>
                <w:color w:val="000000" w:themeColor="text1"/>
                <w:kern w:val="0"/>
                <w14:textFill>
                  <w14:solidFill>
                    <w14:schemeClr w14:val="tx1"/>
                  </w14:solidFill>
                </w14:textFill>
              </w:rPr>
              <w:t>）</w:t>
            </w:r>
            <w:r>
              <w:rPr>
                <w:rFonts w:eastAsiaTheme="minorEastAsia"/>
                <w:color w:val="000000" w:themeColor="text1"/>
                <w:kern w:val="0"/>
                <w14:textFill>
                  <w14:solidFill>
                    <w14:schemeClr w14:val="tx1"/>
                  </w14:solidFill>
                </w14:textFill>
              </w:rPr>
              <w:t>表2中的二级标准；硫化氢排放</w:t>
            </w:r>
            <w:r>
              <w:rPr>
                <w:rFonts w:hint="eastAsia" w:eastAsiaTheme="minorEastAsia"/>
                <w:color w:val="000000" w:themeColor="text1"/>
                <w:kern w:val="0"/>
                <w:lang w:val="en-US" w:eastAsia="zh-CN"/>
                <w14:textFill>
                  <w14:solidFill>
                    <w14:schemeClr w14:val="tx1"/>
                  </w14:solidFill>
                </w14:textFill>
              </w:rPr>
              <w:t>速率</w:t>
            </w:r>
            <w:r>
              <w:rPr>
                <w:rFonts w:eastAsiaTheme="minorEastAsia"/>
                <w:color w:val="000000" w:themeColor="text1"/>
                <w:kern w:val="0"/>
                <w14:textFill>
                  <w14:solidFill>
                    <w14:schemeClr w14:val="tx1"/>
                  </w14:solidFill>
                </w14:textFill>
              </w:rPr>
              <w:t>满足</w:t>
            </w:r>
            <w:r>
              <w:rPr>
                <w:rFonts w:hint="eastAsia" w:eastAsiaTheme="minorEastAsia"/>
                <w:color w:val="000000" w:themeColor="text1"/>
                <w:kern w:val="0"/>
                <w:shd w:val="clear" w:color="auto" w:fill="FFFFFF"/>
                <w:lang w:bidi="en-US"/>
                <w14:textFill>
                  <w14:solidFill>
                    <w14:schemeClr w14:val="tx1"/>
                  </w14:solidFill>
                </w14:textFill>
              </w:rPr>
              <w:t>《</w:t>
            </w:r>
            <w:r>
              <w:rPr>
                <w:rFonts w:eastAsiaTheme="minorEastAsia"/>
                <w:color w:val="000000" w:themeColor="text1"/>
                <w:kern w:val="0"/>
                <w14:textFill>
                  <w14:solidFill>
                    <w14:schemeClr w14:val="tx1"/>
                  </w14:solidFill>
                </w14:textFill>
              </w:rPr>
              <w:t>恶臭污染物排放标准》（</w:t>
            </w:r>
            <w:r>
              <w:rPr>
                <w:rFonts w:eastAsiaTheme="minorEastAsia"/>
                <w:color w:val="000000" w:themeColor="text1"/>
                <w:kern w:val="0"/>
                <w:shd w:val="clear" w:color="auto" w:fill="FFFFFF"/>
                <w:lang w:bidi="en-US"/>
                <w14:textFill>
                  <w14:solidFill>
                    <w14:schemeClr w14:val="tx1"/>
                  </w14:solidFill>
                </w14:textFill>
              </w:rPr>
              <w:t>GB</w:t>
            </w:r>
            <w:r>
              <w:rPr>
                <w:rFonts w:eastAsiaTheme="minorEastAsia"/>
                <w:color w:val="000000" w:themeColor="text1"/>
                <w:kern w:val="0"/>
                <w14:textFill>
                  <w14:solidFill>
                    <w14:schemeClr w14:val="tx1"/>
                  </w14:solidFill>
                </w14:textFill>
              </w:rPr>
              <w:t>1455193-93</w:t>
            </w:r>
            <w:r>
              <w:rPr>
                <w:rFonts w:hint="eastAsia" w:eastAsiaTheme="minorEastAsia"/>
                <w:color w:val="000000" w:themeColor="text1"/>
                <w:kern w:val="0"/>
                <w14:textFill>
                  <w14:solidFill>
                    <w14:schemeClr w14:val="tx1"/>
                  </w14:solidFill>
                </w14:textFill>
              </w:rPr>
              <w:t>）</w:t>
            </w:r>
            <w:r>
              <w:rPr>
                <w:rFonts w:eastAsiaTheme="minorEastAsia"/>
                <w:color w:val="000000" w:themeColor="text1"/>
                <w:kern w:val="0"/>
                <w14:textFill>
                  <w14:solidFill>
                    <w14:schemeClr w14:val="tx1"/>
                  </w14:solidFill>
                </w14:textFill>
              </w:rPr>
              <w:t>表2中的排放标准</w:t>
            </w:r>
            <w:r>
              <w:rPr>
                <w:rFonts w:hint="eastAsia" w:eastAsiaTheme="minorEastAsia"/>
                <w:color w:val="000000" w:themeColor="text1"/>
                <w:kern w:val="0"/>
                <w14:textFill>
                  <w14:solidFill>
                    <w14:schemeClr w14:val="tx1"/>
                  </w14:solidFill>
                </w14:textFill>
              </w:rPr>
              <w:t>，项目运营期各大气污染物均可以实现</w:t>
            </w:r>
            <w:r>
              <w:rPr>
                <w:rFonts w:hint="eastAsia" w:eastAsiaTheme="minorEastAsia"/>
                <w:color w:val="000000" w:themeColor="text1"/>
                <w:kern w:val="0"/>
                <w:lang w:val="en-US" w:eastAsia="zh-CN"/>
                <w14:textFill>
                  <w14:solidFill>
                    <w14:schemeClr w14:val="tx1"/>
                  </w14:solidFill>
                </w14:textFill>
              </w:rPr>
              <w:t>有组织</w:t>
            </w:r>
            <w:r>
              <w:rPr>
                <w:rFonts w:hint="eastAsia" w:eastAsiaTheme="minorEastAsia"/>
                <w:color w:val="000000" w:themeColor="text1"/>
                <w:kern w:val="0"/>
                <w14:textFill>
                  <w14:solidFill>
                    <w14:schemeClr w14:val="tx1"/>
                  </w14:solidFill>
                </w14:textFill>
              </w:rPr>
              <w:t>达标排放。</w:t>
            </w:r>
          </w:p>
        </w:tc>
      </w:tr>
    </w:tbl>
    <w:p w14:paraId="5B881B05">
      <w:pPr>
        <w:pStyle w:val="25"/>
        <w:spacing w:before="0" w:beforeAutospacing="0" w:after="0" w:afterAutospacing="0" w:line="240" w:lineRule="auto"/>
        <w:ind w:firstLine="562"/>
        <w:jc w:val="center"/>
        <w:outlineLvl w:val="0"/>
        <w:rPr>
          <w:b/>
          <w:color w:val="000000" w:themeColor="text1"/>
          <w:sz w:val="28"/>
          <w:szCs w:val="28"/>
          <w14:textFill>
            <w14:solidFill>
              <w14:schemeClr w14:val="tx1"/>
            </w14:solidFill>
          </w14:textFill>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581E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9" w:hRule="atLeast"/>
        </w:trPr>
        <w:tc>
          <w:tcPr>
            <w:tcW w:w="14174" w:type="dxa"/>
          </w:tcPr>
          <w:p w14:paraId="5CD2E6A8">
            <w:pPr>
              <w:pStyle w:val="91"/>
              <w:spacing w:before="302" w:line="229" w:lineRule="auto"/>
              <w:ind w:left="5088"/>
              <w:outlineLvl w:val="0"/>
              <w:rPr>
                <w:color w:val="000000" w:themeColor="text1"/>
                <w:sz w:val="21"/>
                <w:szCs w:val="21"/>
                <w14:textFill>
                  <w14:solidFill>
                    <w14:schemeClr w14:val="tx1"/>
                  </w14:solidFill>
                </w14:textFill>
              </w:rPr>
            </w:pPr>
            <w:r>
              <w:rPr>
                <w:b/>
                <w:bCs/>
                <w:color w:val="000000" w:themeColor="text1"/>
                <w:spacing w:val="-2"/>
                <w:sz w:val="21"/>
                <w:szCs w:val="21"/>
                <w14:textFill>
                  <w14:solidFill>
                    <w14:schemeClr w14:val="tx1"/>
                  </w14:solidFill>
                </w14:textFill>
              </w:rPr>
              <w:t>表</w:t>
            </w:r>
            <w:r>
              <w:rPr>
                <w:rFonts w:ascii="Times New Roman" w:hAnsi="Times New Roman" w:eastAsia="Times New Roman" w:cs="Times New Roman"/>
                <w:b/>
                <w:bCs/>
                <w:color w:val="000000" w:themeColor="text1"/>
                <w:spacing w:val="-2"/>
                <w:sz w:val="21"/>
                <w:szCs w:val="21"/>
                <w14:textFill>
                  <w14:solidFill>
                    <w14:schemeClr w14:val="tx1"/>
                  </w14:solidFill>
                </w14:textFill>
              </w:rPr>
              <w:t>4</w:t>
            </w: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-3</w:t>
            </w:r>
            <w:r>
              <w:rPr>
                <w:b/>
                <w:bCs/>
                <w:color w:val="000000" w:themeColor="text1"/>
                <w:spacing w:val="-2"/>
                <w:sz w:val="21"/>
                <w:szCs w:val="21"/>
                <w14:textFill>
                  <w14:solidFill>
                    <w14:schemeClr w14:val="tx1"/>
                  </w14:solidFill>
                </w14:textFill>
              </w:rPr>
              <w:t>废气产生、治理及排放情况一览表</w:t>
            </w:r>
          </w:p>
          <w:tbl>
            <w:tblPr>
              <w:tblStyle w:val="84"/>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95"/>
              <w:gridCol w:w="792"/>
              <w:gridCol w:w="667"/>
              <w:gridCol w:w="990"/>
              <w:gridCol w:w="1068"/>
              <w:gridCol w:w="996"/>
              <w:gridCol w:w="1079"/>
              <w:gridCol w:w="1054"/>
              <w:gridCol w:w="1107"/>
              <w:gridCol w:w="1180"/>
              <w:gridCol w:w="1155"/>
              <w:gridCol w:w="1107"/>
              <w:gridCol w:w="959"/>
              <w:gridCol w:w="991"/>
            </w:tblGrid>
            <w:tr w14:paraId="24D77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5" w:type="pct"/>
                  <w:vMerge w:val="restart"/>
                  <w:tcBorders>
                    <w:tl2br w:val="nil"/>
                    <w:tr2bl w:val="nil"/>
                  </w:tcBorders>
                  <w:vAlign w:val="center"/>
                </w:tcPr>
                <w:p w14:paraId="66515DE0">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产污</w:t>
                  </w:r>
                </w:p>
                <w:p w14:paraId="5298DAB8">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环节</w:t>
                  </w:r>
                </w:p>
              </w:tc>
              <w:tc>
                <w:tcPr>
                  <w:tcW w:w="284" w:type="pct"/>
                  <w:vMerge w:val="restart"/>
                  <w:tcBorders>
                    <w:tl2br w:val="nil"/>
                    <w:tr2bl w:val="nil"/>
                  </w:tcBorders>
                  <w:vAlign w:val="center"/>
                </w:tcPr>
                <w:p w14:paraId="17207270">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污染</w:t>
                  </w:r>
                </w:p>
                <w:p w14:paraId="4E7A4830">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物种类</w:t>
                  </w:r>
                </w:p>
              </w:tc>
              <w:tc>
                <w:tcPr>
                  <w:tcW w:w="239" w:type="pct"/>
                  <w:vMerge w:val="restart"/>
                  <w:tcBorders>
                    <w:tl2br w:val="nil"/>
                    <w:tr2bl w:val="nil"/>
                  </w:tcBorders>
                  <w:vAlign w:val="center"/>
                </w:tcPr>
                <w:p w14:paraId="7A105AB3">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排放</w:t>
                  </w:r>
                </w:p>
                <w:p w14:paraId="1D9D8821">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形式</w:t>
                  </w:r>
                </w:p>
              </w:tc>
              <w:tc>
                <w:tcPr>
                  <w:tcW w:w="738" w:type="pct"/>
                  <w:gridSpan w:val="2"/>
                  <w:vMerge w:val="restart"/>
                  <w:tcBorders>
                    <w:tl2br w:val="nil"/>
                    <w:tr2bl w:val="nil"/>
                  </w:tcBorders>
                  <w:vAlign w:val="center"/>
                </w:tcPr>
                <w:p w14:paraId="3EE8BE78">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产生情况</w:t>
                  </w:r>
                </w:p>
              </w:tc>
              <w:tc>
                <w:tcPr>
                  <w:tcW w:w="1942" w:type="pct"/>
                  <w:gridSpan w:val="5"/>
                  <w:vMerge w:val="restart"/>
                  <w:tcBorders>
                    <w:tl2br w:val="nil"/>
                    <w:tr2bl w:val="nil"/>
                  </w:tcBorders>
                  <w:vAlign w:val="center"/>
                </w:tcPr>
                <w:p w14:paraId="48BB0F50">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收集、治理设施</w:t>
                  </w:r>
                </w:p>
              </w:tc>
              <w:tc>
                <w:tcPr>
                  <w:tcW w:w="1510" w:type="pct"/>
                  <w:gridSpan w:val="4"/>
                  <w:tcBorders>
                    <w:tl2br w:val="nil"/>
                    <w:tr2bl w:val="nil"/>
                  </w:tcBorders>
                  <w:vAlign w:val="center"/>
                </w:tcPr>
                <w:p w14:paraId="3E043E72">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污染物排放</w:t>
                  </w:r>
                </w:p>
              </w:tc>
            </w:tr>
            <w:tr w14:paraId="7847B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5" w:type="pct"/>
                  <w:vMerge w:val="continue"/>
                  <w:tcBorders>
                    <w:tl2br w:val="nil"/>
                    <w:tr2bl w:val="nil"/>
                  </w:tcBorders>
                  <w:vAlign w:val="center"/>
                </w:tcPr>
                <w:p w14:paraId="6D154C93">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284" w:type="pct"/>
                  <w:vMerge w:val="continue"/>
                  <w:tcBorders>
                    <w:tl2br w:val="nil"/>
                    <w:tr2bl w:val="nil"/>
                  </w:tcBorders>
                  <w:vAlign w:val="center"/>
                </w:tcPr>
                <w:p w14:paraId="662ED569">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239" w:type="pct"/>
                  <w:vMerge w:val="continue"/>
                  <w:tcBorders>
                    <w:tl2br w:val="nil"/>
                    <w:tr2bl w:val="nil"/>
                  </w:tcBorders>
                  <w:vAlign w:val="center"/>
                </w:tcPr>
                <w:p w14:paraId="156F75DD">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738" w:type="pct"/>
                  <w:gridSpan w:val="2"/>
                  <w:vMerge w:val="continue"/>
                  <w:tcBorders>
                    <w:tl2br w:val="nil"/>
                    <w:tr2bl w:val="nil"/>
                  </w:tcBorders>
                  <w:vAlign w:val="center"/>
                </w:tcPr>
                <w:p w14:paraId="2827F965">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1942" w:type="pct"/>
                  <w:gridSpan w:val="5"/>
                  <w:vMerge w:val="continue"/>
                  <w:tcBorders>
                    <w:tl2br w:val="nil"/>
                    <w:tr2bl w:val="nil"/>
                  </w:tcBorders>
                  <w:vAlign w:val="center"/>
                </w:tcPr>
                <w:p w14:paraId="72D57E33">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1155" w:type="pct"/>
                  <w:gridSpan w:val="3"/>
                  <w:tcBorders>
                    <w:tl2br w:val="nil"/>
                    <w:tr2bl w:val="nil"/>
                  </w:tcBorders>
                  <w:vAlign w:val="center"/>
                </w:tcPr>
                <w:p w14:paraId="06C5C3F0">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有组织排放</w:t>
                  </w:r>
                </w:p>
              </w:tc>
              <w:tc>
                <w:tcPr>
                  <w:tcW w:w="355" w:type="pct"/>
                  <w:tcBorders>
                    <w:tl2br w:val="nil"/>
                    <w:tr2bl w:val="nil"/>
                  </w:tcBorders>
                  <w:vAlign w:val="center"/>
                </w:tcPr>
                <w:p w14:paraId="7FF6A85C">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无组织排放</w:t>
                  </w:r>
                </w:p>
              </w:tc>
            </w:tr>
            <w:tr w14:paraId="6802C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285" w:type="pct"/>
                  <w:vMerge w:val="continue"/>
                  <w:tcBorders>
                    <w:tl2br w:val="nil"/>
                    <w:tr2bl w:val="nil"/>
                  </w:tcBorders>
                  <w:vAlign w:val="center"/>
                </w:tcPr>
                <w:p w14:paraId="0EEC9B3E">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284" w:type="pct"/>
                  <w:vMerge w:val="continue"/>
                  <w:tcBorders>
                    <w:tl2br w:val="nil"/>
                    <w:tr2bl w:val="nil"/>
                  </w:tcBorders>
                  <w:vAlign w:val="center"/>
                </w:tcPr>
                <w:p w14:paraId="0C18F567">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239" w:type="pct"/>
                  <w:vMerge w:val="continue"/>
                  <w:tcBorders>
                    <w:tl2br w:val="nil"/>
                    <w:tr2bl w:val="nil"/>
                  </w:tcBorders>
                  <w:vAlign w:val="center"/>
                </w:tcPr>
                <w:p w14:paraId="7248AA31">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55" w:type="pct"/>
                  <w:tcBorders>
                    <w:tl2br w:val="nil"/>
                    <w:tr2bl w:val="nil"/>
                  </w:tcBorders>
                  <w:vAlign w:val="center"/>
                </w:tcPr>
                <w:p w14:paraId="449E4C79">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产生速率（kg/h）</w:t>
                  </w:r>
                </w:p>
              </w:tc>
              <w:tc>
                <w:tcPr>
                  <w:tcW w:w="383" w:type="pct"/>
                  <w:tcBorders>
                    <w:tl2br w:val="nil"/>
                    <w:tr2bl w:val="nil"/>
                  </w:tcBorders>
                  <w:vAlign w:val="center"/>
                </w:tcPr>
                <w:p w14:paraId="5BA0F73C">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产生量（kg/a）</w:t>
                  </w:r>
                </w:p>
              </w:tc>
              <w:tc>
                <w:tcPr>
                  <w:tcW w:w="357" w:type="pct"/>
                  <w:tcBorders>
                    <w:tl2br w:val="nil"/>
                    <w:tr2bl w:val="nil"/>
                  </w:tcBorders>
                  <w:vAlign w:val="center"/>
                </w:tcPr>
                <w:p w14:paraId="71D4B8D4">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收集治理工艺</w:t>
                  </w:r>
                </w:p>
              </w:tc>
              <w:tc>
                <w:tcPr>
                  <w:tcW w:w="387" w:type="pct"/>
                  <w:tcBorders>
                    <w:tl2br w:val="nil"/>
                    <w:tr2bl w:val="nil"/>
                  </w:tcBorders>
                  <w:vAlign w:val="center"/>
                </w:tcPr>
                <w:p w14:paraId="7209EA5A">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风机风量</w:t>
                  </w:r>
                </w:p>
                <w:p w14:paraId="73715673">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（m</w:t>
                  </w:r>
                  <w:r>
                    <w:rPr>
                      <w:rFonts w:hint="eastAsia"/>
                      <w:color w:val="000000" w:themeColor="text1"/>
                      <w:kern w:val="0"/>
                      <w:sz w:val="21"/>
                      <w:szCs w:val="21"/>
                      <w:vertAlign w:val="superscript"/>
                      <w:lang w:val="en-US" w:eastAsia="zh-CN"/>
                      <w14:textFill>
                        <w14:solidFill>
                          <w14:schemeClr w14:val="tx1"/>
                        </w14:solidFill>
                      </w14:textFill>
                    </w:rPr>
                    <w:t>3</w:t>
                  </w:r>
                  <w:r>
                    <w:rPr>
                      <w:rFonts w:hint="eastAsia"/>
                      <w:color w:val="000000" w:themeColor="text1"/>
                      <w:kern w:val="0"/>
                      <w:sz w:val="21"/>
                      <w:szCs w:val="21"/>
                      <w:lang w:val="en-US" w:eastAsia="zh-CN"/>
                      <w14:textFill>
                        <w14:solidFill>
                          <w14:schemeClr w14:val="tx1"/>
                        </w14:solidFill>
                      </w14:textFill>
                    </w:rPr>
                    <w:t>/h）</w:t>
                  </w:r>
                </w:p>
              </w:tc>
              <w:tc>
                <w:tcPr>
                  <w:tcW w:w="378" w:type="pct"/>
                  <w:tcBorders>
                    <w:tl2br w:val="nil"/>
                    <w:tr2bl w:val="nil"/>
                  </w:tcBorders>
                  <w:vAlign w:val="center"/>
                </w:tcPr>
                <w:p w14:paraId="61D66592">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收集效率（%）</w:t>
                  </w:r>
                </w:p>
              </w:tc>
              <w:tc>
                <w:tcPr>
                  <w:tcW w:w="397" w:type="pct"/>
                  <w:tcBorders>
                    <w:tl2br w:val="nil"/>
                    <w:tr2bl w:val="nil"/>
                  </w:tcBorders>
                  <w:vAlign w:val="center"/>
                </w:tcPr>
                <w:p w14:paraId="73AFE67B">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去除效率</w:t>
                  </w:r>
                </w:p>
                <w:p w14:paraId="68462B36">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23" w:type="pct"/>
                  <w:tcBorders>
                    <w:tl2br w:val="nil"/>
                    <w:tr2bl w:val="nil"/>
                  </w:tcBorders>
                  <w:vAlign w:val="center"/>
                </w:tcPr>
                <w:p w14:paraId="2434C73A">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是否为可行技术</w:t>
                  </w:r>
                </w:p>
              </w:tc>
              <w:tc>
                <w:tcPr>
                  <w:tcW w:w="414" w:type="pct"/>
                  <w:tcBorders>
                    <w:tl2br w:val="nil"/>
                    <w:tr2bl w:val="nil"/>
                  </w:tcBorders>
                  <w:vAlign w:val="center"/>
                </w:tcPr>
                <w:p w14:paraId="5DA76163">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排放浓度（mg/m</w:t>
                  </w:r>
                  <w:r>
                    <w:rPr>
                      <w:rFonts w:hint="eastAsia"/>
                      <w:color w:val="000000" w:themeColor="text1"/>
                      <w:kern w:val="0"/>
                      <w:sz w:val="21"/>
                      <w:szCs w:val="21"/>
                      <w:vertAlign w:val="superscript"/>
                      <w:lang w:val="en-US" w:eastAsia="zh-CN"/>
                      <w14:textFill>
                        <w14:solidFill>
                          <w14:schemeClr w14:val="tx1"/>
                        </w14:solidFill>
                      </w14:textFill>
                    </w:rPr>
                    <w:t>3</w:t>
                  </w:r>
                  <w:r>
                    <w:rPr>
                      <w:rFonts w:hint="eastAsia"/>
                      <w:color w:val="000000" w:themeColor="text1"/>
                      <w:kern w:val="0"/>
                      <w:sz w:val="21"/>
                      <w:szCs w:val="21"/>
                      <w:lang w:val="en-US" w:eastAsia="zh-CN"/>
                      <w14:textFill>
                        <w14:solidFill>
                          <w14:schemeClr w14:val="tx1"/>
                        </w14:solidFill>
                      </w14:textFill>
                    </w:rPr>
                    <w:t>）</w:t>
                  </w:r>
                </w:p>
              </w:tc>
              <w:tc>
                <w:tcPr>
                  <w:tcW w:w="397" w:type="pct"/>
                  <w:tcBorders>
                    <w:tl2br w:val="nil"/>
                    <w:tr2bl w:val="nil"/>
                  </w:tcBorders>
                  <w:vAlign w:val="center"/>
                </w:tcPr>
                <w:p w14:paraId="37BEB884">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排放速率</w:t>
                  </w:r>
                </w:p>
                <w:p w14:paraId="3CDAA2F4">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（kg/h）</w:t>
                  </w:r>
                </w:p>
              </w:tc>
              <w:tc>
                <w:tcPr>
                  <w:tcW w:w="343" w:type="pct"/>
                  <w:tcBorders>
                    <w:tl2br w:val="nil"/>
                    <w:tr2bl w:val="nil"/>
                  </w:tcBorders>
                  <w:vAlign w:val="center"/>
                </w:tcPr>
                <w:p w14:paraId="15C1E40E">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排放量（kg/a）</w:t>
                  </w:r>
                </w:p>
              </w:tc>
              <w:tc>
                <w:tcPr>
                  <w:tcW w:w="355" w:type="pct"/>
                  <w:tcBorders>
                    <w:tl2br w:val="nil"/>
                    <w:tr2bl w:val="nil"/>
                  </w:tcBorders>
                  <w:vAlign w:val="center"/>
                </w:tcPr>
                <w:p w14:paraId="622B87EB">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排放量（kg/a）</w:t>
                  </w:r>
                </w:p>
              </w:tc>
            </w:tr>
            <w:tr w14:paraId="0CC50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85" w:type="pct"/>
                  <w:vMerge w:val="restart"/>
                  <w:tcBorders>
                    <w:tl2br w:val="nil"/>
                    <w:tr2bl w:val="nil"/>
                  </w:tcBorders>
                  <w:vAlign w:val="center"/>
                </w:tcPr>
                <w:p w14:paraId="516A21FC">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酸性试剂使用过程</w:t>
                  </w:r>
                </w:p>
              </w:tc>
              <w:tc>
                <w:tcPr>
                  <w:tcW w:w="284" w:type="pct"/>
                  <w:tcBorders>
                    <w:tl2br w:val="nil"/>
                    <w:tr2bl w:val="nil"/>
                  </w:tcBorders>
                  <w:vAlign w:val="center"/>
                </w:tcPr>
                <w:p w14:paraId="3495AD5E">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硫酸雾</w:t>
                  </w:r>
                </w:p>
              </w:tc>
              <w:tc>
                <w:tcPr>
                  <w:tcW w:w="239" w:type="pct"/>
                  <w:vMerge w:val="restart"/>
                  <w:tcBorders>
                    <w:tl2br w:val="nil"/>
                    <w:tr2bl w:val="nil"/>
                  </w:tcBorders>
                  <w:vAlign w:val="center"/>
                </w:tcPr>
                <w:p w14:paraId="17AC4FAF">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有组织</w:t>
                  </w:r>
                </w:p>
              </w:tc>
              <w:tc>
                <w:tcPr>
                  <w:tcW w:w="355" w:type="pct"/>
                  <w:tcBorders>
                    <w:tl2br w:val="nil"/>
                    <w:tr2bl w:val="nil"/>
                  </w:tcBorders>
                  <w:vAlign w:val="center"/>
                </w:tcPr>
                <w:p w14:paraId="2DF7AFB1">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0.004</w:t>
                  </w:r>
                </w:p>
              </w:tc>
              <w:tc>
                <w:tcPr>
                  <w:tcW w:w="383" w:type="pct"/>
                  <w:tcBorders>
                    <w:tl2br w:val="nil"/>
                    <w:tr2bl w:val="nil"/>
                  </w:tcBorders>
                  <w:vAlign w:val="center"/>
                </w:tcPr>
                <w:p w14:paraId="46CCB77A">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9.016</w:t>
                  </w:r>
                </w:p>
              </w:tc>
              <w:tc>
                <w:tcPr>
                  <w:tcW w:w="357" w:type="pct"/>
                  <w:vMerge w:val="restart"/>
                  <w:tcBorders>
                    <w:tl2br w:val="nil"/>
                    <w:tr2bl w:val="nil"/>
                  </w:tcBorders>
                  <w:vAlign w:val="center"/>
                </w:tcPr>
                <w:p w14:paraId="76475178">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通风橱+“碱喷淋+活性炭吸附”</w:t>
                  </w:r>
                </w:p>
              </w:tc>
              <w:tc>
                <w:tcPr>
                  <w:tcW w:w="387" w:type="pct"/>
                  <w:vMerge w:val="restart"/>
                  <w:tcBorders>
                    <w:tl2br w:val="nil"/>
                    <w:tr2bl w:val="nil"/>
                  </w:tcBorders>
                  <w:vAlign w:val="center"/>
                </w:tcPr>
                <w:p w14:paraId="02D3CA19">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3500</w:t>
                  </w:r>
                </w:p>
              </w:tc>
              <w:tc>
                <w:tcPr>
                  <w:tcW w:w="378" w:type="pct"/>
                  <w:vMerge w:val="restart"/>
                  <w:tcBorders>
                    <w:tl2br w:val="nil"/>
                    <w:tr2bl w:val="nil"/>
                  </w:tcBorders>
                  <w:vAlign w:val="center"/>
                </w:tcPr>
                <w:p w14:paraId="408BCEDC">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80</w:t>
                  </w:r>
                </w:p>
              </w:tc>
              <w:tc>
                <w:tcPr>
                  <w:tcW w:w="397" w:type="pct"/>
                  <w:tcBorders>
                    <w:tl2br w:val="nil"/>
                    <w:tr2bl w:val="nil"/>
                  </w:tcBorders>
                  <w:vAlign w:val="center"/>
                </w:tcPr>
                <w:p w14:paraId="2251E1F5">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60</w:t>
                  </w:r>
                </w:p>
              </w:tc>
              <w:tc>
                <w:tcPr>
                  <w:tcW w:w="423" w:type="pct"/>
                  <w:vMerge w:val="restart"/>
                  <w:tcBorders>
                    <w:tl2br w:val="nil"/>
                    <w:tr2bl w:val="nil"/>
                  </w:tcBorders>
                  <w:vAlign w:val="center"/>
                </w:tcPr>
                <w:p w14:paraId="7B13D833">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是</w:t>
                  </w:r>
                </w:p>
              </w:tc>
              <w:tc>
                <w:tcPr>
                  <w:tcW w:w="414" w:type="pct"/>
                  <w:tcBorders>
                    <w:tl2br w:val="nil"/>
                    <w:tr2bl w:val="nil"/>
                  </w:tcBorders>
                  <w:vAlign w:val="center"/>
                </w:tcPr>
                <w:p w14:paraId="3AC71785">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0.34</w:t>
                  </w:r>
                </w:p>
              </w:tc>
              <w:tc>
                <w:tcPr>
                  <w:tcW w:w="397" w:type="pct"/>
                  <w:tcBorders>
                    <w:tl2br w:val="nil"/>
                    <w:tr2bl w:val="nil"/>
                  </w:tcBorders>
                  <w:vAlign w:val="center"/>
                </w:tcPr>
                <w:p w14:paraId="10AFB915">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0.0012</w:t>
                  </w:r>
                </w:p>
              </w:tc>
              <w:tc>
                <w:tcPr>
                  <w:tcW w:w="343" w:type="pct"/>
                  <w:tcBorders>
                    <w:tl2br w:val="nil"/>
                    <w:tr2bl w:val="nil"/>
                  </w:tcBorders>
                  <w:vAlign w:val="center"/>
                </w:tcPr>
                <w:p w14:paraId="528C703A">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2.885</w:t>
                  </w:r>
                </w:p>
              </w:tc>
              <w:tc>
                <w:tcPr>
                  <w:tcW w:w="355" w:type="pct"/>
                  <w:tcBorders>
                    <w:tl2br w:val="nil"/>
                    <w:tr2bl w:val="nil"/>
                  </w:tcBorders>
                  <w:vAlign w:val="center"/>
                </w:tcPr>
                <w:p w14:paraId="744B078C">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1.8032</w:t>
                  </w:r>
                </w:p>
              </w:tc>
            </w:tr>
            <w:tr w14:paraId="41FCC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285" w:type="pct"/>
                  <w:vMerge w:val="continue"/>
                  <w:tcBorders>
                    <w:tl2br w:val="nil"/>
                    <w:tr2bl w:val="nil"/>
                  </w:tcBorders>
                  <w:vAlign w:val="center"/>
                </w:tcPr>
                <w:p w14:paraId="488C61F9">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284" w:type="pct"/>
                  <w:tcBorders>
                    <w:tl2br w:val="nil"/>
                    <w:tr2bl w:val="nil"/>
                  </w:tcBorders>
                  <w:vAlign w:val="center"/>
                </w:tcPr>
                <w:p w14:paraId="5C4813DC">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氯化氢</w:t>
                  </w:r>
                </w:p>
              </w:tc>
              <w:tc>
                <w:tcPr>
                  <w:tcW w:w="239" w:type="pct"/>
                  <w:vMerge w:val="continue"/>
                  <w:tcBorders>
                    <w:tl2br w:val="nil"/>
                    <w:tr2bl w:val="nil"/>
                  </w:tcBorders>
                  <w:vAlign w:val="center"/>
                </w:tcPr>
                <w:p w14:paraId="4A5DEC35">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55" w:type="pct"/>
                  <w:tcBorders>
                    <w:tl2br w:val="nil"/>
                    <w:tr2bl w:val="nil"/>
                  </w:tcBorders>
                  <w:vAlign w:val="center"/>
                </w:tcPr>
                <w:p w14:paraId="26343932">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0.00047</w:t>
                  </w:r>
                </w:p>
              </w:tc>
              <w:tc>
                <w:tcPr>
                  <w:tcW w:w="383" w:type="pct"/>
                  <w:tcBorders>
                    <w:tl2br w:val="nil"/>
                    <w:tr2bl w:val="nil"/>
                  </w:tcBorders>
                  <w:vAlign w:val="center"/>
                </w:tcPr>
                <w:p w14:paraId="361B6E70">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1.131</w:t>
                  </w:r>
                </w:p>
              </w:tc>
              <w:tc>
                <w:tcPr>
                  <w:tcW w:w="357" w:type="pct"/>
                  <w:vMerge w:val="continue"/>
                  <w:tcBorders>
                    <w:tl2br w:val="nil"/>
                    <w:tr2bl w:val="nil"/>
                  </w:tcBorders>
                  <w:vAlign w:val="center"/>
                </w:tcPr>
                <w:p w14:paraId="69AB7BC5">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87" w:type="pct"/>
                  <w:vMerge w:val="continue"/>
                  <w:tcBorders>
                    <w:tl2br w:val="nil"/>
                    <w:tr2bl w:val="nil"/>
                  </w:tcBorders>
                  <w:vAlign w:val="center"/>
                </w:tcPr>
                <w:p w14:paraId="1CBF869B">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78" w:type="pct"/>
                  <w:vMerge w:val="continue"/>
                  <w:tcBorders>
                    <w:tl2br w:val="nil"/>
                    <w:tr2bl w:val="nil"/>
                  </w:tcBorders>
                  <w:vAlign w:val="center"/>
                </w:tcPr>
                <w:p w14:paraId="5CD387E8">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97" w:type="pct"/>
                  <w:tcBorders>
                    <w:tl2br w:val="nil"/>
                    <w:tr2bl w:val="nil"/>
                  </w:tcBorders>
                  <w:vAlign w:val="center"/>
                </w:tcPr>
                <w:p w14:paraId="61D4DD25">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60</w:t>
                  </w:r>
                </w:p>
              </w:tc>
              <w:tc>
                <w:tcPr>
                  <w:tcW w:w="423" w:type="pct"/>
                  <w:vMerge w:val="continue"/>
                  <w:tcBorders>
                    <w:tl2br w:val="nil"/>
                    <w:tr2bl w:val="nil"/>
                  </w:tcBorders>
                  <w:vAlign w:val="center"/>
                </w:tcPr>
                <w:p w14:paraId="2FB3ECB0">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414" w:type="pct"/>
                  <w:tcBorders>
                    <w:tl2br w:val="nil"/>
                    <w:tr2bl w:val="nil"/>
                  </w:tcBorders>
                  <w:vAlign w:val="center"/>
                </w:tcPr>
                <w:p w14:paraId="316BE1ED">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0.043</w:t>
                  </w:r>
                </w:p>
              </w:tc>
              <w:tc>
                <w:tcPr>
                  <w:tcW w:w="397" w:type="pct"/>
                  <w:tcBorders>
                    <w:tl2br w:val="nil"/>
                    <w:tr2bl w:val="nil"/>
                  </w:tcBorders>
                  <w:vAlign w:val="center"/>
                </w:tcPr>
                <w:p w14:paraId="2D265939">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0.00015</w:t>
                  </w:r>
                </w:p>
              </w:tc>
              <w:tc>
                <w:tcPr>
                  <w:tcW w:w="343" w:type="pct"/>
                  <w:tcBorders>
                    <w:tl2br w:val="nil"/>
                    <w:tr2bl w:val="nil"/>
                  </w:tcBorders>
                  <w:vAlign w:val="center"/>
                </w:tcPr>
                <w:p w14:paraId="65A9D64D">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0.362</w:t>
                  </w:r>
                </w:p>
              </w:tc>
              <w:tc>
                <w:tcPr>
                  <w:tcW w:w="355" w:type="pct"/>
                  <w:tcBorders>
                    <w:tl2br w:val="nil"/>
                    <w:tr2bl w:val="nil"/>
                  </w:tcBorders>
                  <w:vAlign w:val="center"/>
                </w:tcPr>
                <w:p w14:paraId="6FED05A4">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0.2262</w:t>
                  </w:r>
                </w:p>
              </w:tc>
            </w:tr>
            <w:tr w14:paraId="20334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85" w:type="pct"/>
                  <w:vMerge w:val="continue"/>
                  <w:tcBorders>
                    <w:tl2br w:val="nil"/>
                    <w:tr2bl w:val="nil"/>
                  </w:tcBorders>
                  <w:vAlign w:val="center"/>
                </w:tcPr>
                <w:p w14:paraId="0A0BD141">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284" w:type="pct"/>
                  <w:tcBorders>
                    <w:tl2br w:val="nil"/>
                    <w:tr2bl w:val="nil"/>
                  </w:tcBorders>
                  <w:vAlign w:val="center"/>
                </w:tcPr>
                <w:p w14:paraId="61F428AE">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硝酸雾</w:t>
                  </w:r>
                </w:p>
              </w:tc>
              <w:tc>
                <w:tcPr>
                  <w:tcW w:w="239" w:type="pct"/>
                  <w:vMerge w:val="continue"/>
                  <w:tcBorders>
                    <w:tl2br w:val="nil"/>
                    <w:tr2bl w:val="nil"/>
                  </w:tcBorders>
                  <w:vAlign w:val="center"/>
                </w:tcPr>
                <w:p w14:paraId="1CC67BBF">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55" w:type="pct"/>
                  <w:tcBorders>
                    <w:tl2br w:val="nil"/>
                    <w:tr2bl w:val="nil"/>
                  </w:tcBorders>
                  <w:vAlign w:val="center"/>
                </w:tcPr>
                <w:p w14:paraId="752E8C38">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0.002</w:t>
                  </w:r>
                </w:p>
              </w:tc>
              <w:tc>
                <w:tcPr>
                  <w:tcW w:w="383" w:type="pct"/>
                  <w:tcBorders>
                    <w:tl2br w:val="nil"/>
                    <w:tr2bl w:val="nil"/>
                  </w:tcBorders>
                  <w:vAlign w:val="center"/>
                </w:tcPr>
                <w:p w14:paraId="1FE54D6F">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5.10</w:t>
                  </w:r>
                </w:p>
              </w:tc>
              <w:tc>
                <w:tcPr>
                  <w:tcW w:w="357" w:type="pct"/>
                  <w:vMerge w:val="continue"/>
                  <w:tcBorders>
                    <w:tl2br w:val="nil"/>
                    <w:tr2bl w:val="nil"/>
                  </w:tcBorders>
                  <w:vAlign w:val="center"/>
                </w:tcPr>
                <w:p w14:paraId="6F80D777">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87" w:type="pct"/>
                  <w:vMerge w:val="continue"/>
                  <w:tcBorders>
                    <w:tl2br w:val="nil"/>
                    <w:tr2bl w:val="nil"/>
                  </w:tcBorders>
                  <w:vAlign w:val="center"/>
                </w:tcPr>
                <w:p w14:paraId="258E4E07">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78" w:type="pct"/>
                  <w:vMerge w:val="continue"/>
                  <w:tcBorders>
                    <w:tl2br w:val="nil"/>
                    <w:tr2bl w:val="nil"/>
                  </w:tcBorders>
                  <w:vAlign w:val="center"/>
                </w:tcPr>
                <w:p w14:paraId="318A2E56">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97" w:type="pct"/>
                  <w:tcBorders>
                    <w:tl2br w:val="nil"/>
                    <w:tr2bl w:val="nil"/>
                  </w:tcBorders>
                  <w:vAlign w:val="center"/>
                </w:tcPr>
                <w:p w14:paraId="6203F4B1">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60</w:t>
                  </w:r>
                </w:p>
              </w:tc>
              <w:tc>
                <w:tcPr>
                  <w:tcW w:w="423" w:type="pct"/>
                  <w:vMerge w:val="continue"/>
                  <w:tcBorders>
                    <w:tl2br w:val="nil"/>
                    <w:tr2bl w:val="nil"/>
                  </w:tcBorders>
                  <w:vAlign w:val="center"/>
                </w:tcPr>
                <w:p w14:paraId="3EC5785F">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414" w:type="pct"/>
                  <w:tcBorders>
                    <w:tl2br w:val="nil"/>
                    <w:tr2bl w:val="nil"/>
                  </w:tcBorders>
                  <w:vAlign w:val="center"/>
                </w:tcPr>
                <w:p w14:paraId="33598DEC">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0.19</w:t>
                  </w:r>
                </w:p>
              </w:tc>
              <w:tc>
                <w:tcPr>
                  <w:tcW w:w="397" w:type="pct"/>
                  <w:tcBorders>
                    <w:tl2br w:val="nil"/>
                    <w:tr2bl w:val="nil"/>
                  </w:tcBorders>
                  <w:vAlign w:val="center"/>
                </w:tcPr>
                <w:p w14:paraId="509D0435">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0.00068</w:t>
                  </w:r>
                </w:p>
              </w:tc>
              <w:tc>
                <w:tcPr>
                  <w:tcW w:w="343" w:type="pct"/>
                  <w:tcBorders>
                    <w:tl2br w:val="nil"/>
                    <w:tr2bl w:val="nil"/>
                  </w:tcBorders>
                  <w:vAlign w:val="center"/>
                </w:tcPr>
                <w:p w14:paraId="0E7C1038">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1.632</w:t>
                  </w:r>
                </w:p>
              </w:tc>
              <w:tc>
                <w:tcPr>
                  <w:tcW w:w="355" w:type="pct"/>
                  <w:tcBorders>
                    <w:tl2br w:val="nil"/>
                    <w:tr2bl w:val="nil"/>
                  </w:tcBorders>
                  <w:vAlign w:val="center"/>
                </w:tcPr>
                <w:p w14:paraId="09C4A787">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1.02</w:t>
                  </w:r>
                </w:p>
              </w:tc>
            </w:tr>
            <w:tr w14:paraId="4554E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285" w:type="pct"/>
                  <w:tcBorders>
                    <w:tl2br w:val="nil"/>
                    <w:tr2bl w:val="nil"/>
                  </w:tcBorders>
                  <w:vAlign w:val="center"/>
                </w:tcPr>
                <w:p w14:paraId="59F7DE1A">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有机溶剂使用</w:t>
                  </w:r>
                </w:p>
                <w:p w14:paraId="0B9AB89E">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过程</w:t>
                  </w:r>
                </w:p>
              </w:tc>
              <w:tc>
                <w:tcPr>
                  <w:tcW w:w="284" w:type="pct"/>
                  <w:tcBorders>
                    <w:tl2br w:val="nil"/>
                    <w:tr2bl w:val="nil"/>
                  </w:tcBorders>
                  <w:vAlign w:val="center"/>
                </w:tcPr>
                <w:p w14:paraId="20325C89">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VOCs</w:t>
                  </w:r>
                </w:p>
              </w:tc>
              <w:tc>
                <w:tcPr>
                  <w:tcW w:w="239" w:type="pct"/>
                  <w:tcBorders>
                    <w:tl2br w:val="nil"/>
                    <w:tr2bl w:val="nil"/>
                  </w:tcBorders>
                  <w:vAlign w:val="center"/>
                </w:tcPr>
                <w:p w14:paraId="19BFF183">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有组织</w:t>
                  </w:r>
                </w:p>
              </w:tc>
              <w:tc>
                <w:tcPr>
                  <w:tcW w:w="355" w:type="pct"/>
                  <w:tcBorders>
                    <w:tl2br w:val="nil"/>
                    <w:tr2bl w:val="nil"/>
                  </w:tcBorders>
                  <w:vAlign w:val="center"/>
                </w:tcPr>
                <w:p w14:paraId="0387D8F5">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0.052</w:t>
                  </w:r>
                </w:p>
              </w:tc>
              <w:tc>
                <w:tcPr>
                  <w:tcW w:w="383" w:type="pct"/>
                  <w:tcBorders>
                    <w:tl2br w:val="nil"/>
                    <w:tr2bl w:val="nil"/>
                  </w:tcBorders>
                  <w:vAlign w:val="center"/>
                </w:tcPr>
                <w:p w14:paraId="4CCD040C">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125.09</w:t>
                  </w:r>
                </w:p>
              </w:tc>
              <w:tc>
                <w:tcPr>
                  <w:tcW w:w="357" w:type="pct"/>
                  <w:vMerge w:val="continue"/>
                  <w:tcBorders>
                    <w:tl2br w:val="nil"/>
                    <w:tr2bl w:val="nil"/>
                  </w:tcBorders>
                  <w:vAlign w:val="center"/>
                </w:tcPr>
                <w:p w14:paraId="5C2677ED">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87" w:type="pct"/>
                  <w:vMerge w:val="continue"/>
                  <w:tcBorders>
                    <w:tl2br w:val="nil"/>
                    <w:tr2bl w:val="nil"/>
                  </w:tcBorders>
                  <w:vAlign w:val="center"/>
                </w:tcPr>
                <w:p w14:paraId="49BF0FFC">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78" w:type="pct"/>
                  <w:vMerge w:val="continue"/>
                  <w:tcBorders>
                    <w:tl2br w:val="nil"/>
                    <w:tr2bl w:val="nil"/>
                  </w:tcBorders>
                  <w:vAlign w:val="center"/>
                </w:tcPr>
                <w:p w14:paraId="7BF27686">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397" w:type="pct"/>
                  <w:tcBorders>
                    <w:tl2br w:val="nil"/>
                    <w:tr2bl w:val="nil"/>
                  </w:tcBorders>
                  <w:vAlign w:val="center"/>
                </w:tcPr>
                <w:p w14:paraId="6C047245">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30</w:t>
                  </w:r>
                </w:p>
              </w:tc>
              <w:tc>
                <w:tcPr>
                  <w:tcW w:w="423" w:type="pct"/>
                  <w:vMerge w:val="continue"/>
                  <w:tcBorders>
                    <w:tl2br w:val="nil"/>
                    <w:tr2bl w:val="nil"/>
                  </w:tcBorders>
                  <w:vAlign w:val="center"/>
                </w:tcPr>
                <w:p w14:paraId="172659A7">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p>
              </w:tc>
              <w:tc>
                <w:tcPr>
                  <w:tcW w:w="414" w:type="pct"/>
                  <w:tcBorders>
                    <w:tl2br w:val="nil"/>
                    <w:tr2bl w:val="nil"/>
                  </w:tcBorders>
                  <w:vAlign w:val="center"/>
                </w:tcPr>
                <w:p w14:paraId="51E6F21F">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8.34</w:t>
                  </w:r>
                </w:p>
              </w:tc>
              <w:tc>
                <w:tcPr>
                  <w:tcW w:w="397" w:type="pct"/>
                  <w:tcBorders>
                    <w:tl2br w:val="nil"/>
                    <w:tr2bl w:val="nil"/>
                  </w:tcBorders>
                  <w:vAlign w:val="center"/>
                </w:tcPr>
                <w:p w14:paraId="3722551F">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0.029</w:t>
                  </w:r>
                </w:p>
              </w:tc>
              <w:tc>
                <w:tcPr>
                  <w:tcW w:w="343" w:type="pct"/>
                  <w:tcBorders>
                    <w:tl2br w:val="nil"/>
                    <w:tr2bl w:val="nil"/>
                  </w:tcBorders>
                  <w:vAlign w:val="center"/>
                </w:tcPr>
                <w:p w14:paraId="49B77821">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70.0504</w:t>
                  </w:r>
                </w:p>
              </w:tc>
              <w:tc>
                <w:tcPr>
                  <w:tcW w:w="355" w:type="pct"/>
                  <w:tcBorders>
                    <w:tl2br w:val="nil"/>
                    <w:tr2bl w:val="nil"/>
                  </w:tcBorders>
                  <w:vAlign w:val="center"/>
                </w:tcPr>
                <w:p w14:paraId="0DB8C6E7">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25.018</w:t>
                  </w:r>
                </w:p>
              </w:tc>
            </w:tr>
            <w:tr w14:paraId="672F7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285" w:type="pct"/>
                  <w:tcBorders>
                    <w:tl2br w:val="nil"/>
                    <w:tr2bl w:val="nil"/>
                  </w:tcBorders>
                  <w:vAlign w:val="center"/>
                </w:tcPr>
                <w:p w14:paraId="59738236">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硫化氢腐蚀</w:t>
                  </w:r>
                </w:p>
              </w:tc>
              <w:tc>
                <w:tcPr>
                  <w:tcW w:w="284" w:type="pct"/>
                  <w:tcBorders>
                    <w:tl2br w:val="nil"/>
                    <w:tr2bl w:val="nil"/>
                  </w:tcBorders>
                  <w:vAlign w:val="center"/>
                </w:tcPr>
                <w:p w14:paraId="1D85724E">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硫化氢</w:t>
                  </w:r>
                </w:p>
              </w:tc>
              <w:tc>
                <w:tcPr>
                  <w:tcW w:w="239" w:type="pct"/>
                  <w:tcBorders>
                    <w:tl2br w:val="nil"/>
                    <w:tr2bl w:val="nil"/>
                  </w:tcBorders>
                  <w:vAlign w:val="center"/>
                </w:tcPr>
                <w:p w14:paraId="1CFA3563">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有组织</w:t>
                  </w:r>
                </w:p>
              </w:tc>
              <w:tc>
                <w:tcPr>
                  <w:tcW w:w="355" w:type="pct"/>
                  <w:tcBorders>
                    <w:tl2br w:val="nil"/>
                    <w:tr2bl w:val="nil"/>
                  </w:tcBorders>
                  <w:vAlign w:val="center"/>
                </w:tcPr>
                <w:p w14:paraId="1B5147C7">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0.313</w:t>
                  </w:r>
                </w:p>
              </w:tc>
              <w:tc>
                <w:tcPr>
                  <w:tcW w:w="383" w:type="pct"/>
                  <w:tcBorders>
                    <w:tl2br w:val="nil"/>
                    <w:tr2bl w:val="nil"/>
                  </w:tcBorders>
                  <w:vAlign w:val="center"/>
                </w:tcPr>
                <w:p w14:paraId="61E04395">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375</w:t>
                  </w:r>
                </w:p>
              </w:tc>
              <w:tc>
                <w:tcPr>
                  <w:tcW w:w="357" w:type="pct"/>
                  <w:tcBorders>
                    <w:tl2br w:val="nil"/>
                    <w:tr2bl w:val="nil"/>
                  </w:tcBorders>
                  <w:vAlign w:val="center"/>
                </w:tcPr>
                <w:p w14:paraId="72559B91">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密闭实验气路、容器腔+“碱喷淋+活性炭吸附”</w:t>
                  </w:r>
                </w:p>
              </w:tc>
              <w:tc>
                <w:tcPr>
                  <w:tcW w:w="387" w:type="pct"/>
                  <w:tcBorders>
                    <w:tl2br w:val="nil"/>
                    <w:tr2bl w:val="nil"/>
                  </w:tcBorders>
                  <w:vAlign w:val="center"/>
                </w:tcPr>
                <w:p w14:paraId="10774532">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3500</w:t>
                  </w:r>
                </w:p>
              </w:tc>
              <w:tc>
                <w:tcPr>
                  <w:tcW w:w="378" w:type="pct"/>
                  <w:tcBorders>
                    <w:tl2br w:val="nil"/>
                    <w:tr2bl w:val="nil"/>
                  </w:tcBorders>
                  <w:vAlign w:val="center"/>
                </w:tcPr>
                <w:p w14:paraId="5C605A06">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100</w:t>
                  </w:r>
                </w:p>
              </w:tc>
              <w:tc>
                <w:tcPr>
                  <w:tcW w:w="397" w:type="pct"/>
                  <w:tcBorders>
                    <w:tl2br w:val="nil"/>
                    <w:tr2bl w:val="nil"/>
                  </w:tcBorders>
                  <w:vAlign w:val="center"/>
                </w:tcPr>
                <w:p w14:paraId="64AD8278">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80</w:t>
                  </w:r>
                </w:p>
              </w:tc>
              <w:tc>
                <w:tcPr>
                  <w:tcW w:w="423" w:type="pct"/>
                  <w:tcBorders>
                    <w:tl2br w:val="nil"/>
                    <w:tr2bl w:val="nil"/>
                  </w:tcBorders>
                  <w:vAlign w:val="center"/>
                </w:tcPr>
                <w:p w14:paraId="7158064E">
                  <w:pPr>
                    <w:tabs>
                      <w:tab w:val="left" w:pos="2040"/>
                    </w:tabs>
                    <w:spacing w:line="240" w:lineRule="auto"/>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是</w:t>
                  </w:r>
                </w:p>
              </w:tc>
              <w:tc>
                <w:tcPr>
                  <w:tcW w:w="414" w:type="pct"/>
                  <w:tcBorders>
                    <w:tl2br w:val="nil"/>
                    <w:tr2bl w:val="nil"/>
                  </w:tcBorders>
                  <w:vAlign w:val="center"/>
                </w:tcPr>
                <w:p w14:paraId="2DFCAF76">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17.86</w:t>
                  </w:r>
                </w:p>
              </w:tc>
              <w:tc>
                <w:tcPr>
                  <w:tcW w:w="397" w:type="pct"/>
                  <w:tcBorders>
                    <w:tl2br w:val="nil"/>
                    <w:tr2bl w:val="nil"/>
                  </w:tcBorders>
                  <w:vAlign w:val="center"/>
                </w:tcPr>
                <w:p w14:paraId="5C27934E">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0.0625</w:t>
                  </w:r>
                </w:p>
              </w:tc>
              <w:tc>
                <w:tcPr>
                  <w:tcW w:w="343" w:type="pct"/>
                  <w:tcBorders>
                    <w:tl2br w:val="nil"/>
                    <w:tr2bl w:val="nil"/>
                  </w:tcBorders>
                  <w:vAlign w:val="center"/>
                </w:tcPr>
                <w:p w14:paraId="7F08EDFB">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75</w:t>
                  </w:r>
                </w:p>
              </w:tc>
              <w:tc>
                <w:tcPr>
                  <w:tcW w:w="355" w:type="pct"/>
                  <w:tcBorders>
                    <w:tl2br w:val="nil"/>
                    <w:tr2bl w:val="nil"/>
                  </w:tcBorders>
                  <w:vAlign w:val="center"/>
                </w:tcPr>
                <w:p w14:paraId="3A33686A">
                  <w:pPr>
                    <w:tabs>
                      <w:tab w:val="left" w:pos="2040"/>
                    </w:tabs>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bl>
          <w:p w14:paraId="14DE5E37">
            <w:pPr>
              <w:pStyle w:val="25"/>
              <w:spacing w:before="0" w:beforeAutospacing="0" w:after="0" w:afterAutospacing="0" w:line="240" w:lineRule="auto"/>
              <w:jc w:val="center"/>
              <w:outlineLvl w:val="0"/>
              <w:rPr>
                <w:b/>
                <w:color w:val="000000" w:themeColor="text1"/>
                <w:sz w:val="28"/>
                <w:szCs w:val="28"/>
                <w:vertAlign w:val="baseline"/>
                <w14:textFill>
                  <w14:solidFill>
                    <w14:schemeClr w14:val="tx1"/>
                  </w14:solidFill>
                </w14:textFill>
              </w:rPr>
            </w:pPr>
          </w:p>
        </w:tc>
      </w:tr>
    </w:tbl>
    <w:p w14:paraId="57D5A1E5">
      <w:pPr>
        <w:pStyle w:val="25"/>
        <w:spacing w:before="0" w:beforeAutospacing="0" w:after="0" w:afterAutospacing="0" w:line="240" w:lineRule="auto"/>
        <w:ind w:firstLine="562"/>
        <w:jc w:val="center"/>
        <w:outlineLvl w:val="0"/>
        <w:rPr>
          <w:b/>
          <w:color w:val="000000" w:themeColor="text1"/>
          <w:sz w:val="28"/>
          <w:szCs w:val="28"/>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995"/>
      </w:tblGrid>
      <w:tr w14:paraId="6788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tcPr>
          <w:p w14:paraId="60504940">
            <w:pPr>
              <w:pStyle w:val="25"/>
              <w:spacing w:before="0" w:beforeAutospacing="0" w:after="0" w:afterAutospacing="0" w:line="240" w:lineRule="auto"/>
              <w:jc w:val="center"/>
              <w:outlineLvl w:val="0"/>
              <w:rPr>
                <w:b/>
                <w:color w:val="000000" w:themeColor="text1"/>
                <w:sz w:val="28"/>
                <w:szCs w:val="28"/>
                <w:vertAlign w:val="baseline"/>
                <w14:textFill>
                  <w14:solidFill>
                    <w14:schemeClr w14:val="tx1"/>
                  </w14:solidFill>
                </w14:textFill>
              </w:rPr>
            </w:pPr>
          </w:p>
        </w:tc>
        <w:tc>
          <w:tcPr>
            <w:tcW w:w="7995" w:type="dxa"/>
          </w:tcPr>
          <w:p w14:paraId="177DC640">
            <w:pPr>
              <w:ind w:firstLine="480" w:firstLineChars="0"/>
              <w:jc w:val="left"/>
              <w:rPr>
                <w:rFonts w:hint="default" w:ascii="Times New Roman" w:hAnsi="Times New Roman" w:cs="Times New Roman" w:eastAsiaTheme="minorEastAsia"/>
                <w:b/>
                <w:bCs/>
                <w:color w:val="000000" w:themeColor="text1"/>
                <w:kern w:val="0"/>
                <w:lang w:val="en-US" w:eastAsia="zh-CN"/>
                <w14:textFill>
                  <w14:solidFill>
                    <w14:schemeClr w14:val="tx1"/>
                  </w14:solidFill>
                </w14:textFill>
              </w:rPr>
            </w:pPr>
            <w:r>
              <w:rPr>
                <w:rFonts w:hint="eastAsia" w:cs="Times New Roman" w:eastAsiaTheme="minorEastAsia"/>
                <w:b/>
                <w:bCs/>
                <w:color w:val="000000" w:themeColor="text1"/>
                <w:kern w:val="0"/>
                <w:lang w:val="en-US" w:eastAsia="zh-CN"/>
                <w14:textFill>
                  <w14:solidFill>
                    <w14:schemeClr w14:val="tx1"/>
                  </w14:solidFill>
                </w14:textFill>
              </w:rPr>
              <w:t>1.5排放口设置情况</w:t>
            </w:r>
          </w:p>
          <w:p w14:paraId="2AF3AF79">
            <w:pPr>
              <w:ind w:firstLine="480" w:firstLineChars="0"/>
              <w:jc w:val="left"/>
              <w:rPr>
                <w:rFonts w:hint="eastAsia" w:ascii="Times New Roman" w:hAnsi="Times New Roman" w:cs="Times New Roman" w:eastAsiaTheme="minorEastAsia"/>
                <w:color w:val="000000" w:themeColor="text1"/>
                <w:kern w:val="0"/>
                <w14:textFill>
                  <w14:solidFill>
                    <w14:schemeClr w14:val="tx1"/>
                  </w14:solidFill>
                </w14:textFill>
              </w:rPr>
            </w:pPr>
            <w:r>
              <w:rPr>
                <w:rFonts w:hint="eastAsia" w:ascii="Times New Roman" w:hAnsi="Times New Roman" w:cs="Times New Roman" w:eastAsiaTheme="minorEastAsia"/>
                <w:color w:val="000000" w:themeColor="text1"/>
                <w:kern w:val="0"/>
                <w14:textFill>
                  <w14:solidFill>
                    <w14:schemeClr w14:val="tx1"/>
                  </w14:solidFill>
                </w14:textFill>
              </w:rPr>
              <w:t>废气</w:t>
            </w:r>
            <w:r>
              <w:rPr>
                <w:rFonts w:hint="eastAsia" w:cs="Times New Roman" w:eastAsiaTheme="minorEastAsia"/>
                <w:color w:val="000000" w:themeColor="text1"/>
                <w:kern w:val="0"/>
                <w:lang w:val="en-US" w:eastAsia="zh-CN"/>
                <w14:textFill>
                  <w14:solidFill>
                    <w14:schemeClr w14:val="tx1"/>
                  </w14:solidFill>
                </w14:textFill>
              </w:rPr>
              <w:t>排放口</w:t>
            </w:r>
            <w:r>
              <w:rPr>
                <w:rFonts w:hint="eastAsia" w:ascii="Times New Roman" w:hAnsi="Times New Roman" w:cs="Times New Roman" w:eastAsiaTheme="minorEastAsia"/>
                <w:color w:val="000000" w:themeColor="text1"/>
                <w:kern w:val="0"/>
                <w14:textFill>
                  <w14:solidFill>
                    <w14:schemeClr w14:val="tx1"/>
                  </w14:solidFill>
                </w14:textFill>
              </w:rPr>
              <w:t>参数设置情况详见表4-</w:t>
            </w:r>
            <w:r>
              <w:rPr>
                <w:rFonts w:hint="eastAsia" w:cs="Times New Roman" w:eastAsiaTheme="minorEastAsia"/>
                <w:color w:val="000000" w:themeColor="text1"/>
                <w:kern w:val="0"/>
                <w:lang w:val="en-US" w:eastAsia="zh-CN"/>
                <w14:textFill>
                  <w14:solidFill>
                    <w14:schemeClr w14:val="tx1"/>
                  </w14:solidFill>
                </w14:textFill>
              </w:rPr>
              <w:t>4</w:t>
            </w:r>
            <w:r>
              <w:rPr>
                <w:rFonts w:hint="eastAsia" w:ascii="Times New Roman" w:hAnsi="Times New Roman" w:cs="Times New Roman" w:eastAsiaTheme="minorEastAsia"/>
                <w:color w:val="000000" w:themeColor="text1"/>
                <w:kern w:val="0"/>
                <w14:textFill>
                  <w14:solidFill>
                    <w14:schemeClr w14:val="tx1"/>
                  </w14:solidFill>
                </w14:textFill>
              </w:rPr>
              <w:t>。</w:t>
            </w:r>
          </w:p>
          <w:p w14:paraId="7BC1778A">
            <w:pPr>
              <w:tabs>
                <w:tab w:val="left" w:pos="2040"/>
              </w:tabs>
              <w:spacing w:line="240" w:lineRule="auto"/>
              <w:ind w:left="0" w:leftChars="0" w:firstLine="0" w:firstLineChars="0"/>
              <w:jc w:val="center"/>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14:textFill>
                  <w14:solidFill>
                    <w14:schemeClr w14:val="tx1"/>
                  </w14:solidFill>
                </w14:textFill>
              </w:rPr>
              <w:t>排气筒参数设置一览表</w:t>
            </w:r>
          </w:p>
          <w:tbl>
            <w:tblPr>
              <w:tblStyle w:val="3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953"/>
              <w:gridCol w:w="1186"/>
              <w:gridCol w:w="764"/>
              <w:gridCol w:w="751"/>
              <w:gridCol w:w="666"/>
              <w:gridCol w:w="704"/>
              <w:gridCol w:w="1882"/>
            </w:tblGrid>
            <w:tr w14:paraId="36F8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14:paraId="24102FB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排放口编号</w:t>
                  </w:r>
                </w:p>
              </w:tc>
              <w:tc>
                <w:tcPr>
                  <w:tcW w:w="613" w:type="pct"/>
                  <w:tcBorders>
                    <w:tl2br w:val="nil"/>
                    <w:tr2bl w:val="nil"/>
                  </w:tcBorders>
                  <w:vAlign w:val="center"/>
                </w:tcPr>
                <w:p w14:paraId="7B0BB31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地理坐标</w:t>
                  </w:r>
                </w:p>
              </w:tc>
              <w:tc>
                <w:tcPr>
                  <w:tcW w:w="763" w:type="pct"/>
                  <w:tcBorders>
                    <w:tl2br w:val="nil"/>
                    <w:tr2bl w:val="nil"/>
                  </w:tcBorders>
                  <w:vAlign w:val="center"/>
                </w:tcPr>
                <w:p w14:paraId="0C0961B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污染物种类</w:t>
                  </w:r>
                </w:p>
              </w:tc>
              <w:tc>
                <w:tcPr>
                  <w:tcW w:w="491" w:type="pct"/>
                  <w:tcBorders>
                    <w:tl2br w:val="nil"/>
                    <w:tr2bl w:val="nil"/>
                  </w:tcBorders>
                  <w:vAlign w:val="center"/>
                </w:tcPr>
                <w:p w14:paraId="544495D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排气筒高度（m）</w:t>
                  </w:r>
                </w:p>
              </w:tc>
              <w:tc>
                <w:tcPr>
                  <w:tcW w:w="483" w:type="pct"/>
                  <w:tcBorders>
                    <w:tl2br w:val="nil"/>
                    <w:tr2bl w:val="nil"/>
                  </w:tcBorders>
                  <w:vAlign w:val="center"/>
                </w:tcPr>
                <w:p w14:paraId="60BBB1D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内径</w:t>
                  </w:r>
                </w:p>
                <w:p w14:paraId="56E8DA3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w:t>
                  </w:r>
                </w:p>
              </w:tc>
              <w:tc>
                <w:tcPr>
                  <w:tcW w:w="428" w:type="pct"/>
                  <w:tcBorders>
                    <w:tl2br w:val="nil"/>
                    <w:tr2bl w:val="nil"/>
                  </w:tcBorders>
                  <w:vAlign w:val="center"/>
                </w:tcPr>
                <w:p w14:paraId="114280D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烟气温度</w:t>
                  </w:r>
                </w:p>
              </w:tc>
              <w:tc>
                <w:tcPr>
                  <w:tcW w:w="453" w:type="pct"/>
                  <w:tcBorders>
                    <w:tl2br w:val="nil"/>
                    <w:tr2bl w:val="nil"/>
                  </w:tcBorders>
                  <w:vAlign w:val="center"/>
                </w:tcPr>
                <w:p w14:paraId="205FABA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排放口类型</w:t>
                  </w:r>
                </w:p>
              </w:tc>
              <w:tc>
                <w:tcPr>
                  <w:tcW w:w="1210" w:type="pct"/>
                  <w:tcBorders>
                    <w:tl2br w:val="nil"/>
                    <w:tr2bl w:val="nil"/>
                  </w:tcBorders>
                  <w:vAlign w:val="center"/>
                </w:tcPr>
                <w:p w14:paraId="33A0565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执行标准</w:t>
                  </w:r>
                </w:p>
              </w:tc>
            </w:tr>
            <w:tr w14:paraId="76FB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14:paraId="7403E913">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DA</w:t>
                  </w:r>
                  <w:r>
                    <w:rPr>
                      <w:rFonts w:hint="eastAsia"/>
                      <w:color w:val="000000" w:themeColor="text1"/>
                      <w:sz w:val="21"/>
                      <w:szCs w:val="21"/>
                      <w:lang w:val="en-US" w:eastAsia="zh-CN"/>
                      <w14:textFill>
                        <w14:solidFill>
                          <w14:schemeClr w14:val="tx1"/>
                        </w14:solidFill>
                      </w14:textFill>
                    </w:rPr>
                    <w:t>001</w:t>
                  </w:r>
                </w:p>
              </w:tc>
              <w:tc>
                <w:tcPr>
                  <w:tcW w:w="613" w:type="pct"/>
                  <w:tcBorders>
                    <w:tl2br w:val="nil"/>
                    <w:tr2bl w:val="nil"/>
                  </w:tcBorders>
                  <w:vAlign w:val="center"/>
                </w:tcPr>
                <w:p w14:paraId="4E0DFD9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86.219173848</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41.673353538</w:t>
                  </w:r>
                </w:p>
              </w:tc>
              <w:tc>
                <w:tcPr>
                  <w:tcW w:w="763" w:type="pct"/>
                  <w:tcBorders>
                    <w:tl2br w:val="nil"/>
                    <w:tr2bl w:val="nil"/>
                  </w:tcBorders>
                  <w:vAlign w:val="center"/>
                </w:tcPr>
                <w:p w14:paraId="012FA4A3">
                  <w:pPr>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14:textFill>
                        <w14:solidFill>
                          <w14:schemeClr w14:val="tx1"/>
                        </w14:solidFill>
                      </w14:textFill>
                    </w:rPr>
                    <w:t>NOx</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H</w:t>
                  </w:r>
                  <w:r>
                    <w:rPr>
                      <w:color w:val="000000" w:themeColor="text1"/>
                      <w:sz w:val="21"/>
                      <w:szCs w:val="21"/>
                      <w14:textFill>
                        <w14:solidFill>
                          <w14:schemeClr w14:val="tx1"/>
                        </w14:solidFill>
                      </w14:textFill>
                    </w:rPr>
                    <w:t>Cl</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硫</w:t>
                  </w:r>
                  <w:r>
                    <w:rPr>
                      <w:color w:val="000000" w:themeColor="text1"/>
                      <w:sz w:val="21"/>
                      <w:szCs w:val="21"/>
                      <w14:textFill>
                        <w14:solidFill>
                          <w14:schemeClr w14:val="tx1"/>
                        </w14:solidFill>
                      </w14:textFill>
                    </w:rPr>
                    <w:t>酸雾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非甲烷总烃、硫化氢</w:t>
                  </w:r>
                </w:p>
              </w:tc>
              <w:tc>
                <w:tcPr>
                  <w:tcW w:w="491" w:type="pct"/>
                  <w:tcBorders>
                    <w:tl2br w:val="nil"/>
                    <w:tr2bl w:val="nil"/>
                  </w:tcBorders>
                  <w:vAlign w:val="center"/>
                </w:tcPr>
                <w:p w14:paraId="37D90BC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483" w:type="pct"/>
                  <w:tcBorders>
                    <w:tl2br w:val="nil"/>
                    <w:tr2bl w:val="nil"/>
                  </w:tcBorders>
                  <w:vAlign w:val="center"/>
                </w:tcPr>
                <w:p w14:paraId="01DE563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0.15</w:t>
                  </w:r>
                </w:p>
              </w:tc>
              <w:tc>
                <w:tcPr>
                  <w:tcW w:w="428" w:type="pct"/>
                  <w:tcBorders>
                    <w:tl2br w:val="nil"/>
                    <w:tr2bl w:val="nil"/>
                  </w:tcBorders>
                  <w:vAlign w:val="center"/>
                </w:tcPr>
                <w:p w14:paraId="43AF83A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常温</w:t>
                  </w:r>
                </w:p>
              </w:tc>
              <w:tc>
                <w:tcPr>
                  <w:tcW w:w="453" w:type="pct"/>
                  <w:tcBorders>
                    <w:tl2br w:val="nil"/>
                    <w:tr2bl w:val="nil"/>
                  </w:tcBorders>
                  <w:vAlign w:val="center"/>
                </w:tcPr>
                <w:p w14:paraId="009EF8D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一般排放口</w:t>
                  </w:r>
                </w:p>
              </w:tc>
              <w:tc>
                <w:tcPr>
                  <w:tcW w:w="1210" w:type="pct"/>
                  <w:tcBorders>
                    <w:tl2br w:val="nil"/>
                    <w:tr2bl w:val="nil"/>
                  </w:tcBorders>
                  <w:vAlign w:val="center"/>
                </w:tcPr>
                <w:p w14:paraId="335D054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《大气污染物综合排放标准》（</w:t>
                  </w:r>
                  <w:r>
                    <w:rPr>
                      <w:color w:val="000000" w:themeColor="text1"/>
                      <w:sz w:val="21"/>
                      <w:szCs w:val="21"/>
                      <w:lang w:bidi="en-US"/>
                      <w14:textFill>
                        <w14:solidFill>
                          <w14:schemeClr w14:val="tx1"/>
                        </w14:solidFill>
                      </w14:textFill>
                    </w:rPr>
                    <w:t>GB</w:t>
                  </w:r>
                  <w:r>
                    <w:rPr>
                      <w:color w:val="000000" w:themeColor="text1"/>
                      <w:sz w:val="21"/>
                      <w:szCs w:val="21"/>
                      <w14:textFill>
                        <w14:solidFill>
                          <w14:schemeClr w14:val="tx1"/>
                        </w14:solidFill>
                      </w14:textFill>
                    </w:rPr>
                    <w:t>1629749-96）</w:t>
                  </w:r>
                </w:p>
                <w:p w14:paraId="16A515C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bidi="en-US"/>
                      <w14:textFill>
                        <w14:solidFill>
                          <w14:schemeClr w14:val="tx1"/>
                        </w14:solidFill>
                      </w14:textFill>
                    </w:rPr>
                    <w:t>《</w:t>
                  </w:r>
                  <w:r>
                    <w:rPr>
                      <w:color w:val="000000" w:themeColor="text1"/>
                      <w:sz w:val="21"/>
                      <w:szCs w:val="21"/>
                      <w14:textFill>
                        <w14:solidFill>
                          <w14:schemeClr w14:val="tx1"/>
                        </w14:solidFill>
                      </w14:textFill>
                    </w:rPr>
                    <w:t>恶臭污染物排放标准》（</w:t>
                  </w:r>
                  <w:r>
                    <w:rPr>
                      <w:color w:val="000000" w:themeColor="text1"/>
                      <w:sz w:val="21"/>
                      <w:szCs w:val="21"/>
                      <w:lang w:bidi="en-US"/>
                      <w14:textFill>
                        <w14:solidFill>
                          <w14:schemeClr w14:val="tx1"/>
                        </w14:solidFill>
                      </w14:textFill>
                    </w:rPr>
                    <w:t>GB</w:t>
                  </w:r>
                  <w:r>
                    <w:rPr>
                      <w:color w:val="000000" w:themeColor="text1"/>
                      <w:sz w:val="21"/>
                      <w:szCs w:val="21"/>
                      <w14:textFill>
                        <w14:solidFill>
                          <w14:schemeClr w14:val="tx1"/>
                        </w14:solidFill>
                      </w14:textFill>
                    </w:rPr>
                    <w:t>1455193-93）</w:t>
                  </w:r>
                </w:p>
              </w:tc>
            </w:tr>
          </w:tbl>
          <w:p w14:paraId="127E28EF">
            <w:pPr>
              <w:widowControl/>
              <w:ind w:firstLine="482"/>
              <w:jc w:val="left"/>
              <w:rPr>
                <w:rFonts w:hint="default" w:eastAsia="宋体"/>
                <w:b/>
                <w:bCs/>
                <w:color w:val="000000" w:themeColor="text1"/>
                <w:kern w:val="0"/>
                <w:lang w:val="en-US" w:eastAsia="zh-CN" w:bidi="ar"/>
                <w14:textFill>
                  <w14:solidFill>
                    <w14:schemeClr w14:val="tx1"/>
                  </w14:solidFill>
                </w14:textFill>
              </w:rPr>
            </w:pPr>
            <w:r>
              <w:rPr>
                <w:rFonts w:hint="eastAsia"/>
                <w:b/>
                <w:bCs/>
                <w:color w:val="000000" w:themeColor="text1"/>
                <w:kern w:val="0"/>
                <w:lang w:val="en-US" w:eastAsia="zh-CN" w:bidi="ar"/>
                <w14:textFill>
                  <w14:solidFill>
                    <w14:schemeClr w14:val="tx1"/>
                  </w14:solidFill>
                </w14:textFill>
              </w:rPr>
              <w:t>1.6废气污染防治措施可行性分析</w:t>
            </w:r>
          </w:p>
          <w:p w14:paraId="2EB61BC9">
            <w:pPr>
              <w:widowControl/>
              <w:ind w:firstLine="482"/>
              <w:jc w:val="left"/>
              <w:rPr>
                <w:rFonts w:hint="default"/>
                <w:b w:val="0"/>
                <w:bCs w:val="0"/>
                <w:color w:val="000000" w:themeColor="text1"/>
                <w:kern w:val="0"/>
                <w:lang w:val="en-US" w:eastAsia="zh-CN" w:bidi="ar"/>
                <w14:textFill>
                  <w14:solidFill>
                    <w14:schemeClr w14:val="tx1"/>
                  </w14:solidFill>
                </w14:textFill>
              </w:rPr>
            </w:pPr>
            <w:r>
              <w:rPr>
                <w:rFonts w:hint="eastAsia"/>
                <w:b w:val="0"/>
                <w:bCs w:val="0"/>
                <w:color w:val="000000" w:themeColor="text1"/>
                <w:kern w:val="0"/>
                <w:lang w:val="en-US" w:eastAsia="zh-CN" w:bidi="ar"/>
                <w14:textFill>
                  <w14:solidFill>
                    <w14:schemeClr w14:val="tx1"/>
                  </w14:solidFill>
                </w14:textFill>
              </w:rPr>
              <w:t>本项目为专业实验室、研发（试验）基地建设项目，暂无相关的排污许可及规范要求，对照《排污许可证申请与核发技术规范总则》（HJ942-2018）未明确相关可行性技术，本环评可行性分析参照行业排污许可核发技术规范与行业技术规范手册等。</w:t>
            </w:r>
          </w:p>
          <w:p w14:paraId="1CCA51FA">
            <w:pPr>
              <w:widowControl/>
              <w:ind w:firstLine="482"/>
              <w:jc w:val="left"/>
              <w:rPr>
                <w:rFonts w:hint="default" w:eastAsia="宋体"/>
                <w:b/>
                <w:bCs/>
                <w:color w:val="000000" w:themeColor="text1"/>
                <w:kern w:val="0"/>
                <w:lang w:val="en-US" w:eastAsia="zh-CN" w:bidi="ar"/>
                <w14:textFill>
                  <w14:solidFill>
                    <w14:schemeClr w14:val="tx1"/>
                  </w14:solidFill>
                </w14:textFill>
              </w:rPr>
            </w:pPr>
            <w:r>
              <w:rPr>
                <w:rFonts w:hint="eastAsia"/>
                <w:b/>
                <w:bCs/>
                <w:color w:val="000000" w:themeColor="text1"/>
                <w:kern w:val="0"/>
                <w:lang w:val="en-US" w:eastAsia="zh-CN" w:bidi="ar"/>
                <w14:textFill>
                  <w14:solidFill>
                    <w14:schemeClr w14:val="tx1"/>
                  </w14:solidFill>
                </w14:textFill>
              </w:rPr>
              <w:t>1.6.1集气装置及风量设置合理性分析</w:t>
            </w:r>
          </w:p>
          <w:p w14:paraId="01F16CED">
            <w:pPr>
              <w:keepNext w:val="0"/>
              <w:keepLines w:val="0"/>
              <w:widowControl/>
              <w:suppressLineNumbers w:val="0"/>
              <w:jc w:val="left"/>
              <w:rPr>
                <w:color w:val="000000" w:themeColor="text1"/>
                <w14:textFill>
                  <w14:solidFill>
                    <w14:schemeClr w14:val="tx1"/>
                  </w14:solidFill>
                </w14:textFill>
              </w:rPr>
            </w:pPr>
            <w:r>
              <w:rPr>
                <w:rFonts w:hint="eastAsia"/>
                <w:b w:val="0"/>
                <w:bCs w:val="0"/>
                <w:color w:val="000000" w:themeColor="text1"/>
                <w:kern w:val="0"/>
                <w:lang w:val="en-US" w:eastAsia="zh-CN" w:bidi="ar"/>
                <w14:textFill>
                  <w14:solidFill>
                    <w14:schemeClr w14:val="tx1"/>
                  </w14:solidFill>
                </w14:textFill>
              </w:rPr>
              <w:t>本项目在制样室、化学实验室共设置2套通风橱装置，</w:t>
            </w:r>
            <w:r>
              <w:rPr>
                <w:rFonts w:hint="eastAsia" w:ascii="宋体" w:hAnsi="宋体" w:eastAsia="宋体" w:cs="宋体"/>
                <w:color w:val="000000" w:themeColor="text1"/>
                <w:kern w:val="0"/>
                <w:sz w:val="24"/>
                <w:szCs w:val="24"/>
                <w:lang w:val="en-US" w:eastAsia="zh-CN" w:bidi="ar"/>
                <w14:textFill>
                  <w14:solidFill>
                    <w14:schemeClr w14:val="tx1"/>
                  </w14:solidFill>
                </w14:textFill>
              </w:rPr>
              <w:t>根据《废气处理工程技术手册废气卷（</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2013</w:t>
            </w:r>
            <w:r>
              <w:rPr>
                <w:rFonts w:hint="eastAsia" w:ascii="宋体" w:hAnsi="宋体" w:eastAsia="宋体" w:cs="宋体"/>
                <w:color w:val="000000" w:themeColor="text1"/>
                <w:kern w:val="0"/>
                <w:sz w:val="24"/>
                <w:szCs w:val="24"/>
                <w:lang w:val="en-US" w:eastAsia="zh-CN" w:bidi="ar"/>
                <w14:textFill>
                  <w14:solidFill>
                    <w14:schemeClr w14:val="tx1"/>
                  </w14:solidFill>
                </w14:textFill>
              </w:rPr>
              <w:t>年版）》通风橱风量按以下计算：</w:t>
            </w:r>
          </w:p>
          <w:p w14:paraId="3539ECAC">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通风橱属于半密闭型其排气量通过下式进行计算：</w:t>
            </w:r>
          </w:p>
          <w:p w14:paraId="5CB3949C">
            <w:pPr>
              <w:keepNext w:val="0"/>
              <w:keepLines w:val="0"/>
              <w:widowControl/>
              <w:suppressLineNumbers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08125" cy="379095"/>
                  <wp:effectExtent l="0" t="0" r="15875"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a:stretch>
                            <a:fillRect/>
                          </a:stretch>
                        </pic:blipFill>
                        <pic:spPr>
                          <a:xfrm>
                            <a:off x="0" y="0"/>
                            <a:ext cx="1508125" cy="379095"/>
                          </a:xfrm>
                          <a:prstGeom prst="rect">
                            <a:avLst/>
                          </a:prstGeom>
                          <a:noFill/>
                          <a:ln>
                            <a:noFill/>
                          </a:ln>
                        </pic:spPr>
                      </pic:pic>
                    </a:graphicData>
                  </a:graphic>
                </wp:inline>
              </w:drawing>
            </w:r>
          </w:p>
          <w:p w14:paraId="381EE3F8">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式中：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Q</w:t>
            </w:r>
            <w:r>
              <w:rPr>
                <w:rFonts w:hint="eastAsia" w:ascii="宋体" w:hAnsi="宋体" w:eastAsia="宋体" w:cs="宋体"/>
                <w:color w:val="000000" w:themeColor="text1"/>
                <w:kern w:val="0"/>
                <w:sz w:val="24"/>
                <w:szCs w:val="24"/>
                <w:lang w:val="en-US" w:eastAsia="zh-CN" w:bidi="ar"/>
                <w14:textFill>
                  <w14:solidFill>
                    <w14:schemeClr w14:val="tx1"/>
                  </w14:solidFill>
                </w14:textFill>
              </w:rPr>
              <w:t>为风量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40742FD3">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F</w:t>
            </w:r>
            <w:r>
              <w:rPr>
                <w:rFonts w:hint="eastAsia" w:ascii="宋体" w:hAnsi="宋体" w:eastAsia="宋体" w:cs="宋体"/>
                <w:color w:val="000000" w:themeColor="text1"/>
                <w:kern w:val="0"/>
                <w:sz w:val="24"/>
                <w:szCs w:val="24"/>
                <w:lang w:val="en-US" w:eastAsia="zh-CN" w:bidi="ar"/>
                <w14:textFill>
                  <w14:solidFill>
                    <w14:schemeClr w14:val="tx1"/>
                  </w14:solidFill>
                </w14:textFill>
              </w:rPr>
              <w:t>为操作口实际开启面积，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0D175FF2">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eastAsia" w:ascii="宋体" w:hAnsi="宋体" w:eastAsia="宋体" w:cs="宋体"/>
                <w:color w:val="000000" w:themeColor="text1"/>
                <w:kern w:val="0"/>
                <w:sz w:val="24"/>
                <w:szCs w:val="24"/>
                <w:lang w:val="en-US" w:eastAsia="zh-CN" w:bidi="ar"/>
                <w14:textFill>
                  <w14:solidFill>
                    <w14:schemeClr w14:val="tx1"/>
                  </w14:solidFill>
                </w14:textFill>
              </w:rPr>
              <w:t>为操作口处空气吸入速度，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0.4~0.6m/s</w:t>
            </w:r>
            <w:r>
              <w:rPr>
                <w:rFonts w:hint="eastAsia" w:ascii="宋体" w:hAnsi="宋体" w:eastAsia="宋体" w:cs="宋体"/>
                <w:color w:val="000000" w:themeColor="text1"/>
                <w:kern w:val="0"/>
                <w:sz w:val="24"/>
                <w:szCs w:val="24"/>
                <w:lang w:val="en-US" w:eastAsia="zh-CN" w:bidi="ar"/>
                <w14:textFill>
                  <w14:solidFill>
                    <w14:schemeClr w14:val="tx1"/>
                  </w14:solidFill>
                </w14:textFill>
              </w:rPr>
              <w:t>，（本次环评取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0.5m/s</w:t>
            </w:r>
            <w:r>
              <w:rPr>
                <w:rFonts w:hint="eastAsia" w:ascii="宋体" w:hAnsi="宋体" w:eastAsia="宋体" w:cs="宋体"/>
                <w:color w:val="000000" w:themeColor="text1"/>
                <w:kern w:val="0"/>
                <w:sz w:val="24"/>
                <w:szCs w:val="24"/>
                <w:lang w:val="en-US" w:eastAsia="zh-CN" w:bidi="ar"/>
                <w14:textFill>
                  <w14:solidFill>
                    <w14:schemeClr w14:val="tx1"/>
                  </w14:solidFill>
                </w14:textFill>
              </w:rPr>
              <w:t>，满足《挥发性有机物无组织排放控制标准》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GB37822-2019</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10.2.2</w:t>
            </w:r>
            <w:r>
              <w:rPr>
                <w:rFonts w:hint="eastAsia" w:ascii="宋体" w:hAnsi="宋体" w:eastAsia="宋体" w:cs="宋体"/>
                <w:color w:val="000000" w:themeColor="text1"/>
                <w:kern w:val="0"/>
                <w:sz w:val="24"/>
                <w:szCs w:val="24"/>
                <w:lang w:val="en-US" w:eastAsia="zh-CN" w:bidi="ar"/>
                <w14:textFill>
                  <w14:solidFill>
                    <w14:schemeClr w14:val="tx1"/>
                  </w14:solidFill>
                </w14:textFill>
              </w:rPr>
              <w:t>的要求，集气罩控制风速不应低于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0.3m/s</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58518185">
            <w:pPr>
              <w:keepNext w:val="0"/>
              <w:keepLines w:val="0"/>
              <w:widowControl/>
              <w:suppressLineNumbers w:val="0"/>
              <w:jc w:val="left"/>
              <w:rPr>
                <w:color w:val="000000" w:themeColor="text1"/>
                <w:sz w:val="24"/>
                <w:szCs w:val="24"/>
                <w14:textFill>
                  <w14:solidFill>
                    <w14:schemeClr w14:val="tx1"/>
                  </w14:solidFill>
                </w14:textFill>
              </w:rPr>
            </w:pPr>
            <w:r>
              <w:rPr>
                <w:rFonts w:hint="default" w:ascii="Cambria Math" w:hAnsi="Cambria Math" w:eastAsia="Cambria Math" w:cs="Cambria Math"/>
                <w:color w:val="000000" w:themeColor="text1"/>
                <w:kern w:val="0"/>
                <w:sz w:val="24"/>
                <w:szCs w:val="24"/>
                <w:lang w:val="en-US" w:eastAsia="zh-CN" w:bidi="ar"/>
                <w14:textFill>
                  <w14:solidFill>
                    <w14:schemeClr w14:val="tx1"/>
                  </w14:solidFill>
                </w14:textFill>
              </w:rPr>
              <w:t>β</w:t>
            </w:r>
            <w:r>
              <w:rPr>
                <w:rFonts w:hint="eastAsia" w:ascii="宋体" w:hAnsi="宋体" w:eastAsia="宋体" w:cs="宋体"/>
                <w:color w:val="000000" w:themeColor="text1"/>
                <w:kern w:val="0"/>
                <w:sz w:val="24"/>
                <w:szCs w:val="24"/>
                <w:lang w:val="en-US" w:eastAsia="zh-CN" w:bidi="ar"/>
                <w14:textFill>
                  <w14:solidFill>
                    <w14:schemeClr w14:val="tx1"/>
                  </w14:solidFill>
                </w14:textFill>
              </w:rPr>
              <w:t>为安全系数，一般取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1.05~1.1</w:t>
            </w:r>
            <w:r>
              <w:rPr>
                <w:rFonts w:hint="eastAsia" w:ascii="宋体" w:hAnsi="宋体" w:eastAsia="宋体" w:cs="宋体"/>
                <w:color w:val="000000" w:themeColor="text1"/>
                <w:kern w:val="0"/>
                <w:sz w:val="24"/>
                <w:szCs w:val="24"/>
                <w:lang w:val="en-US" w:eastAsia="zh-CN" w:bidi="ar"/>
                <w14:textFill>
                  <w14:solidFill>
                    <w14:schemeClr w14:val="tx1"/>
                  </w14:solidFill>
                </w14:textFill>
              </w:rPr>
              <w:t>，本次环评取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1.1</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38D0D0D6">
            <w:pPr>
              <w:keepNext w:val="0"/>
              <w:keepLines w:val="0"/>
              <w:widowControl/>
              <w:suppressLineNumbers w:val="0"/>
              <w:jc w:val="left"/>
              <w:rPr>
                <w:rFonts w:hint="default"/>
                <w:color w:val="000000" w:themeColor="text1"/>
                <w:sz w:val="24"/>
                <w:szCs w:val="24"/>
                <w:lang w:val="en-US"/>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根据建设单位提供数据，实验室通风橱操作台为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151*82cm</w:t>
            </w:r>
            <w:r>
              <w:rPr>
                <w:rFonts w:hint="eastAsia" w:ascii="宋体" w:hAnsi="宋体" w:eastAsia="宋体" w:cs="宋体"/>
                <w:color w:val="000000" w:themeColor="text1"/>
                <w:kern w:val="0"/>
                <w:sz w:val="24"/>
                <w:szCs w:val="24"/>
                <w:lang w:val="en-US" w:eastAsia="zh-CN" w:bidi="ar"/>
                <w14:textFill>
                  <w14:solidFill>
                    <w14:schemeClr w14:val="tx1"/>
                  </w14:solidFill>
                </w14:textFill>
              </w:rPr>
              <w:t>，结合实际情况，通风橱操作口实际开启面积为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，经计算单台通风橱抽风量不小于</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792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，2台通风橱风量计算为1584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cs="Times New Roman"/>
                <w:color w:val="000000" w:themeColor="text1"/>
                <w:kern w:val="0"/>
                <w:sz w:val="24"/>
                <w:szCs w:val="24"/>
                <w:lang w:val="en-US" w:eastAsia="zh-CN" w:bidi="ar"/>
                <w14:textFill>
                  <w14:solidFill>
                    <w14:schemeClr w14:val="tx1"/>
                  </w14:solidFill>
                </w14:textFill>
              </w:rPr>
              <w:t>。</w:t>
            </w:r>
          </w:p>
          <w:p w14:paraId="3FA596FE">
            <w:pPr>
              <w:widowControl/>
              <w:ind w:firstLine="482"/>
              <w:jc w:val="left"/>
              <w:rPr>
                <w:rFonts w:hint="default" w:eastAsia="宋体"/>
                <w:b w:val="0"/>
                <w:bCs w:val="0"/>
                <w:color w:val="000000" w:themeColor="text1"/>
                <w:kern w:val="0"/>
                <w:lang w:val="en-US" w:eastAsia="zh-CN" w:bidi="ar"/>
                <w14:textFill>
                  <w14:solidFill>
                    <w14:schemeClr w14:val="tx1"/>
                  </w14:solidFill>
                </w14:textFill>
              </w:rPr>
            </w:pPr>
            <w:r>
              <w:rPr>
                <w:rFonts w:hint="eastAsia"/>
                <w:b w:val="0"/>
                <w:bCs w:val="0"/>
                <w:color w:val="000000" w:themeColor="text1"/>
                <w:kern w:val="0"/>
                <w:lang w:val="en-US" w:eastAsia="zh-CN" w:bidi="ar"/>
                <w14:textFill>
                  <w14:solidFill>
                    <w14:schemeClr w14:val="tx1"/>
                  </w14:solidFill>
                </w14:textFill>
              </w:rPr>
              <w:t>考虑到通风橱集气口与实验废气源有一定距离，本环评风量按理论风量2倍计算，因此风量3500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cs="Times New Roman"/>
                <w:color w:val="000000" w:themeColor="text1"/>
                <w:kern w:val="0"/>
                <w:sz w:val="24"/>
                <w:szCs w:val="24"/>
                <w:lang w:val="en-US" w:eastAsia="zh-CN" w:bidi="ar"/>
                <w14:textFill>
                  <w14:solidFill>
                    <w14:schemeClr w14:val="tx1"/>
                  </w14:solidFill>
                </w14:textFill>
              </w:rPr>
              <w:t>风量设置合理。</w:t>
            </w:r>
          </w:p>
          <w:p w14:paraId="2942C237">
            <w:pPr>
              <w:widowControl/>
              <w:ind w:firstLine="482"/>
              <w:jc w:val="left"/>
              <w:rPr>
                <w:rFonts w:hint="default" w:eastAsia="宋体"/>
                <w:b/>
                <w:bCs/>
                <w:color w:val="000000" w:themeColor="text1"/>
                <w:kern w:val="0"/>
                <w:lang w:val="en-US" w:eastAsia="zh-CN" w:bidi="ar"/>
                <w14:textFill>
                  <w14:solidFill>
                    <w14:schemeClr w14:val="tx1"/>
                  </w14:solidFill>
                </w14:textFill>
              </w:rPr>
            </w:pPr>
            <w:r>
              <w:rPr>
                <w:rFonts w:hint="eastAsia"/>
                <w:b/>
                <w:bCs/>
                <w:color w:val="000000" w:themeColor="text1"/>
                <w:kern w:val="0"/>
                <w:lang w:val="en-US" w:eastAsia="zh-CN" w:bidi="ar"/>
                <w14:textFill>
                  <w14:solidFill>
                    <w14:schemeClr w14:val="tx1"/>
                  </w14:solidFill>
                </w14:textFill>
              </w:rPr>
              <w:t>1.6.2污染防治措施可行性分析</w:t>
            </w:r>
          </w:p>
          <w:p w14:paraId="5E4483F4">
            <w:pPr>
              <w:adjustRightInd w:val="0"/>
              <w:snapToGrid w:val="0"/>
              <w:ind w:firstLine="480"/>
              <w:rPr>
                <w:rFonts w:hint="default" w:eastAsia="宋体"/>
                <w:bCs/>
                <w:color w:val="000000" w:themeColor="text1"/>
                <w:lang w:val="en-US" w:eastAsia="zh-CN"/>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1</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硫化氢污染防治措施可行性</w:t>
            </w:r>
          </w:p>
          <w:p w14:paraId="4049609C">
            <w:pPr>
              <w:adjustRightInd w:val="0"/>
              <w:snapToGrid w:val="0"/>
              <w:ind w:firstLine="480"/>
              <w:rPr>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①</w:t>
            </w:r>
            <w:r>
              <w:rPr>
                <w:bCs/>
                <w:color w:val="000000" w:themeColor="text1"/>
                <w14:textFill>
                  <w14:solidFill>
                    <w14:schemeClr w14:val="tx1"/>
                  </w14:solidFill>
                </w14:textFill>
              </w:rPr>
              <w:t>措施可行性分析</w:t>
            </w:r>
          </w:p>
          <w:p w14:paraId="0F9198C6">
            <w:pPr>
              <w:widowControl/>
              <w:ind w:firstLine="482"/>
              <w:jc w:val="left"/>
              <w:rPr>
                <w:rFonts w:hint="eastAsia" w:eastAsia="宋体"/>
                <w:b w:val="0"/>
                <w:bCs w:val="0"/>
                <w:color w:val="000000" w:themeColor="text1"/>
                <w:kern w:val="0"/>
                <w:lang w:eastAsia="zh-CN" w:bidi="ar"/>
                <w14:textFill>
                  <w14:solidFill>
                    <w14:schemeClr w14:val="tx1"/>
                  </w14:solidFill>
                </w14:textFill>
              </w:rPr>
            </w:pPr>
            <w:r>
              <w:rPr>
                <w:rFonts w:hint="eastAsia"/>
                <w:bCs/>
                <w:color w:val="000000" w:themeColor="text1"/>
                <w:lang w:val="en-US" w:eastAsia="zh-CN"/>
                <w14:textFill>
                  <w14:solidFill>
                    <w14:schemeClr w14:val="tx1"/>
                  </w14:solidFill>
                </w14:textFill>
              </w:rPr>
              <w:t>参考</w:t>
            </w:r>
            <w:r>
              <w:rPr>
                <w:bCs/>
                <w:color w:val="000000" w:themeColor="text1"/>
                <w14:textFill>
                  <w14:solidFill>
                    <w14:schemeClr w14:val="tx1"/>
                  </w14:solidFill>
                </w14:textFill>
              </w:rPr>
              <w:t>《</w:t>
            </w:r>
            <w:r>
              <w:rPr>
                <w:rStyle w:val="86"/>
                <w:b w:val="0"/>
                <w:bCs w:val="0"/>
                <w:color w:val="000000" w:themeColor="text1"/>
                <w:sz w:val="24"/>
                <w:szCs w:val="24"/>
                <w14:textFill>
                  <w14:solidFill>
                    <w14:schemeClr w14:val="tx1"/>
                  </w14:solidFill>
                </w14:textFill>
              </w:rPr>
              <w:t>排污许可证申请与核发技术规范</w:t>
            </w:r>
            <w:r>
              <w:rPr>
                <w:rStyle w:val="86"/>
                <w:rFonts w:hint="eastAsia"/>
                <w:b w:val="0"/>
                <w:bCs w:val="0"/>
                <w:color w:val="000000" w:themeColor="text1"/>
                <w:sz w:val="24"/>
                <w:szCs w:val="24"/>
                <w14:textFill>
                  <w14:solidFill>
                    <w14:schemeClr w14:val="tx1"/>
                  </w14:solidFill>
                </w14:textFill>
              </w:rPr>
              <w:t>石化</w:t>
            </w:r>
            <w:r>
              <w:rPr>
                <w:rStyle w:val="86"/>
                <w:b w:val="0"/>
                <w:bCs w:val="0"/>
                <w:color w:val="000000" w:themeColor="text1"/>
                <w:sz w:val="24"/>
                <w:szCs w:val="24"/>
                <w14:textFill>
                  <w14:solidFill>
                    <w14:schemeClr w14:val="tx1"/>
                  </w14:solidFill>
                </w14:textFill>
              </w:rPr>
              <w:t>工业</w:t>
            </w:r>
            <w:r>
              <w:rPr>
                <w:bCs/>
                <w:color w:val="000000" w:themeColor="text1"/>
                <w14:textFill>
                  <w14:solidFill>
                    <w14:schemeClr w14:val="tx1"/>
                  </w14:solidFill>
                </w14:textFill>
              </w:rPr>
              <w:t>》（HJ853-2017）表5，</w:t>
            </w:r>
            <w:r>
              <w:rPr>
                <w:rFonts w:hint="eastAsia"/>
                <w:bCs/>
                <w:color w:val="000000" w:themeColor="text1"/>
                <w14:textFill>
                  <w14:solidFill>
                    <w14:schemeClr w14:val="tx1"/>
                  </w14:solidFill>
                </w14:textFill>
              </w:rPr>
              <w:t>硫化氢</w:t>
            </w:r>
            <w:r>
              <w:rPr>
                <w:bCs/>
                <w:color w:val="000000" w:themeColor="text1"/>
                <w14:textFill>
                  <w14:solidFill>
                    <w14:schemeClr w14:val="tx1"/>
                  </w14:solidFill>
                </w14:textFill>
              </w:rPr>
              <w:t>污染防治可行技术主要包括</w:t>
            </w:r>
            <w:r>
              <w:rPr>
                <w:rFonts w:hint="eastAsia"/>
                <w:bCs/>
                <w:color w:val="000000" w:themeColor="text1"/>
                <w14:textFill>
                  <w14:solidFill>
                    <w14:schemeClr w14:val="tx1"/>
                  </w14:solidFill>
                </w14:textFill>
              </w:rPr>
              <w:t>生物滴滤</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碱洗技术</w:t>
            </w:r>
            <w:r>
              <w:rPr>
                <w:bCs/>
                <w:color w:val="000000" w:themeColor="text1"/>
                <w14:textFill>
                  <w14:solidFill>
                    <w14:schemeClr w14:val="tx1"/>
                  </w14:solidFill>
                </w14:textFill>
              </w:rPr>
              <w:t>，本项目</w:t>
            </w:r>
            <w:r>
              <w:rPr>
                <w:rFonts w:hint="eastAsia"/>
                <w:bCs/>
                <w:color w:val="000000" w:themeColor="text1"/>
                <w14:textFill>
                  <w14:solidFill>
                    <w14:schemeClr w14:val="tx1"/>
                  </w14:solidFill>
                </w14:textFill>
              </w:rPr>
              <w:t>SSC应力腐蚀实验和HIC氢致开裂实验排放的H</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S</w:t>
            </w:r>
            <w:r>
              <w:rPr>
                <w:bCs/>
                <w:color w:val="000000" w:themeColor="text1"/>
                <w14:textFill>
                  <w14:solidFill>
                    <w14:schemeClr w14:val="tx1"/>
                  </w14:solidFill>
                </w14:textFill>
              </w:rPr>
              <w:t>废气拟采取</w:t>
            </w:r>
            <w:r>
              <w:rPr>
                <w:rFonts w:hint="eastAsia"/>
                <w:bCs/>
                <w:color w:val="000000" w:themeColor="text1"/>
                <w14:textFill>
                  <w14:solidFill>
                    <w14:schemeClr w14:val="tx1"/>
                  </w14:solidFill>
                </w14:textFill>
              </w:rPr>
              <w:t>碱液喷淋技术</w:t>
            </w:r>
            <w:r>
              <w:rPr>
                <w:bCs/>
                <w:color w:val="000000" w:themeColor="text1"/>
                <w14:textFill>
                  <w14:solidFill>
                    <w14:schemeClr w14:val="tx1"/>
                  </w14:solidFill>
                </w14:textFill>
              </w:rPr>
              <w:t>进行处理，属于可行技术。</w:t>
            </w:r>
          </w:p>
          <w:p w14:paraId="7A7E1988">
            <w:pPr>
              <w:adjustRightInd w:val="0"/>
              <w:snapToGrid w:val="0"/>
              <w:ind w:firstLine="480"/>
              <w:rPr>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②</w:t>
            </w:r>
            <w:r>
              <w:rPr>
                <w:bCs/>
                <w:color w:val="000000" w:themeColor="text1"/>
                <w14:textFill>
                  <w14:solidFill>
                    <w14:schemeClr w14:val="tx1"/>
                  </w14:solidFill>
                </w14:textFill>
              </w:rPr>
              <w:t>技术可行性分析</w:t>
            </w:r>
          </w:p>
          <w:p w14:paraId="63B6EABE">
            <w:pPr>
              <w:adjustRightInd w:val="0"/>
              <w:snapToGrid w:val="0"/>
              <w:ind w:firstLine="480"/>
              <w:rPr>
                <w:bCs/>
                <w:color w:val="000000" w:themeColor="text1"/>
                <w14:textFill>
                  <w14:solidFill>
                    <w14:schemeClr w14:val="tx1"/>
                  </w14:solidFill>
                </w14:textFill>
              </w:rPr>
            </w:pPr>
            <w:r>
              <w:rPr>
                <w:bCs/>
                <w:color w:val="000000" w:themeColor="text1"/>
                <w14:textFill>
                  <w14:solidFill>
                    <w14:schemeClr w14:val="tx1"/>
                  </w14:solidFill>
                </w14:textFill>
              </w:rPr>
              <w:t>硫化氢是一种易燃气体，如果与空气或氧气交汇，达到一定比例（4.3%~46%）时就会发生爆炸，十分危险。能在空气中燃烧产生蓝色的火焰并生成SO</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和H</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O，在空气不足时则生成S和H</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O。超剧毒，即使稀的硫化氢也对呼吸道和眼睛有刺激作用，并引起头痛，浓度达1mg/L或更高时，对生命有危险，所以制备和使用H</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S都应在通风橱中进行。</w:t>
            </w:r>
          </w:p>
          <w:p w14:paraId="157EB3B5">
            <w:pPr>
              <w:adjustRightInd w:val="0"/>
              <w:snapToGrid w:val="0"/>
              <w:ind w:firstLine="480"/>
              <w:jc w:val="left"/>
              <w:rPr>
                <w:bCs/>
                <w:color w:val="000000" w:themeColor="text1"/>
                <w14:textFill>
                  <w14:solidFill>
                    <w14:schemeClr w14:val="tx1"/>
                  </w14:solidFill>
                </w14:textFill>
              </w:rPr>
            </w:pPr>
            <w:r>
              <w:rPr>
                <w:bCs/>
                <w:color w:val="000000" w:themeColor="text1"/>
                <w14:textFill>
                  <w14:solidFill>
                    <w14:schemeClr w14:val="tx1"/>
                  </w14:solidFill>
                </w14:textFill>
              </w:rPr>
              <w:t>因硫化氢溶于水，所以对于硫化氢废气的处理，常见的方式是采用净化塔（喷淋塔、碱洗塔），利用加药装置中的碱性药液去除废气中的硫化氢成分，</w:t>
            </w:r>
            <w:r>
              <w:rPr>
                <w:rFonts w:hint="eastAsia"/>
                <w:bCs/>
                <w:color w:val="000000" w:themeColor="text1"/>
                <w14:textFill>
                  <w14:solidFill>
                    <w14:schemeClr w14:val="tx1"/>
                  </w14:solidFill>
                </w14:textFill>
              </w:rPr>
              <w:t>在</w:t>
            </w:r>
            <w:r>
              <w:rPr>
                <w:rFonts w:hint="eastAsia"/>
                <w:color w:val="000000" w:themeColor="text1"/>
                <w14:textFill>
                  <w14:solidFill>
                    <w14:schemeClr w14:val="tx1"/>
                  </w14:solidFill>
                </w14:textFill>
              </w:rPr>
              <w:t>氢氧化钠过量的情况下：2NaOH+H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S==Na</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S+2H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O，反应进行的比较彻底，</w:t>
            </w:r>
            <w:r>
              <w:rPr>
                <w:rFonts w:hint="eastAsia"/>
                <w:color w:val="000000" w:themeColor="text1"/>
                <w:lang w:val="en-US" w:eastAsia="zh-CN"/>
                <w14:textFill>
                  <w14:solidFill>
                    <w14:schemeClr w14:val="tx1"/>
                  </w14:solidFill>
                </w14:textFill>
              </w:rPr>
              <w:t>对比相同治理措施</w:t>
            </w:r>
            <w:r>
              <w:rPr>
                <w:rFonts w:hint="eastAsia"/>
                <w:color w:val="000000" w:themeColor="text1"/>
                <w14:textFill>
                  <w14:solidFill>
                    <w14:schemeClr w14:val="tx1"/>
                  </w14:solidFill>
                </w14:textFill>
              </w:rPr>
              <w:t>净化效率大于</w:t>
            </w:r>
            <w:r>
              <w:rPr>
                <w:rFonts w:hint="eastAsia"/>
                <w:color w:val="000000" w:themeColor="text1"/>
                <w:lang w:val="en-US" w:eastAsia="zh-CN"/>
                <w14:textFill>
                  <w14:solidFill>
                    <w14:schemeClr w14:val="tx1"/>
                  </w14:solidFill>
                </w14:textFill>
              </w:rPr>
              <w:t>90</w:t>
            </w:r>
            <w:r>
              <w:rPr>
                <w:rFonts w:hint="eastAsia"/>
                <w:color w:val="000000" w:themeColor="text1"/>
                <w14:textFill>
                  <w14:solidFill>
                    <w14:schemeClr w14:val="tx1"/>
                  </w14:solidFill>
                </w14:textFill>
              </w:rPr>
              <w:t>%，处理后的废气经1</w:t>
            </w:r>
            <w:r>
              <w:rPr>
                <w:color w:val="000000" w:themeColor="text1"/>
                <w14:textFill>
                  <w14:solidFill>
                    <w14:schemeClr w14:val="tx1"/>
                  </w14:solidFill>
                </w14:textFill>
              </w:rPr>
              <w:t>5m</w:t>
            </w:r>
            <w:r>
              <w:rPr>
                <w:rFonts w:hint="eastAsia"/>
                <w:color w:val="000000" w:themeColor="text1"/>
                <w14:textFill>
                  <w14:solidFill>
                    <w14:schemeClr w14:val="tx1"/>
                  </w14:solidFill>
                </w14:textFill>
              </w:rPr>
              <w:t>高排气筒</w:t>
            </w:r>
            <w:r>
              <w:rPr>
                <w:bCs/>
                <w:color w:val="000000" w:themeColor="text1"/>
                <w14:textFill>
                  <w14:solidFill>
                    <w14:schemeClr w14:val="tx1"/>
                  </w14:solidFill>
                </w14:textFill>
              </w:rPr>
              <w:t>排放至大气之中。</w:t>
            </w:r>
          </w:p>
          <w:p w14:paraId="5E8758B2">
            <w:pPr>
              <w:adjustRightInd w:val="0"/>
              <w:snapToGrid w:val="0"/>
              <w:ind w:firstLine="480"/>
              <w:jc w:val="left"/>
              <w:rPr>
                <w:bCs/>
                <w:color w:val="000000" w:themeColor="text1"/>
                <w14:textFill>
                  <w14:solidFill>
                    <w14:schemeClr w14:val="tx1"/>
                  </w14:solidFill>
                </w14:textFill>
              </w:rPr>
            </w:pPr>
            <w:r>
              <w:rPr>
                <w:bCs/>
                <w:color w:val="000000" w:themeColor="text1"/>
                <w14:textFill>
                  <w14:solidFill>
                    <w14:schemeClr w14:val="tx1"/>
                  </w14:solidFill>
                </w14:textFill>
              </w:rPr>
              <w:t>硫化氢废气由风机引入风管进入喷淋塔，自下而上经过填料区，与氢氧化钠药剂发生中和反应再经过除雾系统净化，由风机引入风管经烟囱排至大气。经喷淋过后的吸收液回流至水箱循环使用</w:t>
            </w:r>
            <w:r>
              <w:rPr>
                <w:rFonts w:hint="eastAsia"/>
                <w:bCs/>
                <w:color w:val="000000" w:themeColor="text1"/>
                <w:lang w:eastAsia="zh-CN"/>
                <w14:textFill>
                  <w14:solidFill>
                    <w14:schemeClr w14:val="tx1"/>
                  </w14:solidFill>
                </w14:textFill>
              </w:rPr>
              <w:t>，</w:t>
            </w:r>
            <w:r>
              <w:rPr>
                <w:bCs/>
                <w:color w:val="000000" w:themeColor="text1"/>
                <w14:textFill>
                  <w14:solidFill>
                    <w14:schemeClr w14:val="tx1"/>
                  </w14:solidFill>
                </w14:textFill>
              </w:rPr>
              <w:t>一定时期之后更换水箱中的</w:t>
            </w:r>
            <w:r>
              <w:rPr>
                <w:rFonts w:hint="eastAsia"/>
                <w:bCs/>
                <w:color w:val="000000" w:themeColor="text1"/>
                <w14:textFill>
                  <w14:solidFill>
                    <w14:schemeClr w14:val="tx1"/>
                  </w14:solidFill>
                </w14:textFill>
              </w:rPr>
              <w:t>部分</w:t>
            </w:r>
            <w:r>
              <w:rPr>
                <w:bCs/>
                <w:color w:val="000000" w:themeColor="text1"/>
                <w14:textFill>
                  <w14:solidFill>
                    <w14:schemeClr w14:val="tx1"/>
                  </w14:solidFill>
                </w14:textFill>
              </w:rPr>
              <w:t>水。碱洗喷淋塔的材质是玻璃钢材质，具有耐腐蚀抗老化的特点，运行成本低，便于维护。</w:t>
            </w:r>
          </w:p>
          <w:p w14:paraId="51C660EA">
            <w:pPr>
              <w:adjustRightInd w:val="0"/>
              <w:snapToGrid w:val="0"/>
              <w:ind w:firstLine="480"/>
              <w:jc w:val="left"/>
              <w:rPr>
                <w:bCs/>
                <w:color w:val="000000" w:themeColor="text1"/>
                <w14:textFill>
                  <w14:solidFill>
                    <w14:schemeClr w14:val="tx1"/>
                  </w14:solidFill>
                </w14:textFill>
              </w:rPr>
            </w:pPr>
            <w:r>
              <w:rPr>
                <w:bCs/>
                <w:color w:val="000000" w:themeColor="text1"/>
                <w14:textFill>
                  <w14:solidFill>
                    <w14:schemeClr w14:val="tx1"/>
                  </w14:solidFill>
                </w14:textFill>
              </w:rPr>
              <w:t>硫化氢废气处理是一种很成熟的处理手段，在技术上可以实现达标。</w:t>
            </w:r>
          </w:p>
          <w:p w14:paraId="5F4476CF">
            <w:pPr>
              <w:widowControl/>
              <w:ind w:firstLine="482"/>
              <w:jc w:val="left"/>
              <w:rPr>
                <w:b w:val="0"/>
                <w:bCs w:val="0"/>
                <w:color w:val="000000" w:themeColor="text1"/>
                <w:kern w:val="0"/>
                <w:lang w:bidi="ar"/>
                <w14:textFill>
                  <w14:solidFill>
                    <w14:schemeClr w14:val="tx1"/>
                  </w14:solidFill>
                </w14:textFill>
              </w:rPr>
            </w:pPr>
            <w:r>
              <w:rPr>
                <w:rFonts w:hint="eastAsia"/>
                <w:bCs/>
                <w:color w:val="000000" w:themeColor="text1"/>
                <w14:textFill>
                  <w14:solidFill>
                    <w14:schemeClr w14:val="tx1"/>
                  </w14:solidFill>
                </w14:textFill>
              </w:rPr>
              <w:t>本项目实验室废气采用活性炭吸附处理方式：是一种常规的废气处理装置，在国内行业普遍使用，具有占用空间小，运行稳定，维护方便，运行费用低等特点，因此，加强管理，可以做到稳定达标排放，在经济、技术上可行。</w:t>
            </w:r>
          </w:p>
          <w:p w14:paraId="1E19BE4D">
            <w:pPr>
              <w:widowControl/>
              <w:ind w:firstLine="482"/>
              <w:jc w:val="left"/>
              <w:rPr>
                <w:rFonts w:hint="default" w:eastAsia="宋体"/>
                <w:b w:val="0"/>
                <w:bCs w:val="0"/>
                <w:color w:val="000000" w:themeColor="text1"/>
                <w:kern w:val="0"/>
                <w:lang w:val="en-US" w:eastAsia="zh-CN" w:bidi="ar"/>
                <w14:textFill>
                  <w14:solidFill>
                    <w14:schemeClr w14:val="tx1"/>
                  </w14:solidFill>
                </w14:textFill>
              </w:rPr>
            </w:pPr>
            <w:r>
              <w:rPr>
                <w:rFonts w:hint="eastAsia"/>
                <w:b w:val="0"/>
                <w:bCs w:val="0"/>
                <w:color w:val="000000" w:themeColor="text1"/>
                <w:kern w:val="0"/>
                <w:lang w:eastAsia="zh-CN" w:bidi="ar"/>
                <w14:textFill>
                  <w14:solidFill>
                    <w14:schemeClr w14:val="tx1"/>
                  </w14:solidFill>
                </w14:textFill>
              </w:rPr>
              <w:t>（</w:t>
            </w:r>
            <w:r>
              <w:rPr>
                <w:rFonts w:hint="eastAsia"/>
                <w:b w:val="0"/>
                <w:bCs w:val="0"/>
                <w:color w:val="000000" w:themeColor="text1"/>
                <w:kern w:val="0"/>
                <w:lang w:val="en-US" w:eastAsia="zh-CN" w:bidi="ar"/>
                <w14:textFill>
                  <w14:solidFill>
                    <w14:schemeClr w14:val="tx1"/>
                  </w14:solidFill>
                </w14:textFill>
              </w:rPr>
              <w:t>2</w:t>
            </w:r>
            <w:r>
              <w:rPr>
                <w:rFonts w:hint="eastAsia"/>
                <w:b w:val="0"/>
                <w:bCs w:val="0"/>
                <w:color w:val="000000" w:themeColor="text1"/>
                <w:kern w:val="0"/>
                <w:lang w:eastAsia="zh-CN" w:bidi="ar"/>
                <w14:textFill>
                  <w14:solidFill>
                    <w14:schemeClr w14:val="tx1"/>
                  </w14:solidFill>
                </w14:textFill>
              </w:rPr>
              <w:t>）</w:t>
            </w:r>
            <w:r>
              <w:rPr>
                <w:rFonts w:hint="eastAsia"/>
                <w:b w:val="0"/>
                <w:bCs w:val="0"/>
                <w:color w:val="000000" w:themeColor="text1"/>
                <w:kern w:val="0"/>
                <w:lang w:val="en-US" w:eastAsia="zh-CN" w:bidi="ar"/>
                <w14:textFill>
                  <w14:solidFill>
                    <w14:schemeClr w14:val="tx1"/>
                  </w14:solidFill>
                </w14:textFill>
              </w:rPr>
              <w:t>酸性废气</w:t>
            </w:r>
          </w:p>
          <w:p w14:paraId="1AD248ED">
            <w:pPr>
              <w:keepNext w:val="0"/>
              <w:keepLines w:val="0"/>
              <w:widowControl/>
              <w:suppressLineNumbers w:val="0"/>
              <w:jc w:val="left"/>
              <w:rPr>
                <w:rFonts w:hint="default"/>
                <w:color w:val="000000" w:themeColor="text1"/>
                <w:lang w:val="en-US"/>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参照《实验室废气污染控制技术规范》6.1实验室单位应根据废气特性选用适用的净化技术，常见的有吸附法、吸收法等。无机废气可采用吸收法或吸附法进行处理。本项目无机酸性废气经碱性喷淋吸收+活性炭吸附</w:t>
            </w:r>
            <w:r>
              <w:rPr>
                <w:rFonts w:hint="eastAsia" w:ascii="宋体" w:hAnsi="宋体" w:cs="宋体"/>
                <w:color w:val="000000" w:themeColor="text1"/>
                <w:kern w:val="0"/>
                <w:sz w:val="24"/>
                <w:szCs w:val="24"/>
                <w:lang w:val="en-US" w:eastAsia="zh-CN" w:bidi="ar"/>
                <w14:textFill>
                  <w14:solidFill>
                    <w14:schemeClr w14:val="tx1"/>
                  </w14:solidFill>
                </w14:textFill>
              </w:rPr>
              <w:t>技术可行。</w:t>
            </w:r>
          </w:p>
          <w:p w14:paraId="19BC4A15">
            <w:pPr>
              <w:keepNext w:val="0"/>
              <w:keepLines w:val="0"/>
              <w:widowControl/>
              <w:suppressLineNumbers w:val="0"/>
              <w:jc w:val="left"/>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有机废气</w:t>
            </w:r>
          </w:p>
          <w:p w14:paraId="4791A7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pPr>
            <w:r>
              <w:rPr>
                <w:rFonts w:hint="eastAsia" w:eastAsia="新宋体" w:cs="Times New Roman"/>
                <w:bCs/>
                <w:color w:val="000000" w:themeColor="text1"/>
                <w:spacing w:val="0"/>
                <w:sz w:val="24"/>
                <w:highlight w:val="none"/>
                <w:lang w:val="en-US" w:eastAsia="zh-CN"/>
                <w14:textFill>
                  <w14:solidFill>
                    <w14:schemeClr w14:val="tx1"/>
                  </w14:solidFill>
                </w14:textFill>
              </w:rPr>
              <w:t>①技术可行性分析</w:t>
            </w:r>
          </w:p>
          <w:p w14:paraId="1F548C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新宋体" w:cs="Times New Roman"/>
                <w:bCs/>
                <w:color w:val="000000" w:themeColor="text1"/>
                <w:spacing w:val="0"/>
                <w:sz w:val="24"/>
                <w:highlight w:val="none"/>
                <w14:textFill>
                  <w14:solidFill>
                    <w14:schemeClr w14:val="tx1"/>
                  </w14:solidFill>
                </w14:textFill>
              </w:rPr>
            </w:pP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本项目活性炭吸附装置拟采用蜂窝活性炭，其吸附原理如下：固体表面上存在着未平衡饱和的分子力或化学键力，因此</w:t>
            </w:r>
            <w:r>
              <w:rPr>
                <w:rFonts w:hint="eastAsia" w:eastAsia="新宋体" w:cs="Times New Roman"/>
                <w:bCs/>
                <w:color w:val="000000" w:themeColor="text1"/>
                <w:spacing w:val="0"/>
                <w:sz w:val="24"/>
                <w:highlight w:val="none"/>
                <w:lang w:val="en-US" w:eastAsia="zh-CN"/>
                <w14:textFill>
                  <w14:solidFill>
                    <w14:schemeClr w14:val="tx1"/>
                  </w14:solidFill>
                </w14:textFill>
              </w:rPr>
              <w:t>当</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固体表面与气体接触时，就能吸引气体分子，使其浓集并保持在固体表面，这种现象就是吸附现象。本工艺所采用的活性炭吸附法就是利用固体表面的这种性质，当废气与大表面积的多孔性活性炭相接触，废气中的污染物被吸附在活性炭固体表面，从而与气体混合物分离，达到净化的目的。</w:t>
            </w:r>
          </w:p>
          <w:p w14:paraId="79541DB1">
            <w:pPr>
              <w:widowControl/>
              <w:ind w:firstLine="482"/>
              <w:jc w:val="left"/>
              <w:rPr>
                <w:b w:val="0"/>
                <w:bCs w:val="0"/>
                <w:color w:val="000000" w:themeColor="text1"/>
                <w:kern w:val="0"/>
                <w:lang w:bidi="ar"/>
                <w14:textFill>
                  <w14:solidFill>
                    <w14:schemeClr w14:val="tx1"/>
                  </w14:solidFill>
                </w14:textFill>
              </w:rPr>
            </w:pP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吸附法的优点在于去除效率高、能耗低、工艺成熟、脱附后溶剂可回收。缺点在于设备庞大，流程复杂，投资后运行费用较高且有二次污染产生，当废气中有胶粒物质或其他杂质时，吸附剂易中毒。吸附法其吸附效果主要取决于吸附剂性质、气相污染物种和吸附系统工艺条件（如操作温度、湿度等因素），因而吸附法的关键问题在于对吸附剂的选择。吸附剂要具有密集的细孔结构，内表面积大，吸附性能好，化学性质稳定，耐酸碱、耐水、耐高温高压，不</w:t>
            </w:r>
            <w:r>
              <w:rPr>
                <w:rFonts w:hint="eastAsia" w:eastAsia="新宋体" w:cs="Times New Roman"/>
                <w:bCs/>
                <w:color w:val="000000" w:themeColor="text1"/>
                <w:spacing w:val="0"/>
                <w:sz w:val="24"/>
                <w:highlight w:val="none"/>
                <w:lang w:val="en-US" w:eastAsia="zh-CN"/>
                <w14:textFill>
                  <w14:solidFill>
                    <w14:schemeClr w14:val="tx1"/>
                  </w14:solidFill>
                </w14:textFill>
              </w:rPr>
              <w:t>易破碎</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，对空气阻力小。活性炭材料中有大量肉眼看不见的微孔，1g活性炭材料中微孔的总内表面积可达700~2300m</w:t>
            </w:r>
            <w:r>
              <w:rPr>
                <w:rFonts w:hint="default" w:ascii="Times New Roman" w:hAnsi="Times New Roman" w:eastAsia="新宋体" w:cs="Times New Roman"/>
                <w:bCs/>
                <w:color w:val="000000" w:themeColor="text1"/>
                <w:spacing w:val="0"/>
                <w:sz w:val="24"/>
                <w:highlight w:val="none"/>
                <w:vertAlign w:val="superscript"/>
                <w:lang w:val="en-US" w:eastAsia="zh-CN"/>
                <w14:textFill>
                  <w14:solidFill>
                    <w14:schemeClr w14:val="tx1"/>
                  </w14:solidFill>
                </w14:textFill>
              </w:rPr>
              <w:t>2</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。正是这些微孔使得活性炭能“捕捉”各种有毒有害污染物和其他杂质。由于气相分子和吸附表面分子之间的吸引力，使气相分子吸附在吸附剂表面。建议项目采用蜂窝状活性炭，比表面积900~1500m</w:t>
            </w:r>
            <w:r>
              <w:rPr>
                <w:rFonts w:hint="default" w:ascii="Times New Roman" w:hAnsi="Times New Roman" w:eastAsia="新宋体" w:cs="Times New Roman"/>
                <w:bCs/>
                <w:color w:val="000000" w:themeColor="text1"/>
                <w:spacing w:val="0"/>
                <w:sz w:val="24"/>
                <w:highlight w:val="none"/>
                <w:vertAlign w:val="superscript"/>
                <w:lang w:val="en-US" w:eastAsia="zh-CN"/>
                <w14:textFill>
                  <w14:solidFill>
                    <w14:schemeClr w14:val="tx1"/>
                  </w14:solidFill>
                </w14:textFill>
              </w:rPr>
              <w:t>2</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/g，具有良好的吸附特性，其吸附量比活性炭颗粒一般大20~100倍，吸附容量为25%。本项目拟选择碘值不低于800毫克/克的活性炭，并足量添加、及时更换。</w:t>
            </w:r>
          </w:p>
          <w:p w14:paraId="1300F9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pPr>
            <w:r>
              <w:rPr>
                <w:rFonts w:hint="eastAsia" w:eastAsia="新宋体" w:cs="Times New Roman"/>
                <w:bCs/>
                <w:color w:val="000000" w:themeColor="text1"/>
                <w:spacing w:val="0"/>
                <w:sz w:val="24"/>
                <w:highlight w:val="none"/>
                <w:lang w:val="en-US" w:eastAsia="zh-CN"/>
                <w14:textFill>
                  <w14:solidFill>
                    <w14:schemeClr w14:val="tx1"/>
                  </w14:solidFill>
                </w14:textFill>
              </w:rPr>
              <w:t>②</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处理效果达标性分析</w:t>
            </w:r>
          </w:p>
          <w:p w14:paraId="2F299ECD">
            <w:pPr>
              <w:pStyle w:val="1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项目采用二级活性炭吸附装置对生产过程产生的有机废气进行处理，活性炭吸附饱和后需定期更换。根据《现代涂装手册》（化学工业出版社，陈治良主编）活性炭吸附箱参数如下：</w:t>
            </w:r>
          </w:p>
          <w:p w14:paraId="744D1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表4-6单个活性炭吸附装置参数一览表</w:t>
            </w:r>
          </w:p>
          <w:tbl>
            <w:tblPr>
              <w:tblStyle w:val="30"/>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01"/>
              <w:gridCol w:w="3260"/>
            </w:tblGrid>
            <w:tr w14:paraId="5F66E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00" w:type="pct"/>
                  <w:tcBorders>
                    <w:tl2br w:val="nil"/>
                    <w:tr2bl w:val="nil"/>
                  </w:tcBorders>
                  <w:vAlign w:val="center"/>
                </w:tcPr>
                <w:p w14:paraId="1EF87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废气风量</w:t>
                  </w:r>
                </w:p>
              </w:tc>
              <w:tc>
                <w:tcPr>
                  <w:tcW w:w="2099" w:type="pct"/>
                  <w:tcBorders>
                    <w:tl2br w:val="nil"/>
                    <w:tr2bl w:val="nil"/>
                  </w:tcBorders>
                  <w:vAlign w:val="center"/>
                </w:tcPr>
                <w:p w14:paraId="7622F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3500</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/h</w:t>
                  </w:r>
                </w:p>
              </w:tc>
            </w:tr>
            <w:tr w14:paraId="67334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00" w:type="pct"/>
                  <w:tcBorders>
                    <w:tl2br w:val="nil"/>
                    <w:tr2bl w:val="nil"/>
                  </w:tcBorders>
                  <w:vAlign w:val="center"/>
                </w:tcPr>
                <w:p w14:paraId="55F46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单层活性炭填充尺寸（长m×宽m×高m）</w:t>
                  </w:r>
                </w:p>
              </w:tc>
              <w:tc>
                <w:tcPr>
                  <w:tcW w:w="2099" w:type="pct"/>
                  <w:tcBorders>
                    <w:tl2br w:val="nil"/>
                    <w:tr2bl w:val="nil"/>
                  </w:tcBorders>
                  <w:vAlign w:val="center"/>
                </w:tcPr>
                <w:p w14:paraId="3392A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1*1*1.3</w:t>
                  </w:r>
                </w:p>
              </w:tc>
            </w:tr>
            <w:tr w14:paraId="61189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00" w:type="pct"/>
                  <w:tcBorders>
                    <w:tl2br w:val="nil"/>
                    <w:tr2bl w:val="nil"/>
                  </w:tcBorders>
                  <w:vAlign w:val="center"/>
                </w:tcPr>
                <w:p w14:paraId="4AF4D1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过滤风速（m/s）</w:t>
                  </w:r>
                </w:p>
              </w:tc>
              <w:tc>
                <w:tcPr>
                  <w:tcW w:w="2099" w:type="pct"/>
                  <w:tcBorders>
                    <w:tl2br w:val="nil"/>
                    <w:tr2bl w:val="nil"/>
                  </w:tcBorders>
                  <w:vAlign w:val="center"/>
                </w:tcPr>
                <w:p w14:paraId="4A63E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≤1.2</w:t>
                  </w:r>
                </w:p>
              </w:tc>
            </w:tr>
            <w:tr w14:paraId="27B4C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00" w:type="pct"/>
                  <w:tcBorders>
                    <w:tl2br w:val="nil"/>
                    <w:tr2bl w:val="nil"/>
                  </w:tcBorders>
                  <w:vAlign w:val="center"/>
                </w:tcPr>
                <w:p w14:paraId="62457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停留时间（s）</w:t>
                  </w:r>
                </w:p>
              </w:tc>
              <w:tc>
                <w:tcPr>
                  <w:tcW w:w="2099" w:type="pct"/>
                  <w:tcBorders>
                    <w:tl2br w:val="nil"/>
                    <w:tr2bl w:val="nil"/>
                  </w:tcBorders>
                  <w:vAlign w:val="center"/>
                </w:tcPr>
                <w:p w14:paraId="6DCB0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0.5-1.0</w:t>
                  </w:r>
                </w:p>
              </w:tc>
            </w:tr>
            <w:tr w14:paraId="7F958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00" w:type="pct"/>
                  <w:tcBorders>
                    <w:tl2br w:val="nil"/>
                    <w:tr2bl w:val="nil"/>
                  </w:tcBorders>
                  <w:vAlign w:val="center"/>
                </w:tcPr>
                <w:p w14:paraId="77931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活性炭层数</w:t>
                  </w:r>
                </w:p>
              </w:tc>
              <w:tc>
                <w:tcPr>
                  <w:tcW w:w="2099" w:type="pct"/>
                  <w:tcBorders>
                    <w:tl2br w:val="nil"/>
                    <w:tr2bl w:val="nil"/>
                  </w:tcBorders>
                  <w:vAlign w:val="center"/>
                </w:tcPr>
                <w:p w14:paraId="3B1BC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w:t>
                  </w:r>
                </w:p>
              </w:tc>
            </w:tr>
            <w:tr w14:paraId="5063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00" w:type="pct"/>
                  <w:tcBorders>
                    <w:tl2br w:val="nil"/>
                    <w:tr2bl w:val="nil"/>
                  </w:tcBorders>
                  <w:vAlign w:val="center"/>
                </w:tcPr>
                <w:p w14:paraId="2A95D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活性炭类型</w:t>
                  </w:r>
                </w:p>
              </w:tc>
              <w:tc>
                <w:tcPr>
                  <w:tcW w:w="2099" w:type="pct"/>
                  <w:tcBorders>
                    <w:tl2br w:val="nil"/>
                    <w:tr2bl w:val="nil"/>
                  </w:tcBorders>
                  <w:vAlign w:val="center"/>
                </w:tcPr>
                <w:p w14:paraId="6A4BA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蜂窝煤状</w:t>
                  </w:r>
                </w:p>
              </w:tc>
            </w:tr>
            <w:tr w14:paraId="7B53C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00" w:type="pct"/>
                  <w:tcBorders>
                    <w:tl2br w:val="nil"/>
                    <w:tr2bl w:val="nil"/>
                  </w:tcBorders>
                  <w:vAlign w:val="center"/>
                </w:tcPr>
                <w:p w14:paraId="17A2B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活性炭密度（g/cm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2099" w:type="pct"/>
                  <w:tcBorders>
                    <w:tl2br w:val="nil"/>
                    <w:tr2bl w:val="nil"/>
                  </w:tcBorders>
                  <w:vAlign w:val="center"/>
                </w:tcPr>
                <w:p w14:paraId="027FF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0.45</w:t>
                  </w:r>
                </w:p>
              </w:tc>
            </w:tr>
            <w:tr w14:paraId="19E2A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00" w:type="pct"/>
                  <w:tcBorders>
                    <w:tl2br w:val="nil"/>
                    <w:tr2bl w:val="nil"/>
                  </w:tcBorders>
                  <w:vAlign w:val="center"/>
                </w:tcPr>
                <w:p w14:paraId="497A9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活性炭填充量（m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2099" w:type="pct"/>
                  <w:tcBorders>
                    <w:tl2br w:val="nil"/>
                    <w:tr2bl w:val="nil"/>
                  </w:tcBorders>
                  <w:vAlign w:val="center"/>
                </w:tcPr>
                <w:p w14:paraId="44A14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0.40</w:t>
                  </w:r>
                </w:p>
              </w:tc>
            </w:tr>
            <w:tr w14:paraId="4B892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00" w:type="pct"/>
                  <w:tcBorders>
                    <w:tl2br w:val="nil"/>
                    <w:tr2bl w:val="nil"/>
                  </w:tcBorders>
                  <w:vAlign w:val="center"/>
                </w:tcPr>
                <w:p w14:paraId="70ACA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活性炭填充重量（t）</w:t>
                  </w:r>
                </w:p>
              </w:tc>
              <w:tc>
                <w:tcPr>
                  <w:tcW w:w="2099" w:type="pct"/>
                  <w:tcBorders>
                    <w:tl2br w:val="nil"/>
                    <w:tr2bl w:val="nil"/>
                  </w:tcBorders>
                  <w:vAlign w:val="center"/>
                </w:tcPr>
                <w:p w14:paraId="2D19E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0.5</w:t>
                  </w:r>
                </w:p>
              </w:tc>
            </w:tr>
            <w:tr w14:paraId="7F36B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00" w:type="pct"/>
                  <w:gridSpan w:val="2"/>
                  <w:tcBorders>
                    <w:tl2br w:val="nil"/>
                    <w:tr2bl w:val="nil"/>
                  </w:tcBorders>
                  <w:vAlign w:val="center"/>
                </w:tcPr>
                <w:p w14:paraId="3EF59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注：本环评废气处理设备技术参数仅供参考，本次计算采用蜂窝状活性炭，后续建设</w:t>
                  </w:r>
                  <w:r>
                    <w:rPr>
                      <w:rFonts w:hint="eastAsia" w:eastAsia="新宋体" w:cs="Times New Roman"/>
                      <w:color w:val="000000" w:themeColor="text1"/>
                      <w:sz w:val="21"/>
                      <w:szCs w:val="21"/>
                      <w:lang w:val="en-US" w:eastAsia="zh-CN"/>
                      <w14:textFill>
                        <w14:solidFill>
                          <w14:schemeClr w14:val="tx1"/>
                        </w14:solidFill>
                      </w14:textFill>
                    </w:rPr>
                    <w:t>单位</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可根据实际情况选择设备。</w:t>
                  </w:r>
                </w:p>
              </w:tc>
            </w:tr>
          </w:tbl>
          <w:p w14:paraId="1D960E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由上表可知，活性炭吸附装置的设计参数均满足《吸附法工业有机废气治理工程技术规范》（HJ2026-2013）中使用蜂窝状活性炭吸附装置的要求。</w:t>
            </w:r>
          </w:p>
          <w:p w14:paraId="6FB1CE4A">
            <w:pPr>
              <w:widowControl/>
              <w:ind w:firstLine="482"/>
              <w:jc w:val="left"/>
              <w:rPr>
                <w:b w:val="0"/>
                <w:bCs w:val="0"/>
                <w:color w:val="000000" w:themeColor="text1"/>
                <w:kern w:val="0"/>
                <w:lang w:bidi="ar"/>
                <w14:textFill>
                  <w14:solidFill>
                    <w14:schemeClr w14:val="tx1"/>
                  </w14:solidFill>
                </w14:textFill>
              </w:rPr>
            </w:pP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根据相关资料可知，活性炭吸附量一般按照每克活性炭吸附0.25克有机废气计算，本项目被集气罩收集后进入活性炭吸附的挥发性有机废气量约</w:t>
            </w:r>
            <w:r>
              <w:rPr>
                <w:rFonts w:hint="eastAsia" w:eastAsia="新宋体" w:cs="Times New Roman"/>
                <w:bCs/>
                <w:color w:val="000000" w:themeColor="text1"/>
                <w:spacing w:val="0"/>
                <w:sz w:val="24"/>
                <w:highlight w:val="none"/>
                <w:lang w:val="en-US" w:eastAsia="zh-CN"/>
                <w14:textFill>
                  <w14:solidFill>
                    <w14:schemeClr w14:val="tx1"/>
                  </w14:solidFill>
                </w14:textFill>
              </w:rPr>
              <w:t>100.072kg</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/a，活性炭至少需要约</w:t>
            </w:r>
            <w:r>
              <w:rPr>
                <w:rFonts w:hint="eastAsia" w:eastAsia="新宋体" w:cs="Times New Roman"/>
                <w:bCs/>
                <w:color w:val="000000" w:themeColor="text1"/>
                <w:spacing w:val="0"/>
                <w:sz w:val="24"/>
                <w:highlight w:val="none"/>
                <w:lang w:val="en-US" w:eastAsia="zh-CN"/>
                <w14:textFill>
                  <w14:solidFill>
                    <w14:schemeClr w14:val="tx1"/>
                  </w14:solidFill>
                </w14:textFill>
              </w:rPr>
              <w:t>0.4</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t/a。根据类比其他建设单位采用的活性炭箱参数，本项目采取蜂窝状活性炭进行填充。活性炭吸附箱单次填充量最大</w:t>
            </w:r>
            <w:r>
              <w:rPr>
                <w:rFonts w:hint="eastAsia" w:eastAsia="新宋体" w:cs="Times New Roman"/>
                <w:bCs/>
                <w:color w:val="000000" w:themeColor="text1"/>
                <w:spacing w:val="0"/>
                <w:sz w:val="24"/>
                <w:highlight w:val="none"/>
                <w:lang w:val="en-US" w:eastAsia="zh-CN"/>
                <w14:textFill>
                  <w14:solidFill>
                    <w14:schemeClr w14:val="tx1"/>
                  </w14:solidFill>
                </w14:textFill>
              </w:rPr>
              <w:t>0.5</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t，</w:t>
            </w:r>
            <w:r>
              <w:rPr>
                <w:rFonts w:hint="eastAsia" w:eastAsia="新宋体" w:cs="Times New Roman"/>
                <w:bCs/>
                <w:color w:val="000000" w:themeColor="text1"/>
                <w:spacing w:val="0"/>
                <w:sz w:val="24"/>
                <w:highlight w:val="none"/>
                <w:lang w:val="en-US" w:eastAsia="zh-CN"/>
                <w14:textFill>
                  <w14:solidFill>
                    <w14:schemeClr w14:val="tx1"/>
                  </w14:solidFill>
                </w14:textFill>
              </w:rPr>
              <w:t>考虑到有机、酸性废气浓度低且量少</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建议建设单位在满负荷运行下</w:t>
            </w:r>
            <w:r>
              <w:rPr>
                <w:rFonts w:hint="eastAsia" w:eastAsia="新宋体" w:cs="Times New Roman"/>
                <w:bCs/>
                <w:color w:val="000000" w:themeColor="text1"/>
                <w:spacing w:val="0"/>
                <w:sz w:val="24"/>
                <w:highlight w:val="none"/>
                <w:lang w:val="en-US" w:eastAsia="zh-CN"/>
                <w14:textFill>
                  <w14:solidFill>
                    <w14:schemeClr w14:val="tx1"/>
                  </w14:solidFill>
                </w14:textFill>
              </w:rPr>
              <w:t>每10个月</w:t>
            </w:r>
            <w:r>
              <w:rPr>
                <w:rFonts w:hint="default" w:ascii="Times New Roman" w:hAnsi="Times New Roman" w:eastAsia="新宋体" w:cs="Times New Roman"/>
                <w:bCs/>
                <w:color w:val="000000" w:themeColor="text1"/>
                <w:spacing w:val="0"/>
                <w:sz w:val="24"/>
                <w:highlight w:val="none"/>
                <w:lang w:val="en-US" w:eastAsia="zh-CN"/>
                <w14:textFill>
                  <w14:solidFill>
                    <w14:schemeClr w14:val="tx1"/>
                  </w14:solidFill>
                </w14:textFill>
              </w:rPr>
              <w:t>更换一次，能够满足活性炭处理废气的容量。</w:t>
            </w:r>
          </w:p>
          <w:p w14:paraId="1EE5462D">
            <w:pPr>
              <w:widowControl/>
              <w:ind w:firstLine="482"/>
              <w:jc w:val="left"/>
              <w:rPr>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1.</w:t>
            </w:r>
            <w:r>
              <w:rPr>
                <w:rFonts w:hint="eastAsia"/>
                <w:b/>
                <w:bCs/>
                <w:color w:val="000000" w:themeColor="text1"/>
                <w:kern w:val="0"/>
                <w:lang w:val="en-US" w:eastAsia="zh-CN" w:bidi="ar"/>
                <w14:textFill>
                  <w14:solidFill>
                    <w14:schemeClr w14:val="tx1"/>
                  </w14:solidFill>
                </w14:textFill>
              </w:rPr>
              <w:t>7</w:t>
            </w:r>
            <w:r>
              <w:rPr>
                <w:b/>
                <w:bCs/>
                <w:color w:val="000000" w:themeColor="text1"/>
                <w:kern w:val="0"/>
                <w:lang w:bidi="ar"/>
                <w14:textFill>
                  <w14:solidFill>
                    <w14:schemeClr w14:val="tx1"/>
                  </w14:solidFill>
                </w14:textFill>
              </w:rPr>
              <w:t>非正常工况分析</w:t>
            </w:r>
          </w:p>
          <w:p w14:paraId="56288AC0">
            <w:pPr>
              <w:adjustRightInd w:val="0"/>
              <w:snapToGrid w:val="0"/>
              <w:ind w:firstLine="480"/>
              <w:rPr>
                <w:bCs/>
                <w:color w:val="000000" w:themeColor="text1"/>
                <w14:textFill>
                  <w14:solidFill>
                    <w14:schemeClr w14:val="tx1"/>
                  </w14:solidFill>
                </w14:textFill>
              </w:rPr>
            </w:pPr>
            <w:r>
              <w:rPr>
                <w:bCs/>
                <w:color w:val="000000" w:themeColor="text1"/>
                <w14:textFill>
                  <w14:solidFill>
                    <w14:schemeClr w14:val="tx1"/>
                  </w14:solidFill>
                </w14:textFill>
              </w:rPr>
              <w:t>本项目非正常工况主要</w:t>
            </w:r>
            <w:r>
              <w:rPr>
                <w:rFonts w:hint="eastAsia"/>
                <w:bCs/>
                <w:color w:val="000000" w:themeColor="text1"/>
                <w14:textFill>
                  <w14:solidFill>
                    <w14:schemeClr w14:val="tx1"/>
                  </w14:solidFill>
                </w14:textFill>
              </w:rPr>
              <w:t>为</w:t>
            </w:r>
            <w:r>
              <w:rPr>
                <w:bCs/>
                <w:color w:val="000000" w:themeColor="text1"/>
                <w14:textFill>
                  <w14:solidFill>
                    <w14:schemeClr w14:val="tx1"/>
                  </w14:solidFill>
                </w14:textFill>
              </w:rPr>
              <w:t>废气处理设施设备故障。项目非正常工况会引起污染物的非正常排放。非正常工况废气处理设施处理效率无法达到设计效率时，出现频次约5次/年，非正常工况年排放时间按1h时间计算，主要废气非正常工况下的事故为</w:t>
            </w:r>
            <w:r>
              <w:rPr>
                <w:rFonts w:hint="eastAsia"/>
                <w:bCs/>
                <w:color w:val="000000" w:themeColor="text1"/>
                <w:lang w:val="en-US" w:eastAsia="zh-CN"/>
                <w14:textFill>
                  <w14:solidFill>
                    <w14:schemeClr w14:val="tx1"/>
                  </w14:solidFill>
                </w14:textFill>
              </w:rPr>
              <w:t>碱喷淋液失效无法吸收酸性废气、硫化氢废气，</w:t>
            </w:r>
            <w:r>
              <w:rPr>
                <w:bCs/>
                <w:color w:val="000000" w:themeColor="text1"/>
                <w14:textFill>
                  <w14:solidFill>
                    <w14:schemeClr w14:val="tx1"/>
                  </w14:solidFill>
                </w14:textFill>
              </w:rPr>
              <w:t>活性炭吸附设备处理效率为0%时，大气污染物直接排放。</w:t>
            </w:r>
          </w:p>
          <w:p w14:paraId="1799BE30">
            <w:pPr>
              <w:spacing w:line="240" w:lineRule="auto"/>
              <w:ind w:firstLine="482"/>
              <w:jc w:val="center"/>
              <w:rPr>
                <w:b/>
                <w:bCs/>
                <w:color w:val="000000" w:themeColor="text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7</w:t>
            </w:r>
            <w:r>
              <w:rPr>
                <w:b/>
                <w:bCs/>
                <w:color w:val="000000" w:themeColor="text1"/>
                <w:sz w:val="21"/>
                <w:szCs w:val="21"/>
                <w14:textFill>
                  <w14:solidFill>
                    <w14:schemeClr w14:val="tx1"/>
                  </w14:solidFill>
                </w14:textFill>
              </w:rPr>
              <w:t>非正常工况下废气排放情况表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58"/>
              <w:gridCol w:w="775"/>
              <w:gridCol w:w="1151"/>
              <w:gridCol w:w="1221"/>
              <w:gridCol w:w="917"/>
              <w:gridCol w:w="884"/>
              <w:gridCol w:w="898"/>
              <w:gridCol w:w="1060"/>
            </w:tblGrid>
            <w:tr w14:paraId="74CF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0" w:hRule="atLeast"/>
              </w:trPr>
              <w:tc>
                <w:tcPr>
                  <w:tcW w:w="552" w:type="pct"/>
                  <w:tcBorders>
                    <w:tl2br w:val="nil"/>
                    <w:tr2bl w:val="nil"/>
                  </w:tcBorders>
                  <w:vAlign w:val="center"/>
                </w:tcPr>
                <w:p w14:paraId="747676D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污染源</w:t>
                  </w:r>
                </w:p>
              </w:tc>
              <w:tc>
                <w:tcPr>
                  <w:tcW w:w="499" w:type="pct"/>
                  <w:tcBorders>
                    <w:tl2br w:val="nil"/>
                    <w:tr2bl w:val="nil"/>
                  </w:tcBorders>
                  <w:vAlign w:val="center"/>
                </w:tcPr>
                <w:p w14:paraId="5CC5BB3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tc>
              <w:tc>
                <w:tcPr>
                  <w:tcW w:w="741" w:type="pct"/>
                  <w:tcBorders>
                    <w:tl2br w:val="nil"/>
                    <w:tr2bl w:val="nil"/>
                  </w:tcBorders>
                  <w:vAlign w:val="center"/>
                </w:tcPr>
                <w:p w14:paraId="3443026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非正常排放浓度（mg/m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786" w:type="pct"/>
                  <w:tcBorders>
                    <w:tl2br w:val="nil"/>
                    <w:tr2bl w:val="nil"/>
                  </w:tcBorders>
                  <w:vAlign w:val="center"/>
                </w:tcPr>
                <w:p w14:paraId="7CABD9A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非正常排放速率（kg/h）</w:t>
                  </w:r>
                </w:p>
              </w:tc>
              <w:tc>
                <w:tcPr>
                  <w:tcW w:w="590" w:type="pct"/>
                  <w:tcBorders>
                    <w:tl2br w:val="nil"/>
                    <w:tr2bl w:val="nil"/>
                  </w:tcBorders>
                  <w:vAlign w:val="center"/>
                </w:tcPr>
                <w:p w14:paraId="7A8AC4B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单次持续时间</w:t>
                  </w:r>
                </w:p>
              </w:tc>
              <w:tc>
                <w:tcPr>
                  <w:tcW w:w="569" w:type="pct"/>
                  <w:tcBorders>
                    <w:tl2br w:val="nil"/>
                    <w:tr2bl w:val="nil"/>
                  </w:tcBorders>
                  <w:vAlign w:val="center"/>
                </w:tcPr>
                <w:p w14:paraId="34E0149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最大年排放量（t）</w:t>
                  </w:r>
                </w:p>
              </w:tc>
              <w:tc>
                <w:tcPr>
                  <w:tcW w:w="578" w:type="pct"/>
                  <w:tcBorders>
                    <w:tl2br w:val="nil"/>
                    <w:tr2bl w:val="nil"/>
                  </w:tcBorders>
                  <w:vAlign w:val="center"/>
                </w:tcPr>
                <w:p w14:paraId="2A5910B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发生频次</w:t>
                  </w:r>
                </w:p>
              </w:tc>
              <w:tc>
                <w:tcPr>
                  <w:tcW w:w="682" w:type="pct"/>
                  <w:tcBorders>
                    <w:tl2br w:val="nil"/>
                    <w:tr2bl w:val="nil"/>
                  </w:tcBorders>
                  <w:vAlign w:val="center"/>
                </w:tcPr>
                <w:p w14:paraId="6BA0A8F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应对措施</w:t>
                  </w:r>
                </w:p>
              </w:tc>
            </w:tr>
            <w:tr w14:paraId="1D05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trPr>
              <w:tc>
                <w:tcPr>
                  <w:tcW w:w="552" w:type="pct"/>
                  <w:vMerge w:val="restart"/>
                  <w:tcBorders>
                    <w:tl2br w:val="nil"/>
                    <w:tr2bl w:val="nil"/>
                  </w:tcBorders>
                  <w:vAlign w:val="center"/>
                </w:tcPr>
                <w:p w14:paraId="28A41ABE">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碱喷淋+活性炭吸附排口</w:t>
                  </w:r>
                </w:p>
              </w:tc>
              <w:tc>
                <w:tcPr>
                  <w:tcW w:w="499" w:type="pct"/>
                  <w:tcBorders>
                    <w:tl2br w:val="nil"/>
                    <w:tr2bl w:val="nil"/>
                  </w:tcBorders>
                  <w:vAlign w:val="center"/>
                </w:tcPr>
                <w:p w14:paraId="5DCBFA42">
                  <w:pPr>
                    <w:spacing w:line="240" w:lineRule="auto"/>
                    <w:ind w:firstLine="0" w:firstLineChars="0"/>
                    <w:jc w:val="center"/>
                    <w:rPr>
                      <w:color w:val="000000" w:themeColor="text1"/>
                      <w:sz w:val="21"/>
                      <w:szCs w:val="21"/>
                      <w14:textFill>
                        <w14:solidFill>
                          <w14:schemeClr w14:val="tx1"/>
                        </w14:solidFill>
                      </w14:textFill>
                    </w:rPr>
                  </w:pPr>
                  <w:r>
                    <w:rPr>
                      <w:rFonts w:hint="eastAsia"/>
                      <w:bCs/>
                      <w:color w:val="000000" w:themeColor="text1"/>
                      <w:sz w:val="21"/>
                      <w:szCs w:val="21"/>
                      <w:lang w:bidi="en-US"/>
                      <w14:textFill>
                        <w14:solidFill>
                          <w14:schemeClr w14:val="tx1"/>
                        </w14:solidFill>
                      </w14:textFill>
                    </w:rPr>
                    <w:t>H</w:t>
                  </w:r>
                  <w:r>
                    <w:rPr>
                      <w:bCs/>
                      <w:color w:val="000000" w:themeColor="text1"/>
                      <w:sz w:val="21"/>
                      <w:szCs w:val="21"/>
                      <w:vertAlign w:val="subscript"/>
                      <w:lang w:bidi="en-US"/>
                      <w14:textFill>
                        <w14:solidFill>
                          <w14:schemeClr w14:val="tx1"/>
                        </w14:solidFill>
                      </w14:textFill>
                    </w:rPr>
                    <w:t>2</w:t>
                  </w:r>
                  <w:r>
                    <w:rPr>
                      <w:rFonts w:hint="eastAsia"/>
                      <w:bCs/>
                      <w:color w:val="000000" w:themeColor="text1"/>
                      <w:sz w:val="21"/>
                      <w:szCs w:val="21"/>
                      <w:lang w:bidi="en-US"/>
                      <w14:textFill>
                        <w14:solidFill>
                          <w14:schemeClr w14:val="tx1"/>
                        </w14:solidFill>
                      </w14:textFill>
                    </w:rPr>
                    <w:t>S</w:t>
                  </w:r>
                </w:p>
              </w:tc>
              <w:tc>
                <w:tcPr>
                  <w:tcW w:w="741" w:type="pct"/>
                  <w:tcBorders>
                    <w:tl2br w:val="nil"/>
                    <w:tr2bl w:val="nil"/>
                  </w:tcBorders>
                  <w:vAlign w:val="center"/>
                </w:tcPr>
                <w:p w14:paraId="14C9D565">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89.29</w:t>
                  </w:r>
                </w:p>
              </w:tc>
              <w:tc>
                <w:tcPr>
                  <w:tcW w:w="786" w:type="pct"/>
                  <w:tcBorders>
                    <w:tl2br w:val="nil"/>
                    <w:tr2bl w:val="nil"/>
                  </w:tcBorders>
                  <w:vAlign w:val="center"/>
                </w:tcPr>
                <w:p w14:paraId="3503CA3D">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0.313</w:t>
                  </w:r>
                </w:p>
              </w:tc>
              <w:tc>
                <w:tcPr>
                  <w:tcW w:w="590" w:type="pct"/>
                  <w:tcBorders>
                    <w:tl2br w:val="nil"/>
                    <w:tr2bl w:val="nil"/>
                  </w:tcBorders>
                  <w:vAlign w:val="center"/>
                </w:tcPr>
                <w:p w14:paraId="7F36522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1h</w:t>
                  </w:r>
                </w:p>
              </w:tc>
              <w:tc>
                <w:tcPr>
                  <w:tcW w:w="569" w:type="pct"/>
                  <w:tcBorders>
                    <w:tl2br w:val="nil"/>
                    <w:tr2bl w:val="nil"/>
                  </w:tcBorders>
                  <w:vAlign w:val="center"/>
                </w:tcPr>
                <w:p w14:paraId="5AE94A04">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0.313</w:t>
                  </w:r>
                </w:p>
              </w:tc>
              <w:tc>
                <w:tcPr>
                  <w:tcW w:w="578" w:type="pct"/>
                  <w:tcBorders>
                    <w:tl2br w:val="nil"/>
                    <w:tr2bl w:val="nil"/>
                  </w:tcBorders>
                  <w:vAlign w:val="center"/>
                </w:tcPr>
                <w:p w14:paraId="550D1BA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1次/年</w:t>
                  </w:r>
                </w:p>
              </w:tc>
              <w:tc>
                <w:tcPr>
                  <w:tcW w:w="682" w:type="pct"/>
                  <w:vMerge w:val="restart"/>
                  <w:tcBorders>
                    <w:tl2br w:val="nil"/>
                    <w:tr2bl w:val="nil"/>
                  </w:tcBorders>
                  <w:vAlign w:val="center"/>
                </w:tcPr>
                <w:p w14:paraId="7FF897F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发现问题第一时间维修、停止生产，待设备正常后恢复生产</w:t>
                  </w:r>
                </w:p>
              </w:tc>
            </w:tr>
            <w:tr w14:paraId="6782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trPr>
              <w:tc>
                <w:tcPr>
                  <w:tcW w:w="552" w:type="pct"/>
                  <w:vMerge w:val="continue"/>
                  <w:tcBorders>
                    <w:tl2br w:val="nil"/>
                    <w:tr2bl w:val="nil"/>
                  </w:tcBorders>
                  <w:vAlign w:val="center"/>
                </w:tcPr>
                <w:p w14:paraId="6355869C">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c>
                <w:tcPr>
                  <w:tcW w:w="499" w:type="pct"/>
                  <w:tcBorders>
                    <w:tl2br w:val="nil"/>
                    <w:tr2bl w:val="nil"/>
                  </w:tcBorders>
                  <w:vAlign w:val="center"/>
                </w:tcPr>
                <w:p w14:paraId="6816AB9E">
                  <w:pPr>
                    <w:spacing w:line="240" w:lineRule="auto"/>
                    <w:ind w:firstLine="0" w:firstLineChars="0"/>
                    <w:jc w:val="center"/>
                    <w:rPr>
                      <w:rFonts w:hint="eastAsia" w:eastAsia="宋体"/>
                      <w:bCs/>
                      <w:color w:val="000000" w:themeColor="text1"/>
                      <w:sz w:val="21"/>
                      <w:szCs w:val="21"/>
                      <w:lang w:val="en-US" w:eastAsia="zh-CN" w:bidi="en-US"/>
                      <w14:textFill>
                        <w14:solidFill>
                          <w14:schemeClr w14:val="tx1"/>
                        </w14:solidFill>
                      </w14:textFill>
                    </w:rPr>
                  </w:pPr>
                  <w:r>
                    <w:rPr>
                      <w:rFonts w:hint="eastAsia"/>
                      <w:bCs/>
                      <w:color w:val="000000" w:themeColor="text1"/>
                      <w:sz w:val="21"/>
                      <w:szCs w:val="21"/>
                      <w:lang w:val="en-US" w:eastAsia="zh-CN" w:bidi="en-US"/>
                      <w14:textFill>
                        <w14:solidFill>
                          <w14:schemeClr w14:val="tx1"/>
                        </w14:solidFill>
                      </w14:textFill>
                    </w:rPr>
                    <w:t>酸雾</w:t>
                  </w:r>
                </w:p>
              </w:tc>
              <w:tc>
                <w:tcPr>
                  <w:tcW w:w="741" w:type="pct"/>
                  <w:tcBorders>
                    <w:tl2br w:val="nil"/>
                    <w:tr2bl w:val="nil"/>
                  </w:tcBorders>
                  <w:vAlign w:val="center"/>
                </w:tcPr>
                <w:p w14:paraId="61C48B00">
                  <w:pPr>
                    <w:spacing w:line="240" w:lineRule="auto"/>
                    <w:ind w:firstLine="0" w:firstLineChars="0"/>
                    <w:jc w:val="center"/>
                    <w:rPr>
                      <w:rFonts w:hint="default" w:eastAsia="宋体"/>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1.45</w:t>
                  </w:r>
                </w:p>
              </w:tc>
              <w:tc>
                <w:tcPr>
                  <w:tcW w:w="786" w:type="pct"/>
                  <w:tcBorders>
                    <w:tl2br w:val="nil"/>
                    <w:tr2bl w:val="nil"/>
                  </w:tcBorders>
                  <w:vAlign w:val="center"/>
                </w:tcPr>
                <w:p w14:paraId="02E84DD9">
                  <w:pPr>
                    <w:spacing w:line="240" w:lineRule="auto"/>
                    <w:ind w:firstLine="0" w:firstLineChars="0"/>
                    <w:jc w:val="center"/>
                    <w:rPr>
                      <w:rFonts w:hint="default" w:eastAsia="宋体"/>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0.005</w:t>
                  </w:r>
                </w:p>
              </w:tc>
              <w:tc>
                <w:tcPr>
                  <w:tcW w:w="590" w:type="pct"/>
                  <w:tcBorders>
                    <w:tl2br w:val="nil"/>
                    <w:tr2bl w:val="nil"/>
                  </w:tcBorders>
                  <w:vAlign w:val="center"/>
                </w:tcPr>
                <w:p w14:paraId="6C786AE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1h</w:t>
                  </w:r>
                </w:p>
              </w:tc>
              <w:tc>
                <w:tcPr>
                  <w:tcW w:w="569" w:type="pct"/>
                  <w:tcBorders>
                    <w:tl2br w:val="nil"/>
                    <w:tr2bl w:val="nil"/>
                  </w:tcBorders>
                  <w:vAlign w:val="center"/>
                </w:tcPr>
                <w:p w14:paraId="74FEDDCA">
                  <w:pPr>
                    <w:spacing w:line="240" w:lineRule="auto"/>
                    <w:ind w:firstLine="0" w:firstLineChars="0"/>
                    <w:jc w:val="center"/>
                    <w:rPr>
                      <w:rFonts w:hint="default" w:eastAsia="宋体"/>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0.006</w:t>
                  </w:r>
                </w:p>
              </w:tc>
              <w:tc>
                <w:tcPr>
                  <w:tcW w:w="578" w:type="pct"/>
                  <w:tcBorders>
                    <w:tl2br w:val="nil"/>
                    <w:tr2bl w:val="nil"/>
                  </w:tcBorders>
                  <w:vAlign w:val="center"/>
                </w:tcPr>
                <w:p w14:paraId="5E65E83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1次/年</w:t>
                  </w:r>
                </w:p>
              </w:tc>
              <w:tc>
                <w:tcPr>
                  <w:tcW w:w="682" w:type="pct"/>
                  <w:vMerge w:val="continue"/>
                  <w:tcBorders>
                    <w:tl2br w:val="nil"/>
                    <w:tr2bl w:val="nil"/>
                  </w:tcBorders>
                  <w:vAlign w:val="center"/>
                </w:tcPr>
                <w:p w14:paraId="2533AD91">
                  <w:pPr>
                    <w:spacing w:line="240" w:lineRule="auto"/>
                    <w:ind w:firstLine="0" w:firstLineChars="0"/>
                    <w:jc w:val="center"/>
                    <w:rPr>
                      <w:color w:val="000000" w:themeColor="text1"/>
                      <w:sz w:val="21"/>
                      <w:szCs w:val="21"/>
                      <w14:textFill>
                        <w14:solidFill>
                          <w14:schemeClr w14:val="tx1"/>
                        </w14:solidFill>
                      </w14:textFill>
                    </w:rPr>
                  </w:pPr>
                </w:p>
              </w:tc>
            </w:tr>
            <w:tr w14:paraId="5507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trPr>
              <w:tc>
                <w:tcPr>
                  <w:tcW w:w="552" w:type="pct"/>
                  <w:vMerge w:val="continue"/>
                  <w:tcBorders>
                    <w:tl2br w:val="nil"/>
                    <w:tr2bl w:val="nil"/>
                  </w:tcBorders>
                  <w:vAlign w:val="center"/>
                </w:tcPr>
                <w:p w14:paraId="3E164604">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c>
                <w:tcPr>
                  <w:tcW w:w="499" w:type="pct"/>
                  <w:tcBorders>
                    <w:tl2br w:val="nil"/>
                    <w:tr2bl w:val="nil"/>
                  </w:tcBorders>
                  <w:vAlign w:val="center"/>
                </w:tcPr>
                <w:p w14:paraId="5BCBB12A">
                  <w:pPr>
                    <w:spacing w:line="240" w:lineRule="auto"/>
                    <w:ind w:firstLine="0" w:firstLineChars="0"/>
                    <w:jc w:val="center"/>
                    <w:rPr>
                      <w:rFonts w:hint="eastAsia" w:eastAsia="宋体"/>
                      <w:bCs/>
                      <w:color w:val="000000" w:themeColor="text1"/>
                      <w:sz w:val="21"/>
                      <w:szCs w:val="21"/>
                      <w:lang w:val="en-US" w:eastAsia="zh-CN" w:bidi="en-US"/>
                      <w14:textFill>
                        <w14:solidFill>
                          <w14:schemeClr w14:val="tx1"/>
                        </w14:solidFill>
                      </w14:textFill>
                    </w:rPr>
                  </w:pPr>
                  <w:r>
                    <w:rPr>
                      <w:rFonts w:hint="eastAsia"/>
                      <w:bCs/>
                      <w:color w:val="000000" w:themeColor="text1"/>
                      <w:sz w:val="21"/>
                      <w:szCs w:val="21"/>
                      <w:lang w:val="en-US" w:eastAsia="zh-CN" w:bidi="en-US"/>
                      <w14:textFill>
                        <w14:solidFill>
                          <w14:schemeClr w14:val="tx1"/>
                        </w14:solidFill>
                      </w14:textFill>
                    </w:rPr>
                    <w:t>非甲烷总烃</w:t>
                  </w:r>
                </w:p>
              </w:tc>
              <w:tc>
                <w:tcPr>
                  <w:tcW w:w="741" w:type="pct"/>
                  <w:tcBorders>
                    <w:tl2br w:val="nil"/>
                    <w:tr2bl w:val="nil"/>
                  </w:tcBorders>
                  <w:vAlign w:val="center"/>
                </w:tcPr>
                <w:p w14:paraId="5EB791B7">
                  <w:pPr>
                    <w:spacing w:line="240" w:lineRule="auto"/>
                    <w:ind w:firstLine="0" w:firstLineChars="0"/>
                    <w:jc w:val="center"/>
                    <w:rPr>
                      <w:rFonts w:hint="default" w:eastAsia="宋体"/>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11.91</w:t>
                  </w:r>
                </w:p>
              </w:tc>
              <w:tc>
                <w:tcPr>
                  <w:tcW w:w="786" w:type="pct"/>
                  <w:tcBorders>
                    <w:tl2br w:val="nil"/>
                    <w:tr2bl w:val="nil"/>
                  </w:tcBorders>
                  <w:vAlign w:val="center"/>
                </w:tcPr>
                <w:p w14:paraId="1740C561">
                  <w:pPr>
                    <w:spacing w:line="240" w:lineRule="auto"/>
                    <w:ind w:firstLine="0" w:firstLineChars="0"/>
                    <w:jc w:val="center"/>
                    <w:rPr>
                      <w:rFonts w:hint="default" w:eastAsia="宋体"/>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0.042</w:t>
                  </w:r>
                </w:p>
              </w:tc>
              <w:tc>
                <w:tcPr>
                  <w:tcW w:w="590" w:type="pct"/>
                  <w:tcBorders>
                    <w:tl2br w:val="nil"/>
                    <w:tr2bl w:val="nil"/>
                  </w:tcBorders>
                  <w:vAlign w:val="center"/>
                </w:tcPr>
                <w:p w14:paraId="0AFC0C7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1h</w:t>
                  </w:r>
                </w:p>
              </w:tc>
              <w:tc>
                <w:tcPr>
                  <w:tcW w:w="569" w:type="pct"/>
                  <w:tcBorders>
                    <w:tl2br w:val="nil"/>
                    <w:tr2bl w:val="nil"/>
                  </w:tcBorders>
                  <w:vAlign w:val="center"/>
                </w:tcPr>
                <w:p w14:paraId="3345A039">
                  <w:pPr>
                    <w:spacing w:line="240" w:lineRule="auto"/>
                    <w:ind w:firstLine="0" w:firstLineChars="0"/>
                    <w:jc w:val="center"/>
                    <w:rPr>
                      <w:rFonts w:hint="default" w:eastAsia="宋体"/>
                      <w:color w:val="000000" w:themeColor="text1"/>
                      <w:sz w:val="21"/>
                      <w:szCs w:val="21"/>
                      <w:lang w:val="en-US" w:eastAsia="zh-CN" w:bidi="en-US"/>
                      <w14:textFill>
                        <w14:solidFill>
                          <w14:schemeClr w14:val="tx1"/>
                        </w14:solidFill>
                      </w14:textFill>
                    </w:rPr>
                  </w:pPr>
                  <w:r>
                    <w:rPr>
                      <w:rFonts w:hint="eastAsia"/>
                      <w:color w:val="000000" w:themeColor="text1"/>
                      <w:sz w:val="21"/>
                      <w:szCs w:val="21"/>
                      <w:lang w:val="en-US" w:eastAsia="zh-CN" w:bidi="en-US"/>
                      <w14:textFill>
                        <w14:solidFill>
                          <w14:schemeClr w14:val="tx1"/>
                        </w14:solidFill>
                      </w14:textFill>
                    </w:rPr>
                    <w:t>0.052</w:t>
                  </w:r>
                </w:p>
              </w:tc>
              <w:tc>
                <w:tcPr>
                  <w:tcW w:w="578" w:type="pct"/>
                  <w:tcBorders>
                    <w:tl2br w:val="nil"/>
                    <w:tr2bl w:val="nil"/>
                  </w:tcBorders>
                  <w:vAlign w:val="center"/>
                </w:tcPr>
                <w:p w14:paraId="08BDB86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1次/年</w:t>
                  </w:r>
                </w:p>
              </w:tc>
              <w:tc>
                <w:tcPr>
                  <w:tcW w:w="682" w:type="pct"/>
                  <w:vMerge w:val="continue"/>
                  <w:tcBorders>
                    <w:tl2br w:val="nil"/>
                    <w:tr2bl w:val="nil"/>
                  </w:tcBorders>
                  <w:vAlign w:val="center"/>
                </w:tcPr>
                <w:p w14:paraId="637B1AF6">
                  <w:pPr>
                    <w:spacing w:line="240" w:lineRule="auto"/>
                    <w:ind w:firstLine="0" w:firstLineChars="0"/>
                    <w:jc w:val="center"/>
                    <w:rPr>
                      <w:color w:val="000000" w:themeColor="text1"/>
                      <w:sz w:val="21"/>
                      <w:szCs w:val="21"/>
                      <w14:textFill>
                        <w14:solidFill>
                          <w14:schemeClr w14:val="tx1"/>
                        </w14:solidFill>
                      </w14:textFill>
                    </w:rPr>
                  </w:pPr>
                </w:p>
              </w:tc>
            </w:tr>
          </w:tbl>
          <w:p w14:paraId="77C90D32">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在废气治理措施故障时，项目废气存在超标现象，对周围环境会产生不良影响。本</w:t>
            </w:r>
            <w:r>
              <w:rPr>
                <w:rFonts w:hint="eastAsia"/>
                <w:bCs/>
                <w:color w:val="000000" w:themeColor="text1"/>
                <w14:textFill>
                  <w14:solidFill>
                    <w14:schemeClr w14:val="tx1"/>
                  </w14:solidFill>
                </w14:textFill>
              </w:rPr>
              <w:t>项目</w:t>
            </w:r>
            <w:r>
              <w:rPr>
                <w:bCs/>
                <w:color w:val="000000" w:themeColor="text1"/>
                <w14:textFill>
                  <w14:solidFill>
                    <w14:schemeClr w14:val="tx1"/>
                  </w14:solidFill>
                </w14:textFill>
              </w:rPr>
              <w:t>投产后，平时应加强对废气处理设备的维修和保养，确保其正常运转，避免事故性排放情况的发生，一旦发现处理设备出现故障，公司应立即采取措施进行抢修，相应工段应停止生产，直至抢修完成，处理设备正常工作。</w:t>
            </w:r>
          </w:p>
          <w:p w14:paraId="1A8EA73F">
            <w:pPr>
              <w:widowControl/>
              <w:ind w:firstLine="482"/>
              <w:jc w:val="left"/>
              <w:rPr>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1.</w:t>
            </w:r>
            <w:r>
              <w:rPr>
                <w:rFonts w:hint="eastAsia"/>
                <w:b/>
                <w:bCs/>
                <w:color w:val="000000" w:themeColor="text1"/>
                <w:kern w:val="0"/>
                <w:lang w:val="en-US" w:eastAsia="zh-CN" w:bidi="ar"/>
                <w14:textFill>
                  <w14:solidFill>
                    <w14:schemeClr w14:val="tx1"/>
                  </w14:solidFill>
                </w14:textFill>
              </w:rPr>
              <w:t>8</w:t>
            </w:r>
            <w:r>
              <w:rPr>
                <w:b/>
                <w:bCs/>
                <w:color w:val="000000" w:themeColor="text1"/>
                <w:kern w:val="0"/>
                <w:lang w:bidi="ar"/>
                <w14:textFill>
                  <w14:solidFill>
                    <w14:schemeClr w14:val="tx1"/>
                  </w14:solidFill>
                </w14:textFill>
              </w:rPr>
              <w:t>废气监测计划</w:t>
            </w:r>
          </w:p>
          <w:p w14:paraId="307A4CF2">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对照</w:t>
            </w:r>
            <w:r>
              <w:rPr>
                <w:color w:val="000000" w:themeColor="text1"/>
                <w:kern w:val="0"/>
                <w:lang w:bidi="ar"/>
                <w14:textFill>
                  <w14:solidFill>
                    <w14:schemeClr w14:val="tx1"/>
                  </w14:solidFill>
                </w14:textFill>
              </w:rPr>
              <w:t>《排污单位自行监测技术指南总则》（HJ819-2017）等相关要求，提出项目运营期废气自行监测计划，具体详见表4-</w:t>
            </w:r>
            <w:r>
              <w:rPr>
                <w:rFonts w:hint="eastAsia"/>
                <w:color w:val="000000" w:themeColor="text1"/>
                <w:kern w:val="0"/>
                <w:lang w:val="en-US" w:eastAsia="zh-CN" w:bidi="ar"/>
                <w14:textFill>
                  <w14:solidFill>
                    <w14:schemeClr w14:val="tx1"/>
                  </w14:solidFill>
                </w14:textFill>
              </w:rPr>
              <w:t>8</w:t>
            </w:r>
            <w:r>
              <w:rPr>
                <w:color w:val="000000" w:themeColor="text1"/>
                <w:kern w:val="0"/>
                <w:lang w:bidi="ar"/>
                <w14:textFill>
                  <w14:solidFill>
                    <w14:schemeClr w14:val="tx1"/>
                  </w14:solidFill>
                </w14:textFill>
              </w:rPr>
              <w:t>。</w:t>
            </w:r>
          </w:p>
          <w:p w14:paraId="300E2C16">
            <w:pPr>
              <w:spacing w:line="240" w:lineRule="auto"/>
              <w:ind w:firstLine="0" w:firstLineChars="0"/>
              <w:jc w:val="center"/>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-8</w:t>
            </w:r>
            <w:r>
              <w:rPr>
                <w:b/>
                <w:bCs/>
                <w:color w:val="000000" w:themeColor="text1"/>
                <w:sz w:val="21"/>
                <w:szCs w:val="21"/>
                <w14:textFill>
                  <w14:solidFill>
                    <w14:schemeClr w14:val="tx1"/>
                  </w14:solidFill>
                </w14:textFill>
              </w:rPr>
              <w:t>项目废气污染源监测计划</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35"/>
              <w:gridCol w:w="800"/>
              <w:gridCol w:w="662"/>
              <w:gridCol w:w="1041"/>
              <w:gridCol w:w="783"/>
              <w:gridCol w:w="4042"/>
            </w:tblGrid>
            <w:tr w14:paraId="4524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0" w:type="pct"/>
                  <w:tcBorders>
                    <w:tl2br w:val="nil"/>
                    <w:tr2bl w:val="nil"/>
                  </w:tcBorders>
                  <w:vAlign w:val="center"/>
                </w:tcPr>
                <w:p w14:paraId="2B26617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类型</w:t>
                  </w:r>
                </w:p>
              </w:tc>
              <w:tc>
                <w:tcPr>
                  <w:tcW w:w="515" w:type="pct"/>
                  <w:tcBorders>
                    <w:tl2br w:val="nil"/>
                    <w:tr2bl w:val="nil"/>
                  </w:tcBorders>
                  <w:vAlign w:val="center"/>
                </w:tcPr>
                <w:p w14:paraId="674D6D4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426" w:type="pct"/>
                  <w:tcBorders>
                    <w:tl2br w:val="nil"/>
                    <w:tr2bl w:val="nil"/>
                  </w:tcBorders>
                  <w:vAlign w:val="center"/>
                </w:tcPr>
                <w:p w14:paraId="2F9FE06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污染源</w:t>
                  </w:r>
                </w:p>
              </w:tc>
              <w:tc>
                <w:tcPr>
                  <w:tcW w:w="670" w:type="pct"/>
                  <w:tcBorders>
                    <w:tl2br w:val="nil"/>
                    <w:tr2bl w:val="nil"/>
                  </w:tcBorders>
                  <w:vAlign w:val="center"/>
                </w:tcPr>
                <w:p w14:paraId="67A32EB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监测项目</w:t>
                  </w:r>
                </w:p>
              </w:tc>
              <w:tc>
                <w:tcPr>
                  <w:tcW w:w="504" w:type="pct"/>
                  <w:tcBorders>
                    <w:tl2br w:val="nil"/>
                    <w:tr2bl w:val="nil"/>
                  </w:tcBorders>
                  <w:vAlign w:val="center"/>
                </w:tcPr>
                <w:p w14:paraId="5427D1C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监测频次</w:t>
                  </w:r>
                </w:p>
              </w:tc>
              <w:tc>
                <w:tcPr>
                  <w:tcW w:w="2601" w:type="pct"/>
                  <w:tcBorders>
                    <w:tl2br w:val="nil"/>
                    <w:tr2bl w:val="nil"/>
                  </w:tcBorders>
                  <w:vAlign w:val="center"/>
                </w:tcPr>
                <w:p w14:paraId="1D7CB76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执行标准</w:t>
                  </w:r>
                </w:p>
              </w:tc>
            </w:tr>
            <w:tr w14:paraId="49F9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12" w:hRule="atLeast"/>
                <w:jc w:val="center"/>
              </w:trPr>
              <w:tc>
                <w:tcPr>
                  <w:tcW w:w="280" w:type="pct"/>
                  <w:vMerge w:val="restart"/>
                  <w:tcBorders>
                    <w:tl2br w:val="nil"/>
                    <w:tr2bl w:val="nil"/>
                  </w:tcBorders>
                  <w:vAlign w:val="center"/>
                </w:tcPr>
                <w:p w14:paraId="61CDCC4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515" w:type="pct"/>
                  <w:tcBorders>
                    <w:tl2br w:val="nil"/>
                    <w:tr2bl w:val="nil"/>
                  </w:tcBorders>
                  <w:vAlign w:val="center"/>
                </w:tcPr>
                <w:p w14:paraId="2981711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DA</w:t>
                  </w:r>
                  <w:r>
                    <w:rPr>
                      <w:rFonts w:hint="eastAsia"/>
                      <w:color w:val="000000" w:themeColor="text1"/>
                      <w:sz w:val="21"/>
                      <w:szCs w:val="21"/>
                      <w:lang w:val="en-US" w:eastAsia="zh-CN"/>
                      <w14:textFill>
                        <w14:solidFill>
                          <w14:schemeClr w14:val="tx1"/>
                        </w14:solidFill>
                      </w14:textFill>
                    </w:rPr>
                    <w:t>00</w:t>
                  </w:r>
                  <w:r>
                    <w:rPr>
                      <w:color w:val="000000" w:themeColor="text1"/>
                      <w:sz w:val="21"/>
                      <w:szCs w:val="21"/>
                      <w14:textFill>
                        <w14:solidFill>
                          <w14:schemeClr w14:val="tx1"/>
                        </w14:solidFill>
                      </w14:textFill>
                    </w:rPr>
                    <w:t>1</w:t>
                  </w:r>
                </w:p>
              </w:tc>
              <w:tc>
                <w:tcPr>
                  <w:tcW w:w="426" w:type="pct"/>
                  <w:tcBorders>
                    <w:tl2br w:val="nil"/>
                    <w:tr2bl w:val="nil"/>
                  </w:tcBorders>
                  <w:vAlign w:val="center"/>
                </w:tcPr>
                <w:p w14:paraId="4505B4A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670" w:type="pct"/>
                  <w:tcBorders>
                    <w:tl2br w:val="nil"/>
                    <w:tr2bl w:val="nil"/>
                  </w:tcBorders>
                  <w:vAlign w:val="center"/>
                </w:tcPr>
                <w:p w14:paraId="0C383E9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NOx、H</w:t>
                  </w:r>
                  <w:r>
                    <w:rPr>
                      <w:color w:val="000000" w:themeColor="text1"/>
                      <w:sz w:val="21"/>
                      <w:szCs w:val="21"/>
                      <w14:textFill>
                        <w14:solidFill>
                          <w14:schemeClr w14:val="tx1"/>
                        </w14:solidFill>
                      </w14:textFill>
                    </w:rPr>
                    <w:t>Cl</w:t>
                  </w:r>
                </w:p>
                <w:p w14:paraId="2C185F04">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硫</w:t>
                  </w:r>
                  <w:r>
                    <w:rPr>
                      <w:color w:val="000000" w:themeColor="text1"/>
                      <w:sz w:val="21"/>
                      <w:szCs w:val="21"/>
                      <w14:textFill>
                        <w14:solidFill>
                          <w14:schemeClr w14:val="tx1"/>
                        </w14:solidFill>
                      </w14:textFill>
                    </w:rPr>
                    <w:t>酸雾</w:t>
                  </w:r>
                  <w:r>
                    <w:rPr>
                      <w:rFonts w:hint="eastAsia"/>
                      <w:color w:val="000000" w:themeColor="text1"/>
                      <w:sz w:val="21"/>
                      <w:szCs w:val="21"/>
                      <w14:textFill>
                        <w14:solidFill>
                          <w14:schemeClr w14:val="tx1"/>
                        </w14:solidFill>
                      </w14:textFill>
                    </w:rPr>
                    <w:t>、</w:t>
                  </w:r>
                  <w:r>
                    <w:rPr>
                      <w:rFonts w:hint="eastAsia"/>
                      <w:color w:val="000000" w:themeColor="text1"/>
                      <w:sz w:val="21"/>
                      <w:szCs w:val="21"/>
                      <w:lang w:bidi="en-US"/>
                      <w14:textFill>
                        <w14:solidFill>
                          <w14:schemeClr w14:val="tx1"/>
                        </w14:solidFill>
                      </w14:textFill>
                    </w:rPr>
                    <w:t>NMHC</w:t>
                  </w:r>
                  <w:r>
                    <w:rPr>
                      <w:rFonts w:hint="eastAsia"/>
                      <w:color w:val="000000" w:themeColor="text1"/>
                      <w:sz w:val="21"/>
                      <w:szCs w:val="21"/>
                      <w:lang w:eastAsia="zh-CN" w:bidi="en-US"/>
                      <w14:textFill>
                        <w14:solidFill>
                          <w14:schemeClr w14:val="tx1"/>
                        </w14:solidFill>
                      </w14:textFill>
                    </w:rPr>
                    <w:t>、</w:t>
                  </w:r>
                  <w:r>
                    <w:rPr>
                      <w:rFonts w:hint="eastAsia"/>
                      <w:color w:val="000000" w:themeColor="text1"/>
                      <w:sz w:val="21"/>
                      <w:szCs w:val="21"/>
                      <w:lang w:val="en-US" w:eastAsia="zh-CN" w:bidi="en-US"/>
                      <w14:textFill>
                        <w14:solidFill>
                          <w14:schemeClr w14:val="tx1"/>
                        </w14:solidFill>
                      </w14:textFill>
                    </w:rPr>
                    <w:t>H</w:t>
                  </w:r>
                  <w:r>
                    <w:rPr>
                      <w:rFonts w:hint="eastAsia"/>
                      <w:color w:val="000000" w:themeColor="text1"/>
                      <w:sz w:val="21"/>
                      <w:szCs w:val="21"/>
                      <w:vertAlign w:val="subscript"/>
                      <w:lang w:val="en-US" w:eastAsia="zh-CN" w:bidi="en-US"/>
                      <w14:textFill>
                        <w14:solidFill>
                          <w14:schemeClr w14:val="tx1"/>
                        </w14:solidFill>
                      </w14:textFill>
                    </w:rPr>
                    <w:t>2</w:t>
                  </w:r>
                  <w:r>
                    <w:rPr>
                      <w:rFonts w:hint="eastAsia"/>
                      <w:color w:val="000000" w:themeColor="text1"/>
                      <w:sz w:val="21"/>
                      <w:szCs w:val="21"/>
                      <w:lang w:val="en-US" w:eastAsia="zh-CN" w:bidi="en-US"/>
                      <w14:textFill>
                        <w14:solidFill>
                          <w14:schemeClr w14:val="tx1"/>
                        </w14:solidFill>
                      </w14:textFill>
                    </w:rPr>
                    <w:t>S（速率）</w:t>
                  </w:r>
                </w:p>
              </w:tc>
              <w:tc>
                <w:tcPr>
                  <w:tcW w:w="504" w:type="pct"/>
                  <w:tcBorders>
                    <w:tl2br w:val="nil"/>
                    <w:tr2bl w:val="nil"/>
                  </w:tcBorders>
                  <w:vAlign w:val="center"/>
                </w:tcPr>
                <w:p w14:paraId="743FF76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1次/</w:t>
                  </w:r>
                  <w:r>
                    <w:rPr>
                      <w:rFonts w:hint="eastAsia"/>
                      <w:color w:val="000000" w:themeColor="text1"/>
                      <w:sz w:val="21"/>
                      <w:szCs w:val="21"/>
                      <w:lang w:val="en-US" w:eastAsia="zh-CN"/>
                      <w14:textFill>
                        <w14:solidFill>
                          <w14:schemeClr w14:val="tx1"/>
                        </w14:solidFill>
                      </w14:textFill>
                    </w:rPr>
                    <w:t>年</w:t>
                  </w:r>
                </w:p>
              </w:tc>
              <w:tc>
                <w:tcPr>
                  <w:tcW w:w="2601" w:type="pct"/>
                  <w:tcBorders>
                    <w:tl2br w:val="nil"/>
                    <w:tr2bl w:val="nil"/>
                  </w:tcBorders>
                  <w:vAlign w:val="center"/>
                </w:tcPr>
                <w:p w14:paraId="3577827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《大气污染物综合排放标准》（</w:t>
                  </w:r>
                  <w:r>
                    <w:rPr>
                      <w:color w:val="000000" w:themeColor="text1"/>
                      <w:sz w:val="21"/>
                      <w:szCs w:val="21"/>
                      <w:lang w:bidi="en-US"/>
                      <w14:textFill>
                        <w14:solidFill>
                          <w14:schemeClr w14:val="tx1"/>
                        </w14:solidFill>
                      </w14:textFill>
                    </w:rPr>
                    <w:t>GB</w:t>
                  </w:r>
                  <w:r>
                    <w:rPr>
                      <w:color w:val="000000" w:themeColor="text1"/>
                      <w:sz w:val="21"/>
                      <w:szCs w:val="21"/>
                      <w14:textFill>
                        <w14:solidFill>
                          <w14:schemeClr w14:val="tx1"/>
                        </w14:solidFill>
                      </w14:textFill>
                    </w:rPr>
                    <w:t>1629749-96）</w:t>
                  </w:r>
                </w:p>
                <w:p w14:paraId="6CAF61D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bidi="en-US"/>
                      <w14:textFill>
                        <w14:solidFill>
                          <w14:schemeClr w14:val="tx1"/>
                        </w14:solidFill>
                      </w14:textFill>
                    </w:rPr>
                    <w:t>《</w:t>
                  </w:r>
                  <w:r>
                    <w:rPr>
                      <w:color w:val="000000" w:themeColor="text1"/>
                      <w:sz w:val="21"/>
                      <w:szCs w:val="21"/>
                      <w14:textFill>
                        <w14:solidFill>
                          <w14:schemeClr w14:val="tx1"/>
                        </w14:solidFill>
                      </w14:textFill>
                    </w:rPr>
                    <w:t>恶臭污染物排放标准》（</w:t>
                  </w:r>
                  <w:r>
                    <w:rPr>
                      <w:color w:val="000000" w:themeColor="text1"/>
                      <w:sz w:val="21"/>
                      <w:szCs w:val="21"/>
                      <w:lang w:bidi="en-US"/>
                      <w14:textFill>
                        <w14:solidFill>
                          <w14:schemeClr w14:val="tx1"/>
                        </w14:solidFill>
                      </w14:textFill>
                    </w:rPr>
                    <w:t>GB</w:t>
                  </w:r>
                  <w:r>
                    <w:rPr>
                      <w:color w:val="000000" w:themeColor="text1"/>
                      <w:sz w:val="21"/>
                      <w:szCs w:val="21"/>
                      <w14:textFill>
                        <w14:solidFill>
                          <w14:schemeClr w14:val="tx1"/>
                        </w14:solidFill>
                      </w14:textFill>
                    </w:rPr>
                    <w:t>1455193-93）</w:t>
                  </w:r>
                </w:p>
              </w:tc>
            </w:tr>
            <w:tr w14:paraId="7E81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8" w:hRule="atLeast"/>
                <w:jc w:val="center"/>
              </w:trPr>
              <w:tc>
                <w:tcPr>
                  <w:tcW w:w="280" w:type="pct"/>
                  <w:vMerge w:val="continue"/>
                  <w:tcBorders>
                    <w:tl2br w:val="nil"/>
                    <w:tr2bl w:val="nil"/>
                  </w:tcBorders>
                  <w:vAlign w:val="center"/>
                </w:tcPr>
                <w:p w14:paraId="47D67953">
                  <w:pPr>
                    <w:spacing w:line="240" w:lineRule="auto"/>
                    <w:ind w:firstLine="0" w:firstLineChars="0"/>
                    <w:jc w:val="center"/>
                    <w:rPr>
                      <w:color w:val="000000" w:themeColor="text1"/>
                      <w:sz w:val="21"/>
                      <w:szCs w:val="21"/>
                      <w14:textFill>
                        <w14:solidFill>
                          <w14:schemeClr w14:val="tx1"/>
                        </w14:solidFill>
                      </w14:textFill>
                    </w:rPr>
                  </w:pPr>
                </w:p>
              </w:tc>
              <w:tc>
                <w:tcPr>
                  <w:tcW w:w="515" w:type="pct"/>
                  <w:tcBorders>
                    <w:tl2br w:val="nil"/>
                    <w:tr2bl w:val="nil"/>
                  </w:tcBorders>
                  <w:vAlign w:val="center"/>
                </w:tcPr>
                <w:p w14:paraId="49FF400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w:t>
                  </w:r>
                </w:p>
              </w:tc>
              <w:tc>
                <w:tcPr>
                  <w:tcW w:w="426" w:type="pct"/>
                  <w:vMerge w:val="restart"/>
                  <w:tcBorders>
                    <w:tl2br w:val="nil"/>
                    <w:tr2bl w:val="nil"/>
                  </w:tcBorders>
                  <w:vAlign w:val="center"/>
                </w:tcPr>
                <w:p w14:paraId="074FED1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c>
                <w:tcPr>
                  <w:tcW w:w="670" w:type="pct"/>
                  <w:tcBorders>
                    <w:tl2br w:val="nil"/>
                    <w:tr2bl w:val="nil"/>
                  </w:tcBorders>
                  <w:vAlign w:val="center"/>
                </w:tcPr>
                <w:p w14:paraId="6E968A7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w:t>
                  </w:r>
                  <w:r>
                    <w:rPr>
                      <w:color w:val="000000" w:themeColor="text1"/>
                      <w:sz w:val="21"/>
                      <w:szCs w:val="21"/>
                      <w14:textFill>
                        <w14:solidFill>
                          <w14:schemeClr w14:val="tx1"/>
                        </w14:solidFill>
                      </w14:textFill>
                    </w:rPr>
                    <w:t>O</w:t>
                  </w:r>
                  <w:r>
                    <w:rPr>
                      <w:rFonts w:hint="eastAsia"/>
                      <w:color w:val="000000" w:themeColor="text1"/>
                      <w:sz w:val="21"/>
                      <w:szCs w:val="21"/>
                      <w14:textFill>
                        <w14:solidFill>
                          <w14:schemeClr w14:val="tx1"/>
                        </w14:solidFill>
                      </w14:textFill>
                    </w:rPr>
                    <w:t>x、H</w:t>
                  </w:r>
                  <w:r>
                    <w:rPr>
                      <w:color w:val="000000" w:themeColor="text1"/>
                      <w:sz w:val="21"/>
                      <w:szCs w:val="21"/>
                      <w14:textFill>
                        <w14:solidFill>
                          <w14:schemeClr w14:val="tx1"/>
                        </w14:solidFill>
                      </w14:textFill>
                    </w:rPr>
                    <w:t>Cl</w:t>
                  </w:r>
                </w:p>
                <w:p w14:paraId="3EC77BF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硫</w:t>
                  </w:r>
                  <w:r>
                    <w:rPr>
                      <w:color w:val="000000" w:themeColor="text1"/>
                      <w:sz w:val="21"/>
                      <w:szCs w:val="21"/>
                      <w14:textFill>
                        <w14:solidFill>
                          <w14:schemeClr w14:val="tx1"/>
                        </w14:solidFill>
                      </w14:textFill>
                    </w:rPr>
                    <w:t>酸雾、</w:t>
                  </w:r>
                  <w:r>
                    <w:rPr>
                      <w:rFonts w:hint="eastAsia"/>
                      <w:color w:val="000000" w:themeColor="text1"/>
                      <w:sz w:val="21"/>
                      <w:szCs w:val="21"/>
                      <w:lang w:bidi="en-US"/>
                      <w14:textFill>
                        <w14:solidFill>
                          <w14:schemeClr w14:val="tx1"/>
                        </w14:solidFill>
                      </w14:textFill>
                    </w:rPr>
                    <w:t>NMHC</w:t>
                  </w:r>
                </w:p>
              </w:tc>
              <w:tc>
                <w:tcPr>
                  <w:tcW w:w="504" w:type="pct"/>
                  <w:tcBorders>
                    <w:tl2br w:val="nil"/>
                    <w:tr2bl w:val="nil"/>
                  </w:tcBorders>
                  <w:vAlign w:val="center"/>
                </w:tcPr>
                <w:p w14:paraId="05F75E4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1次/年</w:t>
                  </w:r>
                </w:p>
              </w:tc>
              <w:tc>
                <w:tcPr>
                  <w:tcW w:w="2601" w:type="pct"/>
                  <w:tcBorders>
                    <w:tl2br w:val="nil"/>
                    <w:tr2bl w:val="nil"/>
                  </w:tcBorders>
                  <w:vAlign w:val="center"/>
                </w:tcPr>
                <w:p w14:paraId="2871069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《大气污染物综合排放标准》（</w:t>
                  </w:r>
                  <w:r>
                    <w:rPr>
                      <w:color w:val="000000" w:themeColor="text1"/>
                      <w:sz w:val="21"/>
                      <w:szCs w:val="21"/>
                      <w:lang w:bidi="en-US"/>
                      <w14:textFill>
                        <w14:solidFill>
                          <w14:schemeClr w14:val="tx1"/>
                        </w14:solidFill>
                      </w14:textFill>
                    </w:rPr>
                    <w:t>GB</w:t>
                  </w:r>
                  <w:r>
                    <w:rPr>
                      <w:color w:val="000000" w:themeColor="text1"/>
                      <w:sz w:val="21"/>
                      <w:szCs w:val="21"/>
                      <w14:textFill>
                        <w14:solidFill>
                          <w14:schemeClr w14:val="tx1"/>
                        </w14:solidFill>
                      </w14:textFill>
                    </w:rPr>
                    <w:t>1629749-96）</w:t>
                  </w:r>
                </w:p>
                <w:p w14:paraId="22179F2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bidi="en-US"/>
                      <w14:textFill>
                        <w14:solidFill>
                          <w14:schemeClr w14:val="tx1"/>
                        </w14:solidFill>
                      </w14:textFill>
                    </w:rPr>
                    <w:t>《</w:t>
                  </w:r>
                  <w:r>
                    <w:rPr>
                      <w:color w:val="000000" w:themeColor="text1"/>
                      <w:sz w:val="21"/>
                      <w:szCs w:val="21"/>
                      <w14:textFill>
                        <w14:solidFill>
                          <w14:schemeClr w14:val="tx1"/>
                        </w14:solidFill>
                      </w14:textFill>
                    </w:rPr>
                    <w:t>恶臭污染物排放标准》（</w:t>
                  </w:r>
                  <w:r>
                    <w:rPr>
                      <w:color w:val="000000" w:themeColor="text1"/>
                      <w:sz w:val="21"/>
                      <w:szCs w:val="21"/>
                      <w:lang w:bidi="en-US"/>
                      <w14:textFill>
                        <w14:solidFill>
                          <w14:schemeClr w14:val="tx1"/>
                        </w14:solidFill>
                      </w14:textFill>
                    </w:rPr>
                    <w:t>GB</w:t>
                  </w:r>
                  <w:r>
                    <w:rPr>
                      <w:color w:val="000000" w:themeColor="text1"/>
                      <w:sz w:val="21"/>
                      <w:szCs w:val="21"/>
                      <w14:textFill>
                        <w14:solidFill>
                          <w14:schemeClr w14:val="tx1"/>
                        </w14:solidFill>
                      </w14:textFill>
                    </w:rPr>
                    <w:t>1455193-93）</w:t>
                  </w:r>
                </w:p>
              </w:tc>
            </w:tr>
            <w:tr w14:paraId="58D6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0" w:type="pct"/>
                  <w:vMerge w:val="continue"/>
                  <w:tcBorders>
                    <w:tl2br w:val="nil"/>
                    <w:tr2bl w:val="nil"/>
                  </w:tcBorders>
                  <w:vAlign w:val="center"/>
                </w:tcPr>
                <w:p w14:paraId="689148B8">
                  <w:pPr>
                    <w:spacing w:line="240" w:lineRule="auto"/>
                    <w:ind w:firstLine="0" w:firstLineChars="0"/>
                    <w:jc w:val="center"/>
                    <w:rPr>
                      <w:color w:val="000000" w:themeColor="text1"/>
                      <w:sz w:val="21"/>
                      <w:szCs w:val="21"/>
                      <w14:textFill>
                        <w14:solidFill>
                          <w14:schemeClr w14:val="tx1"/>
                        </w14:solidFill>
                      </w14:textFill>
                    </w:rPr>
                  </w:pPr>
                </w:p>
              </w:tc>
              <w:tc>
                <w:tcPr>
                  <w:tcW w:w="515" w:type="pct"/>
                  <w:tcBorders>
                    <w:tl2br w:val="nil"/>
                    <w:tr2bl w:val="nil"/>
                  </w:tcBorders>
                  <w:vAlign w:val="center"/>
                </w:tcPr>
                <w:p w14:paraId="0669A49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厂房外监控点</w:t>
                  </w:r>
                </w:p>
              </w:tc>
              <w:tc>
                <w:tcPr>
                  <w:tcW w:w="426" w:type="pct"/>
                  <w:vMerge w:val="continue"/>
                  <w:tcBorders>
                    <w:tl2br w:val="nil"/>
                    <w:tr2bl w:val="nil"/>
                  </w:tcBorders>
                  <w:vAlign w:val="center"/>
                </w:tcPr>
                <w:p w14:paraId="77BC2BBC">
                  <w:pPr>
                    <w:spacing w:line="240" w:lineRule="auto"/>
                    <w:ind w:firstLine="0" w:firstLineChars="0"/>
                    <w:jc w:val="center"/>
                    <w:rPr>
                      <w:color w:val="000000" w:themeColor="text1"/>
                      <w:sz w:val="21"/>
                      <w:szCs w:val="21"/>
                      <w14:textFill>
                        <w14:solidFill>
                          <w14:schemeClr w14:val="tx1"/>
                        </w14:solidFill>
                      </w14:textFill>
                    </w:rPr>
                  </w:pPr>
                </w:p>
              </w:tc>
              <w:tc>
                <w:tcPr>
                  <w:tcW w:w="670" w:type="pct"/>
                  <w:tcBorders>
                    <w:tl2br w:val="nil"/>
                    <w:tr2bl w:val="nil"/>
                  </w:tcBorders>
                  <w:vAlign w:val="center"/>
                </w:tcPr>
                <w:p w14:paraId="6CDC31D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bidi="en-US"/>
                      <w14:textFill>
                        <w14:solidFill>
                          <w14:schemeClr w14:val="tx1"/>
                        </w14:solidFill>
                      </w14:textFill>
                    </w:rPr>
                    <w:t>NMHC</w:t>
                  </w:r>
                </w:p>
              </w:tc>
              <w:tc>
                <w:tcPr>
                  <w:tcW w:w="504" w:type="pct"/>
                  <w:tcBorders>
                    <w:tl2br w:val="nil"/>
                    <w:tr2bl w:val="nil"/>
                  </w:tcBorders>
                  <w:vAlign w:val="center"/>
                </w:tcPr>
                <w:p w14:paraId="20EC6C9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1次/年</w:t>
                  </w:r>
                </w:p>
              </w:tc>
              <w:tc>
                <w:tcPr>
                  <w:tcW w:w="2601" w:type="pct"/>
                  <w:tcBorders>
                    <w:tl2br w:val="nil"/>
                    <w:tr2bl w:val="nil"/>
                  </w:tcBorders>
                  <w:vAlign w:val="center"/>
                </w:tcPr>
                <w:p w14:paraId="2A4EF58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《挥发性有机物无组织排放控制标准》（GB37822-2019）附录A表A.1</w:t>
                  </w:r>
                </w:p>
              </w:tc>
            </w:tr>
          </w:tbl>
          <w:p w14:paraId="05A90FD8">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2、废水</w:t>
            </w:r>
          </w:p>
          <w:p w14:paraId="25AFC929">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2.1废水源强核算</w:t>
            </w:r>
          </w:p>
          <w:p w14:paraId="0E35451E">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根据水平衡图，</w:t>
            </w:r>
            <w:r>
              <w:rPr>
                <w:rFonts w:hint="default" w:ascii="Times New Roman" w:hAnsi="Times New Roman" w:cs="Times New Roman"/>
                <w:color w:val="000000" w:themeColor="text1"/>
                <w14:textFill>
                  <w14:solidFill>
                    <w14:schemeClr w14:val="tx1"/>
                  </w14:solidFill>
                </w14:textFill>
              </w:rPr>
              <w:t>生活污水排放总量为</w:t>
            </w:r>
            <w:r>
              <w:rPr>
                <w:rFonts w:hint="default" w:ascii="Times New Roman" w:hAnsi="Times New Roman" w:cs="Times New Roman"/>
                <w:color w:val="000000" w:themeColor="text1"/>
                <w:lang w:val="en-US" w:eastAsia="zh-CN"/>
                <w14:textFill>
                  <w14:solidFill>
                    <w14:schemeClr w14:val="tx1"/>
                  </w14:solidFill>
                </w14:textFill>
              </w:rPr>
              <w:t>192</w:t>
            </w:r>
            <w:r>
              <w:rPr>
                <w:rFonts w:hint="default" w:ascii="Times New Roman" w:hAnsi="Times New Roman" w:cs="Times New Roman"/>
                <w:color w:val="000000" w:themeColor="text1"/>
                <w14:textFill>
                  <w14:solidFill>
                    <w14:schemeClr w14:val="tx1"/>
                  </w14:solidFill>
                </w14:textFill>
              </w:rPr>
              <w:t>t/a</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主要污染物为COD、SS、氨氮</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总磷、总氮等；</w:t>
            </w:r>
            <w:r>
              <w:rPr>
                <w:rFonts w:hint="default" w:ascii="Times New Roman" w:hAnsi="Times New Roman" w:cs="Times New Roman"/>
                <w:color w:val="000000" w:themeColor="text1"/>
                <w:lang w:val="en-US" w:eastAsia="zh-CN"/>
                <w14:textFill>
                  <w14:solidFill>
                    <w14:schemeClr w14:val="tx1"/>
                  </w14:solidFill>
                </w14:textFill>
              </w:rPr>
              <w:t>制备纯水废水1.7t/a</w:t>
            </w:r>
            <w:r>
              <w:rPr>
                <w:rFonts w:hint="eastAsia" w:cs="Times New Roman"/>
                <w:color w:val="000000" w:themeColor="text1"/>
                <w:lang w:val="en-US" w:eastAsia="zh-CN"/>
                <w14:textFill>
                  <w14:solidFill>
                    <w14:schemeClr w14:val="tx1"/>
                  </w14:solidFill>
                </w14:textFill>
              </w:rPr>
              <w:t>，超声清洗</w:t>
            </w:r>
            <w:r>
              <w:rPr>
                <w:rFonts w:hint="default" w:ascii="Times New Roman" w:hAnsi="Times New Roman" w:cs="Times New Roman"/>
                <w:color w:val="000000" w:themeColor="text1"/>
                <w:lang w:val="en-US" w:eastAsia="zh-CN"/>
                <w14:textFill>
                  <w14:solidFill>
                    <w14:schemeClr w14:val="tx1"/>
                  </w14:solidFill>
                </w14:textFill>
              </w:rPr>
              <w:t>废水排放量72t/a排入市政管网</w:t>
            </w:r>
            <w:r>
              <w:rPr>
                <w:rFonts w:hint="eastAsia" w:cs="Times New Roman"/>
                <w:color w:val="000000" w:themeColor="text1"/>
                <w:lang w:val="en-US" w:eastAsia="zh-CN"/>
                <w14:textFill>
                  <w14:solidFill>
                    <w14:schemeClr w14:val="tx1"/>
                  </w14:solidFill>
                </w14:textFill>
              </w:rPr>
              <w:t>，最终进入库尔勒经济技术开发区工业废水处理回用厂</w:t>
            </w:r>
            <w:r>
              <w:rPr>
                <w:rFonts w:hint="default" w:ascii="Times New Roman" w:hAnsi="Times New Roman" w:cs="Times New Roman"/>
                <w:color w:val="000000" w:themeColor="text1"/>
                <w:lang w:val="en-US" w:eastAsia="zh-CN"/>
                <w14:textFill>
                  <w14:solidFill>
                    <w14:schemeClr w14:val="tx1"/>
                  </w14:solidFill>
                </w14:textFill>
              </w:rPr>
              <w:t>。</w:t>
            </w:r>
          </w:p>
          <w:p w14:paraId="45CFC5A9">
            <w:pPr>
              <w:ind w:firstLine="480"/>
              <w:rPr>
                <w:color w:val="000000" w:themeColor="text1"/>
                <w14:textFill>
                  <w14:solidFill>
                    <w14:schemeClr w14:val="tx1"/>
                  </w14:solidFill>
                </w14:textFill>
              </w:rPr>
            </w:pPr>
            <w:r>
              <w:rPr>
                <w:color w:val="000000" w:themeColor="text1"/>
                <w14:textFill>
                  <w14:solidFill>
                    <w14:schemeClr w14:val="tx1"/>
                  </w14:solidFill>
                </w14:textFill>
              </w:rPr>
              <w:t>预测项目</w:t>
            </w:r>
            <w:r>
              <w:rPr>
                <w:rFonts w:hint="eastAsia"/>
                <w:color w:val="000000" w:themeColor="text1"/>
                <w14:textFill>
                  <w14:solidFill>
                    <w14:schemeClr w14:val="tx1"/>
                  </w14:solidFill>
                </w14:textFill>
              </w:rPr>
              <w:t>生产、</w:t>
            </w:r>
            <w:r>
              <w:rPr>
                <w:color w:val="000000" w:themeColor="text1"/>
                <w14:textFill>
                  <w14:solidFill>
                    <w14:schemeClr w14:val="tx1"/>
                  </w14:solidFill>
                </w14:textFill>
              </w:rPr>
              <w:t>生活污水各污染物产生及排放源强情况见表4-</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w:t>
            </w:r>
          </w:p>
          <w:p w14:paraId="74015CB9">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9</w:t>
            </w:r>
            <w:r>
              <w:rPr>
                <w:b/>
                <w:bCs/>
                <w:color w:val="000000" w:themeColor="text1"/>
                <w:sz w:val="21"/>
                <w:szCs w:val="21"/>
                <w14:textFill>
                  <w14:solidFill>
                    <w14:schemeClr w14:val="tx1"/>
                  </w14:solidFill>
                </w14:textFill>
              </w:rPr>
              <w:t>项目污水污染源源强核算结果及一览表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33"/>
              <w:gridCol w:w="233"/>
              <w:gridCol w:w="593"/>
              <w:gridCol w:w="233"/>
              <w:gridCol w:w="750"/>
              <w:gridCol w:w="819"/>
              <w:gridCol w:w="732"/>
              <w:gridCol w:w="615"/>
              <w:gridCol w:w="635"/>
              <w:gridCol w:w="480"/>
              <w:gridCol w:w="955"/>
              <w:gridCol w:w="788"/>
              <w:gridCol w:w="698"/>
            </w:tblGrid>
            <w:tr w14:paraId="59F1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150" w:type="pct"/>
                  <w:vMerge w:val="restart"/>
                  <w:tcBorders>
                    <w:tl2br w:val="nil"/>
                    <w:tr2bl w:val="nil"/>
                  </w:tcBorders>
                  <w:vAlign w:val="center"/>
                </w:tcPr>
                <w:p w14:paraId="3DCF405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w:t>
                  </w:r>
                </w:p>
                <w:p w14:paraId="46E88A7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w:t>
                  </w:r>
                </w:p>
                <w:p w14:paraId="18AEE68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w:t>
                  </w:r>
                </w:p>
                <w:p w14:paraId="0E3F715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w:t>
                  </w:r>
                </w:p>
                <w:p w14:paraId="48A167C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节</w:t>
                  </w:r>
                </w:p>
              </w:tc>
              <w:tc>
                <w:tcPr>
                  <w:tcW w:w="150" w:type="pct"/>
                  <w:vMerge w:val="restart"/>
                  <w:tcBorders>
                    <w:tl2br w:val="nil"/>
                    <w:tr2bl w:val="nil"/>
                  </w:tcBorders>
                  <w:vAlign w:val="center"/>
                </w:tcPr>
                <w:p w14:paraId="0F753FF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w:t>
                  </w:r>
                </w:p>
                <w:p w14:paraId="2FDE1B2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类别</w:t>
                  </w:r>
                </w:p>
              </w:tc>
              <w:tc>
                <w:tcPr>
                  <w:tcW w:w="382" w:type="pct"/>
                  <w:vMerge w:val="restart"/>
                  <w:tcBorders>
                    <w:tl2br w:val="nil"/>
                    <w:tr2bl w:val="nil"/>
                  </w:tcBorders>
                  <w:vAlign w:val="center"/>
                </w:tcPr>
                <w:p w14:paraId="76BB97D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w:t>
                  </w:r>
                </w:p>
                <w:p w14:paraId="709B0E4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w:t>
                  </w:r>
                </w:p>
              </w:tc>
              <w:tc>
                <w:tcPr>
                  <w:tcW w:w="1631" w:type="pct"/>
                  <w:gridSpan w:val="4"/>
                  <w:tcBorders>
                    <w:tl2br w:val="nil"/>
                    <w:tr2bl w:val="nil"/>
                  </w:tcBorders>
                  <w:vAlign w:val="center"/>
                </w:tcPr>
                <w:p w14:paraId="61F8B6D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污染源产生</w:t>
                  </w:r>
                </w:p>
              </w:tc>
              <w:tc>
                <w:tcPr>
                  <w:tcW w:w="1114" w:type="pct"/>
                  <w:gridSpan w:val="3"/>
                  <w:tcBorders>
                    <w:tl2br w:val="nil"/>
                    <w:tr2bl w:val="nil"/>
                  </w:tcBorders>
                  <w:vAlign w:val="center"/>
                </w:tcPr>
                <w:p w14:paraId="29CCBF5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治理措施</w:t>
                  </w:r>
                </w:p>
              </w:tc>
              <w:tc>
                <w:tcPr>
                  <w:tcW w:w="1571" w:type="pct"/>
                  <w:gridSpan w:val="3"/>
                  <w:tcBorders>
                    <w:tl2br w:val="nil"/>
                    <w:tr2bl w:val="nil"/>
                  </w:tcBorders>
                  <w:vAlign w:val="center"/>
                </w:tcPr>
                <w:p w14:paraId="24053C4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w:t>
                  </w:r>
                </w:p>
              </w:tc>
            </w:tr>
            <w:tr w14:paraId="52EB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78" w:hRule="atLeast"/>
                <w:jc w:val="center"/>
              </w:trPr>
              <w:tc>
                <w:tcPr>
                  <w:tcW w:w="150" w:type="pct"/>
                  <w:vMerge w:val="continue"/>
                  <w:tcBorders>
                    <w:tl2br w:val="nil"/>
                    <w:tr2bl w:val="nil"/>
                  </w:tcBorders>
                  <w:vAlign w:val="center"/>
                </w:tcPr>
                <w:p w14:paraId="4271BBD1">
                  <w:pPr>
                    <w:spacing w:line="240" w:lineRule="auto"/>
                    <w:ind w:firstLine="0" w:firstLineChars="0"/>
                    <w:jc w:val="center"/>
                    <w:rPr>
                      <w:color w:val="000000" w:themeColor="text1"/>
                      <w:sz w:val="21"/>
                      <w:szCs w:val="21"/>
                      <w14:textFill>
                        <w14:solidFill>
                          <w14:schemeClr w14:val="tx1"/>
                        </w14:solidFill>
                      </w14:textFill>
                    </w:rPr>
                  </w:pPr>
                </w:p>
              </w:tc>
              <w:tc>
                <w:tcPr>
                  <w:tcW w:w="150" w:type="pct"/>
                  <w:vMerge w:val="continue"/>
                  <w:tcBorders>
                    <w:tl2br w:val="nil"/>
                    <w:tr2bl w:val="nil"/>
                  </w:tcBorders>
                  <w:vAlign w:val="center"/>
                </w:tcPr>
                <w:p w14:paraId="1C5847C2">
                  <w:pPr>
                    <w:spacing w:line="240" w:lineRule="auto"/>
                    <w:ind w:firstLine="0" w:firstLineChars="0"/>
                    <w:jc w:val="center"/>
                    <w:rPr>
                      <w:color w:val="000000" w:themeColor="text1"/>
                      <w:sz w:val="21"/>
                      <w:szCs w:val="21"/>
                      <w14:textFill>
                        <w14:solidFill>
                          <w14:schemeClr w14:val="tx1"/>
                        </w14:solidFill>
                      </w14:textFill>
                    </w:rPr>
                  </w:pPr>
                </w:p>
              </w:tc>
              <w:tc>
                <w:tcPr>
                  <w:tcW w:w="382" w:type="pct"/>
                  <w:vMerge w:val="continue"/>
                  <w:tcBorders>
                    <w:tl2br w:val="nil"/>
                    <w:tr2bl w:val="nil"/>
                  </w:tcBorders>
                  <w:vAlign w:val="center"/>
                </w:tcPr>
                <w:p w14:paraId="07DF488B">
                  <w:pPr>
                    <w:spacing w:line="240" w:lineRule="auto"/>
                    <w:ind w:firstLine="0" w:firstLineChars="0"/>
                    <w:jc w:val="center"/>
                    <w:rPr>
                      <w:color w:val="000000" w:themeColor="text1"/>
                      <w:sz w:val="21"/>
                      <w:szCs w:val="21"/>
                      <w14:textFill>
                        <w14:solidFill>
                          <w14:schemeClr w14:val="tx1"/>
                        </w14:solidFill>
                      </w14:textFill>
                    </w:rPr>
                  </w:pPr>
                </w:p>
              </w:tc>
              <w:tc>
                <w:tcPr>
                  <w:tcW w:w="150" w:type="pct"/>
                  <w:tcBorders>
                    <w:tl2br w:val="nil"/>
                    <w:tr2bl w:val="nil"/>
                  </w:tcBorders>
                  <w:vAlign w:val="center"/>
                </w:tcPr>
                <w:p w14:paraId="6601EE5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核</w:t>
                  </w:r>
                </w:p>
                <w:p w14:paraId="1E9F7E6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算</w:t>
                  </w:r>
                </w:p>
                <w:p w14:paraId="1232405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方</w:t>
                  </w:r>
                </w:p>
                <w:p w14:paraId="4835426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法</w:t>
                  </w:r>
                </w:p>
              </w:tc>
              <w:tc>
                <w:tcPr>
                  <w:tcW w:w="483" w:type="pct"/>
                  <w:tcBorders>
                    <w:tl2br w:val="nil"/>
                    <w:tr2bl w:val="nil"/>
                  </w:tcBorders>
                  <w:vAlign w:val="center"/>
                </w:tcPr>
                <w:p w14:paraId="234E94E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产生废</w:t>
                  </w:r>
                </w:p>
                <w:p w14:paraId="33DF3FE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水量</w:t>
                  </w:r>
                </w:p>
                <w:p w14:paraId="143F9A7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527" w:type="pct"/>
                  <w:tcBorders>
                    <w:tl2br w:val="nil"/>
                    <w:tr2bl w:val="nil"/>
                  </w:tcBorders>
                  <w:vAlign w:val="center"/>
                </w:tcPr>
                <w:p w14:paraId="30F6937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w:t>
                  </w:r>
                </w:p>
                <w:p w14:paraId="2794544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浓度</w:t>
                  </w:r>
                </w:p>
                <w:p w14:paraId="5771EB7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469" w:type="pct"/>
                  <w:tcBorders>
                    <w:tl2br w:val="nil"/>
                    <w:tr2bl w:val="nil"/>
                  </w:tcBorders>
                  <w:vAlign w:val="center"/>
                </w:tcPr>
                <w:p w14:paraId="7DBCBA1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w:t>
                  </w:r>
                </w:p>
                <w:p w14:paraId="2810C25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量</w:t>
                  </w:r>
                </w:p>
                <w:p w14:paraId="6B9600A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396" w:type="pct"/>
                  <w:tcBorders>
                    <w:tl2br w:val="nil"/>
                    <w:tr2bl w:val="nil"/>
                  </w:tcBorders>
                  <w:vAlign w:val="center"/>
                </w:tcPr>
                <w:p w14:paraId="174775E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处理</w:t>
                  </w:r>
                  <w:r>
                    <w:rPr>
                      <w:rFonts w:hint="eastAsia"/>
                      <w:color w:val="000000" w:themeColor="text1"/>
                      <w:sz w:val="21"/>
                      <w:szCs w:val="21"/>
                      <w14:textFill>
                        <w14:solidFill>
                          <w14:schemeClr w14:val="tx1"/>
                        </w14:solidFill>
                      </w14:textFill>
                    </w:rPr>
                    <w:t>方法</w:t>
                  </w:r>
                </w:p>
              </w:tc>
              <w:tc>
                <w:tcPr>
                  <w:tcW w:w="409" w:type="pct"/>
                  <w:tcBorders>
                    <w:tl2br w:val="nil"/>
                    <w:tr2bl w:val="nil"/>
                  </w:tcBorders>
                  <w:vAlign w:val="center"/>
                </w:tcPr>
                <w:p w14:paraId="7B7BBFF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治理</w:t>
                  </w:r>
                </w:p>
                <w:p w14:paraId="5C2FF91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效率</w:t>
                  </w:r>
                </w:p>
                <w:p w14:paraId="7682AAC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08" w:type="pct"/>
                  <w:tcBorders>
                    <w:tl2br w:val="nil"/>
                    <w:tr2bl w:val="nil"/>
                  </w:tcBorders>
                  <w:vAlign w:val="center"/>
                </w:tcPr>
                <w:p w14:paraId="5B7917B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w:t>
                  </w:r>
                </w:p>
                <w:p w14:paraId="163D938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为可</w:t>
                  </w:r>
                </w:p>
                <w:p w14:paraId="651AB95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行技</w:t>
                  </w:r>
                </w:p>
                <w:p w14:paraId="0C2433F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术</w:t>
                  </w:r>
                </w:p>
              </w:tc>
              <w:tc>
                <w:tcPr>
                  <w:tcW w:w="615" w:type="pct"/>
                  <w:tcBorders>
                    <w:tl2br w:val="nil"/>
                    <w:tr2bl w:val="nil"/>
                  </w:tcBorders>
                  <w:vAlign w:val="center"/>
                </w:tcPr>
                <w:p w14:paraId="58A6E9C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排放标</w:t>
                  </w:r>
                </w:p>
                <w:p w14:paraId="7B15F57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准</w:t>
                  </w:r>
                </w:p>
                <w:p w14:paraId="2414450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507" w:type="pct"/>
                  <w:tcBorders>
                    <w:tl2br w:val="nil"/>
                    <w:tr2bl w:val="nil"/>
                  </w:tcBorders>
                  <w:vAlign w:val="center"/>
                </w:tcPr>
                <w:p w14:paraId="5E364B1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排放浓</w:t>
                  </w:r>
                </w:p>
                <w:p w14:paraId="22D33FC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度</w:t>
                  </w:r>
                </w:p>
                <w:p w14:paraId="1897CF0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448" w:type="pct"/>
                  <w:tcBorders>
                    <w:tl2br w:val="nil"/>
                    <w:tr2bl w:val="nil"/>
                  </w:tcBorders>
                  <w:vAlign w:val="center"/>
                </w:tcPr>
                <w:p w14:paraId="7158CAB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w:t>
                  </w:r>
                </w:p>
                <w:p w14:paraId="33A5F70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量</w:t>
                  </w:r>
                </w:p>
                <w:p w14:paraId="331A9CF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r>
            <w:tr w14:paraId="2A18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restart"/>
                  <w:tcBorders>
                    <w:tl2br w:val="nil"/>
                    <w:tr2bl w:val="nil"/>
                  </w:tcBorders>
                  <w:vAlign w:val="center"/>
                </w:tcPr>
                <w:p w14:paraId="0712FC8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职</w:t>
                  </w:r>
                </w:p>
                <w:p w14:paraId="2A07E60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工生活</w:t>
                  </w:r>
                </w:p>
                <w:p w14:paraId="5D2B96BD">
                  <w:pPr>
                    <w:pStyle w:val="3"/>
                    <w:jc w:val="center"/>
                    <w:rPr>
                      <w:rFonts w:ascii="Times New Roman" w:hAnsi="Times New Roman"/>
                      <w:color w:val="000000" w:themeColor="text1"/>
                      <w:sz w:val="21"/>
                      <w:szCs w:val="21"/>
                      <w14:textFill>
                        <w14:solidFill>
                          <w14:schemeClr w14:val="tx1"/>
                        </w14:solidFill>
                      </w14:textFill>
                    </w:rPr>
                  </w:pPr>
                </w:p>
              </w:tc>
              <w:tc>
                <w:tcPr>
                  <w:tcW w:w="150" w:type="pct"/>
                  <w:vMerge w:val="restart"/>
                  <w:tcBorders>
                    <w:tl2br w:val="nil"/>
                    <w:tr2bl w:val="nil"/>
                  </w:tcBorders>
                  <w:vAlign w:val="center"/>
                </w:tcPr>
                <w:p w14:paraId="3A6177A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w:t>
                  </w:r>
                </w:p>
                <w:p w14:paraId="16DF89A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活</w:t>
                  </w:r>
                </w:p>
                <w:p w14:paraId="1A3C1BC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w:t>
                  </w:r>
                </w:p>
                <w:p w14:paraId="6BDBD33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w:t>
                  </w:r>
                </w:p>
              </w:tc>
              <w:tc>
                <w:tcPr>
                  <w:tcW w:w="382" w:type="pct"/>
                  <w:tcBorders>
                    <w:tl2br w:val="nil"/>
                    <w:tr2bl w:val="nil"/>
                  </w:tcBorders>
                  <w:vAlign w:val="center"/>
                </w:tcPr>
                <w:p w14:paraId="3A173D6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w:t>
                  </w:r>
                </w:p>
              </w:tc>
              <w:tc>
                <w:tcPr>
                  <w:tcW w:w="150" w:type="pct"/>
                  <w:vMerge w:val="restart"/>
                  <w:tcBorders>
                    <w:tl2br w:val="nil"/>
                    <w:tr2bl w:val="nil"/>
                  </w:tcBorders>
                  <w:vAlign w:val="center"/>
                </w:tcPr>
                <w:p w14:paraId="19B1C54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w:t>
                  </w:r>
                </w:p>
                <w:p w14:paraId="1EFB56A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w:t>
                  </w:r>
                </w:p>
                <w:p w14:paraId="5F698BD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系</w:t>
                  </w:r>
                </w:p>
                <w:p w14:paraId="0EB2C81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数</w:t>
                  </w:r>
                </w:p>
                <w:p w14:paraId="7634F60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法</w:t>
                  </w:r>
                </w:p>
              </w:tc>
              <w:tc>
                <w:tcPr>
                  <w:tcW w:w="483" w:type="pct"/>
                  <w:vMerge w:val="restart"/>
                  <w:tcBorders>
                    <w:tl2br w:val="nil"/>
                    <w:tr2bl w:val="nil"/>
                  </w:tcBorders>
                  <w:vAlign w:val="center"/>
                </w:tcPr>
                <w:p w14:paraId="0067ED52">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192</w:t>
                  </w:r>
                </w:p>
              </w:tc>
              <w:tc>
                <w:tcPr>
                  <w:tcW w:w="527" w:type="pct"/>
                  <w:tcBorders>
                    <w:tl2br w:val="nil"/>
                    <w:tr2bl w:val="nil"/>
                  </w:tcBorders>
                  <w:vAlign w:val="center"/>
                </w:tcPr>
                <w:p w14:paraId="3A6C6AA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w:t>
                  </w:r>
                </w:p>
              </w:tc>
              <w:tc>
                <w:tcPr>
                  <w:tcW w:w="469" w:type="pct"/>
                  <w:tcBorders>
                    <w:tl2br w:val="nil"/>
                    <w:tr2bl w:val="nil"/>
                  </w:tcBorders>
                  <w:vAlign w:val="center"/>
                </w:tcPr>
                <w:p w14:paraId="4572008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96" w:type="pct"/>
                  <w:vMerge w:val="restart"/>
                  <w:tcBorders>
                    <w:tl2br w:val="nil"/>
                    <w:tr2bl w:val="nil"/>
                  </w:tcBorders>
                  <w:vAlign w:val="center"/>
                </w:tcPr>
                <w:p w14:paraId="3C0163A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409" w:type="pct"/>
                  <w:tcBorders>
                    <w:tl2br w:val="nil"/>
                    <w:tr2bl w:val="nil"/>
                  </w:tcBorders>
                  <w:vAlign w:val="center"/>
                </w:tcPr>
                <w:p w14:paraId="37B6345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08" w:type="pct"/>
                  <w:vMerge w:val="restart"/>
                  <w:tcBorders>
                    <w:tl2br w:val="nil"/>
                    <w:tr2bl w:val="nil"/>
                  </w:tcBorders>
                  <w:vAlign w:val="center"/>
                </w:tcPr>
                <w:p w14:paraId="067AA899">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615" w:type="pct"/>
                  <w:tcBorders>
                    <w:tl2br w:val="nil"/>
                    <w:tr2bl w:val="nil"/>
                  </w:tcBorders>
                  <w:vAlign w:val="center"/>
                </w:tcPr>
                <w:p w14:paraId="285F45D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w:t>
                  </w:r>
                </w:p>
              </w:tc>
              <w:tc>
                <w:tcPr>
                  <w:tcW w:w="507" w:type="pct"/>
                  <w:tcBorders>
                    <w:tl2br w:val="nil"/>
                    <w:tr2bl w:val="nil"/>
                  </w:tcBorders>
                  <w:vAlign w:val="center"/>
                </w:tcPr>
                <w:p w14:paraId="64B9192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w:t>
                  </w:r>
                </w:p>
              </w:tc>
              <w:tc>
                <w:tcPr>
                  <w:tcW w:w="448" w:type="pct"/>
                  <w:tcBorders>
                    <w:tl2br w:val="nil"/>
                    <w:tr2bl w:val="nil"/>
                  </w:tcBorders>
                  <w:vAlign w:val="center"/>
                </w:tcPr>
                <w:p w14:paraId="3A0D222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4914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continue"/>
                  <w:tcBorders>
                    <w:tl2br w:val="nil"/>
                    <w:tr2bl w:val="nil"/>
                  </w:tcBorders>
                  <w:vAlign w:val="center"/>
                </w:tcPr>
                <w:p w14:paraId="4E785F8A">
                  <w:pPr>
                    <w:spacing w:line="240" w:lineRule="auto"/>
                    <w:ind w:firstLine="0" w:firstLineChars="0"/>
                    <w:jc w:val="center"/>
                    <w:rPr>
                      <w:color w:val="000000" w:themeColor="text1"/>
                      <w:sz w:val="21"/>
                      <w:szCs w:val="21"/>
                      <w14:textFill>
                        <w14:solidFill>
                          <w14:schemeClr w14:val="tx1"/>
                        </w14:solidFill>
                      </w14:textFill>
                    </w:rPr>
                  </w:pPr>
                </w:p>
              </w:tc>
              <w:tc>
                <w:tcPr>
                  <w:tcW w:w="150" w:type="pct"/>
                  <w:vMerge w:val="continue"/>
                  <w:tcBorders>
                    <w:tl2br w:val="nil"/>
                    <w:tr2bl w:val="nil"/>
                  </w:tcBorders>
                  <w:vAlign w:val="center"/>
                </w:tcPr>
                <w:p w14:paraId="5439073F">
                  <w:pPr>
                    <w:spacing w:line="240" w:lineRule="auto"/>
                    <w:ind w:firstLine="0" w:firstLineChars="0"/>
                    <w:jc w:val="center"/>
                    <w:rPr>
                      <w:color w:val="000000" w:themeColor="text1"/>
                      <w:sz w:val="21"/>
                      <w:szCs w:val="21"/>
                      <w14:textFill>
                        <w14:solidFill>
                          <w14:schemeClr w14:val="tx1"/>
                        </w14:solidFill>
                      </w14:textFill>
                    </w:rPr>
                  </w:pPr>
                </w:p>
              </w:tc>
              <w:tc>
                <w:tcPr>
                  <w:tcW w:w="382" w:type="pct"/>
                  <w:tcBorders>
                    <w:tl2br w:val="nil"/>
                    <w:tr2bl w:val="nil"/>
                  </w:tcBorders>
                  <w:vAlign w:val="center"/>
                </w:tcPr>
                <w:p w14:paraId="5CA2FCA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r>
                    <w:rPr>
                      <w:color w:val="000000" w:themeColor="text1"/>
                      <w:sz w:val="21"/>
                      <w:szCs w:val="21"/>
                      <w:vertAlign w:val="subscript"/>
                      <w14:textFill>
                        <w14:solidFill>
                          <w14:schemeClr w14:val="tx1"/>
                        </w14:solidFill>
                      </w14:textFill>
                    </w:rPr>
                    <w:t>cr</w:t>
                  </w:r>
                </w:p>
              </w:tc>
              <w:tc>
                <w:tcPr>
                  <w:tcW w:w="150" w:type="pct"/>
                  <w:vMerge w:val="continue"/>
                  <w:tcBorders>
                    <w:tl2br w:val="nil"/>
                    <w:tr2bl w:val="nil"/>
                  </w:tcBorders>
                  <w:vAlign w:val="center"/>
                </w:tcPr>
                <w:p w14:paraId="1E05B337">
                  <w:pPr>
                    <w:spacing w:line="240" w:lineRule="auto"/>
                    <w:ind w:firstLine="0" w:firstLineChars="0"/>
                    <w:jc w:val="center"/>
                    <w:rPr>
                      <w:color w:val="000000" w:themeColor="text1"/>
                      <w:sz w:val="21"/>
                      <w:szCs w:val="21"/>
                      <w14:textFill>
                        <w14:solidFill>
                          <w14:schemeClr w14:val="tx1"/>
                        </w14:solidFill>
                      </w14:textFill>
                    </w:rPr>
                  </w:pPr>
                </w:p>
              </w:tc>
              <w:tc>
                <w:tcPr>
                  <w:tcW w:w="483" w:type="pct"/>
                  <w:vMerge w:val="continue"/>
                  <w:tcBorders>
                    <w:tl2br w:val="nil"/>
                    <w:tr2bl w:val="nil"/>
                  </w:tcBorders>
                  <w:vAlign w:val="center"/>
                </w:tcPr>
                <w:p w14:paraId="52B154AE">
                  <w:pPr>
                    <w:spacing w:line="240" w:lineRule="auto"/>
                    <w:ind w:firstLine="0" w:firstLineChars="0"/>
                    <w:jc w:val="center"/>
                    <w:rPr>
                      <w:color w:val="000000" w:themeColor="text1"/>
                      <w:sz w:val="21"/>
                      <w:szCs w:val="21"/>
                      <w14:textFill>
                        <w14:solidFill>
                          <w14:schemeClr w14:val="tx1"/>
                        </w14:solidFill>
                      </w14:textFill>
                    </w:rPr>
                  </w:pPr>
                </w:p>
              </w:tc>
              <w:tc>
                <w:tcPr>
                  <w:tcW w:w="527" w:type="pct"/>
                  <w:tcBorders>
                    <w:tl2br w:val="nil"/>
                    <w:tr2bl w:val="nil"/>
                  </w:tcBorders>
                  <w:vAlign w:val="center"/>
                </w:tcPr>
                <w:p w14:paraId="4C29024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469" w:type="pct"/>
                  <w:tcBorders>
                    <w:tl2br w:val="nil"/>
                    <w:tr2bl w:val="nil"/>
                  </w:tcBorders>
                  <w:vAlign w:val="center"/>
                </w:tcPr>
                <w:p w14:paraId="48E08495">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0.077</w:t>
                  </w:r>
                </w:p>
              </w:tc>
              <w:tc>
                <w:tcPr>
                  <w:tcW w:w="396" w:type="pct"/>
                  <w:vMerge w:val="continue"/>
                  <w:tcBorders>
                    <w:tl2br w:val="nil"/>
                    <w:tr2bl w:val="nil"/>
                  </w:tcBorders>
                  <w:vAlign w:val="center"/>
                </w:tcPr>
                <w:p w14:paraId="7737C585">
                  <w:pPr>
                    <w:spacing w:line="240" w:lineRule="auto"/>
                    <w:ind w:firstLine="0" w:firstLineChars="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1A48D5D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08" w:type="pct"/>
                  <w:vMerge w:val="continue"/>
                  <w:tcBorders>
                    <w:tl2br w:val="nil"/>
                    <w:tr2bl w:val="nil"/>
                  </w:tcBorders>
                  <w:vAlign w:val="center"/>
                </w:tcPr>
                <w:p w14:paraId="298CEA78">
                  <w:pPr>
                    <w:spacing w:line="240" w:lineRule="auto"/>
                    <w:ind w:firstLine="0" w:firstLineChars="0"/>
                    <w:jc w:val="center"/>
                    <w:rPr>
                      <w:color w:val="000000" w:themeColor="text1"/>
                      <w:sz w:val="21"/>
                      <w:szCs w:val="21"/>
                      <w14:textFill>
                        <w14:solidFill>
                          <w14:schemeClr w14:val="tx1"/>
                        </w14:solidFill>
                      </w14:textFill>
                    </w:rPr>
                  </w:pPr>
                </w:p>
              </w:tc>
              <w:tc>
                <w:tcPr>
                  <w:tcW w:w="615" w:type="pct"/>
                  <w:tcBorders>
                    <w:tl2br w:val="nil"/>
                    <w:tr2bl w:val="nil"/>
                  </w:tcBorders>
                  <w:vAlign w:val="center"/>
                </w:tcPr>
                <w:p w14:paraId="61EA7C18">
                  <w:pPr>
                    <w:spacing w:line="240" w:lineRule="auto"/>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w:t>
                  </w:r>
                </w:p>
              </w:tc>
              <w:tc>
                <w:tcPr>
                  <w:tcW w:w="507" w:type="pct"/>
                  <w:tcBorders>
                    <w:tl2br w:val="nil"/>
                    <w:tr2bl w:val="nil"/>
                  </w:tcBorders>
                  <w:vAlign w:val="center"/>
                </w:tcPr>
                <w:p w14:paraId="436C48A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699" w:type="dxa"/>
                  <w:tcBorders>
                    <w:tl2br w:val="nil"/>
                    <w:tr2bl w:val="nil"/>
                  </w:tcBorders>
                  <w:vAlign w:val="center"/>
                </w:tcPr>
                <w:p w14:paraId="73F0A1F6">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0.077</w:t>
                  </w:r>
                </w:p>
              </w:tc>
            </w:tr>
            <w:tr w14:paraId="367F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continue"/>
                  <w:tcBorders>
                    <w:tl2br w:val="nil"/>
                    <w:tr2bl w:val="nil"/>
                  </w:tcBorders>
                  <w:vAlign w:val="center"/>
                </w:tcPr>
                <w:p w14:paraId="03B8E115">
                  <w:pPr>
                    <w:spacing w:line="240" w:lineRule="auto"/>
                    <w:ind w:firstLine="0" w:firstLineChars="0"/>
                    <w:jc w:val="center"/>
                    <w:rPr>
                      <w:color w:val="000000" w:themeColor="text1"/>
                      <w:sz w:val="21"/>
                      <w:szCs w:val="21"/>
                      <w14:textFill>
                        <w14:solidFill>
                          <w14:schemeClr w14:val="tx1"/>
                        </w14:solidFill>
                      </w14:textFill>
                    </w:rPr>
                  </w:pPr>
                </w:p>
              </w:tc>
              <w:tc>
                <w:tcPr>
                  <w:tcW w:w="150" w:type="pct"/>
                  <w:vMerge w:val="continue"/>
                  <w:tcBorders>
                    <w:tl2br w:val="nil"/>
                    <w:tr2bl w:val="nil"/>
                  </w:tcBorders>
                  <w:vAlign w:val="center"/>
                </w:tcPr>
                <w:p w14:paraId="630A6B2D">
                  <w:pPr>
                    <w:spacing w:line="240" w:lineRule="auto"/>
                    <w:ind w:firstLine="0" w:firstLineChars="0"/>
                    <w:jc w:val="center"/>
                    <w:rPr>
                      <w:color w:val="000000" w:themeColor="text1"/>
                      <w:sz w:val="21"/>
                      <w:szCs w:val="21"/>
                      <w14:textFill>
                        <w14:solidFill>
                          <w14:schemeClr w14:val="tx1"/>
                        </w14:solidFill>
                      </w14:textFill>
                    </w:rPr>
                  </w:pPr>
                </w:p>
              </w:tc>
              <w:tc>
                <w:tcPr>
                  <w:tcW w:w="382" w:type="pct"/>
                  <w:tcBorders>
                    <w:tl2br w:val="nil"/>
                    <w:tr2bl w:val="nil"/>
                  </w:tcBorders>
                  <w:vAlign w:val="center"/>
                </w:tcPr>
                <w:p w14:paraId="5D5A2CE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150" w:type="pct"/>
                  <w:vMerge w:val="continue"/>
                  <w:tcBorders>
                    <w:tl2br w:val="nil"/>
                    <w:tr2bl w:val="nil"/>
                  </w:tcBorders>
                  <w:vAlign w:val="center"/>
                </w:tcPr>
                <w:p w14:paraId="4888E62C">
                  <w:pPr>
                    <w:spacing w:line="240" w:lineRule="auto"/>
                    <w:ind w:firstLine="0" w:firstLineChars="0"/>
                    <w:jc w:val="center"/>
                    <w:rPr>
                      <w:color w:val="000000" w:themeColor="text1"/>
                      <w:sz w:val="21"/>
                      <w:szCs w:val="21"/>
                      <w14:textFill>
                        <w14:solidFill>
                          <w14:schemeClr w14:val="tx1"/>
                        </w14:solidFill>
                      </w14:textFill>
                    </w:rPr>
                  </w:pPr>
                </w:p>
              </w:tc>
              <w:tc>
                <w:tcPr>
                  <w:tcW w:w="483" w:type="pct"/>
                  <w:vMerge w:val="continue"/>
                  <w:tcBorders>
                    <w:tl2br w:val="nil"/>
                    <w:tr2bl w:val="nil"/>
                  </w:tcBorders>
                  <w:vAlign w:val="center"/>
                </w:tcPr>
                <w:p w14:paraId="13B6B987">
                  <w:pPr>
                    <w:spacing w:line="240" w:lineRule="auto"/>
                    <w:ind w:firstLine="0" w:firstLineChars="0"/>
                    <w:jc w:val="center"/>
                    <w:rPr>
                      <w:color w:val="000000" w:themeColor="text1"/>
                      <w:sz w:val="21"/>
                      <w:szCs w:val="21"/>
                      <w14:textFill>
                        <w14:solidFill>
                          <w14:schemeClr w14:val="tx1"/>
                        </w14:solidFill>
                      </w14:textFill>
                    </w:rPr>
                  </w:pPr>
                </w:p>
              </w:tc>
              <w:tc>
                <w:tcPr>
                  <w:tcW w:w="527" w:type="pct"/>
                  <w:tcBorders>
                    <w:tl2br w:val="nil"/>
                    <w:tr2bl w:val="nil"/>
                  </w:tcBorders>
                  <w:vAlign w:val="center"/>
                </w:tcPr>
                <w:p w14:paraId="5408745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w:t>
                  </w:r>
                </w:p>
              </w:tc>
              <w:tc>
                <w:tcPr>
                  <w:tcW w:w="469" w:type="pct"/>
                  <w:tcBorders>
                    <w:tl2br w:val="nil"/>
                    <w:tr2bl w:val="nil"/>
                  </w:tcBorders>
                  <w:vAlign w:val="center"/>
                </w:tcPr>
                <w:p w14:paraId="62D41D93">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0.038</w:t>
                  </w:r>
                </w:p>
              </w:tc>
              <w:tc>
                <w:tcPr>
                  <w:tcW w:w="396" w:type="pct"/>
                  <w:vMerge w:val="continue"/>
                  <w:tcBorders>
                    <w:tl2br w:val="nil"/>
                    <w:tr2bl w:val="nil"/>
                  </w:tcBorders>
                  <w:vAlign w:val="center"/>
                </w:tcPr>
                <w:p w14:paraId="2FAC29DA">
                  <w:pPr>
                    <w:spacing w:line="240" w:lineRule="auto"/>
                    <w:ind w:firstLine="0" w:firstLineChars="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45C5AD2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08" w:type="pct"/>
                  <w:vMerge w:val="continue"/>
                  <w:tcBorders>
                    <w:tl2br w:val="nil"/>
                    <w:tr2bl w:val="nil"/>
                  </w:tcBorders>
                  <w:vAlign w:val="center"/>
                </w:tcPr>
                <w:p w14:paraId="428F4605">
                  <w:pPr>
                    <w:spacing w:line="240" w:lineRule="auto"/>
                    <w:ind w:firstLine="0" w:firstLineChars="0"/>
                    <w:jc w:val="center"/>
                    <w:rPr>
                      <w:color w:val="000000" w:themeColor="text1"/>
                      <w:sz w:val="21"/>
                      <w:szCs w:val="21"/>
                      <w14:textFill>
                        <w14:solidFill>
                          <w14:schemeClr w14:val="tx1"/>
                        </w14:solidFill>
                      </w14:textFill>
                    </w:rPr>
                  </w:pPr>
                </w:p>
              </w:tc>
              <w:tc>
                <w:tcPr>
                  <w:tcW w:w="615" w:type="pct"/>
                  <w:tcBorders>
                    <w:tl2br w:val="nil"/>
                    <w:tr2bl w:val="nil"/>
                  </w:tcBorders>
                  <w:vAlign w:val="center"/>
                </w:tcPr>
                <w:p w14:paraId="6F183CC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00</w:t>
                  </w:r>
                </w:p>
              </w:tc>
              <w:tc>
                <w:tcPr>
                  <w:tcW w:w="507" w:type="pct"/>
                  <w:tcBorders>
                    <w:tl2br w:val="nil"/>
                    <w:tr2bl w:val="nil"/>
                  </w:tcBorders>
                  <w:vAlign w:val="center"/>
                </w:tcPr>
                <w:p w14:paraId="26610DB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w:t>
                  </w:r>
                </w:p>
              </w:tc>
              <w:tc>
                <w:tcPr>
                  <w:tcW w:w="699" w:type="dxa"/>
                  <w:tcBorders>
                    <w:tl2br w:val="nil"/>
                    <w:tr2bl w:val="nil"/>
                  </w:tcBorders>
                  <w:vAlign w:val="center"/>
                </w:tcPr>
                <w:p w14:paraId="7DAE455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0.038</w:t>
                  </w:r>
                </w:p>
              </w:tc>
            </w:tr>
            <w:tr w14:paraId="7EA7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continue"/>
                  <w:tcBorders>
                    <w:tl2br w:val="nil"/>
                    <w:tr2bl w:val="nil"/>
                  </w:tcBorders>
                  <w:vAlign w:val="center"/>
                </w:tcPr>
                <w:p w14:paraId="5C066A1A">
                  <w:pPr>
                    <w:spacing w:line="240" w:lineRule="auto"/>
                    <w:ind w:firstLine="0" w:firstLineChars="0"/>
                    <w:jc w:val="center"/>
                    <w:rPr>
                      <w:color w:val="000000" w:themeColor="text1"/>
                      <w:sz w:val="21"/>
                      <w:szCs w:val="21"/>
                      <w14:textFill>
                        <w14:solidFill>
                          <w14:schemeClr w14:val="tx1"/>
                        </w14:solidFill>
                      </w14:textFill>
                    </w:rPr>
                  </w:pPr>
                </w:p>
              </w:tc>
              <w:tc>
                <w:tcPr>
                  <w:tcW w:w="150" w:type="pct"/>
                  <w:vMerge w:val="continue"/>
                  <w:tcBorders>
                    <w:tl2br w:val="nil"/>
                    <w:tr2bl w:val="nil"/>
                  </w:tcBorders>
                  <w:vAlign w:val="center"/>
                </w:tcPr>
                <w:p w14:paraId="1F4F9D78">
                  <w:pPr>
                    <w:spacing w:line="240" w:lineRule="auto"/>
                    <w:ind w:firstLine="0" w:firstLineChars="0"/>
                    <w:jc w:val="center"/>
                    <w:rPr>
                      <w:color w:val="000000" w:themeColor="text1"/>
                      <w:sz w:val="21"/>
                      <w:szCs w:val="21"/>
                      <w14:textFill>
                        <w14:solidFill>
                          <w14:schemeClr w14:val="tx1"/>
                        </w14:solidFill>
                      </w14:textFill>
                    </w:rPr>
                  </w:pPr>
                </w:p>
              </w:tc>
              <w:tc>
                <w:tcPr>
                  <w:tcW w:w="382" w:type="pct"/>
                  <w:tcBorders>
                    <w:tl2br w:val="nil"/>
                    <w:tr2bl w:val="nil"/>
                  </w:tcBorders>
                  <w:vAlign w:val="center"/>
                </w:tcPr>
                <w:p w14:paraId="7FD27A5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150" w:type="pct"/>
                  <w:vMerge w:val="continue"/>
                  <w:tcBorders>
                    <w:tl2br w:val="nil"/>
                    <w:tr2bl w:val="nil"/>
                  </w:tcBorders>
                  <w:vAlign w:val="center"/>
                </w:tcPr>
                <w:p w14:paraId="133A01D2">
                  <w:pPr>
                    <w:spacing w:line="240" w:lineRule="auto"/>
                    <w:ind w:firstLine="0" w:firstLineChars="0"/>
                    <w:jc w:val="center"/>
                    <w:rPr>
                      <w:color w:val="000000" w:themeColor="text1"/>
                      <w:sz w:val="21"/>
                      <w:szCs w:val="21"/>
                      <w14:textFill>
                        <w14:solidFill>
                          <w14:schemeClr w14:val="tx1"/>
                        </w14:solidFill>
                      </w14:textFill>
                    </w:rPr>
                  </w:pPr>
                </w:p>
              </w:tc>
              <w:tc>
                <w:tcPr>
                  <w:tcW w:w="483" w:type="pct"/>
                  <w:vMerge w:val="continue"/>
                  <w:tcBorders>
                    <w:tl2br w:val="nil"/>
                    <w:tr2bl w:val="nil"/>
                  </w:tcBorders>
                  <w:vAlign w:val="center"/>
                </w:tcPr>
                <w:p w14:paraId="4B6AEE3A">
                  <w:pPr>
                    <w:spacing w:line="240" w:lineRule="auto"/>
                    <w:ind w:firstLine="0" w:firstLineChars="0"/>
                    <w:jc w:val="center"/>
                    <w:rPr>
                      <w:color w:val="000000" w:themeColor="text1"/>
                      <w:sz w:val="21"/>
                      <w:szCs w:val="21"/>
                      <w14:textFill>
                        <w14:solidFill>
                          <w14:schemeClr w14:val="tx1"/>
                        </w14:solidFill>
                      </w14:textFill>
                    </w:rPr>
                  </w:pPr>
                </w:p>
              </w:tc>
              <w:tc>
                <w:tcPr>
                  <w:tcW w:w="527" w:type="pct"/>
                  <w:tcBorders>
                    <w:tl2br w:val="nil"/>
                    <w:tr2bl w:val="nil"/>
                  </w:tcBorders>
                  <w:vAlign w:val="center"/>
                </w:tcPr>
                <w:p w14:paraId="4CE6071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w:t>
                  </w:r>
                </w:p>
              </w:tc>
              <w:tc>
                <w:tcPr>
                  <w:tcW w:w="469" w:type="pct"/>
                  <w:tcBorders>
                    <w:tl2br w:val="nil"/>
                    <w:tr2bl w:val="nil"/>
                  </w:tcBorders>
                  <w:vAlign w:val="center"/>
                </w:tcPr>
                <w:p w14:paraId="1DDA15BB">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0.038</w:t>
                  </w:r>
                </w:p>
              </w:tc>
              <w:tc>
                <w:tcPr>
                  <w:tcW w:w="396" w:type="pct"/>
                  <w:vMerge w:val="continue"/>
                  <w:tcBorders>
                    <w:tl2br w:val="nil"/>
                    <w:tr2bl w:val="nil"/>
                  </w:tcBorders>
                  <w:vAlign w:val="center"/>
                </w:tcPr>
                <w:p w14:paraId="31C23F55">
                  <w:pPr>
                    <w:spacing w:line="240" w:lineRule="auto"/>
                    <w:ind w:firstLine="0" w:firstLineChars="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736B062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08" w:type="pct"/>
                  <w:vMerge w:val="continue"/>
                  <w:tcBorders>
                    <w:tl2br w:val="nil"/>
                    <w:tr2bl w:val="nil"/>
                  </w:tcBorders>
                  <w:vAlign w:val="center"/>
                </w:tcPr>
                <w:p w14:paraId="31E163C4">
                  <w:pPr>
                    <w:spacing w:line="240" w:lineRule="auto"/>
                    <w:ind w:firstLine="420"/>
                    <w:jc w:val="center"/>
                    <w:rPr>
                      <w:color w:val="000000" w:themeColor="text1"/>
                      <w:sz w:val="21"/>
                      <w:szCs w:val="21"/>
                      <w14:textFill>
                        <w14:solidFill>
                          <w14:schemeClr w14:val="tx1"/>
                        </w14:solidFill>
                      </w14:textFill>
                    </w:rPr>
                  </w:pPr>
                </w:p>
              </w:tc>
              <w:tc>
                <w:tcPr>
                  <w:tcW w:w="615" w:type="pct"/>
                  <w:tcBorders>
                    <w:tl2br w:val="nil"/>
                    <w:tr2bl w:val="nil"/>
                  </w:tcBorders>
                  <w:vAlign w:val="center"/>
                </w:tcPr>
                <w:p w14:paraId="61A6DC4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00</w:t>
                  </w:r>
                </w:p>
              </w:tc>
              <w:tc>
                <w:tcPr>
                  <w:tcW w:w="507" w:type="pct"/>
                  <w:tcBorders>
                    <w:tl2br w:val="nil"/>
                    <w:tr2bl w:val="nil"/>
                  </w:tcBorders>
                  <w:vAlign w:val="center"/>
                </w:tcPr>
                <w:p w14:paraId="5FF92CB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w:t>
                  </w:r>
                </w:p>
              </w:tc>
              <w:tc>
                <w:tcPr>
                  <w:tcW w:w="699" w:type="dxa"/>
                  <w:tcBorders>
                    <w:tl2br w:val="nil"/>
                    <w:tr2bl w:val="nil"/>
                  </w:tcBorders>
                  <w:vAlign w:val="center"/>
                </w:tcPr>
                <w:p w14:paraId="2540749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0.038</w:t>
                  </w:r>
                </w:p>
              </w:tc>
            </w:tr>
            <w:tr w14:paraId="21AF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continue"/>
                  <w:tcBorders>
                    <w:tl2br w:val="nil"/>
                    <w:tr2bl w:val="nil"/>
                  </w:tcBorders>
                  <w:vAlign w:val="center"/>
                </w:tcPr>
                <w:p w14:paraId="3C1F5421">
                  <w:pPr>
                    <w:spacing w:line="240" w:lineRule="auto"/>
                    <w:ind w:firstLine="0" w:firstLineChars="0"/>
                    <w:jc w:val="center"/>
                    <w:rPr>
                      <w:color w:val="000000" w:themeColor="text1"/>
                      <w:sz w:val="21"/>
                      <w:szCs w:val="21"/>
                      <w14:textFill>
                        <w14:solidFill>
                          <w14:schemeClr w14:val="tx1"/>
                        </w14:solidFill>
                      </w14:textFill>
                    </w:rPr>
                  </w:pPr>
                </w:p>
              </w:tc>
              <w:tc>
                <w:tcPr>
                  <w:tcW w:w="150" w:type="pct"/>
                  <w:vMerge w:val="continue"/>
                  <w:tcBorders>
                    <w:tl2br w:val="nil"/>
                    <w:tr2bl w:val="nil"/>
                  </w:tcBorders>
                  <w:vAlign w:val="center"/>
                </w:tcPr>
                <w:p w14:paraId="4B0BAC53">
                  <w:pPr>
                    <w:spacing w:line="240" w:lineRule="auto"/>
                    <w:ind w:firstLine="0" w:firstLineChars="0"/>
                    <w:jc w:val="center"/>
                    <w:rPr>
                      <w:color w:val="000000" w:themeColor="text1"/>
                      <w:sz w:val="21"/>
                      <w:szCs w:val="21"/>
                      <w14:textFill>
                        <w14:solidFill>
                          <w14:schemeClr w14:val="tx1"/>
                        </w14:solidFill>
                      </w14:textFill>
                    </w:rPr>
                  </w:pPr>
                </w:p>
              </w:tc>
              <w:tc>
                <w:tcPr>
                  <w:tcW w:w="382" w:type="pct"/>
                  <w:tcBorders>
                    <w:tl2br w:val="nil"/>
                    <w:tr2bl w:val="nil"/>
                  </w:tcBorders>
                  <w:vAlign w:val="center"/>
                </w:tcPr>
                <w:p w14:paraId="207296F5">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LAS</w:t>
                  </w:r>
                </w:p>
              </w:tc>
              <w:tc>
                <w:tcPr>
                  <w:tcW w:w="150" w:type="pct"/>
                  <w:vMerge w:val="continue"/>
                  <w:tcBorders>
                    <w:tl2br w:val="nil"/>
                    <w:tr2bl w:val="nil"/>
                  </w:tcBorders>
                  <w:vAlign w:val="center"/>
                </w:tcPr>
                <w:p w14:paraId="05ACBC94">
                  <w:pPr>
                    <w:spacing w:line="240" w:lineRule="auto"/>
                    <w:ind w:firstLine="0" w:firstLineChars="0"/>
                    <w:jc w:val="center"/>
                    <w:rPr>
                      <w:color w:val="000000" w:themeColor="text1"/>
                      <w:sz w:val="21"/>
                      <w:szCs w:val="21"/>
                      <w14:textFill>
                        <w14:solidFill>
                          <w14:schemeClr w14:val="tx1"/>
                        </w14:solidFill>
                      </w14:textFill>
                    </w:rPr>
                  </w:pPr>
                </w:p>
              </w:tc>
              <w:tc>
                <w:tcPr>
                  <w:tcW w:w="483" w:type="pct"/>
                  <w:vMerge w:val="continue"/>
                  <w:tcBorders>
                    <w:tl2br w:val="nil"/>
                    <w:tr2bl w:val="nil"/>
                  </w:tcBorders>
                  <w:vAlign w:val="center"/>
                </w:tcPr>
                <w:p w14:paraId="16A12CD6">
                  <w:pPr>
                    <w:spacing w:line="240" w:lineRule="auto"/>
                    <w:ind w:firstLine="0" w:firstLineChars="0"/>
                    <w:jc w:val="center"/>
                    <w:rPr>
                      <w:color w:val="000000" w:themeColor="text1"/>
                      <w:sz w:val="21"/>
                      <w:szCs w:val="21"/>
                      <w14:textFill>
                        <w14:solidFill>
                          <w14:schemeClr w14:val="tx1"/>
                        </w14:solidFill>
                      </w14:textFill>
                    </w:rPr>
                  </w:pPr>
                </w:p>
              </w:tc>
              <w:tc>
                <w:tcPr>
                  <w:tcW w:w="527" w:type="pct"/>
                  <w:tcBorders>
                    <w:tl2br w:val="nil"/>
                    <w:tr2bl w:val="nil"/>
                  </w:tcBorders>
                  <w:vAlign w:val="center"/>
                </w:tcPr>
                <w:p w14:paraId="14AF8BA2">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469" w:type="pct"/>
                  <w:tcBorders>
                    <w:tl2br w:val="nil"/>
                    <w:tr2bl w:val="nil"/>
                  </w:tcBorders>
                  <w:vAlign w:val="center"/>
                </w:tcPr>
                <w:p w14:paraId="11DCB340">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w:t>
                  </w:r>
                </w:p>
              </w:tc>
              <w:tc>
                <w:tcPr>
                  <w:tcW w:w="396" w:type="pct"/>
                  <w:vMerge w:val="continue"/>
                  <w:tcBorders>
                    <w:tl2br w:val="nil"/>
                    <w:tr2bl w:val="nil"/>
                  </w:tcBorders>
                  <w:vAlign w:val="center"/>
                </w:tcPr>
                <w:p w14:paraId="31305A00">
                  <w:pPr>
                    <w:spacing w:line="240" w:lineRule="auto"/>
                    <w:ind w:firstLine="0" w:firstLineChars="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10AC409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308" w:type="pct"/>
                  <w:vMerge w:val="continue"/>
                  <w:tcBorders>
                    <w:tl2br w:val="nil"/>
                    <w:tr2bl w:val="nil"/>
                  </w:tcBorders>
                  <w:vAlign w:val="center"/>
                </w:tcPr>
                <w:p w14:paraId="0CA03FF7">
                  <w:pPr>
                    <w:spacing w:line="240" w:lineRule="auto"/>
                    <w:ind w:firstLine="0" w:firstLineChars="0"/>
                    <w:jc w:val="center"/>
                    <w:rPr>
                      <w:color w:val="000000" w:themeColor="text1"/>
                      <w:sz w:val="21"/>
                      <w:szCs w:val="21"/>
                      <w14:textFill>
                        <w14:solidFill>
                          <w14:schemeClr w14:val="tx1"/>
                        </w14:solidFill>
                      </w14:textFill>
                    </w:rPr>
                  </w:pPr>
                </w:p>
              </w:tc>
              <w:tc>
                <w:tcPr>
                  <w:tcW w:w="615" w:type="pct"/>
                  <w:tcBorders>
                    <w:tl2br w:val="nil"/>
                    <w:tr2bl w:val="nil"/>
                  </w:tcBorders>
                  <w:vAlign w:val="center"/>
                </w:tcPr>
                <w:p w14:paraId="5619334E">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507" w:type="pct"/>
                  <w:tcBorders>
                    <w:tl2br w:val="nil"/>
                    <w:tr2bl w:val="nil"/>
                  </w:tcBorders>
                  <w:vAlign w:val="center"/>
                </w:tcPr>
                <w:p w14:paraId="671B8821">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699" w:type="dxa"/>
                  <w:tcBorders>
                    <w:tl2br w:val="nil"/>
                    <w:tr2bl w:val="nil"/>
                  </w:tcBorders>
                  <w:vAlign w:val="center"/>
                </w:tcPr>
                <w:p w14:paraId="42010483">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w:t>
                  </w:r>
                </w:p>
              </w:tc>
            </w:tr>
            <w:tr w14:paraId="37AC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continue"/>
                  <w:tcBorders>
                    <w:tl2br w:val="nil"/>
                    <w:tr2bl w:val="nil"/>
                  </w:tcBorders>
                  <w:vAlign w:val="center"/>
                </w:tcPr>
                <w:p w14:paraId="67797AB1">
                  <w:pPr>
                    <w:spacing w:line="240" w:lineRule="auto"/>
                    <w:ind w:firstLine="0" w:firstLineChars="0"/>
                    <w:jc w:val="center"/>
                    <w:rPr>
                      <w:color w:val="000000" w:themeColor="text1"/>
                      <w:sz w:val="21"/>
                      <w:szCs w:val="21"/>
                      <w14:textFill>
                        <w14:solidFill>
                          <w14:schemeClr w14:val="tx1"/>
                        </w14:solidFill>
                      </w14:textFill>
                    </w:rPr>
                  </w:pPr>
                </w:p>
              </w:tc>
              <w:tc>
                <w:tcPr>
                  <w:tcW w:w="150" w:type="pct"/>
                  <w:vMerge w:val="continue"/>
                  <w:tcBorders>
                    <w:tl2br w:val="nil"/>
                    <w:tr2bl w:val="nil"/>
                  </w:tcBorders>
                  <w:vAlign w:val="center"/>
                </w:tcPr>
                <w:p w14:paraId="76FC343F">
                  <w:pPr>
                    <w:spacing w:line="240" w:lineRule="auto"/>
                    <w:ind w:firstLine="0" w:firstLineChars="0"/>
                    <w:jc w:val="center"/>
                    <w:rPr>
                      <w:color w:val="000000" w:themeColor="text1"/>
                      <w:sz w:val="21"/>
                      <w:szCs w:val="21"/>
                      <w14:textFill>
                        <w14:solidFill>
                          <w14:schemeClr w14:val="tx1"/>
                        </w14:solidFill>
                      </w14:textFill>
                    </w:rPr>
                  </w:pPr>
                </w:p>
              </w:tc>
              <w:tc>
                <w:tcPr>
                  <w:tcW w:w="382" w:type="pct"/>
                  <w:tcBorders>
                    <w:tl2br w:val="nil"/>
                    <w:tr2bl w:val="nil"/>
                  </w:tcBorders>
                  <w:vAlign w:val="center"/>
                </w:tcPr>
                <w:p w14:paraId="790D7AE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w:t>
                  </w:r>
                </w:p>
              </w:tc>
              <w:tc>
                <w:tcPr>
                  <w:tcW w:w="150" w:type="pct"/>
                  <w:vMerge w:val="continue"/>
                  <w:tcBorders>
                    <w:tl2br w:val="nil"/>
                    <w:tr2bl w:val="nil"/>
                  </w:tcBorders>
                  <w:vAlign w:val="center"/>
                </w:tcPr>
                <w:p w14:paraId="19648F29">
                  <w:pPr>
                    <w:spacing w:line="240" w:lineRule="auto"/>
                    <w:ind w:firstLine="0" w:firstLineChars="0"/>
                    <w:jc w:val="center"/>
                    <w:rPr>
                      <w:color w:val="000000" w:themeColor="text1"/>
                      <w:sz w:val="21"/>
                      <w:szCs w:val="21"/>
                      <w14:textFill>
                        <w14:solidFill>
                          <w14:schemeClr w14:val="tx1"/>
                        </w14:solidFill>
                      </w14:textFill>
                    </w:rPr>
                  </w:pPr>
                </w:p>
              </w:tc>
              <w:tc>
                <w:tcPr>
                  <w:tcW w:w="483" w:type="pct"/>
                  <w:vMerge w:val="continue"/>
                  <w:tcBorders>
                    <w:tl2br w:val="nil"/>
                    <w:tr2bl w:val="nil"/>
                  </w:tcBorders>
                  <w:vAlign w:val="center"/>
                </w:tcPr>
                <w:p w14:paraId="2D9BBE75">
                  <w:pPr>
                    <w:spacing w:line="240" w:lineRule="auto"/>
                    <w:ind w:firstLine="0" w:firstLineChars="0"/>
                    <w:jc w:val="center"/>
                    <w:rPr>
                      <w:color w:val="000000" w:themeColor="text1"/>
                      <w:sz w:val="21"/>
                      <w:szCs w:val="21"/>
                      <w14:textFill>
                        <w14:solidFill>
                          <w14:schemeClr w14:val="tx1"/>
                        </w14:solidFill>
                      </w14:textFill>
                    </w:rPr>
                  </w:pPr>
                </w:p>
              </w:tc>
              <w:tc>
                <w:tcPr>
                  <w:tcW w:w="527" w:type="pct"/>
                  <w:tcBorders>
                    <w:tl2br w:val="nil"/>
                    <w:tr2bl w:val="nil"/>
                  </w:tcBorders>
                  <w:vAlign w:val="center"/>
                </w:tcPr>
                <w:p w14:paraId="0317BB2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w:t>
                  </w:r>
                </w:p>
              </w:tc>
              <w:tc>
                <w:tcPr>
                  <w:tcW w:w="469" w:type="pct"/>
                  <w:tcBorders>
                    <w:tl2br w:val="nil"/>
                    <w:tr2bl w:val="nil"/>
                  </w:tcBorders>
                  <w:vAlign w:val="center"/>
                </w:tcPr>
                <w:p w14:paraId="08D0ED1C">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0.007</w:t>
                  </w:r>
                </w:p>
              </w:tc>
              <w:tc>
                <w:tcPr>
                  <w:tcW w:w="396" w:type="pct"/>
                  <w:vMerge w:val="continue"/>
                  <w:tcBorders>
                    <w:tl2br w:val="nil"/>
                    <w:tr2bl w:val="nil"/>
                  </w:tcBorders>
                  <w:vAlign w:val="center"/>
                </w:tcPr>
                <w:p w14:paraId="3098E6BA">
                  <w:pPr>
                    <w:spacing w:line="240" w:lineRule="auto"/>
                    <w:ind w:firstLine="0" w:firstLineChars="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13C3CB4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08" w:type="pct"/>
                  <w:vMerge w:val="continue"/>
                  <w:tcBorders>
                    <w:tl2br w:val="nil"/>
                    <w:tr2bl w:val="nil"/>
                  </w:tcBorders>
                  <w:vAlign w:val="center"/>
                </w:tcPr>
                <w:p w14:paraId="52183ECA">
                  <w:pPr>
                    <w:spacing w:line="240" w:lineRule="auto"/>
                    <w:ind w:firstLine="0" w:firstLineChars="0"/>
                    <w:jc w:val="center"/>
                    <w:rPr>
                      <w:color w:val="000000" w:themeColor="text1"/>
                      <w:sz w:val="21"/>
                      <w:szCs w:val="21"/>
                      <w14:textFill>
                        <w14:solidFill>
                          <w14:schemeClr w14:val="tx1"/>
                        </w14:solidFill>
                      </w14:textFill>
                    </w:rPr>
                  </w:pPr>
                </w:p>
              </w:tc>
              <w:tc>
                <w:tcPr>
                  <w:tcW w:w="615" w:type="pct"/>
                  <w:tcBorders>
                    <w:tl2br w:val="nil"/>
                    <w:tr2bl w:val="nil"/>
                  </w:tcBorders>
                  <w:vAlign w:val="center"/>
                </w:tcPr>
                <w:p w14:paraId="3755782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5</w:t>
                  </w:r>
                </w:p>
              </w:tc>
              <w:tc>
                <w:tcPr>
                  <w:tcW w:w="507" w:type="pct"/>
                  <w:tcBorders>
                    <w:tl2br w:val="nil"/>
                    <w:tr2bl w:val="nil"/>
                  </w:tcBorders>
                  <w:vAlign w:val="center"/>
                </w:tcPr>
                <w:p w14:paraId="7DA54C9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w:t>
                  </w:r>
                </w:p>
              </w:tc>
              <w:tc>
                <w:tcPr>
                  <w:tcW w:w="699" w:type="dxa"/>
                  <w:tcBorders>
                    <w:tl2br w:val="nil"/>
                    <w:tr2bl w:val="nil"/>
                  </w:tcBorders>
                  <w:vAlign w:val="center"/>
                </w:tcPr>
                <w:p w14:paraId="1AEA1C9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0.007</w:t>
                  </w:r>
                </w:p>
              </w:tc>
            </w:tr>
            <w:tr w14:paraId="6280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restart"/>
                  <w:tcBorders>
                    <w:tl2br w:val="nil"/>
                    <w:tr2bl w:val="nil"/>
                  </w:tcBorders>
                  <w:vAlign w:val="center"/>
                </w:tcPr>
                <w:p w14:paraId="64D3B72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纯水</w:t>
                  </w:r>
                </w:p>
              </w:tc>
              <w:tc>
                <w:tcPr>
                  <w:tcW w:w="150" w:type="pct"/>
                  <w:vMerge w:val="restart"/>
                  <w:tcBorders>
                    <w:tl2br w:val="nil"/>
                    <w:tr2bl w:val="nil"/>
                  </w:tcBorders>
                  <w:vAlign w:val="center"/>
                </w:tcPr>
                <w:p w14:paraId="01F2CD3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浓水</w:t>
                  </w:r>
                </w:p>
              </w:tc>
              <w:tc>
                <w:tcPr>
                  <w:tcW w:w="382" w:type="pct"/>
                  <w:tcBorders>
                    <w:tl2br w:val="nil"/>
                    <w:tr2bl w:val="nil"/>
                  </w:tcBorders>
                  <w:vAlign w:val="center"/>
                </w:tcPr>
                <w:p w14:paraId="140E068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COD</w:t>
                  </w:r>
                </w:p>
              </w:tc>
              <w:tc>
                <w:tcPr>
                  <w:tcW w:w="150" w:type="pct"/>
                  <w:vMerge w:val="restart"/>
                  <w:tcBorders>
                    <w:tl2br w:val="nil"/>
                    <w:tr2bl w:val="nil"/>
                  </w:tcBorders>
                  <w:vAlign w:val="center"/>
                </w:tcPr>
                <w:p w14:paraId="513B668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类比</w:t>
                  </w:r>
                </w:p>
              </w:tc>
              <w:tc>
                <w:tcPr>
                  <w:tcW w:w="483" w:type="pct"/>
                  <w:vMerge w:val="restart"/>
                  <w:tcBorders>
                    <w:tl2br w:val="nil"/>
                    <w:tr2bl w:val="nil"/>
                  </w:tcBorders>
                  <w:vAlign w:val="center"/>
                </w:tcPr>
                <w:p w14:paraId="456588C9">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1.70</w:t>
                  </w:r>
                </w:p>
              </w:tc>
              <w:tc>
                <w:tcPr>
                  <w:tcW w:w="527" w:type="pct"/>
                  <w:tcBorders>
                    <w:tl2br w:val="nil"/>
                    <w:tr2bl w:val="nil"/>
                  </w:tcBorders>
                  <w:vAlign w:val="center"/>
                </w:tcPr>
                <w:p w14:paraId="0F5F9962">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w:t>
                  </w:r>
                </w:p>
              </w:tc>
              <w:tc>
                <w:tcPr>
                  <w:tcW w:w="469" w:type="pct"/>
                  <w:tcBorders>
                    <w:tl2br w:val="nil"/>
                    <w:tr2bl w:val="nil"/>
                  </w:tcBorders>
                  <w:vAlign w:val="center"/>
                </w:tcPr>
                <w:p w14:paraId="1A7BCFD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0.00006</w:t>
                  </w:r>
                </w:p>
              </w:tc>
              <w:tc>
                <w:tcPr>
                  <w:tcW w:w="396" w:type="pct"/>
                  <w:vMerge w:val="restart"/>
                  <w:tcBorders>
                    <w:tl2br w:val="nil"/>
                    <w:tr2bl w:val="nil"/>
                  </w:tcBorders>
                  <w:vAlign w:val="center"/>
                </w:tcPr>
                <w:p w14:paraId="374323C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409" w:type="pct"/>
                  <w:tcBorders>
                    <w:tl2br w:val="nil"/>
                    <w:tr2bl w:val="nil"/>
                  </w:tcBorders>
                  <w:vAlign w:val="center"/>
                </w:tcPr>
                <w:p w14:paraId="1ACE235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08" w:type="pct"/>
                  <w:vMerge w:val="restart"/>
                  <w:tcBorders>
                    <w:tl2br w:val="nil"/>
                    <w:tr2bl w:val="nil"/>
                  </w:tcBorders>
                  <w:vAlign w:val="center"/>
                </w:tcPr>
                <w:p w14:paraId="57015D56">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615" w:type="pct"/>
                  <w:tcBorders>
                    <w:tl2br w:val="nil"/>
                    <w:tr2bl w:val="nil"/>
                  </w:tcBorders>
                  <w:vAlign w:val="center"/>
                </w:tcPr>
                <w:p w14:paraId="62DFBA8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00</w:t>
                  </w:r>
                </w:p>
              </w:tc>
              <w:tc>
                <w:tcPr>
                  <w:tcW w:w="507" w:type="pct"/>
                  <w:tcBorders>
                    <w:tl2br w:val="nil"/>
                    <w:tr2bl w:val="nil"/>
                  </w:tcBorders>
                  <w:vAlign w:val="center"/>
                </w:tcPr>
                <w:p w14:paraId="36901B9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0</w:t>
                  </w:r>
                </w:p>
              </w:tc>
              <w:tc>
                <w:tcPr>
                  <w:tcW w:w="699" w:type="dxa"/>
                  <w:tcBorders>
                    <w:tl2br w:val="nil"/>
                    <w:tr2bl w:val="nil"/>
                  </w:tcBorders>
                  <w:vAlign w:val="center"/>
                </w:tcPr>
                <w:p w14:paraId="0D86563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0.00006</w:t>
                  </w:r>
                </w:p>
              </w:tc>
            </w:tr>
            <w:tr w14:paraId="3BC8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continue"/>
                  <w:tcBorders>
                    <w:tl2br w:val="nil"/>
                    <w:tr2bl w:val="nil"/>
                  </w:tcBorders>
                  <w:vAlign w:val="center"/>
                </w:tcPr>
                <w:p w14:paraId="07298C73">
                  <w:pPr>
                    <w:spacing w:line="240" w:lineRule="auto"/>
                    <w:ind w:firstLine="0" w:firstLineChars="0"/>
                    <w:jc w:val="center"/>
                    <w:rPr>
                      <w:color w:val="000000" w:themeColor="text1"/>
                      <w:sz w:val="21"/>
                      <w:szCs w:val="21"/>
                      <w14:textFill>
                        <w14:solidFill>
                          <w14:schemeClr w14:val="tx1"/>
                        </w14:solidFill>
                      </w14:textFill>
                    </w:rPr>
                  </w:pPr>
                </w:p>
              </w:tc>
              <w:tc>
                <w:tcPr>
                  <w:tcW w:w="150" w:type="pct"/>
                  <w:vMerge w:val="continue"/>
                  <w:tcBorders>
                    <w:tl2br w:val="nil"/>
                    <w:tr2bl w:val="nil"/>
                  </w:tcBorders>
                  <w:vAlign w:val="center"/>
                </w:tcPr>
                <w:p w14:paraId="223A6886">
                  <w:pPr>
                    <w:spacing w:line="240" w:lineRule="auto"/>
                    <w:ind w:firstLine="0" w:firstLineChars="0"/>
                    <w:jc w:val="center"/>
                    <w:rPr>
                      <w:color w:val="000000" w:themeColor="text1"/>
                      <w:sz w:val="21"/>
                      <w:szCs w:val="21"/>
                      <w14:textFill>
                        <w14:solidFill>
                          <w14:schemeClr w14:val="tx1"/>
                        </w14:solidFill>
                      </w14:textFill>
                    </w:rPr>
                  </w:pPr>
                </w:p>
              </w:tc>
              <w:tc>
                <w:tcPr>
                  <w:tcW w:w="382" w:type="pct"/>
                  <w:tcBorders>
                    <w:tl2br w:val="nil"/>
                    <w:tr2bl w:val="nil"/>
                  </w:tcBorders>
                  <w:vAlign w:val="center"/>
                </w:tcPr>
                <w:p w14:paraId="1ABBC76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SS</w:t>
                  </w:r>
                </w:p>
              </w:tc>
              <w:tc>
                <w:tcPr>
                  <w:tcW w:w="150" w:type="pct"/>
                  <w:vMerge w:val="continue"/>
                  <w:tcBorders>
                    <w:tl2br w:val="nil"/>
                    <w:tr2bl w:val="nil"/>
                  </w:tcBorders>
                  <w:vAlign w:val="center"/>
                </w:tcPr>
                <w:p w14:paraId="2D0AE1A8">
                  <w:pPr>
                    <w:spacing w:line="240" w:lineRule="auto"/>
                    <w:ind w:firstLine="0" w:firstLineChars="0"/>
                    <w:jc w:val="center"/>
                    <w:rPr>
                      <w:color w:val="000000" w:themeColor="text1"/>
                      <w:sz w:val="21"/>
                      <w:szCs w:val="21"/>
                      <w14:textFill>
                        <w14:solidFill>
                          <w14:schemeClr w14:val="tx1"/>
                        </w14:solidFill>
                      </w14:textFill>
                    </w:rPr>
                  </w:pPr>
                </w:p>
              </w:tc>
              <w:tc>
                <w:tcPr>
                  <w:tcW w:w="483" w:type="pct"/>
                  <w:vMerge w:val="continue"/>
                  <w:tcBorders>
                    <w:tl2br w:val="nil"/>
                    <w:tr2bl w:val="nil"/>
                  </w:tcBorders>
                  <w:vAlign w:val="center"/>
                </w:tcPr>
                <w:p w14:paraId="34D4981F">
                  <w:pPr>
                    <w:spacing w:line="240" w:lineRule="auto"/>
                    <w:ind w:firstLine="0" w:firstLineChars="0"/>
                    <w:jc w:val="center"/>
                    <w:rPr>
                      <w:color w:val="000000" w:themeColor="text1"/>
                      <w:sz w:val="21"/>
                      <w:szCs w:val="21"/>
                      <w14:textFill>
                        <w14:solidFill>
                          <w14:schemeClr w14:val="tx1"/>
                        </w14:solidFill>
                      </w14:textFill>
                    </w:rPr>
                  </w:pPr>
                </w:p>
              </w:tc>
              <w:tc>
                <w:tcPr>
                  <w:tcW w:w="527" w:type="pct"/>
                  <w:tcBorders>
                    <w:tl2br w:val="nil"/>
                    <w:tr2bl w:val="nil"/>
                  </w:tcBorders>
                  <w:vAlign w:val="center"/>
                </w:tcPr>
                <w:p w14:paraId="74557E9B">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p>
              </w:tc>
              <w:tc>
                <w:tcPr>
                  <w:tcW w:w="469" w:type="pct"/>
                  <w:tcBorders>
                    <w:tl2br w:val="nil"/>
                    <w:tr2bl w:val="nil"/>
                  </w:tcBorders>
                  <w:vAlign w:val="center"/>
                </w:tcPr>
                <w:p w14:paraId="43718651">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0.00004</w:t>
                  </w:r>
                </w:p>
              </w:tc>
              <w:tc>
                <w:tcPr>
                  <w:tcW w:w="396" w:type="pct"/>
                  <w:vMerge w:val="continue"/>
                  <w:tcBorders>
                    <w:tl2br w:val="nil"/>
                    <w:tr2bl w:val="nil"/>
                  </w:tcBorders>
                  <w:vAlign w:val="center"/>
                </w:tcPr>
                <w:p w14:paraId="764F3548">
                  <w:pPr>
                    <w:spacing w:line="240" w:lineRule="auto"/>
                    <w:ind w:firstLine="0" w:firstLineChars="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0996131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08" w:type="pct"/>
                  <w:vMerge w:val="continue"/>
                  <w:tcBorders>
                    <w:tl2br w:val="nil"/>
                    <w:tr2bl w:val="nil"/>
                  </w:tcBorders>
                  <w:vAlign w:val="center"/>
                </w:tcPr>
                <w:p w14:paraId="2F56E184">
                  <w:pPr>
                    <w:spacing w:line="240" w:lineRule="auto"/>
                    <w:ind w:firstLine="0" w:firstLineChars="0"/>
                    <w:jc w:val="center"/>
                    <w:rPr>
                      <w:color w:val="000000" w:themeColor="text1"/>
                      <w:sz w:val="21"/>
                      <w:szCs w:val="21"/>
                      <w14:textFill>
                        <w14:solidFill>
                          <w14:schemeClr w14:val="tx1"/>
                        </w14:solidFill>
                      </w14:textFill>
                    </w:rPr>
                  </w:pPr>
                </w:p>
              </w:tc>
              <w:tc>
                <w:tcPr>
                  <w:tcW w:w="615" w:type="pct"/>
                  <w:tcBorders>
                    <w:tl2br w:val="nil"/>
                    <w:tr2bl w:val="nil"/>
                  </w:tcBorders>
                  <w:vAlign w:val="center"/>
                </w:tcPr>
                <w:p w14:paraId="7D7C362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00</w:t>
                  </w:r>
                </w:p>
              </w:tc>
              <w:tc>
                <w:tcPr>
                  <w:tcW w:w="507" w:type="pct"/>
                  <w:tcBorders>
                    <w:tl2br w:val="nil"/>
                    <w:tr2bl w:val="nil"/>
                  </w:tcBorders>
                  <w:vAlign w:val="center"/>
                </w:tcPr>
                <w:p w14:paraId="7DCAC10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00</w:t>
                  </w:r>
                </w:p>
              </w:tc>
              <w:tc>
                <w:tcPr>
                  <w:tcW w:w="699" w:type="dxa"/>
                  <w:tcBorders>
                    <w:tl2br w:val="nil"/>
                    <w:tr2bl w:val="nil"/>
                  </w:tcBorders>
                  <w:vAlign w:val="center"/>
                </w:tcPr>
                <w:p w14:paraId="1A6AC53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0.00004</w:t>
                  </w:r>
                </w:p>
              </w:tc>
            </w:tr>
            <w:tr w14:paraId="1212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restart"/>
                  <w:tcBorders>
                    <w:tl2br w:val="nil"/>
                    <w:tr2bl w:val="nil"/>
                  </w:tcBorders>
                  <w:vAlign w:val="center"/>
                </w:tcPr>
                <w:p w14:paraId="578EB31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超声清洗</w:t>
                  </w:r>
                </w:p>
              </w:tc>
              <w:tc>
                <w:tcPr>
                  <w:tcW w:w="150" w:type="pct"/>
                  <w:vMerge w:val="restart"/>
                  <w:tcBorders>
                    <w:tl2br w:val="nil"/>
                    <w:tr2bl w:val="nil"/>
                  </w:tcBorders>
                  <w:vAlign w:val="center"/>
                </w:tcPr>
                <w:p w14:paraId="3016704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w:t>
                  </w:r>
                </w:p>
              </w:tc>
              <w:tc>
                <w:tcPr>
                  <w:tcW w:w="382" w:type="pct"/>
                  <w:tcBorders>
                    <w:tl2br w:val="nil"/>
                    <w:tr2bl w:val="nil"/>
                  </w:tcBorders>
                  <w:vAlign w:val="center"/>
                </w:tcPr>
                <w:p w14:paraId="47416AD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COD</w:t>
                  </w:r>
                </w:p>
              </w:tc>
              <w:tc>
                <w:tcPr>
                  <w:tcW w:w="150" w:type="pct"/>
                  <w:vMerge w:val="restart"/>
                  <w:tcBorders>
                    <w:tl2br w:val="nil"/>
                    <w:tr2bl w:val="nil"/>
                  </w:tcBorders>
                  <w:vAlign w:val="center"/>
                </w:tcPr>
                <w:p w14:paraId="730AEC8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类比</w:t>
                  </w:r>
                </w:p>
              </w:tc>
              <w:tc>
                <w:tcPr>
                  <w:tcW w:w="483" w:type="pct"/>
                  <w:vMerge w:val="restart"/>
                  <w:tcBorders>
                    <w:tl2br w:val="nil"/>
                    <w:tr2bl w:val="nil"/>
                  </w:tcBorders>
                  <w:vAlign w:val="center"/>
                </w:tcPr>
                <w:p w14:paraId="061018C5">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72</w:t>
                  </w:r>
                </w:p>
              </w:tc>
              <w:tc>
                <w:tcPr>
                  <w:tcW w:w="527" w:type="pct"/>
                  <w:tcBorders>
                    <w:tl2br w:val="nil"/>
                    <w:tr2bl w:val="nil"/>
                  </w:tcBorders>
                  <w:vAlign w:val="center"/>
                </w:tcPr>
                <w:p w14:paraId="00B00BD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00</w:t>
                  </w:r>
                </w:p>
              </w:tc>
              <w:tc>
                <w:tcPr>
                  <w:tcW w:w="469" w:type="pct"/>
                  <w:tcBorders>
                    <w:tl2br w:val="nil"/>
                    <w:tr2bl w:val="nil"/>
                  </w:tcBorders>
                  <w:vAlign w:val="center"/>
                </w:tcPr>
                <w:p w14:paraId="05C8B8DB">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0.0144</w:t>
                  </w:r>
                </w:p>
              </w:tc>
              <w:tc>
                <w:tcPr>
                  <w:tcW w:w="396" w:type="pct"/>
                  <w:vMerge w:val="restart"/>
                  <w:tcBorders>
                    <w:tl2br w:val="nil"/>
                    <w:tr2bl w:val="nil"/>
                  </w:tcBorders>
                  <w:vAlign w:val="center"/>
                </w:tcPr>
                <w:p w14:paraId="198BD32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自然沉降</w:t>
                  </w:r>
                </w:p>
              </w:tc>
              <w:tc>
                <w:tcPr>
                  <w:tcW w:w="409" w:type="pct"/>
                  <w:tcBorders>
                    <w:tl2br w:val="nil"/>
                    <w:tr2bl w:val="nil"/>
                  </w:tcBorders>
                  <w:vAlign w:val="center"/>
                </w:tcPr>
                <w:p w14:paraId="5F42E7E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08" w:type="pct"/>
                  <w:vMerge w:val="restart"/>
                  <w:tcBorders>
                    <w:tl2br w:val="nil"/>
                    <w:tr2bl w:val="nil"/>
                  </w:tcBorders>
                  <w:vAlign w:val="center"/>
                </w:tcPr>
                <w:p w14:paraId="53D9B6D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w:t>
                  </w:r>
                </w:p>
              </w:tc>
              <w:tc>
                <w:tcPr>
                  <w:tcW w:w="615" w:type="pct"/>
                  <w:tcBorders>
                    <w:tl2br w:val="nil"/>
                    <w:tr2bl w:val="nil"/>
                  </w:tcBorders>
                  <w:vAlign w:val="center"/>
                </w:tcPr>
                <w:p w14:paraId="5C216B7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00</w:t>
                  </w:r>
                </w:p>
              </w:tc>
              <w:tc>
                <w:tcPr>
                  <w:tcW w:w="507" w:type="pct"/>
                  <w:tcBorders>
                    <w:tl2br w:val="nil"/>
                    <w:tr2bl w:val="nil"/>
                  </w:tcBorders>
                  <w:vAlign w:val="center"/>
                </w:tcPr>
                <w:p w14:paraId="0F50D7D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00</w:t>
                  </w:r>
                </w:p>
              </w:tc>
              <w:tc>
                <w:tcPr>
                  <w:tcW w:w="699" w:type="dxa"/>
                  <w:tcBorders>
                    <w:tl2br w:val="nil"/>
                    <w:tr2bl w:val="nil"/>
                  </w:tcBorders>
                  <w:vAlign w:val="center"/>
                </w:tcPr>
                <w:p w14:paraId="67FA4BC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0.0144</w:t>
                  </w:r>
                </w:p>
              </w:tc>
            </w:tr>
            <w:tr w14:paraId="51EE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50" w:type="pct"/>
                  <w:vMerge w:val="continue"/>
                  <w:tcBorders>
                    <w:tl2br w:val="nil"/>
                    <w:tr2bl w:val="nil"/>
                  </w:tcBorders>
                  <w:vAlign w:val="center"/>
                </w:tcPr>
                <w:p w14:paraId="61F8D5DA">
                  <w:pPr>
                    <w:spacing w:line="240" w:lineRule="auto"/>
                    <w:ind w:firstLine="0" w:firstLineChars="0"/>
                    <w:jc w:val="center"/>
                    <w:rPr>
                      <w:color w:val="000000" w:themeColor="text1"/>
                      <w:sz w:val="21"/>
                      <w:szCs w:val="21"/>
                      <w14:textFill>
                        <w14:solidFill>
                          <w14:schemeClr w14:val="tx1"/>
                        </w14:solidFill>
                      </w14:textFill>
                    </w:rPr>
                  </w:pPr>
                </w:p>
              </w:tc>
              <w:tc>
                <w:tcPr>
                  <w:tcW w:w="150" w:type="pct"/>
                  <w:vMerge w:val="continue"/>
                  <w:tcBorders>
                    <w:tl2br w:val="nil"/>
                    <w:tr2bl w:val="nil"/>
                  </w:tcBorders>
                  <w:vAlign w:val="center"/>
                </w:tcPr>
                <w:p w14:paraId="0EFBFFEA">
                  <w:pPr>
                    <w:spacing w:line="240" w:lineRule="auto"/>
                    <w:ind w:firstLine="0" w:firstLineChars="0"/>
                    <w:jc w:val="center"/>
                    <w:rPr>
                      <w:color w:val="000000" w:themeColor="text1"/>
                      <w:sz w:val="21"/>
                      <w:szCs w:val="21"/>
                      <w14:textFill>
                        <w14:solidFill>
                          <w14:schemeClr w14:val="tx1"/>
                        </w14:solidFill>
                      </w14:textFill>
                    </w:rPr>
                  </w:pPr>
                </w:p>
              </w:tc>
              <w:tc>
                <w:tcPr>
                  <w:tcW w:w="382" w:type="pct"/>
                  <w:tcBorders>
                    <w:tl2br w:val="nil"/>
                    <w:tr2bl w:val="nil"/>
                  </w:tcBorders>
                  <w:vAlign w:val="center"/>
                </w:tcPr>
                <w:p w14:paraId="7A90416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SS</w:t>
                  </w:r>
                </w:p>
              </w:tc>
              <w:tc>
                <w:tcPr>
                  <w:tcW w:w="150" w:type="pct"/>
                  <w:vMerge w:val="continue"/>
                  <w:tcBorders>
                    <w:tl2br w:val="nil"/>
                    <w:tr2bl w:val="nil"/>
                  </w:tcBorders>
                  <w:vAlign w:val="center"/>
                </w:tcPr>
                <w:p w14:paraId="0BAE1BA1">
                  <w:pPr>
                    <w:spacing w:line="240" w:lineRule="auto"/>
                    <w:ind w:firstLine="0" w:firstLineChars="0"/>
                    <w:jc w:val="center"/>
                    <w:rPr>
                      <w:color w:val="000000" w:themeColor="text1"/>
                      <w:sz w:val="21"/>
                      <w:szCs w:val="21"/>
                      <w14:textFill>
                        <w14:solidFill>
                          <w14:schemeClr w14:val="tx1"/>
                        </w14:solidFill>
                      </w14:textFill>
                    </w:rPr>
                  </w:pPr>
                </w:p>
              </w:tc>
              <w:tc>
                <w:tcPr>
                  <w:tcW w:w="483" w:type="pct"/>
                  <w:vMerge w:val="continue"/>
                  <w:tcBorders>
                    <w:tl2br w:val="nil"/>
                    <w:tr2bl w:val="nil"/>
                  </w:tcBorders>
                  <w:vAlign w:val="center"/>
                </w:tcPr>
                <w:p w14:paraId="431A817E">
                  <w:pPr>
                    <w:spacing w:line="240" w:lineRule="auto"/>
                    <w:ind w:firstLine="0" w:firstLineChars="0"/>
                    <w:jc w:val="center"/>
                    <w:rPr>
                      <w:color w:val="000000" w:themeColor="text1"/>
                      <w:sz w:val="21"/>
                      <w:szCs w:val="21"/>
                      <w14:textFill>
                        <w14:solidFill>
                          <w14:schemeClr w14:val="tx1"/>
                        </w14:solidFill>
                      </w14:textFill>
                    </w:rPr>
                  </w:pPr>
                </w:p>
              </w:tc>
              <w:tc>
                <w:tcPr>
                  <w:tcW w:w="527" w:type="pct"/>
                  <w:tcBorders>
                    <w:tl2br w:val="nil"/>
                    <w:tr2bl w:val="nil"/>
                  </w:tcBorders>
                  <w:vAlign w:val="center"/>
                </w:tcPr>
                <w:p w14:paraId="5A3DAB9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50</w:t>
                  </w:r>
                </w:p>
              </w:tc>
              <w:tc>
                <w:tcPr>
                  <w:tcW w:w="469" w:type="pct"/>
                  <w:tcBorders>
                    <w:tl2br w:val="nil"/>
                    <w:tr2bl w:val="nil"/>
                  </w:tcBorders>
                  <w:vAlign w:val="center"/>
                </w:tcPr>
                <w:p w14:paraId="493614E6">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0.0108</w:t>
                  </w:r>
                </w:p>
              </w:tc>
              <w:tc>
                <w:tcPr>
                  <w:tcW w:w="396" w:type="pct"/>
                  <w:vMerge w:val="continue"/>
                  <w:tcBorders>
                    <w:tl2br w:val="nil"/>
                    <w:tr2bl w:val="nil"/>
                  </w:tcBorders>
                  <w:vAlign w:val="center"/>
                </w:tcPr>
                <w:p w14:paraId="3B9A63A3">
                  <w:pPr>
                    <w:spacing w:line="240" w:lineRule="auto"/>
                    <w:ind w:firstLine="0" w:firstLineChars="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1F71705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08" w:type="pct"/>
                  <w:vMerge w:val="continue"/>
                  <w:tcBorders>
                    <w:tl2br w:val="nil"/>
                    <w:tr2bl w:val="nil"/>
                  </w:tcBorders>
                  <w:vAlign w:val="center"/>
                </w:tcPr>
                <w:p w14:paraId="559A3D7D">
                  <w:pPr>
                    <w:spacing w:line="240" w:lineRule="auto"/>
                    <w:ind w:firstLine="0" w:firstLineChars="0"/>
                    <w:jc w:val="center"/>
                    <w:rPr>
                      <w:color w:val="000000" w:themeColor="text1"/>
                      <w:sz w:val="21"/>
                      <w:szCs w:val="21"/>
                      <w14:textFill>
                        <w14:solidFill>
                          <w14:schemeClr w14:val="tx1"/>
                        </w14:solidFill>
                      </w14:textFill>
                    </w:rPr>
                  </w:pPr>
                </w:p>
              </w:tc>
              <w:tc>
                <w:tcPr>
                  <w:tcW w:w="615" w:type="pct"/>
                  <w:tcBorders>
                    <w:tl2br w:val="nil"/>
                    <w:tr2bl w:val="nil"/>
                  </w:tcBorders>
                  <w:vAlign w:val="center"/>
                </w:tcPr>
                <w:p w14:paraId="5C4B249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00</w:t>
                  </w:r>
                </w:p>
              </w:tc>
              <w:tc>
                <w:tcPr>
                  <w:tcW w:w="507" w:type="pct"/>
                  <w:tcBorders>
                    <w:tl2br w:val="nil"/>
                    <w:tr2bl w:val="nil"/>
                  </w:tcBorders>
                  <w:vAlign w:val="center"/>
                </w:tcPr>
                <w:p w14:paraId="421112D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c>
                <w:tcPr>
                  <w:tcW w:w="699" w:type="dxa"/>
                  <w:tcBorders>
                    <w:tl2br w:val="nil"/>
                    <w:tr2bl w:val="nil"/>
                  </w:tcBorders>
                  <w:vAlign w:val="center"/>
                </w:tcPr>
                <w:p w14:paraId="65A62313">
                  <w:pPr>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0.0036</w:t>
                  </w:r>
                </w:p>
              </w:tc>
            </w:tr>
          </w:tbl>
          <w:p w14:paraId="21D91E4D">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本项目以上各种废水在总排口汇合后排入库尔勒经济技术开发区工业废水处理回用厂，</w:t>
            </w:r>
            <w:r>
              <w:rPr>
                <w:color w:val="000000" w:themeColor="text1"/>
                <w14:textFill>
                  <w14:solidFill>
                    <w14:schemeClr w14:val="tx1"/>
                  </w14:solidFill>
                </w14:textFill>
              </w:rPr>
              <w:t>废水总量为</w:t>
            </w:r>
            <w:r>
              <w:rPr>
                <w:rFonts w:hint="eastAsia"/>
                <w:color w:val="000000" w:themeColor="text1"/>
                <w:lang w:val="en-US" w:eastAsia="zh-CN"/>
                <w14:textFill>
                  <w14:solidFill>
                    <w14:schemeClr w14:val="tx1"/>
                  </w14:solidFill>
                </w14:textFill>
              </w:rPr>
              <w:t>265.7</w:t>
            </w:r>
            <w:r>
              <w:rPr>
                <w:rFonts w:hint="eastAsia"/>
                <w:color w:val="000000" w:themeColor="text1"/>
                <w14:textFill>
                  <w14:solidFill>
                    <w14:schemeClr w14:val="tx1"/>
                  </w14:solidFill>
                </w14:textFill>
              </w:rPr>
              <w:t>t/a，平均每天排水量为</w:t>
            </w:r>
            <w:r>
              <w:rPr>
                <w:rFonts w:hint="eastAsia"/>
                <w:color w:val="000000" w:themeColor="text1"/>
                <w:lang w:val="en-US" w:eastAsia="zh-CN"/>
                <w14:textFill>
                  <w14:solidFill>
                    <w14:schemeClr w14:val="tx1"/>
                  </w14:solidFill>
                </w14:textFill>
              </w:rPr>
              <w:t>0.89</w:t>
            </w:r>
            <w:r>
              <w:rPr>
                <w:rFonts w:hint="eastAsia"/>
                <w:color w:val="000000" w:themeColor="text1"/>
                <w14:textFill>
                  <w14:solidFill>
                    <w14:schemeClr w14:val="tx1"/>
                  </w14:solidFill>
                </w14:textFill>
              </w:rPr>
              <w:t>t/d。本</w:t>
            </w:r>
            <w:r>
              <w:rPr>
                <w:color w:val="000000" w:themeColor="text1"/>
                <w14:textFill>
                  <w14:solidFill>
                    <w14:schemeClr w14:val="tx1"/>
                  </w14:solidFill>
                </w14:textFill>
              </w:rPr>
              <w:t>项目总排放口基本情况</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相关参数</w:t>
            </w:r>
            <w:r>
              <w:rPr>
                <w:rFonts w:hint="eastAsia"/>
                <w:color w:val="000000" w:themeColor="text1"/>
                <w14:textFill>
                  <w14:solidFill>
                    <w14:schemeClr w14:val="tx1"/>
                  </w14:solidFill>
                </w14:textFill>
              </w:rPr>
              <w:t>见下表：</w:t>
            </w:r>
          </w:p>
          <w:p w14:paraId="060510D5">
            <w:pPr>
              <w:spacing w:line="240" w:lineRule="auto"/>
              <w:ind w:firstLine="0" w:firstLineChars="0"/>
              <w:jc w:val="center"/>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10</w:t>
            </w:r>
            <w:r>
              <w:rPr>
                <w:b/>
                <w:bCs/>
                <w:color w:val="000000" w:themeColor="text1"/>
                <w:sz w:val="21"/>
                <w:szCs w:val="21"/>
                <w14:textFill>
                  <w14:solidFill>
                    <w14:schemeClr w14:val="tx1"/>
                  </w14:solidFill>
                </w14:textFill>
              </w:rPr>
              <w:t>项目</w:t>
            </w:r>
            <w:r>
              <w:rPr>
                <w:rFonts w:hint="eastAsia"/>
                <w:b/>
                <w:bCs/>
                <w:color w:val="000000" w:themeColor="text1"/>
                <w:sz w:val="21"/>
                <w:szCs w:val="21"/>
                <w14:textFill>
                  <w14:solidFill>
                    <w14:schemeClr w14:val="tx1"/>
                  </w14:solidFill>
                </w14:textFill>
              </w:rPr>
              <w:t>总</w:t>
            </w:r>
            <w:r>
              <w:rPr>
                <w:b/>
                <w:bCs/>
                <w:color w:val="000000" w:themeColor="text1"/>
                <w:sz w:val="21"/>
                <w:szCs w:val="21"/>
                <w14:textFill>
                  <w14:solidFill>
                    <w14:schemeClr w14:val="tx1"/>
                  </w14:solidFill>
                </w14:textFill>
              </w:rPr>
              <w:t>排放口基本情况相关参数一览表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87"/>
              <w:gridCol w:w="581"/>
              <w:gridCol w:w="1054"/>
              <w:gridCol w:w="480"/>
              <w:gridCol w:w="833"/>
              <w:gridCol w:w="657"/>
              <w:gridCol w:w="1153"/>
              <w:gridCol w:w="713"/>
              <w:gridCol w:w="774"/>
              <w:gridCol w:w="934"/>
            </w:tblGrid>
            <w:tr w14:paraId="20E5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9" w:hRule="atLeast"/>
                <w:jc w:val="center"/>
              </w:trPr>
              <w:tc>
                <w:tcPr>
                  <w:tcW w:w="378" w:type="pct"/>
                  <w:vMerge w:val="restart"/>
                  <w:tcBorders>
                    <w:tl2br w:val="nil"/>
                    <w:tr2bl w:val="nil"/>
                  </w:tcBorders>
                  <w:vAlign w:val="center"/>
                </w:tcPr>
                <w:p w14:paraId="12AA539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374" w:type="pct"/>
                  <w:vMerge w:val="restart"/>
                  <w:tcBorders>
                    <w:tl2br w:val="nil"/>
                    <w:tr2bl w:val="nil"/>
                  </w:tcBorders>
                  <w:vAlign w:val="center"/>
                </w:tcPr>
                <w:p w14:paraId="5990EE5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排放方式</w:t>
                  </w:r>
                </w:p>
              </w:tc>
              <w:tc>
                <w:tcPr>
                  <w:tcW w:w="678" w:type="pct"/>
                  <w:vMerge w:val="restart"/>
                  <w:tcBorders>
                    <w:tl2br w:val="nil"/>
                    <w:tr2bl w:val="nil"/>
                  </w:tcBorders>
                  <w:vAlign w:val="center"/>
                </w:tcPr>
                <w:p w14:paraId="68BE5E4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排放去向</w:t>
                  </w:r>
                </w:p>
              </w:tc>
              <w:tc>
                <w:tcPr>
                  <w:tcW w:w="309" w:type="pct"/>
                  <w:vMerge w:val="restart"/>
                  <w:tcBorders>
                    <w:tl2br w:val="nil"/>
                    <w:tr2bl w:val="nil"/>
                  </w:tcBorders>
                  <w:vAlign w:val="center"/>
                </w:tcPr>
                <w:p w14:paraId="63AEB00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排放规律</w:t>
                  </w:r>
                </w:p>
              </w:tc>
              <w:tc>
                <w:tcPr>
                  <w:tcW w:w="1701" w:type="pct"/>
                  <w:gridSpan w:val="3"/>
                  <w:tcBorders>
                    <w:tl2br w:val="nil"/>
                    <w:tr2bl w:val="nil"/>
                  </w:tcBorders>
                  <w:vAlign w:val="center"/>
                </w:tcPr>
                <w:p w14:paraId="775F5B7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排放口基本情况</w:t>
                  </w:r>
                </w:p>
              </w:tc>
              <w:tc>
                <w:tcPr>
                  <w:tcW w:w="459" w:type="pct"/>
                  <w:vMerge w:val="restart"/>
                  <w:tcBorders>
                    <w:tl2br w:val="nil"/>
                    <w:tr2bl w:val="nil"/>
                  </w:tcBorders>
                  <w:vAlign w:val="center"/>
                </w:tcPr>
                <w:p w14:paraId="163D93D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w:t>
                  </w:r>
                </w:p>
                <w:p w14:paraId="4A5EEC6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时间</w:t>
                  </w:r>
                </w:p>
                <w:p w14:paraId="1B24DCA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t>
                  </w:r>
                </w:p>
              </w:tc>
              <w:tc>
                <w:tcPr>
                  <w:tcW w:w="1098" w:type="pct"/>
                  <w:gridSpan w:val="2"/>
                  <w:vMerge w:val="restart"/>
                  <w:tcBorders>
                    <w:tl2br w:val="nil"/>
                    <w:tr2bl w:val="nil"/>
                  </w:tcBorders>
                  <w:vAlign w:val="center"/>
                </w:tcPr>
                <w:p w14:paraId="49D17A9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排放标准</w:t>
                  </w:r>
                </w:p>
              </w:tc>
            </w:tr>
            <w:tr w14:paraId="15EC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378" w:type="pct"/>
                  <w:vMerge w:val="continue"/>
                  <w:tcBorders>
                    <w:tl2br w:val="nil"/>
                    <w:tr2bl w:val="nil"/>
                  </w:tcBorders>
                  <w:vAlign w:val="center"/>
                </w:tcPr>
                <w:p w14:paraId="243ECC3C">
                  <w:pPr>
                    <w:spacing w:line="240" w:lineRule="auto"/>
                    <w:ind w:firstLine="0" w:firstLineChars="0"/>
                    <w:jc w:val="center"/>
                    <w:rPr>
                      <w:color w:val="000000" w:themeColor="text1"/>
                      <w:sz w:val="21"/>
                      <w:szCs w:val="21"/>
                      <w14:textFill>
                        <w14:solidFill>
                          <w14:schemeClr w14:val="tx1"/>
                        </w14:solidFill>
                      </w14:textFill>
                    </w:rPr>
                  </w:pPr>
                </w:p>
              </w:tc>
              <w:tc>
                <w:tcPr>
                  <w:tcW w:w="374" w:type="pct"/>
                  <w:vMerge w:val="continue"/>
                  <w:tcBorders>
                    <w:tl2br w:val="nil"/>
                    <w:tr2bl w:val="nil"/>
                  </w:tcBorders>
                  <w:vAlign w:val="center"/>
                </w:tcPr>
                <w:p w14:paraId="15C49242">
                  <w:pPr>
                    <w:spacing w:line="240" w:lineRule="auto"/>
                    <w:ind w:firstLine="0" w:firstLineChars="0"/>
                    <w:jc w:val="center"/>
                    <w:rPr>
                      <w:color w:val="000000" w:themeColor="text1"/>
                      <w:sz w:val="21"/>
                      <w:szCs w:val="21"/>
                      <w14:textFill>
                        <w14:solidFill>
                          <w14:schemeClr w14:val="tx1"/>
                        </w14:solidFill>
                      </w14:textFill>
                    </w:rPr>
                  </w:pPr>
                </w:p>
              </w:tc>
              <w:tc>
                <w:tcPr>
                  <w:tcW w:w="678" w:type="pct"/>
                  <w:vMerge w:val="continue"/>
                  <w:tcBorders>
                    <w:tl2br w:val="nil"/>
                    <w:tr2bl w:val="nil"/>
                  </w:tcBorders>
                  <w:vAlign w:val="center"/>
                </w:tcPr>
                <w:p w14:paraId="12EADD7D">
                  <w:pPr>
                    <w:spacing w:line="240" w:lineRule="auto"/>
                    <w:ind w:firstLine="0" w:firstLineChars="0"/>
                    <w:jc w:val="center"/>
                    <w:rPr>
                      <w:color w:val="000000" w:themeColor="text1"/>
                      <w:sz w:val="21"/>
                      <w:szCs w:val="21"/>
                      <w14:textFill>
                        <w14:solidFill>
                          <w14:schemeClr w14:val="tx1"/>
                        </w14:solidFill>
                      </w14:textFill>
                    </w:rPr>
                  </w:pPr>
                </w:p>
              </w:tc>
              <w:tc>
                <w:tcPr>
                  <w:tcW w:w="309" w:type="pct"/>
                  <w:vMerge w:val="continue"/>
                  <w:tcBorders>
                    <w:tl2br w:val="nil"/>
                    <w:tr2bl w:val="nil"/>
                  </w:tcBorders>
                  <w:vAlign w:val="center"/>
                </w:tcPr>
                <w:p w14:paraId="7780B0B4">
                  <w:pPr>
                    <w:spacing w:line="240" w:lineRule="auto"/>
                    <w:ind w:firstLine="0" w:firstLineChars="0"/>
                    <w:jc w:val="center"/>
                    <w:rPr>
                      <w:color w:val="000000" w:themeColor="text1"/>
                      <w:sz w:val="21"/>
                      <w:szCs w:val="21"/>
                      <w14:textFill>
                        <w14:solidFill>
                          <w14:schemeClr w14:val="tx1"/>
                        </w14:solidFill>
                      </w14:textFill>
                    </w:rPr>
                  </w:pPr>
                </w:p>
              </w:tc>
              <w:tc>
                <w:tcPr>
                  <w:tcW w:w="536" w:type="pct"/>
                  <w:tcBorders>
                    <w:tl2br w:val="nil"/>
                    <w:tr2bl w:val="nil"/>
                  </w:tcBorders>
                  <w:vAlign w:val="center"/>
                </w:tcPr>
                <w:p w14:paraId="08431AE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编号及名</w:t>
                  </w:r>
                </w:p>
                <w:p w14:paraId="11D8C0E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称</w:t>
                  </w:r>
                </w:p>
              </w:tc>
              <w:tc>
                <w:tcPr>
                  <w:tcW w:w="423" w:type="pct"/>
                  <w:tcBorders>
                    <w:tl2br w:val="nil"/>
                    <w:tr2bl w:val="nil"/>
                  </w:tcBorders>
                  <w:vAlign w:val="center"/>
                </w:tcPr>
                <w:p w14:paraId="4A0E580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类型</w:t>
                  </w:r>
                </w:p>
              </w:tc>
              <w:tc>
                <w:tcPr>
                  <w:tcW w:w="741" w:type="pct"/>
                  <w:tcBorders>
                    <w:tl2br w:val="nil"/>
                    <w:tr2bl w:val="nil"/>
                  </w:tcBorders>
                  <w:vAlign w:val="center"/>
                </w:tcPr>
                <w:p w14:paraId="1648A3A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地理</w:t>
                  </w:r>
                </w:p>
                <w:p w14:paraId="4E7CA55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坐标</w:t>
                  </w:r>
                </w:p>
              </w:tc>
              <w:tc>
                <w:tcPr>
                  <w:tcW w:w="459" w:type="pct"/>
                  <w:vMerge w:val="continue"/>
                  <w:tcBorders>
                    <w:tl2br w:val="nil"/>
                    <w:tr2bl w:val="nil"/>
                  </w:tcBorders>
                  <w:vAlign w:val="center"/>
                </w:tcPr>
                <w:p w14:paraId="255CBCF5">
                  <w:pPr>
                    <w:spacing w:line="240" w:lineRule="auto"/>
                    <w:ind w:firstLine="0" w:firstLineChars="0"/>
                    <w:jc w:val="center"/>
                    <w:rPr>
                      <w:color w:val="000000" w:themeColor="text1"/>
                      <w:sz w:val="21"/>
                      <w:szCs w:val="21"/>
                      <w14:textFill>
                        <w14:solidFill>
                          <w14:schemeClr w14:val="tx1"/>
                        </w14:solidFill>
                      </w14:textFill>
                    </w:rPr>
                  </w:pPr>
                </w:p>
              </w:tc>
              <w:tc>
                <w:tcPr>
                  <w:tcW w:w="1098" w:type="pct"/>
                  <w:gridSpan w:val="2"/>
                  <w:vMerge w:val="continue"/>
                  <w:tcBorders>
                    <w:tl2br w:val="nil"/>
                    <w:tr2bl w:val="nil"/>
                  </w:tcBorders>
                  <w:vAlign w:val="center"/>
                </w:tcPr>
                <w:p w14:paraId="6692978D">
                  <w:pPr>
                    <w:spacing w:line="240" w:lineRule="auto"/>
                    <w:ind w:firstLine="0" w:firstLineChars="0"/>
                    <w:jc w:val="center"/>
                    <w:rPr>
                      <w:color w:val="000000" w:themeColor="text1"/>
                      <w:sz w:val="21"/>
                      <w:szCs w:val="21"/>
                      <w14:textFill>
                        <w14:solidFill>
                          <w14:schemeClr w14:val="tx1"/>
                        </w14:solidFill>
                      </w14:textFill>
                    </w:rPr>
                  </w:pPr>
                </w:p>
              </w:tc>
            </w:tr>
            <w:tr w14:paraId="3D2E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74" w:hRule="atLeast"/>
                <w:jc w:val="center"/>
              </w:trPr>
              <w:tc>
                <w:tcPr>
                  <w:tcW w:w="378" w:type="pct"/>
                  <w:vMerge w:val="restart"/>
                  <w:tcBorders>
                    <w:tl2br w:val="nil"/>
                    <w:tr2bl w:val="nil"/>
                  </w:tcBorders>
                  <w:vAlign w:val="center"/>
                </w:tcPr>
                <w:p w14:paraId="52AC4A8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生产废水和</w:t>
                  </w:r>
                  <w:r>
                    <w:rPr>
                      <w:color w:val="000000" w:themeColor="text1"/>
                      <w:sz w:val="21"/>
                      <w:szCs w:val="21"/>
                      <w14:textFill>
                        <w14:solidFill>
                          <w14:schemeClr w14:val="tx1"/>
                        </w14:solidFill>
                      </w14:textFill>
                    </w:rPr>
                    <w:t>生活污水</w:t>
                  </w:r>
                </w:p>
              </w:tc>
              <w:tc>
                <w:tcPr>
                  <w:tcW w:w="374" w:type="pct"/>
                  <w:vMerge w:val="restart"/>
                  <w:tcBorders>
                    <w:tl2br w:val="nil"/>
                    <w:tr2bl w:val="nil"/>
                  </w:tcBorders>
                  <w:vAlign w:val="center"/>
                </w:tcPr>
                <w:p w14:paraId="3071FC0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间接排放</w:t>
                  </w:r>
                </w:p>
              </w:tc>
              <w:tc>
                <w:tcPr>
                  <w:tcW w:w="678" w:type="pct"/>
                  <w:vMerge w:val="restart"/>
                  <w:tcBorders>
                    <w:tl2br w:val="nil"/>
                    <w:tr2bl w:val="nil"/>
                  </w:tcBorders>
                  <w:vAlign w:val="center"/>
                </w:tcPr>
                <w:p w14:paraId="3CC847F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排入市政污水管网，最终排入</w:t>
                  </w:r>
                  <w:r>
                    <w:rPr>
                      <w:rFonts w:hint="eastAsia"/>
                      <w:color w:val="000000" w:themeColor="text1"/>
                      <w:sz w:val="21"/>
                      <w:szCs w:val="21"/>
                      <w14:textFill>
                        <w14:solidFill>
                          <w14:schemeClr w14:val="tx1"/>
                        </w14:solidFill>
                      </w14:textFill>
                    </w:rPr>
                    <w:t>库尔勒经济技术开发区工业废水处理回用厂</w:t>
                  </w:r>
                </w:p>
              </w:tc>
              <w:tc>
                <w:tcPr>
                  <w:tcW w:w="309" w:type="pct"/>
                  <w:vMerge w:val="restart"/>
                  <w:tcBorders>
                    <w:tl2br w:val="nil"/>
                    <w:tr2bl w:val="nil"/>
                  </w:tcBorders>
                  <w:vAlign w:val="center"/>
                </w:tcPr>
                <w:p w14:paraId="5BD0ABF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间歇排放</w:t>
                  </w:r>
                </w:p>
              </w:tc>
              <w:tc>
                <w:tcPr>
                  <w:tcW w:w="536" w:type="pct"/>
                  <w:vMerge w:val="restart"/>
                  <w:tcBorders>
                    <w:tl2br w:val="nil"/>
                    <w:tr2bl w:val="nil"/>
                  </w:tcBorders>
                  <w:vAlign w:val="center"/>
                </w:tcPr>
                <w:p w14:paraId="2C7BF0A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编号DW001</w:t>
                  </w:r>
                </w:p>
                <w:p w14:paraId="22A5DBA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厂区废水总排口</w:t>
                  </w:r>
                </w:p>
              </w:tc>
              <w:tc>
                <w:tcPr>
                  <w:tcW w:w="423" w:type="pct"/>
                  <w:vMerge w:val="restart"/>
                  <w:tcBorders>
                    <w:tl2br w:val="nil"/>
                    <w:tr2bl w:val="nil"/>
                  </w:tcBorders>
                  <w:vAlign w:val="center"/>
                </w:tcPr>
                <w:p w14:paraId="3089248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一般排放口</w:t>
                  </w:r>
                </w:p>
              </w:tc>
              <w:tc>
                <w:tcPr>
                  <w:tcW w:w="741" w:type="pct"/>
                  <w:vMerge w:val="restart"/>
                  <w:tcBorders>
                    <w:tl2br w:val="nil"/>
                    <w:tr2bl w:val="nil"/>
                  </w:tcBorders>
                  <w:vAlign w:val="center"/>
                </w:tcPr>
                <w:p w14:paraId="70BA04A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86.219296,</w:t>
                  </w:r>
                </w:p>
                <w:p w14:paraId="736BB30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41.673397</w:t>
                  </w:r>
                </w:p>
              </w:tc>
              <w:tc>
                <w:tcPr>
                  <w:tcW w:w="459" w:type="pct"/>
                  <w:vMerge w:val="restart"/>
                  <w:tcBorders>
                    <w:tl2br w:val="nil"/>
                    <w:tr2bl w:val="nil"/>
                  </w:tcBorders>
                  <w:vAlign w:val="center"/>
                </w:tcPr>
                <w:p w14:paraId="0A775CA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2400</w:t>
                  </w:r>
                </w:p>
              </w:tc>
              <w:tc>
                <w:tcPr>
                  <w:tcW w:w="498" w:type="pct"/>
                  <w:tcBorders>
                    <w:tl2br w:val="nil"/>
                    <w:tr2bl w:val="nil"/>
                  </w:tcBorders>
                  <w:vAlign w:val="center"/>
                </w:tcPr>
                <w:p w14:paraId="30F2975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w:t>
                  </w:r>
                </w:p>
              </w:tc>
              <w:tc>
                <w:tcPr>
                  <w:tcW w:w="599" w:type="pct"/>
                  <w:tcBorders>
                    <w:tl2br w:val="nil"/>
                    <w:tr2bl w:val="nil"/>
                  </w:tcBorders>
                  <w:vAlign w:val="center"/>
                </w:tcPr>
                <w:p w14:paraId="1CA8209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6～9（无量纲）</w:t>
                  </w:r>
                </w:p>
              </w:tc>
            </w:tr>
            <w:tr w14:paraId="055F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center"/>
              </w:trPr>
              <w:tc>
                <w:tcPr>
                  <w:tcW w:w="378" w:type="pct"/>
                  <w:vMerge w:val="continue"/>
                  <w:tcBorders>
                    <w:tl2br w:val="nil"/>
                    <w:tr2bl w:val="nil"/>
                  </w:tcBorders>
                  <w:vAlign w:val="center"/>
                </w:tcPr>
                <w:p w14:paraId="15B6C1F4">
                  <w:pPr>
                    <w:spacing w:line="240" w:lineRule="auto"/>
                    <w:ind w:firstLine="0" w:firstLineChars="0"/>
                    <w:jc w:val="center"/>
                    <w:rPr>
                      <w:color w:val="000000" w:themeColor="text1"/>
                      <w:sz w:val="21"/>
                      <w:szCs w:val="21"/>
                      <w14:textFill>
                        <w14:solidFill>
                          <w14:schemeClr w14:val="tx1"/>
                        </w14:solidFill>
                      </w14:textFill>
                    </w:rPr>
                  </w:pPr>
                </w:p>
              </w:tc>
              <w:tc>
                <w:tcPr>
                  <w:tcW w:w="374" w:type="pct"/>
                  <w:vMerge w:val="continue"/>
                  <w:tcBorders>
                    <w:tl2br w:val="nil"/>
                    <w:tr2bl w:val="nil"/>
                  </w:tcBorders>
                  <w:vAlign w:val="center"/>
                </w:tcPr>
                <w:p w14:paraId="640878AF">
                  <w:pPr>
                    <w:spacing w:line="240" w:lineRule="auto"/>
                    <w:ind w:firstLine="0" w:firstLineChars="0"/>
                    <w:jc w:val="center"/>
                    <w:rPr>
                      <w:color w:val="000000" w:themeColor="text1"/>
                      <w:sz w:val="21"/>
                      <w:szCs w:val="21"/>
                      <w14:textFill>
                        <w14:solidFill>
                          <w14:schemeClr w14:val="tx1"/>
                        </w14:solidFill>
                      </w14:textFill>
                    </w:rPr>
                  </w:pPr>
                </w:p>
              </w:tc>
              <w:tc>
                <w:tcPr>
                  <w:tcW w:w="678" w:type="pct"/>
                  <w:vMerge w:val="continue"/>
                  <w:tcBorders>
                    <w:tl2br w:val="nil"/>
                    <w:tr2bl w:val="nil"/>
                  </w:tcBorders>
                  <w:vAlign w:val="center"/>
                </w:tcPr>
                <w:p w14:paraId="5E3A7F3E">
                  <w:pPr>
                    <w:spacing w:line="240" w:lineRule="auto"/>
                    <w:ind w:firstLine="0" w:firstLineChars="0"/>
                    <w:jc w:val="center"/>
                    <w:rPr>
                      <w:color w:val="000000" w:themeColor="text1"/>
                      <w:sz w:val="21"/>
                      <w:szCs w:val="21"/>
                      <w14:textFill>
                        <w14:solidFill>
                          <w14:schemeClr w14:val="tx1"/>
                        </w14:solidFill>
                      </w14:textFill>
                    </w:rPr>
                  </w:pPr>
                </w:p>
              </w:tc>
              <w:tc>
                <w:tcPr>
                  <w:tcW w:w="309" w:type="pct"/>
                  <w:vMerge w:val="continue"/>
                  <w:tcBorders>
                    <w:tl2br w:val="nil"/>
                    <w:tr2bl w:val="nil"/>
                  </w:tcBorders>
                  <w:vAlign w:val="center"/>
                </w:tcPr>
                <w:p w14:paraId="2F9876FF">
                  <w:pPr>
                    <w:spacing w:line="240" w:lineRule="auto"/>
                    <w:ind w:firstLine="0" w:firstLineChars="0"/>
                    <w:jc w:val="center"/>
                    <w:rPr>
                      <w:color w:val="000000" w:themeColor="text1"/>
                      <w:sz w:val="21"/>
                      <w:szCs w:val="21"/>
                      <w14:textFill>
                        <w14:solidFill>
                          <w14:schemeClr w14:val="tx1"/>
                        </w14:solidFill>
                      </w14:textFill>
                    </w:rPr>
                  </w:pPr>
                </w:p>
              </w:tc>
              <w:tc>
                <w:tcPr>
                  <w:tcW w:w="536" w:type="pct"/>
                  <w:vMerge w:val="continue"/>
                  <w:tcBorders>
                    <w:tl2br w:val="nil"/>
                    <w:tr2bl w:val="nil"/>
                  </w:tcBorders>
                  <w:vAlign w:val="center"/>
                </w:tcPr>
                <w:p w14:paraId="26FC13BE">
                  <w:pPr>
                    <w:spacing w:line="240" w:lineRule="auto"/>
                    <w:ind w:firstLine="0" w:firstLineChars="0"/>
                    <w:jc w:val="center"/>
                    <w:rPr>
                      <w:color w:val="000000" w:themeColor="text1"/>
                      <w:sz w:val="21"/>
                      <w:szCs w:val="21"/>
                      <w14:textFill>
                        <w14:solidFill>
                          <w14:schemeClr w14:val="tx1"/>
                        </w14:solidFill>
                      </w14:textFill>
                    </w:rPr>
                  </w:pPr>
                </w:p>
              </w:tc>
              <w:tc>
                <w:tcPr>
                  <w:tcW w:w="423" w:type="pct"/>
                  <w:vMerge w:val="continue"/>
                  <w:tcBorders>
                    <w:tl2br w:val="nil"/>
                    <w:tr2bl w:val="nil"/>
                  </w:tcBorders>
                  <w:vAlign w:val="center"/>
                </w:tcPr>
                <w:p w14:paraId="2720C707">
                  <w:pPr>
                    <w:spacing w:line="240" w:lineRule="auto"/>
                    <w:ind w:firstLine="0" w:firstLineChars="0"/>
                    <w:jc w:val="center"/>
                    <w:rPr>
                      <w:color w:val="000000" w:themeColor="text1"/>
                      <w:sz w:val="21"/>
                      <w:szCs w:val="21"/>
                      <w14:textFill>
                        <w14:solidFill>
                          <w14:schemeClr w14:val="tx1"/>
                        </w14:solidFill>
                      </w14:textFill>
                    </w:rPr>
                  </w:pPr>
                </w:p>
              </w:tc>
              <w:tc>
                <w:tcPr>
                  <w:tcW w:w="741" w:type="pct"/>
                  <w:vMerge w:val="continue"/>
                  <w:tcBorders>
                    <w:tl2br w:val="nil"/>
                    <w:tr2bl w:val="nil"/>
                  </w:tcBorders>
                  <w:vAlign w:val="center"/>
                </w:tcPr>
                <w:p w14:paraId="2025845D">
                  <w:pPr>
                    <w:spacing w:line="240" w:lineRule="auto"/>
                    <w:ind w:firstLine="0" w:firstLineChars="0"/>
                    <w:jc w:val="center"/>
                    <w:rPr>
                      <w:color w:val="000000" w:themeColor="text1"/>
                      <w:sz w:val="21"/>
                      <w:szCs w:val="21"/>
                      <w14:textFill>
                        <w14:solidFill>
                          <w14:schemeClr w14:val="tx1"/>
                        </w14:solidFill>
                      </w14:textFill>
                    </w:rPr>
                  </w:pPr>
                </w:p>
              </w:tc>
              <w:tc>
                <w:tcPr>
                  <w:tcW w:w="459" w:type="pct"/>
                  <w:vMerge w:val="continue"/>
                  <w:tcBorders>
                    <w:tl2br w:val="nil"/>
                    <w:tr2bl w:val="nil"/>
                  </w:tcBorders>
                  <w:vAlign w:val="center"/>
                </w:tcPr>
                <w:p w14:paraId="61CF43DA">
                  <w:pPr>
                    <w:spacing w:line="240" w:lineRule="auto"/>
                    <w:ind w:firstLine="0" w:firstLineChars="0"/>
                    <w:jc w:val="center"/>
                    <w:rPr>
                      <w:color w:val="000000" w:themeColor="text1"/>
                      <w:sz w:val="21"/>
                      <w:szCs w:val="21"/>
                      <w14:textFill>
                        <w14:solidFill>
                          <w14:schemeClr w14:val="tx1"/>
                        </w14:solidFill>
                      </w14:textFill>
                    </w:rPr>
                  </w:pPr>
                </w:p>
              </w:tc>
              <w:tc>
                <w:tcPr>
                  <w:tcW w:w="498" w:type="pct"/>
                  <w:tcBorders>
                    <w:tl2br w:val="nil"/>
                    <w:tr2bl w:val="nil"/>
                  </w:tcBorders>
                  <w:vAlign w:val="center"/>
                </w:tcPr>
                <w:p w14:paraId="5115B06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CODcr</w:t>
                  </w:r>
                </w:p>
              </w:tc>
              <w:tc>
                <w:tcPr>
                  <w:tcW w:w="599" w:type="pct"/>
                  <w:tcBorders>
                    <w:tl2br w:val="nil"/>
                    <w:tr2bl w:val="nil"/>
                  </w:tcBorders>
                  <w:vAlign w:val="center"/>
                </w:tcPr>
                <w:p w14:paraId="458560D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500mg/L</w:t>
                  </w:r>
                </w:p>
              </w:tc>
            </w:tr>
            <w:tr w14:paraId="4023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9" w:hRule="atLeast"/>
                <w:jc w:val="center"/>
              </w:trPr>
              <w:tc>
                <w:tcPr>
                  <w:tcW w:w="378" w:type="pct"/>
                  <w:vMerge w:val="continue"/>
                  <w:tcBorders>
                    <w:tl2br w:val="nil"/>
                    <w:tr2bl w:val="nil"/>
                  </w:tcBorders>
                  <w:vAlign w:val="center"/>
                </w:tcPr>
                <w:p w14:paraId="56894D89">
                  <w:pPr>
                    <w:spacing w:line="240" w:lineRule="auto"/>
                    <w:ind w:firstLine="0" w:firstLineChars="0"/>
                    <w:jc w:val="center"/>
                    <w:rPr>
                      <w:color w:val="000000" w:themeColor="text1"/>
                      <w:sz w:val="21"/>
                      <w:szCs w:val="21"/>
                      <w14:textFill>
                        <w14:solidFill>
                          <w14:schemeClr w14:val="tx1"/>
                        </w14:solidFill>
                      </w14:textFill>
                    </w:rPr>
                  </w:pPr>
                </w:p>
              </w:tc>
              <w:tc>
                <w:tcPr>
                  <w:tcW w:w="374" w:type="pct"/>
                  <w:vMerge w:val="continue"/>
                  <w:tcBorders>
                    <w:tl2br w:val="nil"/>
                    <w:tr2bl w:val="nil"/>
                  </w:tcBorders>
                  <w:vAlign w:val="center"/>
                </w:tcPr>
                <w:p w14:paraId="43426F8E">
                  <w:pPr>
                    <w:spacing w:line="240" w:lineRule="auto"/>
                    <w:ind w:firstLine="0" w:firstLineChars="0"/>
                    <w:jc w:val="center"/>
                    <w:rPr>
                      <w:color w:val="000000" w:themeColor="text1"/>
                      <w:sz w:val="21"/>
                      <w:szCs w:val="21"/>
                      <w14:textFill>
                        <w14:solidFill>
                          <w14:schemeClr w14:val="tx1"/>
                        </w14:solidFill>
                      </w14:textFill>
                    </w:rPr>
                  </w:pPr>
                </w:p>
              </w:tc>
              <w:tc>
                <w:tcPr>
                  <w:tcW w:w="678" w:type="pct"/>
                  <w:vMerge w:val="continue"/>
                  <w:tcBorders>
                    <w:tl2br w:val="nil"/>
                    <w:tr2bl w:val="nil"/>
                  </w:tcBorders>
                  <w:vAlign w:val="center"/>
                </w:tcPr>
                <w:p w14:paraId="33FC213F">
                  <w:pPr>
                    <w:spacing w:line="240" w:lineRule="auto"/>
                    <w:ind w:firstLine="0" w:firstLineChars="0"/>
                    <w:jc w:val="center"/>
                    <w:rPr>
                      <w:color w:val="000000" w:themeColor="text1"/>
                      <w:sz w:val="21"/>
                      <w:szCs w:val="21"/>
                      <w14:textFill>
                        <w14:solidFill>
                          <w14:schemeClr w14:val="tx1"/>
                        </w14:solidFill>
                      </w14:textFill>
                    </w:rPr>
                  </w:pPr>
                </w:p>
              </w:tc>
              <w:tc>
                <w:tcPr>
                  <w:tcW w:w="309" w:type="pct"/>
                  <w:vMerge w:val="continue"/>
                  <w:tcBorders>
                    <w:tl2br w:val="nil"/>
                    <w:tr2bl w:val="nil"/>
                  </w:tcBorders>
                  <w:vAlign w:val="center"/>
                </w:tcPr>
                <w:p w14:paraId="20D25E37">
                  <w:pPr>
                    <w:spacing w:line="240" w:lineRule="auto"/>
                    <w:ind w:firstLine="0" w:firstLineChars="0"/>
                    <w:jc w:val="center"/>
                    <w:rPr>
                      <w:color w:val="000000" w:themeColor="text1"/>
                      <w:sz w:val="21"/>
                      <w:szCs w:val="21"/>
                      <w14:textFill>
                        <w14:solidFill>
                          <w14:schemeClr w14:val="tx1"/>
                        </w14:solidFill>
                      </w14:textFill>
                    </w:rPr>
                  </w:pPr>
                </w:p>
              </w:tc>
              <w:tc>
                <w:tcPr>
                  <w:tcW w:w="536" w:type="pct"/>
                  <w:vMerge w:val="continue"/>
                  <w:tcBorders>
                    <w:tl2br w:val="nil"/>
                    <w:tr2bl w:val="nil"/>
                  </w:tcBorders>
                  <w:vAlign w:val="center"/>
                </w:tcPr>
                <w:p w14:paraId="5063D655">
                  <w:pPr>
                    <w:spacing w:line="240" w:lineRule="auto"/>
                    <w:ind w:firstLine="0" w:firstLineChars="0"/>
                    <w:jc w:val="center"/>
                    <w:rPr>
                      <w:color w:val="000000" w:themeColor="text1"/>
                      <w:sz w:val="21"/>
                      <w:szCs w:val="21"/>
                      <w14:textFill>
                        <w14:solidFill>
                          <w14:schemeClr w14:val="tx1"/>
                        </w14:solidFill>
                      </w14:textFill>
                    </w:rPr>
                  </w:pPr>
                </w:p>
              </w:tc>
              <w:tc>
                <w:tcPr>
                  <w:tcW w:w="423" w:type="pct"/>
                  <w:vMerge w:val="continue"/>
                  <w:tcBorders>
                    <w:tl2br w:val="nil"/>
                    <w:tr2bl w:val="nil"/>
                  </w:tcBorders>
                  <w:vAlign w:val="center"/>
                </w:tcPr>
                <w:p w14:paraId="11DB187B">
                  <w:pPr>
                    <w:spacing w:line="240" w:lineRule="auto"/>
                    <w:ind w:firstLine="0" w:firstLineChars="0"/>
                    <w:jc w:val="center"/>
                    <w:rPr>
                      <w:color w:val="000000" w:themeColor="text1"/>
                      <w:sz w:val="21"/>
                      <w:szCs w:val="21"/>
                      <w14:textFill>
                        <w14:solidFill>
                          <w14:schemeClr w14:val="tx1"/>
                        </w14:solidFill>
                      </w14:textFill>
                    </w:rPr>
                  </w:pPr>
                </w:p>
              </w:tc>
              <w:tc>
                <w:tcPr>
                  <w:tcW w:w="741" w:type="pct"/>
                  <w:vMerge w:val="continue"/>
                  <w:tcBorders>
                    <w:tl2br w:val="nil"/>
                    <w:tr2bl w:val="nil"/>
                  </w:tcBorders>
                  <w:vAlign w:val="center"/>
                </w:tcPr>
                <w:p w14:paraId="5C506EE5">
                  <w:pPr>
                    <w:spacing w:line="240" w:lineRule="auto"/>
                    <w:ind w:firstLine="0" w:firstLineChars="0"/>
                    <w:jc w:val="center"/>
                    <w:rPr>
                      <w:color w:val="000000" w:themeColor="text1"/>
                      <w:sz w:val="21"/>
                      <w:szCs w:val="21"/>
                      <w14:textFill>
                        <w14:solidFill>
                          <w14:schemeClr w14:val="tx1"/>
                        </w14:solidFill>
                      </w14:textFill>
                    </w:rPr>
                  </w:pPr>
                </w:p>
              </w:tc>
              <w:tc>
                <w:tcPr>
                  <w:tcW w:w="459" w:type="pct"/>
                  <w:vMerge w:val="continue"/>
                  <w:tcBorders>
                    <w:tl2br w:val="nil"/>
                    <w:tr2bl w:val="nil"/>
                  </w:tcBorders>
                  <w:vAlign w:val="center"/>
                </w:tcPr>
                <w:p w14:paraId="07711F0D">
                  <w:pPr>
                    <w:spacing w:line="240" w:lineRule="auto"/>
                    <w:ind w:firstLine="0" w:firstLineChars="0"/>
                    <w:jc w:val="center"/>
                    <w:rPr>
                      <w:color w:val="000000" w:themeColor="text1"/>
                      <w:sz w:val="21"/>
                      <w:szCs w:val="21"/>
                      <w14:textFill>
                        <w14:solidFill>
                          <w14:schemeClr w14:val="tx1"/>
                        </w14:solidFill>
                      </w14:textFill>
                    </w:rPr>
                  </w:pPr>
                </w:p>
              </w:tc>
              <w:tc>
                <w:tcPr>
                  <w:tcW w:w="498" w:type="pct"/>
                  <w:tcBorders>
                    <w:tl2br w:val="nil"/>
                    <w:tr2bl w:val="nil"/>
                  </w:tcBorders>
                  <w:vAlign w:val="center"/>
                </w:tcPr>
                <w:p w14:paraId="62E46D9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599" w:type="pct"/>
                  <w:tcBorders>
                    <w:tl2br w:val="nil"/>
                    <w:tr2bl w:val="nil"/>
                  </w:tcBorders>
                  <w:vAlign w:val="center"/>
                </w:tcPr>
                <w:p w14:paraId="6E3A320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300mg/L</w:t>
                  </w:r>
                </w:p>
              </w:tc>
            </w:tr>
            <w:tr w14:paraId="2ED8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1" w:hRule="atLeast"/>
                <w:jc w:val="center"/>
              </w:trPr>
              <w:tc>
                <w:tcPr>
                  <w:tcW w:w="378" w:type="pct"/>
                  <w:vMerge w:val="continue"/>
                  <w:tcBorders>
                    <w:tl2br w:val="nil"/>
                    <w:tr2bl w:val="nil"/>
                  </w:tcBorders>
                  <w:vAlign w:val="center"/>
                </w:tcPr>
                <w:p w14:paraId="0EAE7ECD">
                  <w:pPr>
                    <w:spacing w:line="240" w:lineRule="auto"/>
                    <w:ind w:firstLine="0" w:firstLineChars="0"/>
                    <w:jc w:val="center"/>
                    <w:rPr>
                      <w:color w:val="000000" w:themeColor="text1"/>
                      <w:sz w:val="21"/>
                      <w:szCs w:val="21"/>
                      <w14:textFill>
                        <w14:solidFill>
                          <w14:schemeClr w14:val="tx1"/>
                        </w14:solidFill>
                      </w14:textFill>
                    </w:rPr>
                  </w:pPr>
                </w:p>
              </w:tc>
              <w:tc>
                <w:tcPr>
                  <w:tcW w:w="374" w:type="pct"/>
                  <w:vMerge w:val="continue"/>
                  <w:tcBorders>
                    <w:tl2br w:val="nil"/>
                    <w:tr2bl w:val="nil"/>
                  </w:tcBorders>
                  <w:vAlign w:val="center"/>
                </w:tcPr>
                <w:p w14:paraId="675DDF4E">
                  <w:pPr>
                    <w:spacing w:line="240" w:lineRule="auto"/>
                    <w:ind w:firstLine="0" w:firstLineChars="0"/>
                    <w:jc w:val="center"/>
                    <w:rPr>
                      <w:color w:val="000000" w:themeColor="text1"/>
                      <w:sz w:val="21"/>
                      <w:szCs w:val="21"/>
                      <w14:textFill>
                        <w14:solidFill>
                          <w14:schemeClr w14:val="tx1"/>
                        </w14:solidFill>
                      </w14:textFill>
                    </w:rPr>
                  </w:pPr>
                </w:p>
              </w:tc>
              <w:tc>
                <w:tcPr>
                  <w:tcW w:w="678" w:type="pct"/>
                  <w:vMerge w:val="continue"/>
                  <w:tcBorders>
                    <w:tl2br w:val="nil"/>
                    <w:tr2bl w:val="nil"/>
                  </w:tcBorders>
                  <w:vAlign w:val="center"/>
                </w:tcPr>
                <w:p w14:paraId="3514D602">
                  <w:pPr>
                    <w:spacing w:line="240" w:lineRule="auto"/>
                    <w:ind w:firstLine="0" w:firstLineChars="0"/>
                    <w:jc w:val="center"/>
                    <w:rPr>
                      <w:color w:val="000000" w:themeColor="text1"/>
                      <w:sz w:val="21"/>
                      <w:szCs w:val="21"/>
                      <w14:textFill>
                        <w14:solidFill>
                          <w14:schemeClr w14:val="tx1"/>
                        </w14:solidFill>
                      </w14:textFill>
                    </w:rPr>
                  </w:pPr>
                </w:p>
              </w:tc>
              <w:tc>
                <w:tcPr>
                  <w:tcW w:w="309" w:type="pct"/>
                  <w:vMerge w:val="continue"/>
                  <w:tcBorders>
                    <w:tl2br w:val="nil"/>
                    <w:tr2bl w:val="nil"/>
                  </w:tcBorders>
                  <w:vAlign w:val="center"/>
                </w:tcPr>
                <w:p w14:paraId="57DFC63B">
                  <w:pPr>
                    <w:spacing w:line="240" w:lineRule="auto"/>
                    <w:ind w:firstLine="0" w:firstLineChars="0"/>
                    <w:jc w:val="center"/>
                    <w:rPr>
                      <w:color w:val="000000" w:themeColor="text1"/>
                      <w:sz w:val="21"/>
                      <w:szCs w:val="21"/>
                      <w14:textFill>
                        <w14:solidFill>
                          <w14:schemeClr w14:val="tx1"/>
                        </w14:solidFill>
                      </w14:textFill>
                    </w:rPr>
                  </w:pPr>
                </w:p>
              </w:tc>
              <w:tc>
                <w:tcPr>
                  <w:tcW w:w="536" w:type="pct"/>
                  <w:vMerge w:val="continue"/>
                  <w:tcBorders>
                    <w:tl2br w:val="nil"/>
                    <w:tr2bl w:val="nil"/>
                  </w:tcBorders>
                  <w:vAlign w:val="center"/>
                </w:tcPr>
                <w:p w14:paraId="4495B2D0">
                  <w:pPr>
                    <w:spacing w:line="240" w:lineRule="auto"/>
                    <w:ind w:firstLine="0" w:firstLineChars="0"/>
                    <w:jc w:val="center"/>
                    <w:rPr>
                      <w:color w:val="000000" w:themeColor="text1"/>
                      <w:sz w:val="21"/>
                      <w:szCs w:val="21"/>
                      <w14:textFill>
                        <w14:solidFill>
                          <w14:schemeClr w14:val="tx1"/>
                        </w14:solidFill>
                      </w14:textFill>
                    </w:rPr>
                  </w:pPr>
                </w:p>
              </w:tc>
              <w:tc>
                <w:tcPr>
                  <w:tcW w:w="423" w:type="pct"/>
                  <w:vMerge w:val="continue"/>
                  <w:tcBorders>
                    <w:tl2br w:val="nil"/>
                    <w:tr2bl w:val="nil"/>
                  </w:tcBorders>
                  <w:vAlign w:val="center"/>
                </w:tcPr>
                <w:p w14:paraId="5F7B1381">
                  <w:pPr>
                    <w:spacing w:line="240" w:lineRule="auto"/>
                    <w:ind w:firstLine="0" w:firstLineChars="0"/>
                    <w:jc w:val="center"/>
                    <w:rPr>
                      <w:color w:val="000000" w:themeColor="text1"/>
                      <w:sz w:val="21"/>
                      <w:szCs w:val="21"/>
                      <w14:textFill>
                        <w14:solidFill>
                          <w14:schemeClr w14:val="tx1"/>
                        </w14:solidFill>
                      </w14:textFill>
                    </w:rPr>
                  </w:pPr>
                </w:p>
              </w:tc>
              <w:tc>
                <w:tcPr>
                  <w:tcW w:w="741" w:type="pct"/>
                  <w:vMerge w:val="continue"/>
                  <w:tcBorders>
                    <w:tl2br w:val="nil"/>
                    <w:tr2bl w:val="nil"/>
                  </w:tcBorders>
                  <w:vAlign w:val="center"/>
                </w:tcPr>
                <w:p w14:paraId="1E7F2FB9">
                  <w:pPr>
                    <w:spacing w:line="240" w:lineRule="auto"/>
                    <w:ind w:firstLine="0" w:firstLineChars="0"/>
                    <w:jc w:val="center"/>
                    <w:rPr>
                      <w:color w:val="000000" w:themeColor="text1"/>
                      <w:sz w:val="21"/>
                      <w:szCs w:val="21"/>
                      <w14:textFill>
                        <w14:solidFill>
                          <w14:schemeClr w14:val="tx1"/>
                        </w14:solidFill>
                      </w14:textFill>
                    </w:rPr>
                  </w:pPr>
                </w:p>
              </w:tc>
              <w:tc>
                <w:tcPr>
                  <w:tcW w:w="459" w:type="pct"/>
                  <w:vMerge w:val="continue"/>
                  <w:tcBorders>
                    <w:tl2br w:val="nil"/>
                    <w:tr2bl w:val="nil"/>
                  </w:tcBorders>
                  <w:vAlign w:val="center"/>
                </w:tcPr>
                <w:p w14:paraId="3F4F6A58">
                  <w:pPr>
                    <w:spacing w:line="240" w:lineRule="auto"/>
                    <w:ind w:firstLine="0" w:firstLineChars="0"/>
                    <w:jc w:val="center"/>
                    <w:rPr>
                      <w:color w:val="000000" w:themeColor="text1"/>
                      <w:sz w:val="21"/>
                      <w:szCs w:val="21"/>
                      <w14:textFill>
                        <w14:solidFill>
                          <w14:schemeClr w14:val="tx1"/>
                        </w14:solidFill>
                      </w14:textFill>
                    </w:rPr>
                  </w:pPr>
                </w:p>
              </w:tc>
              <w:tc>
                <w:tcPr>
                  <w:tcW w:w="498" w:type="pct"/>
                  <w:tcBorders>
                    <w:tl2br w:val="nil"/>
                    <w:tr2bl w:val="nil"/>
                  </w:tcBorders>
                  <w:vAlign w:val="center"/>
                </w:tcPr>
                <w:p w14:paraId="792A826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599" w:type="pct"/>
                  <w:tcBorders>
                    <w:tl2br w:val="nil"/>
                    <w:tr2bl w:val="nil"/>
                  </w:tcBorders>
                  <w:vAlign w:val="center"/>
                </w:tcPr>
                <w:p w14:paraId="57A36ED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400mg/L</w:t>
                  </w:r>
                </w:p>
              </w:tc>
            </w:tr>
            <w:tr w14:paraId="57A6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5" w:hRule="atLeast"/>
                <w:jc w:val="center"/>
              </w:trPr>
              <w:tc>
                <w:tcPr>
                  <w:tcW w:w="378" w:type="pct"/>
                  <w:vMerge w:val="continue"/>
                  <w:tcBorders>
                    <w:tl2br w:val="nil"/>
                    <w:tr2bl w:val="nil"/>
                  </w:tcBorders>
                  <w:vAlign w:val="center"/>
                </w:tcPr>
                <w:p w14:paraId="0C0D8249">
                  <w:pPr>
                    <w:spacing w:line="240" w:lineRule="auto"/>
                    <w:ind w:firstLine="0" w:firstLineChars="0"/>
                    <w:jc w:val="center"/>
                    <w:rPr>
                      <w:color w:val="000000" w:themeColor="text1"/>
                      <w:sz w:val="21"/>
                      <w:szCs w:val="21"/>
                      <w14:textFill>
                        <w14:solidFill>
                          <w14:schemeClr w14:val="tx1"/>
                        </w14:solidFill>
                      </w14:textFill>
                    </w:rPr>
                  </w:pPr>
                </w:p>
              </w:tc>
              <w:tc>
                <w:tcPr>
                  <w:tcW w:w="374" w:type="pct"/>
                  <w:vMerge w:val="continue"/>
                  <w:tcBorders>
                    <w:tl2br w:val="nil"/>
                    <w:tr2bl w:val="nil"/>
                  </w:tcBorders>
                  <w:vAlign w:val="center"/>
                </w:tcPr>
                <w:p w14:paraId="4C90783E">
                  <w:pPr>
                    <w:spacing w:line="240" w:lineRule="auto"/>
                    <w:ind w:firstLine="0" w:firstLineChars="0"/>
                    <w:jc w:val="center"/>
                    <w:rPr>
                      <w:color w:val="000000" w:themeColor="text1"/>
                      <w:sz w:val="21"/>
                      <w:szCs w:val="21"/>
                      <w14:textFill>
                        <w14:solidFill>
                          <w14:schemeClr w14:val="tx1"/>
                        </w14:solidFill>
                      </w14:textFill>
                    </w:rPr>
                  </w:pPr>
                </w:p>
              </w:tc>
              <w:tc>
                <w:tcPr>
                  <w:tcW w:w="678" w:type="pct"/>
                  <w:vMerge w:val="continue"/>
                  <w:tcBorders>
                    <w:tl2br w:val="nil"/>
                    <w:tr2bl w:val="nil"/>
                  </w:tcBorders>
                  <w:vAlign w:val="center"/>
                </w:tcPr>
                <w:p w14:paraId="5569D9FD">
                  <w:pPr>
                    <w:spacing w:line="240" w:lineRule="auto"/>
                    <w:ind w:firstLine="0" w:firstLineChars="0"/>
                    <w:jc w:val="center"/>
                    <w:rPr>
                      <w:color w:val="000000" w:themeColor="text1"/>
                      <w:sz w:val="21"/>
                      <w:szCs w:val="21"/>
                      <w14:textFill>
                        <w14:solidFill>
                          <w14:schemeClr w14:val="tx1"/>
                        </w14:solidFill>
                      </w14:textFill>
                    </w:rPr>
                  </w:pPr>
                </w:p>
              </w:tc>
              <w:tc>
                <w:tcPr>
                  <w:tcW w:w="309" w:type="pct"/>
                  <w:vMerge w:val="continue"/>
                  <w:tcBorders>
                    <w:tl2br w:val="nil"/>
                    <w:tr2bl w:val="nil"/>
                  </w:tcBorders>
                  <w:vAlign w:val="center"/>
                </w:tcPr>
                <w:p w14:paraId="39DD8A21">
                  <w:pPr>
                    <w:spacing w:line="240" w:lineRule="auto"/>
                    <w:ind w:firstLine="0" w:firstLineChars="0"/>
                    <w:jc w:val="center"/>
                    <w:rPr>
                      <w:color w:val="000000" w:themeColor="text1"/>
                      <w:sz w:val="21"/>
                      <w:szCs w:val="21"/>
                      <w14:textFill>
                        <w14:solidFill>
                          <w14:schemeClr w14:val="tx1"/>
                        </w14:solidFill>
                      </w14:textFill>
                    </w:rPr>
                  </w:pPr>
                </w:p>
              </w:tc>
              <w:tc>
                <w:tcPr>
                  <w:tcW w:w="536" w:type="pct"/>
                  <w:vMerge w:val="continue"/>
                  <w:tcBorders>
                    <w:tl2br w:val="nil"/>
                    <w:tr2bl w:val="nil"/>
                  </w:tcBorders>
                  <w:vAlign w:val="center"/>
                </w:tcPr>
                <w:p w14:paraId="79E6DAB1">
                  <w:pPr>
                    <w:spacing w:line="240" w:lineRule="auto"/>
                    <w:ind w:firstLine="0" w:firstLineChars="0"/>
                    <w:jc w:val="center"/>
                    <w:rPr>
                      <w:color w:val="000000" w:themeColor="text1"/>
                      <w:sz w:val="21"/>
                      <w:szCs w:val="21"/>
                      <w14:textFill>
                        <w14:solidFill>
                          <w14:schemeClr w14:val="tx1"/>
                        </w14:solidFill>
                      </w14:textFill>
                    </w:rPr>
                  </w:pPr>
                </w:p>
              </w:tc>
              <w:tc>
                <w:tcPr>
                  <w:tcW w:w="423" w:type="pct"/>
                  <w:vMerge w:val="continue"/>
                  <w:tcBorders>
                    <w:tl2br w:val="nil"/>
                    <w:tr2bl w:val="nil"/>
                  </w:tcBorders>
                  <w:vAlign w:val="center"/>
                </w:tcPr>
                <w:p w14:paraId="273A547C">
                  <w:pPr>
                    <w:spacing w:line="240" w:lineRule="auto"/>
                    <w:ind w:firstLine="0" w:firstLineChars="0"/>
                    <w:jc w:val="center"/>
                    <w:rPr>
                      <w:color w:val="000000" w:themeColor="text1"/>
                      <w:sz w:val="21"/>
                      <w:szCs w:val="21"/>
                      <w14:textFill>
                        <w14:solidFill>
                          <w14:schemeClr w14:val="tx1"/>
                        </w14:solidFill>
                      </w14:textFill>
                    </w:rPr>
                  </w:pPr>
                </w:p>
              </w:tc>
              <w:tc>
                <w:tcPr>
                  <w:tcW w:w="741" w:type="pct"/>
                  <w:vMerge w:val="continue"/>
                  <w:tcBorders>
                    <w:tl2br w:val="nil"/>
                    <w:tr2bl w:val="nil"/>
                  </w:tcBorders>
                  <w:vAlign w:val="center"/>
                </w:tcPr>
                <w:p w14:paraId="146261DF">
                  <w:pPr>
                    <w:spacing w:line="240" w:lineRule="auto"/>
                    <w:ind w:firstLine="0" w:firstLineChars="0"/>
                    <w:jc w:val="center"/>
                    <w:rPr>
                      <w:color w:val="000000" w:themeColor="text1"/>
                      <w:sz w:val="21"/>
                      <w:szCs w:val="21"/>
                      <w14:textFill>
                        <w14:solidFill>
                          <w14:schemeClr w14:val="tx1"/>
                        </w14:solidFill>
                      </w14:textFill>
                    </w:rPr>
                  </w:pPr>
                </w:p>
              </w:tc>
              <w:tc>
                <w:tcPr>
                  <w:tcW w:w="459" w:type="pct"/>
                  <w:vMerge w:val="continue"/>
                  <w:tcBorders>
                    <w:tl2br w:val="nil"/>
                    <w:tr2bl w:val="nil"/>
                  </w:tcBorders>
                  <w:vAlign w:val="center"/>
                </w:tcPr>
                <w:p w14:paraId="45F3602C">
                  <w:pPr>
                    <w:spacing w:line="240" w:lineRule="auto"/>
                    <w:ind w:firstLine="0" w:firstLineChars="0"/>
                    <w:jc w:val="center"/>
                    <w:rPr>
                      <w:color w:val="000000" w:themeColor="text1"/>
                      <w:sz w:val="21"/>
                      <w:szCs w:val="21"/>
                      <w14:textFill>
                        <w14:solidFill>
                          <w14:schemeClr w14:val="tx1"/>
                        </w14:solidFill>
                      </w14:textFill>
                    </w:rPr>
                  </w:pPr>
                </w:p>
              </w:tc>
              <w:tc>
                <w:tcPr>
                  <w:tcW w:w="498" w:type="pct"/>
                  <w:tcBorders>
                    <w:tl2br w:val="nil"/>
                    <w:tr2bl w:val="nil"/>
                  </w:tcBorders>
                  <w:vAlign w:val="center"/>
                </w:tcPr>
                <w:p w14:paraId="1480BFE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w:t>
                  </w:r>
                </w:p>
              </w:tc>
              <w:tc>
                <w:tcPr>
                  <w:tcW w:w="599" w:type="pct"/>
                  <w:tcBorders>
                    <w:tl2br w:val="nil"/>
                    <w:tr2bl w:val="nil"/>
                  </w:tcBorders>
                  <w:vAlign w:val="center"/>
                </w:tcPr>
                <w:p w14:paraId="318D7F1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45mg/L</w:t>
                  </w:r>
                </w:p>
              </w:tc>
            </w:tr>
            <w:tr w14:paraId="22A3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5" w:hRule="atLeast"/>
                <w:jc w:val="center"/>
              </w:trPr>
              <w:tc>
                <w:tcPr>
                  <w:tcW w:w="378" w:type="pct"/>
                  <w:vMerge w:val="continue"/>
                  <w:tcBorders>
                    <w:tl2br w:val="nil"/>
                    <w:tr2bl w:val="nil"/>
                  </w:tcBorders>
                  <w:vAlign w:val="center"/>
                </w:tcPr>
                <w:p w14:paraId="1CA9322D">
                  <w:pPr>
                    <w:spacing w:line="240" w:lineRule="auto"/>
                    <w:ind w:firstLine="0" w:firstLineChars="0"/>
                    <w:jc w:val="center"/>
                    <w:rPr>
                      <w:color w:val="000000" w:themeColor="text1"/>
                      <w:sz w:val="21"/>
                      <w:szCs w:val="21"/>
                      <w14:textFill>
                        <w14:solidFill>
                          <w14:schemeClr w14:val="tx1"/>
                        </w14:solidFill>
                      </w14:textFill>
                    </w:rPr>
                  </w:pPr>
                </w:p>
              </w:tc>
              <w:tc>
                <w:tcPr>
                  <w:tcW w:w="374" w:type="pct"/>
                  <w:vMerge w:val="continue"/>
                  <w:tcBorders>
                    <w:tl2br w:val="nil"/>
                    <w:tr2bl w:val="nil"/>
                  </w:tcBorders>
                  <w:vAlign w:val="center"/>
                </w:tcPr>
                <w:p w14:paraId="5D6967C0">
                  <w:pPr>
                    <w:spacing w:line="240" w:lineRule="auto"/>
                    <w:ind w:firstLine="0" w:firstLineChars="0"/>
                    <w:jc w:val="center"/>
                    <w:rPr>
                      <w:color w:val="000000" w:themeColor="text1"/>
                      <w:sz w:val="21"/>
                      <w:szCs w:val="21"/>
                      <w14:textFill>
                        <w14:solidFill>
                          <w14:schemeClr w14:val="tx1"/>
                        </w14:solidFill>
                      </w14:textFill>
                    </w:rPr>
                  </w:pPr>
                </w:p>
              </w:tc>
              <w:tc>
                <w:tcPr>
                  <w:tcW w:w="678" w:type="pct"/>
                  <w:vMerge w:val="continue"/>
                  <w:tcBorders>
                    <w:tl2br w:val="nil"/>
                    <w:tr2bl w:val="nil"/>
                  </w:tcBorders>
                  <w:vAlign w:val="center"/>
                </w:tcPr>
                <w:p w14:paraId="5E361B66">
                  <w:pPr>
                    <w:spacing w:line="240" w:lineRule="auto"/>
                    <w:ind w:firstLine="0" w:firstLineChars="0"/>
                    <w:jc w:val="center"/>
                    <w:rPr>
                      <w:color w:val="000000" w:themeColor="text1"/>
                      <w:sz w:val="21"/>
                      <w:szCs w:val="21"/>
                      <w14:textFill>
                        <w14:solidFill>
                          <w14:schemeClr w14:val="tx1"/>
                        </w14:solidFill>
                      </w14:textFill>
                    </w:rPr>
                  </w:pPr>
                </w:p>
              </w:tc>
              <w:tc>
                <w:tcPr>
                  <w:tcW w:w="309" w:type="pct"/>
                  <w:vMerge w:val="continue"/>
                  <w:tcBorders>
                    <w:tl2br w:val="nil"/>
                    <w:tr2bl w:val="nil"/>
                  </w:tcBorders>
                  <w:vAlign w:val="center"/>
                </w:tcPr>
                <w:p w14:paraId="0110E7F7">
                  <w:pPr>
                    <w:spacing w:line="240" w:lineRule="auto"/>
                    <w:ind w:firstLine="0" w:firstLineChars="0"/>
                    <w:jc w:val="center"/>
                    <w:rPr>
                      <w:color w:val="000000" w:themeColor="text1"/>
                      <w:sz w:val="21"/>
                      <w:szCs w:val="21"/>
                      <w14:textFill>
                        <w14:solidFill>
                          <w14:schemeClr w14:val="tx1"/>
                        </w14:solidFill>
                      </w14:textFill>
                    </w:rPr>
                  </w:pPr>
                </w:p>
              </w:tc>
              <w:tc>
                <w:tcPr>
                  <w:tcW w:w="536" w:type="pct"/>
                  <w:vMerge w:val="continue"/>
                  <w:tcBorders>
                    <w:tl2br w:val="nil"/>
                    <w:tr2bl w:val="nil"/>
                  </w:tcBorders>
                  <w:vAlign w:val="center"/>
                </w:tcPr>
                <w:p w14:paraId="67B74244">
                  <w:pPr>
                    <w:spacing w:line="240" w:lineRule="auto"/>
                    <w:ind w:firstLine="0" w:firstLineChars="0"/>
                    <w:jc w:val="center"/>
                    <w:rPr>
                      <w:color w:val="000000" w:themeColor="text1"/>
                      <w:sz w:val="21"/>
                      <w:szCs w:val="21"/>
                      <w14:textFill>
                        <w14:solidFill>
                          <w14:schemeClr w14:val="tx1"/>
                        </w14:solidFill>
                      </w14:textFill>
                    </w:rPr>
                  </w:pPr>
                </w:p>
              </w:tc>
              <w:tc>
                <w:tcPr>
                  <w:tcW w:w="423" w:type="pct"/>
                  <w:vMerge w:val="continue"/>
                  <w:tcBorders>
                    <w:tl2br w:val="nil"/>
                    <w:tr2bl w:val="nil"/>
                  </w:tcBorders>
                  <w:vAlign w:val="center"/>
                </w:tcPr>
                <w:p w14:paraId="31221907">
                  <w:pPr>
                    <w:spacing w:line="240" w:lineRule="auto"/>
                    <w:ind w:firstLine="0" w:firstLineChars="0"/>
                    <w:jc w:val="center"/>
                    <w:rPr>
                      <w:color w:val="000000" w:themeColor="text1"/>
                      <w:sz w:val="21"/>
                      <w:szCs w:val="21"/>
                      <w14:textFill>
                        <w14:solidFill>
                          <w14:schemeClr w14:val="tx1"/>
                        </w14:solidFill>
                      </w14:textFill>
                    </w:rPr>
                  </w:pPr>
                </w:p>
              </w:tc>
              <w:tc>
                <w:tcPr>
                  <w:tcW w:w="741" w:type="pct"/>
                  <w:vMerge w:val="continue"/>
                  <w:tcBorders>
                    <w:tl2br w:val="nil"/>
                    <w:tr2bl w:val="nil"/>
                  </w:tcBorders>
                  <w:vAlign w:val="center"/>
                </w:tcPr>
                <w:p w14:paraId="7943A102">
                  <w:pPr>
                    <w:spacing w:line="240" w:lineRule="auto"/>
                    <w:ind w:firstLine="0" w:firstLineChars="0"/>
                    <w:jc w:val="center"/>
                    <w:rPr>
                      <w:color w:val="000000" w:themeColor="text1"/>
                      <w:sz w:val="21"/>
                      <w:szCs w:val="21"/>
                      <w14:textFill>
                        <w14:solidFill>
                          <w14:schemeClr w14:val="tx1"/>
                        </w14:solidFill>
                      </w14:textFill>
                    </w:rPr>
                  </w:pPr>
                </w:p>
              </w:tc>
              <w:tc>
                <w:tcPr>
                  <w:tcW w:w="459" w:type="pct"/>
                  <w:vMerge w:val="continue"/>
                  <w:tcBorders>
                    <w:tl2br w:val="nil"/>
                    <w:tr2bl w:val="nil"/>
                  </w:tcBorders>
                  <w:vAlign w:val="center"/>
                </w:tcPr>
                <w:p w14:paraId="20DC61F7">
                  <w:pPr>
                    <w:spacing w:line="240" w:lineRule="auto"/>
                    <w:ind w:firstLine="0" w:firstLineChars="0"/>
                    <w:jc w:val="center"/>
                    <w:rPr>
                      <w:color w:val="000000" w:themeColor="text1"/>
                      <w:sz w:val="21"/>
                      <w:szCs w:val="21"/>
                      <w14:textFill>
                        <w14:solidFill>
                          <w14:schemeClr w14:val="tx1"/>
                        </w14:solidFill>
                      </w14:textFill>
                    </w:rPr>
                  </w:pPr>
                </w:p>
              </w:tc>
              <w:tc>
                <w:tcPr>
                  <w:tcW w:w="498" w:type="pct"/>
                  <w:tcBorders>
                    <w:tl2br w:val="nil"/>
                    <w:tr2bl w:val="nil"/>
                  </w:tcBorders>
                  <w:vAlign w:val="center"/>
                </w:tcPr>
                <w:p w14:paraId="0D10D1C9">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LAS</w:t>
                  </w:r>
                </w:p>
              </w:tc>
              <w:tc>
                <w:tcPr>
                  <w:tcW w:w="599" w:type="pct"/>
                  <w:tcBorders>
                    <w:tl2br w:val="nil"/>
                    <w:tr2bl w:val="nil"/>
                  </w:tcBorders>
                  <w:vAlign w:val="center"/>
                </w:tcPr>
                <w:p w14:paraId="450C6B0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r>
                    <w:rPr>
                      <w:color w:val="000000" w:themeColor="text1"/>
                      <w:sz w:val="21"/>
                      <w:szCs w:val="21"/>
                      <w14:textFill>
                        <w14:solidFill>
                          <w14:schemeClr w14:val="tx1"/>
                        </w14:solidFill>
                      </w14:textFill>
                    </w:rPr>
                    <w:t>mg/L</w:t>
                  </w:r>
                </w:p>
              </w:tc>
            </w:tr>
          </w:tbl>
          <w:p w14:paraId="503DA306">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2.2水污染物治理措施可行性分析</w:t>
            </w:r>
          </w:p>
          <w:p w14:paraId="34FB0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库尔勒经济技术开发区污水处理厂，位于库尔勒经济技术开发区</w:t>
            </w:r>
            <w:r>
              <w:rPr>
                <w:rFonts w:hint="default" w:ascii="Times New Roman" w:hAnsi="Times New Roman" w:eastAsia="宋体" w:cs="Times New Roman"/>
                <w:bCs/>
                <w:color w:val="000000" w:themeColor="text1"/>
                <w:sz w:val="24"/>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污水处理厂于2008年8月15日取得由原新疆维吾尔自治区环境保护局下发的“关于《库尔勒经济技术开发区工业废水处理回用工程环境影响报告书》的批复”（新环监函〔2008〕438号），并于2018年12月29日通过竣工环境保护验收。</w:t>
            </w:r>
            <w:r>
              <w:rPr>
                <w:rFonts w:hint="default" w:ascii="Times New Roman" w:hAnsi="Times New Roman" w:cs="Times New Roman"/>
                <w:bCs/>
                <w:color w:val="000000" w:themeColor="text1"/>
                <w:sz w:val="24"/>
                <w14:textFill>
                  <w14:solidFill>
                    <w14:schemeClr w14:val="tx1"/>
                  </w14:solidFill>
                </w14:textFill>
              </w:rPr>
              <w:t>计规模为Q=10万m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/d（近期Q=5万m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/d）。污水处理厂采用A</w:t>
            </w:r>
            <w:r>
              <w:rPr>
                <w:rFonts w:hint="default" w:ascii="Times New Roman" w:hAnsi="Times New Roman" w:cs="Times New Roman"/>
                <w:bCs/>
                <w:color w:val="000000" w:themeColor="text1"/>
                <w:sz w:val="24"/>
                <w:vertAlign w:val="super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O+MBR工艺，出水达到《城镇污水处理厂污染物排放标准》（GB18918-2002）一级A标准，污水经过处理之后可回用于道路浇洒、绿化及工业用水。</w:t>
            </w:r>
            <w:r>
              <w:rPr>
                <w:rFonts w:hint="default" w:ascii="Times New Roman" w:hAnsi="Times New Roman" w:cs="Times New Roman"/>
                <w:bCs/>
                <w:color w:val="000000" w:themeColor="text1"/>
                <w:sz w:val="24"/>
                <w:lang w:val="en-US" w:eastAsia="zh-CN"/>
                <w14:textFill>
                  <w14:solidFill>
                    <w14:schemeClr w14:val="tx1"/>
                  </w14:solidFill>
                </w14:textFill>
              </w:rPr>
              <w:t>详见附件</w:t>
            </w:r>
            <w:r>
              <w:rPr>
                <w:rFonts w:hint="eastAsia" w:cs="Times New Roman"/>
                <w:bCs/>
                <w:color w:val="000000" w:themeColor="text1"/>
                <w:sz w:val="24"/>
                <w:lang w:val="en-US" w:eastAsia="zh-CN"/>
                <w14:textFill>
                  <w14:solidFill>
                    <w14:schemeClr w14:val="tx1"/>
                  </w14:solidFill>
                </w14:textFill>
              </w:rPr>
              <w:t>7</w:t>
            </w:r>
            <w:r>
              <w:rPr>
                <w:rFonts w:hint="default" w:ascii="Times New Roman" w:hAnsi="Times New Roman" w:cs="Times New Roman"/>
                <w:bCs/>
                <w:color w:val="000000" w:themeColor="text1"/>
                <w:sz w:val="24"/>
                <w:lang w:val="en-US" w:eastAsia="zh-CN"/>
                <w14:textFill>
                  <w14:solidFill>
                    <w14:schemeClr w14:val="tx1"/>
                  </w14:solidFill>
                </w14:textFill>
              </w:rPr>
              <w:t>。</w:t>
            </w:r>
          </w:p>
          <w:p w14:paraId="6A029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本项目生活污水排放量为</w:t>
            </w:r>
            <w:r>
              <w:rPr>
                <w:rFonts w:hint="eastAsia" w:cs="Times New Roman"/>
                <w:bCs/>
                <w:color w:val="000000" w:themeColor="text1"/>
                <w:sz w:val="24"/>
                <w:lang w:val="en-US" w:eastAsia="zh-CN"/>
                <w14:textFill>
                  <w14:solidFill>
                    <w14:schemeClr w14:val="tx1"/>
                  </w14:solidFill>
                </w14:textFill>
              </w:rPr>
              <w:t>0.89</w:t>
            </w: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d</w:t>
            </w:r>
            <w:r>
              <w:rPr>
                <w:rFonts w:hint="default" w:ascii="Times New Roman" w:hAnsi="Times New Roman" w:cs="Times New Roman"/>
                <w:bCs/>
                <w:color w:val="000000" w:themeColor="text1"/>
                <w:sz w:val="24"/>
                <w:lang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265.7</w:t>
            </w: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a</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，从水量上来说约占污水处理厂日处理量的0.00</w:t>
            </w:r>
            <w:r>
              <w:rPr>
                <w:rFonts w:hint="eastAsia" w:cs="Times New Roman"/>
                <w:bCs/>
                <w:color w:val="000000" w:themeColor="text1"/>
                <w:sz w:val="24"/>
                <w:lang w:val="en-US" w:eastAsia="zh-CN"/>
                <w14:textFill>
                  <w14:solidFill>
                    <w14:schemeClr w14:val="tx1"/>
                  </w14:solidFill>
                </w14:textFill>
              </w:rPr>
              <w:t>178</w:t>
            </w:r>
            <w:r>
              <w:rPr>
                <w:rFonts w:hint="default" w:ascii="Times New Roman" w:hAnsi="Times New Roman" w:cs="Times New Roman"/>
                <w:bCs/>
                <w:color w:val="000000" w:themeColor="text1"/>
                <w:sz w:val="24"/>
                <w14:textFill>
                  <w14:solidFill>
                    <w14:schemeClr w14:val="tx1"/>
                  </w14:solidFill>
                </w14:textFill>
              </w:rPr>
              <w:t>%，因此从处理能力上看污水处理厂有能力接纳项目废水；项目生活污水污染物浓度较低、水质简单</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废水水质满足开发区污水处理厂进水水质标准要求。此外项目水量和水质不会对污水处理厂的处理能力和处理工艺造成冲击，经处理后的污水对项目附近水域水质无重大影响，且不会改变当地水环境的功能类别。依托库尔勒经济开发区处理厂可行。</w:t>
            </w:r>
          </w:p>
          <w:p w14:paraId="034EA761">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2.3监测计划</w:t>
            </w:r>
          </w:p>
          <w:p w14:paraId="61704E35">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本项目废水参照《排污单位自行监测技术指南总则》（HJ819-2017）的要求，</w:t>
            </w:r>
            <w:r>
              <w:rPr>
                <w:rFonts w:hint="eastAsia"/>
                <w:color w:val="000000" w:themeColor="text1"/>
                <w:kern w:val="0"/>
                <w:lang w:bidi="ar"/>
                <w14:textFill>
                  <w14:solidFill>
                    <w14:schemeClr w14:val="tx1"/>
                  </w14:solidFill>
                </w14:textFill>
              </w:rPr>
              <w:t>制定</w:t>
            </w:r>
            <w:r>
              <w:rPr>
                <w:color w:val="000000" w:themeColor="text1"/>
                <w:kern w:val="0"/>
                <w:lang w:bidi="ar"/>
                <w14:textFill>
                  <w14:solidFill>
                    <w14:schemeClr w14:val="tx1"/>
                  </w14:solidFill>
                </w14:textFill>
              </w:rPr>
              <w:t>本项目废水监测计划见下表。</w:t>
            </w:r>
          </w:p>
          <w:p w14:paraId="1EB10563">
            <w:pPr>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11</w:t>
            </w:r>
            <w:r>
              <w:rPr>
                <w:b/>
                <w:bCs/>
                <w:color w:val="000000" w:themeColor="text1"/>
                <w:sz w:val="21"/>
                <w:szCs w:val="21"/>
                <w14:textFill>
                  <w14:solidFill>
                    <w14:schemeClr w14:val="tx1"/>
                  </w14:solidFill>
                </w14:textFill>
              </w:rPr>
              <w:t>废水污染物监测计划</w:t>
            </w:r>
          </w:p>
          <w:tbl>
            <w:tblPr>
              <w:tblStyle w:val="3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193"/>
              <w:gridCol w:w="1570"/>
              <w:gridCol w:w="1014"/>
              <w:gridCol w:w="2974"/>
            </w:tblGrid>
            <w:tr w14:paraId="65C7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14:paraId="16FC7B3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环境要素</w:t>
                  </w:r>
                </w:p>
              </w:tc>
              <w:tc>
                <w:tcPr>
                  <w:tcW w:w="767" w:type="pct"/>
                  <w:tcBorders>
                    <w:tl2br w:val="nil"/>
                    <w:tr2bl w:val="nil"/>
                  </w:tcBorders>
                  <w:vAlign w:val="center"/>
                </w:tcPr>
                <w:p w14:paraId="57506A0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1010" w:type="pct"/>
                  <w:tcBorders>
                    <w:tl2br w:val="nil"/>
                    <w:tr2bl w:val="nil"/>
                  </w:tcBorders>
                  <w:vAlign w:val="center"/>
                </w:tcPr>
                <w:p w14:paraId="7639E70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监测指标</w:t>
                  </w:r>
                </w:p>
              </w:tc>
              <w:tc>
                <w:tcPr>
                  <w:tcW w:w="652" w:type="pct"/>
                  <w:tcBorders>
                    <w:tl2br w:val="nil"/>
                    <w:tr2bl w:val="nil"/>
                  </w:tcBorders>
                  <w:vAlign w:val="center"/>
                </w:tcPr>
                <w:p w14:paraId="2EF3160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监测频次</w:t>
                  </w:r>
                </w:p>
              </w:tc>
              <w:tc>
                <w:tcPr>
                  <w:tcW w:w="1913" w:type="pct"/>
                  <w:tcBorders>
                    <w:tl2br w:val="nil"/>
                    <w:tr2bl w:val="nil"/>
                  </w:tcBorders>
                  <w:vAlign w:val="center"/>
                </w:tcPr>
                <w:p w14:paraId="72A469C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执行排放标准</w:t>
                  </w:r>
                </w:p>
              </w:tc>
            </w:tr>
            <w:tr w14:paraId="2922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14:paraId="762866B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767" w:type="pct"/>
                  <w:tcBorders>
                    <w:tl2br w:val="nil"/>
                    <w:tr2bl w:val="nil"/>
                  </w:tcBorders>
                  <w:vAlign w:val="center"/>
                </w:tcPr>
                <w:p w14:paraId="18DAB8B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废水总排口</w:t>
                  </w:r>
                </w:p>
              </w:tc>
              <w:tc>
                <w:tcPr>
                  <w:tcW w:w="1010" w:type="pct"/>
                  <w:tcBorders>
                    <w:tl2br w:val="nil"/>
                    <w:tr2bl w:val="nil"/>
                  </w:tcBorders>
                  <w:vAlign w:val="center"/>
                </w:tcPr>
                <w:p w14:paraId="665132CE">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pH值、COD、BOD</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、SS、氨氮</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LAS</w:t>
                  </w:r>
                </w:p>
              </w:tc>
              <w:tc>
                <w:tcPr>
                  <w:tcW w:w="652" w:type="pct"/>
                  <w:tcBorders>
                    <w:tl2br w:val="nil"/>
                    <w:tr2bl w:val="nil"/>
                  </w:tcBorders>
                  <w:vAlign w:val="center"/>
                </w:tcPr>
                <w:p w14:paraId="3868C31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1次/年</w:t>
                  </w:r>
                </w:p>
              </w:tc>
              <w:tc>
                <w:tcPr>
                  <w:tcW w:w="1913" w:type="pct"/>
                  <w:tcBorders>
                    <w:tl2br w:val="nil"/>
                    <w:tr2bl w:val="nil"/>
                  </w:tcBorders>
                  <w:vAlign w:val="center"/>
                </w:tcPr>
                <w:p w14:paraId="15CCDDA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《污水综合排放标准》（GB8978-1996）</w:t>
                  </w:r>
                  <w:r>
                    <w:rPr>
                      <w:rFonts w:hint="eastAsia"/>
                      <w:color w:val="000000" w:themeColor="text1"/>
                      <w:sz w:val="21"/>
                      <w:szCs w:val="21"/>
                      <w:lang w:val="en-US" w:eastAsia="zh-CN"/>
                      <w14:textFill>
                        <w14:solidFill>
                          <w14:schemeClr w14:val="tx1"/>
                        </w14:solidFill>
                      </w14:textFill>
                    </w:rPr>
                    <w:t>表4</w:t>
                  </w:r>
                  <w:r>
                    <w:rPr>
                      <w:color w:val="000000" w:themeColor="text1"/>
                      <w:sz w:val="21"/>
                      <w:szCs w:val="21"/>
                      <w14:textFill>
                        <w14:solidFill>
                          <w14:schemeClr w14:val="tx1"/>
                        </w14:solidFill>
                      </w14:textFill>
                    </w:rPr>
                    <w:t>三级标准，氨氮</w:t>
                  </w:r>
                  <w:r>
                    <w:rPr>
                      <w:rFonts w:hint="eastAsia"/>
                      <w:color w:val="000000" w:themeColor="text1"/>
                      <w:sz w:val="21"/>
                      <w:szCs w:val="21"/>
                      <w:lang w:eastAsia="zh-CN"/>
                      <w14:textFill>
                        <w14:solidFill>
                          <w14:schemeClr w14:val="tx1"/>
                        </w14:solidFill>
                      </w14:textFill>
                    </w:rPr>
                    <w:t>参照</w:t>
                  </w:r>
                  <w:r>
                    <w:rPr>
                      <w:color w:val="000000" w:themeColor="text1"/>
                      <w:sz w:val="21"/>
                      <w:szCs w:val="21"/>
                      <w14:textFill>
                        <w14:solidFill>
                          <w14:schemeClr w14:val="tx1"/>
                        </w14:solidFill>
                      </w14:textFill>
                    </w:rPr>
                    <w:t>《污水排入城镇下水道水质标准》（GB/T31962-2015）</w:t>
                  </w:r>
                </w:p>
              </w:tc>
            </w:tr>
          </w:tbl>
          <w:p w14:paraId="0C9C42C2">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3、噪声</w:t>
            </w:r>
          </w:p>
          <w:p w14:paraId="06A36491">
            <w:pPr>
              <w:widowControl/>
              <w:ind w:firstLine="482"/>
              <w:jc w:val="left"/>
              <w:rPr>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3.1噪声污染</w:t>
            </w:r>
            <w:r>
              <w:rPr>
                <w:rFonts w:hint="eastAsia"/>
                <w:b/>
                <w:bCs/>
                <w:color w:val="000000" w:themeColor="text1"/>
                <w:kern w:val="0"/>
                <w:lang w:bidi="ar"/>
                <w14:textFill>
                  <w14:solidFill>
                    <w14:schemeClr w14:val="tx1"/>
                  </w14:solidFill>
                </w14:textFill>
              </w:rPr>
              <w:t>源</w:t>
            </w:r>
          </w:p>
          <w:p w14:paraId="14A16C55">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本项目噪声主要来源于</w:t>
            </w:r>
            <w:r>
              <w:rPr>
                <w:rFonts w:hint="eastAsia"/>
                <w:color w:val="000000" w:themeColor="text1"/>
                <w:kern w:val="0"/>
                <w:lang w:bidi="ar"/>
                <w14:textFill>
                  <w14:solidFill>
                    <w14:schemeClr w14:val="tx1"/>
                  </w14:solidFill>
                </w14:textFill>
              </w:rPr>
              <w:t>离心式风机</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角磨机</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金相试样磨抛机、喷淋塔风机</w:t>
            </w:r>
            <w:r>
              <w:rPr>
                <w:color w:val="000000" w:themeColor="text1"/>
                <w:kern w:val="0"/>
                <w:lang w:bidi="ar"/>
                <w14:textFill>
                  <w14:solidFill>
                    <w14:schemeClr w14:val="tx1"/>
                  </w14:solidFill>
                </w14:textFill>
              </w:rPr>
              <w:t>等设备噪声，其噪声源强在70~85dB（A）之间。项目</w:t>
            </w:r>
            <w:r>
              <w:rPr>
                <w:rFonts w:hint="eastAsia"/>
                <w:color w:val="000000" w:themeColor="text1"/>
                <w:kern w:val="0"/>
                <w:lang w:bidi="ar"/>
                <w14:textFill>
                  <w14:solidFill>
                    <w14:schemeClr w14:val="tx1"/>
                  </w14:solidFill>
                </w14:textFill>
              </w:rPr>
              <w:t>室内、室外声源情况如下</w:t>
            </w:r>
            <w:r>
              <w:rPr>
                <w:color w:val="000000" w:themeColor="text1"/>
                <w:kern w:val="0"/>
                <w:lang w:bidi="ar"/>
                <w14:textFill>
                  <w14:solidFill>
                    <w14:schemeClr w14:val="tx1"/>
                  </w14:solidFill>
                </w14:textFill>
              </w:rPr>
              <w:t>：</w:t>
            </w:r>
          </w:p>
          <w:p w14:paraId="64048A19">
            <w:pPr>
              <w:spacing w:line="240" w:lineRule="auto"/>
              <w:ind w:firstLine="482"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w:t>
            </w:r>
            <w:r>
              <w:rPr>
                <w:b/>
                <w:bCs/>
                <w:color w:val="000000" w:themeColor="text1"/>
                <w:sz w:val="21"/>
                <w:szCs w:val="21"/>
                <w14:textFill>
                  <w14:solidFill>
                    <w14:schemeClr w14:val="tx1"/>
                  </w14:solidFill>
                </w14:textFill>
              </w:rPr>
              <w:t>4-1</w:t>
            </w: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室内声源噪声源强调查清单</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861"/>
              <w:gridCol w:w="594"/>
              <w:gridCol w:w="876"/>
              <w:gridCol w:w="677"/>
              <w:gridCol w:w="1060"/>
              <w:gridCol w:w="1060"/>
              <w:gridCol w:w="982"/>
              <w:gridCol w:w="786"/>
            </w:tblGrid>
            <w:tr w14:paraId="320C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562" w:type="pct"/>
                  <w:vMerge w:val="restart"/>
                  <w:tcBorders>
                    <w:tl2br w:val="nil"/>
                    <w:tr2bl w:val="nil"/>
                  </w:tcBorders>
                  <w:vAlign w:val="center"/>
                </w:tcPr>
                <w:p w14:paraId="16417C73">
                  <w:pPr>
                    <w:widowControl/>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声源名称</w:t>
                  </w:r>
                </w:p>
              </w:tc>
              <w:tc>
                <w:tcPr>
                  <w:tcW w:w="554" w:type="pct"/>
                  <w:vMerge w:val="restart"/>
                  <w:tcBorders>
                    <w:tl2br w:val="nil"/>
                    <w:tr2bl w:val="nil"/>
                  </w:tcBorders>
                  <w:vAlign w:val="center"/>
                </w:tcPr>
                <w:p w14:paraId="219CB6D3">
                  <w:pPr>
                    <w:widowControl/>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声功.</w:t>
                  </w:r>
                </w:p>
                <w:p w14:paraId="6BE0C6FB">
                  <w:pPr>
                    <w:widowControl/>
                    <w:spacing w:line="240" w:lineRule="auto"/>
                    <w:ind w:firstLine="0" w:firstLineChars="0"/>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率级</w:t>
                  </w:r>
                  <w:r>
                    <w:rPr>
                      <w:b w:val="0"/>
                      <w:bCs/>
                      <w:color w:val="000000" w:themeColor="text1"/>
                      <w:sz w:val="21"/>
                      <w:szCs w:val="21"/>
                      <w14:textFill>
                        <w14:solidFill>
                          <w14:schemeClr w14:val="tx1"/>
                        </w14:solidFill>
                      </w14:textFill>
                    </w:rPr>
                    <w:t>dB</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A</w:t>
                  </w:r>
                  <w:r>
                    <w:rPr>
                      <w:rFonts w:hint="eastAsia"/>
                      <w:b w:val="0"/>
                      <w:bCs/>
                      <w:color w:val="000000" w:themeColor="text1"/>
                      <w:sz w:val="21"/>
                      <w:szCs w:val="21"/>
                      <w:lang w:eastAsia="zh-CN"/>
                      <w14:textFill>
                        <w14:solidFill>
                          <w14:schemeClr w14:val="tx1"/>
                        </w14:solidFill>
                      </w14:textFill>
                    </w:rPr>
                    <w:t>）</w:t>
                  </w:r>
                </w:p>
              </w:tc>
              <w:tc>
                <w:tcPr>
                  <w:tcW w:w="382" w:type="pct"/>
                  <w:vMerge w:val="restart"/>
                  <w:tcBorders>
                    <w:tl2br w:val="nil"/>
                    <w:tr2bl w:val="nil"/>
                  </w:tcBorders>
                  <w:vAlign w:val="center"/>
                </w:tcPr>
                <w:p w14:paraId="5D666C61">
                  <w:pPr>
                    <w:widowControl/>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数量</w:t>
                  </w:r>
                </w:p>
              </w:tc>
              <w:tc>
                <w:tcPr>
                  <w:tcW w:w="564" w:type="pct"/>
                  <w:vMerge w:val="restart"/>
                  <w:tcBorders>
                    <w:tl2br w:val="nil"/>
                    <w:tr2bl w:val="nil"/>
                  </w:tcBorders>
                  <w:vAlign w:val="center"/>
                </w:tcPr>
                <w:p w14:paraId="54BE44F1">
                  <w:pPr>
                    <w:widowControl/>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距室内边界最近距离</w:t>
                  </w:r>
                  <w:r>
                    <w:rPr>
                      <w:b w:val="0"/>
                      <w:bCs/>
                      <w:color w:val="000000" w:themeColor="text1"/>
                      <w:sz w:val="21"/>
                      <w:szCs w:val="21"/>
                      <w14:textFill>
                        <w14:solidFill>
                          <w14:schemeClr w14:val="tx1"/>
                        </w14:solidFill>
                      </w14:textFill>
                    </w:rPr>
                    <w:t>m</w:t>
                  </w:r>
                </w:p>
              </w:tc>
              <w:tc>
                <w:tcPr>
                  <w:tcW w:w="436" w:type="pct"/>
                  <w:vMerge w:val="restart"/>
                  <w:tcBorders>
                    <w:tl2br w:val="nil"/>
                    <w:tr2bl w:val="nil"/>
                  </w:tcBorders>
                  <w:vAlign w:val="center"/>
                </w:tcPr>
                <w:p w14:paraId="4AD763AB">
                  <w:pPr>
                    <w:widowControl/>
                    <w:spacing w:line="240" w:lineRule="auto"/>
                    <w:ind w:firstLine="0" w:firstLineChars="0"/>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室内边界声级</w:t>
                  </w:r>
                  <w:r>
                    <w:rPr>
                      <w:b w:val="0"/>
                      <w:bCs/>
                      <w:color w:val="000000" w:themeColor="text1"/>
                      <w:sz w:val="21"/>
                      <w:szCs w:val="21"/>
                      <w14:textFill>
                        <w14:solidFill>
                          <w14:schemeClr w14:val="tx1"/>
                        </w14:solidFill>
                      </w14:textFill>
                    </w:rPr>
                    <w:t>dB</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A</w:t>
                  </w:r>
                  <w:r>
                    <w:rPr>
                      <w:rFonts w:hint="eastAsia"/>
                      <w:b w:val="0"/>
                      <w:bCs/>
                      <w:color w:val="000000" w:themeColor="text1"/>
                      <w:sz w:val="21"/>
                      <w:szCs w:val="21"/>
                      <w:lang w:eastAsia="zh-CN"/>
                      <w14:textFill>
                        <w14:solidFill>
                          <w14:schemeClr w14:val="tx1"/>
                        </w14:solidFill>
                      </w14:textFill>
                    </w:rPr>
                    <w:t>）</w:t>
                  </w:r>
                </w:p>
              </w:tc>
              <w:tc>
                <w:tcPr>
                  <w:tcW w:w="682" w:type="pct"/>
                  <w:vMerge w:val="restart"/>
                  <w:tcBorders>
                    <w:tl2br w:val="nil"/>
                    <w:tr2bl w:val="nil"/>
                  </w:tcBorders>
                  <w:vAlign w:val="center"/>
                </w:tcPr>
                <w:p w14:paraId="35894EF0">
                  <w:pPr>
                    <w:widowControl/>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运行时段</w:t>
                  </w:r>
                </w:p>
                <w:p w14:paraId="0B3DF192">
                  <w:pPr>
                    <w:widowControl/>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lang w:eastAsia="zh-CN"/>
                      <w14:textFill>
                        <w14:solidFill>
                          <w14:schemeClr w14:val="tx1"/>
                        </w14:solidFill>
                      </w14:textFill>
                    </w:rPr>
                    <w:t>（</w:t>
                  </w:r>
                  <w:r>
                    <w:rPr>
                      <w:rFonts w:hint="eastAsia"/>
                      <w:b w:val="0"/>
                      <w:bCs/>
                      <w:color w:val="000000" w:themeColor="text1"/>
                      <w:sz w:val="21"/>
                      <w:szCs w:val="21"/>
                      <w14:textFill>
                        <w14:solidFill>
                          <w14:schemeClr w14:val="tx1"/>
                        </w14:solidFill>
                      </w14:textFill>
                    </w:rPr>
                    <w:t>h</w:t>
                  </w:r>
                  <w:r>
                    <w:rPr>
                      <w:rFonts w:hint="eastAsia"/>
                      <w:b w:val="0"/>
                      <w:bCs/>
                      <w:color w:val="000000" w:themeColor="text1"/>
                      <w:sz w:val="21"/>
                      <w:szCs w:val="21"/>
                      <w:lang w:eastAsia="zh-CN"/>
                      <w14:textFill>
                        <w14:solidFill>
                          <w14:schemeClr w14:val="tx1"/>
                        </w14:solidFill>
                      </w14:textFill>
                    </w:rPr>
                    <w:t>）</w:t>
                  </w:r>
                </w:p>
              </w:tc>
              <w:tc>
                <w:tcPr>
                  <w:tcW w:w="682" w:type="pct"/>
                  <w:vMerge w:val="restart"/>
                  <w:tcBorders>
                    <w:tl2br w:val="nil"/>
                    <w:tr2bl w:val="nil"/>
                  </w:tcBorders>
                  <w:vAlign w:val="center"/>
                </w:tcPr>
                <w:p w14:paraId="4B150A81">
                  <w:pPr>
                    <w:widowControl/>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建筑物插入损失</w:t>
                  </w:r>
                </w:p>
                <w:p w14:paraId="7C1AFCBB">
                  <w:pPr>
                    <w:widowControl/>
                    <w:spacing w:line="240" w:lineRule="auto"/>
                    <w:ind w:firstLine="0" w:firstLineChars="0"/>
                    <w:jc w:val="center"/>
                    <w:rPr>
                      <w:rFonts w:hint="eastAsia" w:eastAsia="宋体"/>
                      <w:b w:val="0"/>
                      <w:bCs/>
                      <w:color w:val="000000" w:themeColor="text1"/>
                      <w:sz w:val="21"/>
                      <w:szCs w:val="21"/>
                      <w:lang w:eastAsia="zh-CN"/>
                      <w14:textFill>
                        <w14:solidFill>
                          <w14:schemeClr w14:val="tx1"/>
                        </w14:solidFill>
                      </w14:textFill>
                    </w:rPr>
                  </w:pPr>
                  <w:r>
                    <w:rPr>
                      <w:b w:val="0"/>
                      <w:bCs/>
                      <w:color w:val="000000" w:themeColor="text1"/>
                      <w:sz w:val="21"/>
                      <w:szCs w:val="21"/>
                      <w14:textFill>
                        <w14:solidFill>
                          <w14:schemeClr w14:val="tx1"/>
                        </w14:solidFill>
                      </w14:textFill>
                    </w:rPr>
                    <w:t>dB</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A</w:t>
                  </w:r>
                  <w:r>
                    <w:rPr>
                      <w:rFonts w:hint="eastAsia"/>
                      <w:b w:val="0"/>
                      <w:bCs/>
                      <w:color w:val="000000" w:themeColor="text1"/>
                      <w:sz w:val="21"/>
                      <w:szCs w:val="21"/>
                      <w:lang w:eastAsia="zh-CN"/>
                      <w14:textFill>
                        <w14:solidFill>
                          <w14:schemeClr w14:val="tx1"/>
                        </w14:solidFill>
                      </w14:textFill>
                    </w:rPr>
                    <w:t>）</w:t>
                  </w:r>
                </w:p>
              </w:tc>
              <w:tc>
                <w:tcPr>
                  <w:tcW w:w="1138" w:type="pct"/>
                  <w:gridSpan w:val="2"/>
                  <w:tcBorders>
                    <w:tl2br w:val="nil"/>
                    <w:tr2bl w:val="nil"/>
                  </w:tcBorders>
                  <w:vAlign w:val="center"/>
                </w:tcPr>
                <w:p w14:paraId="3D0BC255">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建筑物外噪声</w:t>
                  </w:r>
                </w:p>
              </w:tc>
            </w:tr>
            <w:tr w14:paraId="7449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62" w:type="pct"/>
                  <w:vMerge w:val="continue"/>
                  <w:tcBorders>
                    <w:tl2br w:val="nil"/>
                    <w:tr2bl w:val="nil"/>
                  </w:tcBorders>
                  <w:vAlign w:val="center"/>
                </w:tcPr>
                <w:p w14:paraId="160E40CE">
                  <w:pPr>
                    <w:widowControl/>
                    <w:spacing w:line="240" w:lineRule="auto"/>
                    <w:ind w:firstLine="0" w:firstLineChars="0"/>
                    <w:jc w:val="center"/>
                    <w:rPr>
                      <w:b w:val="0"/>
                      <w:bCs/>
                      <w:color w:val="000000" w:themeColor="text1"/>
                      <w:sz w:val="21"/>
                      <w:szCs w:val="21"/>
                      <w14:textFill>
                        <w14:solidFill>
                          <w14:schemeClr w14:val="tx1"/>
                        </w14:solidFill>
                      </w14:textFill>
                    </w:rPr>
                  </w:pPr>
                </w:p>
              </w:tc>
              <w:tc>
                <w:tcPr>
                  <w:tcW w:w="554" w:type="pct"/>
                  <w:vMerge w:val="continue"/>
                  <w:tcBorders>
                    <w:tl2br w:val="nil"/>
                    <w:tr2bl w:val="nil"/>
                  </w:tcBorders>
                  <w:vAlign w:val="center"/>
                </w:tcPr>
                <w:p w14:paraId="5DEBEBA7">
                  <w:pPr>
                    <w:widowControl/>
                    <w:spacing w:line="240" w:lineRule="auto"/>
                    <w:ind w:firstLine="0" w:firstLineChars="0"/>
                    <w:jc w:val="center"/>
                    <w:rPr>
                      <w:b w:val="0"/>
                      <w:bCs/>
                      <w:color w:val="000000" w:themeColor="text1"/>
                      <w:sz w:val="21"/>
                      <w:szCs w:val="21"/>
                      <w14:textFill>
                        <w14:solidFill>
                          <w14:schemeClr w14:val="tx1"/>
                        </w14:solidFill>
                      </w14:textFill>
                    </w:rPr>
                  </w:pPr>
                </w:p>
              </w:tc>
              <w:tc>
                <w:tcPr>
                  <w:tcW w:w="382" w:type="pct"/>
                  <w:vMerge w:val="continue"/>
                  <w:tcBorders>
                    <w:tl2br w:val="nil"/>
                    <w:tr2bl w:val="nil"/>
                  </w:tcBorders>
                  <w:vAlign w:val="center"/>
                </w:tcPr>
                <w:p w14:paraId="3DEB925B">
                  <w:pPr>
                    <w:widowControl/>
                    <w:spacing w:line="240" w:lineRule="auto"/>
                    <w:ind w:firstLine="0" w:firstLineChars="0"/>
                    <w:jc w:val="center"/>
                    <w:rPr>
                      <w:b w:val="0"/>
                      <w:bCs/>
                      <w:color w:val="000000" w:themeColor="text1"/>
                      <w:sz w:val="21"/>
                      <w:szCs w:val="21"/>
                      <w14:textFill>
                        <w14:solidFill>
                          <w14:schemeClr w14:val="tx1"/>
                        </w14:solidFill>
                      </w14:textFill>
                    </w:rPr>
                  </w:pPr>
                </w:p>
              </w:tc>
              <w:tc>
                <w:tcPr>
                  <w:tcW w:w="564" w:type="pct"/>
                  <w:vMerge w:val="continue"/>
                  <w:tcBorders>
                    <w:tl2br w:val="nil"/>
                    <w:tr2bl w:val="nil"/>
                  </w:tcBorders>
                  <w:vAlign w:val="center"/>
                </w:tcPr>
                <w:p w14:paraId="4005DF96">
                  <w:pPr>
                    <w:widowControl/>
                    <w:spacing w:beforeAutospacing="1" w:afterAutospacing="1" w:line="240" w:lineRule="auto"/>
                    <w:ind w:firstLine="0" w:firstLineChars="0"/>
                    <w:jc w:val="center"/>
                    <w:rPr>
                      <w:b w:val="0"/>
                      <w:bCs/>
                      <w:color w:val="000000" w:themeColor="text1"/>
                      <w:sz w:val="21"/>
                      <w:szCs w:val="21"/>
                      <w14:textFill>
                        <w14:solidFill>
                          <w14:schemeClr w14:val="tx1"/>
                        </w14:solidFill>
                      </w14:textFill>
                    </w:rPr>
                  </w:pPr>
                </w:p>
              </w:tc>
              <w:tc>
                <w:tcPr>
                  <w:tcW w:w="436" w:type="pct"/>
                  <w:vMerge w:val="continue"/>
                  <w:tcBorders>
                    <w:tl2br w:val="nil"/>
                    <w:tr2bl w:val="nil"/>
                  </w:tcBorders>
                  <w:vAlign w:val="center"/>
                </w:tcPr>
                <w:p w14:paraId="06B7E1CC">
                  <w:pPr>
                    <w:widowControl/>
                    <w:spacing w:beforeAutospacing="1" w:afterAutospacing="1" w:line="240" w:lineRule="auto"/>
                    <w:ind w:firstLine="0" w:firstLineChars="0"/>
                    <w:jc w:val="center"/>
                    <w:rPr>
                      <w:b w:val="0"/>
                      <w:bCs/>
                      <w:color w:val="000000" w:themeColor="text1"/>
                      <w:sz w:val="21"/>
                      <w:szCs w:val="21"/>
                      <w14:textFill>
                        <w14:solidFill>
                          <w14:schemeClr w14:val="tx1"/>
                        </w14:solidFill>
                      </w14:textFill>
                    </w:rPr>
                  </w:pPr>
                </w:p>
              </w:tc>
              <w:tc>
                <w:tcPr>
                  <w:tcW w:w="682" w:type="pct"/>
                  <w:vMerge w:val="continue"/>
                  <w:tcBorders>
                    <w:tl2br w:val="nil"/>
                    <w:tr2bl w:val="nil"/>
                  </w:tcBorders>
                  <w:vAlign w:val="center"/>
                </w:tcPr>
                <w:p w14:paraId="5EFA3D27">
                  <w:pPr>
                    <w:widowControl/>
                    <w:spacing w:beforeAutospacing="1" w:afterAutospacing="1" w:line="240" w:lineRule="auto"/>
                    <w:ind w:firstLine="0" w:firstLineChars="0"/>
                    <w:jc w:val="center"/>
                    <w:rPr>
                      <w:b w:val="0"/>
                      <w:bCs/>
                      <w:color w:val="000000" w:themeColor="text1"/>
                      <w:sz w:val="21"/>
                      <w:szCs w:val="21"/>
                      <w14:textFill>
                        <w14:solidFill>
                          <w14:schemeClr w14:val="tx1"/>
                        </w14:solidFill>
                      </w14:textFill>
                    </w:rPr>
                  </w:pPr>
                </w:p>
              </w:tc>
              <w:tc>
                <w:tcPr>
                  <w:tcW w:w="682" w:type="pct"/>
                  <w:vMerge w:val="continue"/>
                  <w:tcBorders>
                    <w:tl2br w:val="nil"/>
                    <w:tr2bl w:val="nil"/>
                  </w:tcBorders>
                  <w:vAlign w:val="center"/>
                </w:tcPr>
                <w:p w14:paraId="384AD6A2">
                  <w:pPr>
                    <w:widowControl/>
                    <w:spacing w:beforeAutospacing="1" w:afterAutospacing="1" w:line="240" w:lineRule="auto"/>
                    <w:ind w:firstLine="0" w:firstLineChars="0"/>
                    <w:jc w:val="center"/>
                    <w:rPr>
                      <w:b w:val="0"/>
                      <w:bCs/>
                      <w:color w:val="000000" w:themeColor="text1"/>
                      <w:sz w:val="21"/>
                      <w:szCs w:val="21"/>
                      <w14:textFill>
                        <w14:solidFill>
                          <w14:schemeClr w14:val="tx1"/>
                        </w14:solidFill>
                      </w14:textFill>
                    </w:rPr>
                  </w:pPr>
                </w:p>
              </w:tc>
              <w:tc>
                <w:tcPr>
                  <w:tcW w:w="632" w:type="pct"/>
                  <w:tcBorders>
                    <w:tl2br w:val="nil"/>
                    <w:tr2bl w:val="nil"/>
                  </w:tcBorders>
                  <w:vAlign w:val="center"/>
                </w:tcPr>
                <w:p w14:paraId="3F1031A4">
                  <w:pPr>
                    <w:spacing w:line="240" w:lineRule="auto"/>
                    <w:ind w:firstLine="0" w:firstLineChars="0"/>
                    <w:jc w:val="center"/>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14:textFill>
                        <w14:solidFill>
                          <w14:schemeClr w14:val="tx1"/>
                        </w14:solidFill>
                      </w14:textFill>
                    </w:rPr>
                    <w:t>声压级</w:t>
                  </w:r>
                  <w:r>
                    <w:rPr>
                      <w:b w:val="0"/>
                      <w:bCs/>
                      <w:color w:val="000000" w:themeColor="text1"/>
                      <w:sz w:val="21"/>
                      <w:szCs w:val="21"/>
                      <w14:textFill>
                        <w14:solidFill>
                          <w14:schemeClr w14:val="tx1"/>
                        </w14:solidFill>
                      </w14:textFill>
                    </w:rPr>
                    <w:t>dB</w:t>
                  </w:r>
                  <w:r>
                    <w:rPr>
                      <w:rFonts w:hint="eastAsia"/>
                      <w:b w:val="0"/>
                      <w:bCs/>
                      <w:color w:val="000000" w:themeColor="text1"/>
                      <w:sz w:val="21"/>
                      <w:szCs w:val="21"/>
                      <w:lang w:eastAsia="zh-CN"/>
                      <w14:textFill>
                        <w14:solidFill>
                          <w14:schemeClr w14:val="tx1"/>
                        </w14:solidFill>
                      </w14:textFill>
                    </w:rPr>
                    <w:t>（</w:t>
                  </w:r>
                  <w:r>
                    <w:rPr>
                      <w:b w:val="0"/>
                      <w:bCs/>
                      <w:color w:val="000000" w:themeColor="text1"/>
                      <w:sz w:val="21"/>
                      <w:szCs w:val="21"/>
                      <w14:textFill>
                        <w14:solidFill>
                          <w14:schemeClr w14:val="tx1"/>
                        </w14:solidFill>
                      </w14:textFill>
                    </w:rPr>
                    <w:t>A</w:t>
                  </w:r>
                  <w:r>
                    <w:rPr>
                      <w:rFonts w:hint="eastAsia"/>
                      <w:b w:val="0"/>
                      <w:bCs/>
                      <w:color w:val="000000" w:themeColor="text1"/>
                      <w:sz w:val="21"/>
                      <w:szCs w:val="21"/>
                      <w:lang w:eastAsia="zh-CN"/>
                      <w14:textFill>
                        <w14:solidFill>
                          <w14:schemeClr w14:val="tx1"/>
                        </w14:solidFill>
                      </w14:textFill>
                    </w:rPr>
                    <w:t>）</w:t>
                  </w:r>
                </w:p>
              </w:tc>
              <w:tc>
                <w:tcPr>
                  <w:tcW w:w="506" w:type="pct"/>
                  <w:tcBorders>
                    <w:tl2br w:val="nil"/>
                    <w:tr2bl w:val="nil"/>
                  </w:tcBorders>
                  <w:vAlign w:val="center"/>
                </w:tcPr>
                <w:p w14:paraId="7769DF64">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室外距离</w:t>
                  </w:r>
                </w:p>
              </w:tc>
            </w:tr>
            <w:tr w14:paraId="4AD7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2" w:type="pct"/>
                  <w:tcBorders>
                    <w:tl2br w:val="nil"/>
                    <w:tr2bl w:val="nil"/>
                  </w:tcBorders>
                  <w:vAlign w:val="center"/>
                </w:tcPr>
                <w:p w14:paraId="36829372">
                  <w:pPr>
                    <w:widowControl/>
                    <w:adjustRightInd w:val="0"/>
                    <w:snapToGrid w:val="0"/>
                    <w:spacing w:before="100" w:beforeAutospacing="1" w:after="100" w:afterAutospacing="1" w:line="240" w:lineRule="auto"/>
                    <w:ind w:firstLine="0" w:firstLineChars="0"/>
                    <w:jc w:val="center"/>
                    <w:rPr>
                      <w:rFonts w:eastAsia="等线"/>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角磨机</w:t>
                  </w:r>
                </w:p>
              </w:tc>
              <w:tc>
                <w:tcPr>
                  <w:tcW w:w="554" w:type="pct"/>
                  <w:tcBorders>
                    <w:tl2br w:val="nil"/>
                    <w:tr2bl w:val="nil"/>
                  </w:tcBorders>
                  <w:vAlign w:val="center"/>
                </w:tcPr>
                <w:p w14:paraId="03F824E9">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70</w:t>
                  </w:r>
                </w:p>
              </w:tc>
              <w:tc>
                <w:tcPr>
                  <w:tcW w:w="382" w:type="pct"/>
                  <w:tcBorders>
                    <w:tl2br w:val="nil"/>
                    <w:tr2bl w:val="nil"/>
                  </w:tcBorders>
                  <w:vAlign w:val="center"/>
                </w:tcPr>
                <w:p w14:paraId="34207569">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w:t>
                  </w:r>
                </w:p>
              </w:tc>
              <w:tc>
                <w:tcPr>
                  <w:tcW w:w="564" w:type="pct"/>
                  <w:tcBorders>
                    <w:tl2br w:val="nil"/>
                    <w:tr2bl w:val="nil"/>
                  </w:tcBorders>
                  <w:vAlign w:val="center"/>
                </w:tcPr>
                <w:p w14:paraId="2F2BF6BA">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2</w:t>
                  </w:r>
                </w:p>
              </w:tc>
              <w:tc>
                <w:tcPr>
                  <w:tcW w:w="436" w:type="pct"/>
                  <w:tcBorders>
                    <w:tl2br w:val="nil"/>
                    <w:tr2bl w:val="nil"/>
                  </w:tcBorders>
                  <w:vAlign w:val="center"/>
                </w:tcPr>
                <w:p w14:paraId="56858C0C">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6</w:t>
                  </w:r>
                  <w:r>
                    <w:rPr>
                      <w:b w:val="0"/>
                      <w:bCs/>
                      <w:color w:val="000000" w:themeColor="text1"/>
                      <w:sz w:val="21"/>
                      <w:szCs w:val="21"/>
                      <w14:textFill>
                        <w14:solidFill>
                          <w14:schemeClr w14:val="tx1"/>
                        </w14:solidFill>
                      </w14:textFill>
                    </w:rPr>
                    <w:t>3</w:t>
                  </w:r>
                </w:p>
              </w:tc>
              <w:tc>
                <w:tcPr>
                  <w:tcW w:w="682" w:type="pct"/>
                  <w:tcBorders>
                    <w:tl2br w:val="nil"/>
                    <w:tr2bl w:val="nil"/>
                  </w:tcBorders>
                  <w:vAlign w:val="center"/>
                </w:tcPr>
                <w:p w14:paraId="26291AD3">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p>
              </w:tc>
              <w:tc>
                <w:tcPr>
                  <w:tcW w:w="682" w:type="pct"/>
                  <w:tcBorders>
                    <w:tl2br w:val="nil"/>
                    <w:tr2bl w:val="nil"/>
                  </w:tcBorders>
                  <w:vAlign w:val="center"/>
                </w:tcPr>
                <w:p w14:paraId="20516289">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20~25</w:t>
                  </w:r>
                </w:p>
              </w:tc>
              <w:tc>
                <w:tcPr>
                  <w:tcW w:w="632" w:type="pct"/>
                  <w:tcBorders>
                    <w:tl2br w:val="nil"/>
                    <w:tr2bl w:val="nil"/>
                  </w:tcBorders>
                  <w:vAlign w:val="center"/>
                </w:tcPr>
                <w:p w14:paraId="4380634B">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43</w:t>
                  </w:r>
                </w:p>
              </w:tc>
              <w:tc>
                <w:tcPr>
                  <w:tcW w:w="506" w:type="pct"/>
                  <w:tcBorders>
                    <w:tl2br w:val="nil"/>
                    <w:tr2bl w:val="nil"/>
                  </w:tcBorders>
                  <w:vAlign w:val="center"/>
                </w:tcPr>
                <w:p w14:paraId="0EA2D295">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w:t>
                  </w:r>
                </w:p>
              </w:tc>
            </w:tr>
            <w:tr w14:paraId="6424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62" w:type="pct"/>
                  <w:tcBorders>
                    <w:tl2br w:val="nil"/>
                    <w:tr2bl w:val="nil"/>
                  </w:tcBorders>
                  <w:vAlign w:val="center"/>
                </w:tcPr>
                <w:p w14:paraId="3A0A2BC5">
                  <w:pPr>
                    <w:widowControl/>
                    <w:adjustRightInd w:val="0"/>
                    <w:snapToGrid w:val="0"/>
                    <w:spacing w:before="100" w:beforeAutospacing="1" w:after="100" w:afterAutospacing="1" w:line="240" w:lineRule="auto"/>
                    <w:ind w:firstLine="0" w:firstLineChars="0"/>
                    <w:jc w:val="center"/>
                    <w:rPr>
                      <w:rFonts w:eastAsia="等线"/>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磨抛机</w:t>
                  </w:r>
                </w:p>
              </w:tc>
              <w:tc>
                <w:tcPr>
                  <w:tcW w:w="554" w:type="pct"/>
                  <w:tcBorders>
                    <w:tl2br w:val="nil"/>
                    <w:tr2bl w:val="nil"/>
                  </w:tcBorders>
                  <w:vAlign w:val="center"/>
                </w:tcPr>
                <w:p w14:paraId="68C13138">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75</w:t>
                  </w:r>
                </w:p>
              </w:tc>
              <w:tc>
                <w:tcPr>
                  <w:tcW w:w="382" w:type="pct"/>
                  <w:tcBorders>
                    <w:tl2br w:val="nil"/>
                    <w:tr2bl w:val="nil"/>
                  </w:tcBorders>
                  <w:vAlign w:val="center"/>
                </w:tcPr>
                <w:p w14:paraId="26C8048A">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w:t>
                  </w:r>
                </w:p>
              </w:tc>
              <w:tc>
                <w:tcPr>
                  <w:tcW w:w="564" w:type="pct"/>
                  <w:tcBorders>
                    <w:tl2br w:val="nil"/>
                    <w:tr2bl w:val="nil"/>
                  </w:tcBorders>
                  <w:vAlign w:val="center"/>
                </w:tcPr>
                <w:p w14:paraId="251EFF4A">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3</w:t>
                  </w:r>
                </w:p>
              </w:tc>
              <w:tc>
                <w:tcPr>
                  <w:tcW w:w="436" w:type="pct"/>
                  <w:tcBorders>
                    <w:tl2br w:val="nil"/>
                    <w:tr2bl w:val="nil"/>
                  </w:tcBorders>
                  <w:vAlign w:val="center"/>
                </w:tcPr>
                <w:p w14:paraId="731CE27C">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65</w:t>
                  </w:r>
                </w:p>
              </w:tc>
              <w:tc>
                <w:tcPr>
                  <w:tcW w:w="682" w:type="pct"/>
                  <w:tcBorders>
                    <w:tl2br w:val="nil"/>
                    <w:tr2bl w:val="nil"/>
                  </w:tcBorders>
                  <w:vAlign w:val="center"/>
                </w:tcPr>
                <w:p w14:paraId="6980F197">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p>
              </w:tc>
              <w:tc>
                <w:tcPr>
                  <w:tcW w:w="682" w:type="pct"/>
                  <w:tcBorders>
                    <w:tl2br w:val="nil"/>
                    <w:tr2bl w:val="nil"/>
                  </w:tcBorders>
                  <w:vAlign w:val="center"/>
                </w:tcPr>
                <w:p w14:paraId="11B9BD9A">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20~25</w:t>
                  </w:r>
                </w:p>
              </w:tc>
              <w:tc>
                <w:tcPr>
                  <w:tcW w:w="632" w:type="pct"/>
                  <w:tcBorders>
                    <w:tl2br w:val="nil"/>
                    <w:tr2bl w:val="nil"/>
                  </w:tcBorders>
                  <w:vAlign w:val="center"/>
                </w:tcPr>
                <w:p w14:paraId="71696941">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45</w:t>
                  </w:r>
                </w:p>
              </w:tc>
              <w:tc>
                <w:tcPr>
                  <w:tcW w:w="506" w:type="pct"/>
                  <w:tcBorders>
                    <w:tl2br w:val="nil"/>
                    <w:tr2bl w:val="nil"/>
                  </w:tcBorders>
                  <w:vAlign w:val="center"/>
                </w:tcPr>
                <w:p w14:paraId="372AC771">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w:t>
                  </w:r>
                </w:p>
              </w:tc>
            </w:tr>
            <w:tr w14:paraId="1A51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62" w:type="pct"/>
                  <w:tcBorders>
                    <w:tl2br w:val="nil"/>
                    <w:tr2bl w:val="nil"/>
                  </w:tcBorders>
                  <w:vAlign w:val="center"/>
                </w:tcPr>
                <w:p w14:paraId="76DCEB45">
                  <w:pPr>
                    <w:widowControl/>
                    <w:adjustRightInd w:val="0"/>
                    <w:snapToGrid w:val="0"/>
                    <w:spacing w:before="100" w:beforeAutospacing="1" w:after="100" w:afterAutospacing="1" w:line="240" w:lineRule="auto"/>
                    <w:ind w:firstLine="0" w:firstLineChars="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抛光机</w:t>
                  </w:r>
                </w:p>
              </w:tc>
              <w:tc>
                <w:tcPr>
                  <w:tcW w:w="554" w:type="pct"/>
                  <w:tcBorders>
                    <w:tl2br w:val="nil"/>
                    <w:tr2bl w:val="nil"/>
                  </w:tcBorders>
                  <w:vAlign w:val="center"/>
                </w:tcPr>
                <w:p w14:paraId="7B2979DC">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7</w:t>
                  </w:r>
                  <w:r>
                    <w:rPr>
                      <w:b w:val="0"/>
                      <w:bCs/>
                      <w:color w:val="000000" w:themeColor="text1"/>
                      <w:sz w:val="21"/>
                      <w:szCs w:val="21"/>
                      <w14:textFill>
                        <w14:solidFill>
                          <w14:schemeClr w14:val="tx1"/>
                        </w14:solidFill>
                      </w14:textFill>
                    </w:rPr>
                    <w:t>0</w:t>
                  </w:r>
                </w:p>
              </w:tc>
              <w:tc>
                <w:tcPr>
                  <w:tcW w:w="382" w:type="pct"/>
                  <w:tcBorders>
                    <w:tl2br w:val="nil"/>
                    <w:tr2bl w:val="nil"/>
                  </w:tcBorders>
                  <w:vAlign w:val="center"/>
                </w:tcPr>
                <w:p w14:paraId="2990C64E">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w:t>
                  </w:r>
                </w:p>
              </w:tc>
              <w:tc>
                <w:tcPr>
                  <w:tcW w:w="564" w:type="pct"/>
                  <w:tcBorders>
                    <w:tl2br w:val="nil"/>
                    <w:tr2bl w:val="nil"/>
                  </w:tcBorders>
                  <w:vAlign w:val="center"/>
                </w:tcPr>
                <w:p w14:paraId="3BAC6E3C">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2</w:t>
                  </w:r>
                </w:p>
              </w:tc>
              <w:tc>
                <w:tcPr>
                  <w:tcW w:w="436" w:type="pct"/>
                  <w:tcBorders>
                    <w:tl2br w:val="nil"/>
                    <w:tr2bl w:val="nil"/>
                  </w:tcBorders>
                  <w:vAlign w:val="center"/>
                </w:tcPr>
                <w:p w14:paraId="686F3A49">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6</w:t>
                  </w:r>
                  <w:r>
                    <w:rPr>
                      <w:b w:val="0"/>
                      <w:bCs/>
                      <w:color w:val="000000" w:themeColor="text1"/>
                      <w:sz w:val="21"/>
                      <w:szCs w:val="21"/>
                      <w14:textFill>
                        <w14:solidFill>
                          <w14:schemeClr w14:val="tx1"/>
                        </w14:solidFill>
                      </w14:textFill>
                    </w:rPr>
                    <w:t>3</w:t>
                  </w:r>
                </w:p>
              </w:tc>
              <w:tc>
                <w:tcPr>
                  <w:tcW w:w="682" w:type="pct"/>
                  <w:tcBorders>
                    <w:tl2br w:val="nil"/>
                    <w:tr2bl w:val="nil"/>
                  </w:tcBorders>
                  <w:vAlign w:val="center"/>
                </w:tcPr>
                <w:p w14:paraId="76DC0BA5">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p>
              </w:tc>
              <w:tc>
                <w:tcPr>
                  <w:tcW w:w="682" w:type="pct"/>
                  <w:tcBorders>
                    <w:tl2br w:val="nil"/>
                    <w:tr2bl w:val="nil"/>
                  </w:tcBorders>
                  <w:vAlign w:val="center"/>
                </w:tcPr>
                <w:p w14:paraId="7721D1E5">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20~25</w:t>
                  </w:r>
                </w:p>
              </w:tc>
              <w:tc>
                <w:tcPr>
                  <w:tcW w:w="632" w:type="pct"/>
                  <w:tcBorders>
                    <w:tl2br w:val="nil"/>
                    <w:tr2bl w:val="nil"/>
                  </w:tcBorders>
                  <w:vAlign w:val="center"/>
                </w:tcPr>
                <w:p w14:paraId="2C7D0510">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r>
                    <w:rPr>
                      <w:b w:val="0"/>
                      <w:bCs/>
                      <w:color w:val="000000" w:themeColor="text1"/>
                      <w:sz w:val="21"/>
                      <w:szCs w:val="21"/>
                      <w14:textFill>
                        <w14:solidFill>
                          <w14:schemeClr w14:val="tx1"/>
                        </w14:solidFill>
                      </w14:textFill>
                    </w:rPr>
                    <w:t>3</w:t>
                  </w:r>
                </w:p>
              </w:tc>
              <w:tc>
                <w:tcPr>
                  <w:tcW w:w="506" w:type="pct"/>
                  <w:tcBorders>
                    <w:tl2br w:val="nil"/>
                    <w:tr2bl w:val="nil"/>
                  </w:tcBorders>
                  <w:vAlign w:val="center"/>
                </w:tcPr>
                <w:p w14:paraId="70C54BF1">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w:t>
                  </w:r>
                </w:p>
              </w:tc>
            </w:tr>
            <w:tr w14:paraId="16AD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62" w:type="pct"/>
                  <w:tcBorders>
                    <w:tl2br w:val="nil"/>
                    <w:tr2bl w:val="nil"/>
                  </w:tcBorders>
                  <w:vAlign w:val="center"/>
                </w:tcPr>
                <w:p w14:paraId="04098832">
                  <w:pPr>
                    <w:widowControl/>
                    <w:adjustRightInd w:val="0"/>
                    <w:snapToGrid w:val="0"/>
                    <w:spacing w:before="100" w:beforeAutospacing="1" w:after="100" w:afterAutospacing="1" w:line="240" w:lineRule="auto"/>
                    <w:ind w:firstLine="0" w:firstLineChars="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光谱磨样机</w:t>
                  </w:r>
                </w:p>
              </w:tc>
              <w:tc>
                <w:tcPr>
                  <w:tcW w:w="554" w:type="pct"/>
                  <w:tcBorders>
                    <w:tl2br w:val="nil"/>
                    <w:tr2bl w:val="nil"/>
                  </w:tcBorders>
                  <w:vAlign w:val="center"/>
                </w:tcPr>
                <w:p w14:paraId="36FCBA2D">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7</w:t>
                  </w:r>
                  <w:r>
                    <w:rPr>
                      <w:b w:val="0"/>
                      <w:bCs/>
                      <w:color w:val="000000" w:themeColor="text1"/>
                      <w:sz w:val="21"/>
                      <w:szCs w:val="21"/>
                      <w14:textFill>
                        <w14:solidFill>
                          <w14:schemeClr w14:val="tx1"/>
                        </w14:solidFill>
                      </w14:textFill>
                    </w:rPr>
                    <w:t>5</w:t>
                  </w:r>
                </w:p>
              </w:tc>
              <w:tc>
                <w:tcPr>
                  <w:tcW w:w="382" w:type="pct"/>
                  <w:tcBorders>
                    <w:tl2br w:val="nil"/>
                    <w:tr2bl w:val="nil"/>
                  </w:tcBorders>
                  <w:vAlign w:val="center"/>
                </w:tcPr>
                <w:p w14:paraId="2B7CB7C5">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w:t>
                  </w:r>
                </w:p>
              </w:tc>
              <w:tc>
                <w:tcPr>
                  <w:tcW w:w="564" w:type="pct"/>
                  <w:tcBorders>
                    <w:tl2br w:val="nil"/>
                    <w:tr2bl w:val="nil"/>
                  </w:tcBorders>
                  <w:vAlign w:val="center"/>
                </w:tcPr>
                <w:p w14:paraId="7387A1A3">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3</w:t>
                  </w:r>
                </w:p>
              </w:tc>
              <w:tc>
                <w:tcPr>
                  <w:tcW w:w="436" w:type="pct"/>
                  <w:tcBorders>
                    <w:tl2br w:val="nil"/>
                    <w:tr2bl w:val="nil"/>
                  </w:tcBorders>
                  <w:vAlign w:val="center"/>
                </w:tcPr>
                <w:p w14:paraId="23BC67C5">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6</w:t>
                  </w:r>
                  <w:r>
                    <w:rPr>
                      <w:b w:val="0"/>
                      <w:bCs/>
                      <w:color w:val="000000" w:themeColor="text1"/>
                      <w:sz w:val="21"/>
                      <w:szCs w:val="21"/>
                      <w14:textFill>
                        <w14:solidFill>
                          <w14:schemeClr w14:val="tx1"/>
                        </w14:solidFill>
                      </w14:textFill>
                    </w:rPr>
                    <w:t>5</w:t>
                  </w:r>
                </w:p>
              </w:tc>
              <w:tc>
                <w:tcPr>
                  <w:tcW w:w="682" w:type="pct"/>
                  <w:tcBorders>
                    <w:tl2br w:val="nil"/>
                    <w:tr2bl w:val="nil"/>
                  </w:tcBorders>
                  <w:vAlign w:val="center"/>
                </w:tcPr>
                <w:p w14:paraId="01EC9647">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p>
              </w:tc>
              <w:tc>
                <w:tcPr>
                  <w:tcW w:w="682" w:type="pct"/>
                  <w:tcBorders>
                    <w:tl2br w:val="nil"/>
                    <w:tr2bl w:val="nil"/>
                  </w:tcBorders>
                  <w:vAlign w:val="center"/>
                </w:tcPr>
                <w:p w14:paraId="1CCBEC19">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20~25</w:t>
                  </w:r>
                </w:p>
              </w:tc>
              <w:tc>
                <w:tcPr>
                  <w:tcW w:w="632" w:type="pct"/>
                  <w:tcBorders>
                    <w:tl2br w:val="nil"/>
                    <w:tr2bl w:val="nil"/>
                  </w:tcBorders>
                  <w:vAlign w:val="center"/>
                </w:tcPr>
                <w:p w14:paraId="56139EBE">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r>
                    <w:rPr>
                      <w:b w:val="0"/>
                      <w:bCs/>
                      <w:color w:val="000000" w:themeColor="text1"/>
                      <w:sz w:val="21"/>
                      <w:szCs w:val="21"/>
                      <w14:textFill>
                        <w14:solidFill>
                          <w14:schemeClr w14:val="tx1"/>
                        </w14:solidFill>
                      </w14:textFill>
                    </w:rPr>
                    <w:t>5</w:t>
                  </w:r>
                </w:p>
              </w:tc>
              <w:tc>
                <w:tcPr>
                  <w:tcW w:w="506" w:type="pct"/>
                  <w:tcBorders>
                    <w:tl2br w:val="nil"/>
                    <w:tr2bl w:val="nil"/>
                  </w:tcBorders>
                  <w:vAlign w:val="center"/>
                </w:tcPr>
                <w:p w14:paraId="2DAF0C81">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w:t>
                  </w:r>
                </w:p>
              </w:tc>
            </w:tr>
            <w:tr w14:paraId="392E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62" w:type="pct"/>
                  <w:tcBorders>
                    <w:tl2br w:val="nil"/>
                    <w:tr2bl w:val="nil"/>
                  </w:tcBorders>
                  <w:vAlign w:val="center"/>
                </w:tcPr>
                <w:p w14:paraId="001F2E6B">
                  <w:pPr>
                    <w:widowControl/>
                    <w:adjustRightInd w:val="0"/>
                    <w:snapToGrid w:val="0"/>
                    <w:spacing w:before="100" w:beforeAutospacing="1" w:after="100" w:afterAutospacing="1" w:line="240" w:lineRule="auto"/>
                    <w:ind w:firstLine="0" w:firstLineChars="0"/>
                    <w:jc w:val="center"/>
                    <w:rPr>
                      <w:rFonts w:cs="宋体"/>
                      <w:b w:val="0"/>
                      <w:bCs/>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砂带磨样机</w:t>
                  </w:r>
                </w:p>
              </w:tc>
              <w:tc>
                <w:tcPr>
                  <w:tcW w:w="554" w:type="pct"/>
                  <w:tcBorders>
                    <w:tl2br w:val="nil"/>
                    <w:tr2bl w:val="nil"/>
                  </w:tcBorders>
                  <w:vAlign w:val="center"/>
                </w:tcPr>
                <w:p w14:paraId="5A95199C">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7</w:t>
                  </w:r>
                  <w:r>
                    <w:rPr>
                      <w:b w:val="0"/>
                      <w:bCs/>
                      <w:color w:val="000000" w:themeColor="text1"/>
                      <w:sz w:val="21"/>
                      <w:szCs w:val="21"/>
                      <w14:textFill>
                        <w14:solidFill>
                          <w14:schemeClr w14:val="tx1"/>
                        </w14:solidFill>
                      </w14:textFill>
                    </w:rPr>
                    <w:t>5</w:t>
                  </w:r>
                </w:p>
              </w:tc>
              <w:tc>
                <w:tcPr>
                  <w:tcW w:w="382" w:type="pct"/>
                  <w:tcBorders>
                    <w:tl2br w:val="nil"/>
                    <w:tr2bl w:val="nil"/>
                  </w:tcBorders>
                  <w:vAlign w:val="center"/>
                </w:tcPr>
                <w:p w14:paraId="7189F99A">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w:t>
                  </w:r>
                </w:p>
              </w:tc>
              <w:tc>
                <w:tcPr>
                  <w:tcW w:w="564" w:type="pct"/>
                  <w:tcBorders>
                    <w:tl2br w:val="nil"/>
                    <w:tr2bl w:val="nil"/>
                  </w:tcBorders>
                  <w:vAlign w:val="center"/>
                </w:tcPr>
                <w:p w14:paraId="2F00D1A5">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p>
              </w:tc>
              <w:tc>
                <w:tcPr>
                  <w:tcW w:w="436" w:type="pct"/>
                  <w:tcBorders>
                    <w:tl2br w:val="nil"/>
                    <w:tr2bl w:val="nil"/>
                  </w:tcBorders>
                  <w:vAlign w:val="center"/>
                </w:tcPr>
                <w:p w14:paraId="559AD395">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6</w:t>
                  </w:r>
                  <w:r>
                    <w:rPr>
                      <w:b w:val="0"/>
                      <w:bCs/>
                      <w:color w:val="000000" w:themeColor="text1"/>
                      <w:sz w:val="21"/>
                      <w:szCs w:val="21"/>
                      <w14:textFill>
                        <w14:solidFill>
                          <w14:schemeClr w14:val="tx1"/>
                        </w14:solidFill>
                      </w14:textFill>
                    </w:rPr>
                    <w:t>3</w:t>
                  </w:r>
                </w:p>
              </w:tc>
              <w:tc>
                <w:tcPr>
                  <w:tcW w:w="682" w:type="pct"/>
                  <w:tcBorders>
                    <w:tl2br w:val="nil"/>
                    <w:tr2bl w:val="nil"/>
                  </w:tcBorders>
                  <w:vAlign w:val="center"/>
                </w:tcPr>
                <w:p w14:paraId="3881E5F1">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p>
              </w:tc>
              <w:tc>
                <w:tcPr>
                  <w:tcW w:w="682" w:type="pct"/>
                  <w:tcBorders>
                    <w:tl2br w:val="nil"/>
                    <w:tr2bl w:val="nil"/>
                  </w:tcBorders>
                  <w:vAlign w:val="center"/>
                </w:tcPr>
                <w:p w14:paraId="6AFA0560">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20~25</w:t>
                  </w:r>
                </w:p>
              </w:tc>
              <w:tc>
                <w:tcPr>
                  <w:tcW w:w="632" w:type="pct"/>
                  <w:tcBorders>
                    <w:tl2br w:val="nil"/>
                    <w:tr2bl w:val="nil"/>
                  </w:tcBorders>
                  <w:vAlign w:val="center"/>
                </w:tcPr>
                <w:p w14:paraId="037ED391">
                  <w:pPr>
                    <w:widowControl/>
                    <w:spacing w:line="240" w:lineRule="auto"/>
                    <w:ind w:firstLine="0" w:firstLineChars="0"/>
                    <w:jc w:val="center"/>
                    <w:textAlignment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r>
                    <w:rPr>
                      <w:b w:val="0"/>
                      <w:bCs/>
                      <w:color w:val="000000" w:themeColor="text1"/>
                      <w:sz w:val="21"/>
                      <w:szCs w:val="21"/>
                      <w14:textFill>
                        <w14:solidFill>
                          <w14:schemeClr w14:val="tx1"/>
                        </w14:solidFill>
                      </w14:textFill>
                    </w:rPr>
                    <w:t>3</w:t>
                  </w:r>
                </w:p>
              </w:tc>
              <w:tc>
                <w:tcPr>
                  <w:tcW w:w="506" w:type="pct"/>
                  <w:tcBorders>
                    <w:tl2br w:val="nil"/>
                    <w:tr2bl w:val="nil"/>
                  </w:tcBorders>
                  <w:vAlign w:val="center"/>
                </w:tcPr>
                <w:p w14:paraId="5670CA81">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w:t>
                  </w:r>
                </w:p>
              </w:tc>
            </w:tr>
          </w:tbl>
          <w:p w14:paraId="2D51A290">
            <w:pPr>
              <w:spacing w:before="156" w:beforeLines="50" w:line="240" w:lineRule="auto"/>
              <w:ind w:firstLine="0" w:firstLineChars="0"/>
              <w:jc w:val="center"/>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w:t>
            </w:r>
            <w:r>
              <w:rPr>
                <w:b/>
                <w:bCs/>
                <w:color w:val="000000" w:themeColor="text1"/>
                <w:sz w:val="21"/>
                <w:szCs w:val="21"/>
                <w14:textFill>
                  <w14:solidFill>
                    <w14:schemeClr w14:val="tx1"/>
                  </w14:solidFill>
                </w14:textFill>
              </w:rPr>
              <w:t>4-1</w:t>
            </w:r>
            <w:r>
              <w:rPr>
                <w:rFonts w:hint="eastAsia"/>
                <w:b/>
                <w:bCs/>
                <w:color w:val="000000" w:themeColor="text1"/>
                <w:sz w:val="21"/>
                <w:szCs w:val="21"/>
                <w:lang w:val="en-US" w:eastAsia="zh-CN"/>
                <w14:textFill>
                  <w14:solidFill>
                    <w14:schemeClr w14:val="tx1"/>
                  </w14:solidFill>
                </w14:textFill>
              </w:rPr>
              <w:t>3</w:t>
            </w:r>
            <w:r>
              <w:rPr>
                <w:rFonts w:hint="eastAsia"/>
                <w:b/>
                <w:bCs/>
                <w:color w:val="000000" w:themeColor="text1"/>
                <w:sz w:val="21"/>
                <w:szCs w:val="21"/>
                <w14:textFill>
                  <w14:solidFill>
                    <w14:schemeClr w14:val="tx1"/>
                  </w14:solidFill>
                </w14:textFill>
              </w:rPr>
              <w:t>室外声源噪声源强调查清单</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269"/>
              <w:gridCol w:w="906"/>
              <w:gridCol w:w="599"/>
              <w:gridCol w:w="737"/>
              <w:gridCol w:w="676"/>
              <w:gridCol w:w="821"/>
              <w:gridCol w:w="839"/>
              <w:gridCol w:w="645"/>
              <w:gridCol w:w="743"/>
            </w:tblGrid>
            <w:tr w14:paraId="1971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42" w:type="pct"/>
                  <w:vMerge w:val="restart"/>
                  <w:tcBorders>
                    <w:tl2br w:val="nil"/>
                    <w:tr2bl w:val="nil"/>
                  </w:tcBorders>
                  <w:vAlign w:val="center"/>
                </w:tcPr>
                <w:p w14:paraId="5E0BE685">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816" w:type="pct"/>
                  <w:vMerge w:val="restart"/>
                  <w:tcBorders>
                    <w:tl2br w:val="nil"/>
                    <w:tr2bl w:val="nil"/>
                  </w:tcBorders>
                  <w:vAlign w:val="center"/>
                </w:tcPr>
                <w:p w14:paraId="630981DD">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声源名称</w:t>
                  </w:r>
                </w:p>
              </w:tc>
              <w:tc>
                <w:tcPr>
                  <w:tcW w:w="583" w:type="pct"/>
                  <w:vMerge w:val="restart"/>
                  <w:tcBorders>
                    <w:tl2br w:val="nil"/>
                    <w:tr2bl w:val="nil"/>
                  </w:tcBorders>
                  <w:vAlign w:val="center"/>
                </w:tcPr>
                <w:p w14:paraId="1F7F02EF">
                  <w:pPr>
                    <w:widowControl/>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声功率级</w:t>
                  </w:r>
                  <w:r>
                    <w:rPr>
                      <w:color w:val="000000" w:themeColor="text1"/>
                      <w:sz w:val="21"/>
                      <w:szCs w:val="21"/>
                      <w14:textFill>
                        <w14:solidFill>
                          <w14:schemeClr w14:val="tx1"/>
                        </w14:solidFill>
                      </w14:textFill>
                    </w:rPr>
                    <w:t>dB</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A</w:t>
                  </w:r>
                  <w:r>
                    <w:rPr>
                      <w:rFonts w:hint="eastAsia"/>
                      <w:color w:val="000000" w:themeColor="text1"/>
                      <w:sz w:val="21"/>
                      <w:szCs w:val="21"/>
                      <w:lang w:eastAsia="zh-CN"/>
                      <w14:textFill>
                        <w14:solidFill>
                          <w14:schemeClr w14:val="tx1"/>
                        </w14:solidFill>
                      </w14:textFill>
                    </w:rPr>
                    <w:t>）</w:t>
                  </w:r>
                </w:p>
              </w:tc>
              <w:tc>
                <w:tcPr>
                  <w:tcW w:w="385" w:type="pct"/>
                  <w:vMerge w:val="restart"/>
                  <w:tcBorders>
                    <w:tl2br w:val="nil"/>
                    <w:tr2bl w:val="nil"/>
                  </w:tcBorders>
                  <w:vAlign w:val="center"/>
                </w:tcPr>
                <w:p w14:paraId="3CBEFBF8">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w:t>
                  </w:r>
                </w:p>
              </w:tc>
              <w:tc>
                <w:tcPr>
                  <w:tcW w:w="1437" w:type="pct"/>
                  <w:gridSpan w:val="3"/>
                  <w:tcBorders>
                    <w:tl2br w:val="nil"/>
                    <w:tr2bl w:val="nil"/>
                  </w:tcBorders>
                  <w:vAlign w:val="center"/>
                </w:tcPr>
                <w:p w14:paraId="345194F3">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空间相对位置</w:t>
                  </w:r>
                  <w:r>
                    <w:rPr>
                      <w:color w:val="000000" w:themeColor="text1"/>
                      <w:sz w:val="21"/>
                      <w:szCs w:val="21"/>
                      <w14:textFill>
                        <w14:solidFill>
                          <w14:schemeClr w14:val="tx1"/>
                        </w14:solidFill>
                      </w14:textFill>
                    </w:rPr>
                    <w:t>m</w:t>
                  </w:r>
                </w:p>
              </w:tc>
              <w:tc>
                <w:tcPr>
                  <w:tcW w:w="540" w:type="pct"/>
                  <w:vMerge w:val="restart"/>
                  <w:tcBorders>
                    <w:tl2br w:val="nil"/>
                    <w:tr2bl w:val="nil"/>
                  </w:tcBorders>
                  <w:vAlign w:val="center"/>
                </w:tcPr>
                <w:p w14:paraId="062D538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处理能力</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/h</w:t>
                  </w:r>
                  <w:r>
                    <w:rPr>
                      <w:rFonts w:hint="eastAsia"/>
                      <w:color w:val="000000" w:themeColor="text1"/>
                      <w:sz w:val="21"/>
                      <w:szCs w:val="21"/>
                      <w:lang w:eastAsia="zh-CN"/>
                      <w14:textFill>
                        <w14:solidFill>
                          <w14:schemeClr w14:val="tx1"/>
                        </w14:solidFill>
                      </w14:textFill>
                    </w:rPr>
                    <w:t>）</w:t>
                  </w:r>
                </w:p>
              </w:tc>
              <w:tc>
                <w:tcPr>
                  <w:tcW w:w="415" w:type="pct"/>
                  <w:vMerge w:val="restart"/>
                  <w:tcBorders>
                    <w:tl2br w:val="nil"/>
                    <w:tr2bl w:val="nil"/>
                  </w:tcBorders>
                  <w:vAlign w:val="center"/>
                </w:tcPr>
                <w:p w14:paraId="107940C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声源控制措施</w:t>
                  </w:r>
                </w:p>
              </w:tc>
              <w:tc>
                <w:tcPr>
                  <w:tcW w:w="478" w:type="pct"/>
                  <w:vMerge w:val="restart"/>
                  <w:tcBorders>
                    <w:tl2br w:val="nil"/>
                    <w:tr2bl w:val="nil"/>
                  </w:tcBorders>
                  <w:vAlign w:val="center"/>
                </w:tcPr>
                <w:p w14:paraId="06FFCAD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运行时段</w:t>
                  </w:r>
                </w:p>
              </w:tc>
            </w:tr>
            <w:tr w14:paraId="463A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exact"/>
                <w:jc w:val="center"/>
              </w:trPr>
              <w:tc>
                <w:tcPr>
                  <w:tcW w:w="342" w:type="pct"/>
                  <w:vMerge w:val="continue"/>
                  <w:tcBorders>
                    <w:tl2br w:val="nil"/>
                    <w:tr2bl w:val="nil"/>
                  </w:tcBorders>
                  <w:vAlign w:val="center"/>
                </w:tcPr>
                <w:p w14:paraId="778AE90B">
                  <w:pPr>
                    <w:widowControl/>
                    <w:spacing w:line="240" w:lineRule="auto"/>
                    <w:ind w:firstLine="0" w:firstLineChars="0"/>
                    <w:jc w:val="left"/>
                    <w:rPr>
                      <w:color w:val="000000" w:themeColor="text1"/>
                      <w:sz w:val="21"/>
                      <w:szCs w:val="21"/>
                      <w14:textFill>
                        <w14:solidFill>
                          <w14:schemeClr w14:val="tx1"/>
                        </w14:solidFill>
                      </w14:textFill>
                    </w:rPr>
                  </w:pPr>
                </w:p>
              </w:tc>
              <w:tc>
                <w:tcPr>
                  <w:tcW w:w="816" w:type="pct"/>
                  <w:vMerge w:val="continue"/>
                  <w:tcBorders>
                    <w:tl2br w:val="nil"/>
                    <w:tr2bl w:val="nil"/>
                  </w:tcBorders>
                  <w:vAlign w:val="center"/>
                </w:tcPr>
                <w:p w14:paraId="1661AFCC">
                  <w:pPr>
                    <w:widowControl/>
                    <w:spacing w:line="240" w:lineRule="auto"/>
                    <w:ind w:firstLine="0" w:firstLineChars="0"/>
                    <w:jc w:val="left"/>
                    <w:rPr>
                      <w:color w:val="000000" w:themeColor="text1"/>
                      <w:sz w:val="21"/>
                      <w:szCs w:val="21"/>
                      <w14:textFill>
                        <w14:solidFill>
                          <w14:schemeClr w14:val="tx1"/>
                        </w14:solidFill>
                      </w14:textFill>
                    </w:rPr>
                  </w:pPr>
                </w:p>
              </w:tc>
              <w:tc>
                <w:tcPr>
                  <w:tcW w:w="583" w:type="pct"/>
                  <w:vMerge w:val="continue"/>
                  <w:tcBorders>
                    <w:tl2br w:val="nil"/>
                    <w:tr2bl w:val="nil"/>
                  </w:tcBorders>
                  <w:vAlign w:val="center"/>
                </w:tcPr>
                <w:p w14:paraId="3BC709D9">
                  <w:pPr>
                    <w:widowControl/>
                    <w:spacing w:line="240" w:lineRule="auto"/>
                    <w:ind w:firstLine="0" w:firstLineChars="0"/>
                    <w:jc w:val="left"/>
                    <w:rPr>
                      <w:color w:val="000000" w:themeColor="text1"/>
                      <w:sz w:val="21"/>
                      <w:szCs w:val="21"/>
                      <w14:textFill>
                        <w14:solidFill>
                          <w14:schemeClr w14:val="tx1"/>
                        </w14:solidFill>
                      </w14:textFill>
                    </w:rPr>
                  </w:pPr>
                </w:p>
              </w:tc>
              <w:tc>
                <w:tcPr>
                  <w:tcW w:w="385" w:type="pct"/>
                  <w:vMerge w:val="continue"/>
                  <w:tcBorders>
                    <w:tl2br w:val="nil"/>
                    <w:tr2bl w:val="nil"/>
                  </w:tcBorders>
                  <w:vAlign w:val="center"/>
                </w:tcPr>
                <w:p w14:paraId="3CB9D48C">
                  <w:pPr>
                    <w:widowControl/>
                    <w:spacing w:line="240" w:lineRule="auto"/>
                    <w:ind w:firstLine="0" w:firstLineChars="0"/>
                    <w:jc w:val="left"/>
                    <w:rPr>
                      <w:color w:val="000000" w:themeColor="text1"/>
                      <w:sz w:val="21"/>
                      <w:szCs w:val="21"/>
                      <w14:textFill>
                        <w14:solidFill>
                          <w14:schemeClr w14:val="tx1"/>
                        </w14:solidFill>
                      </w14:textFill>
                    </w:rPr>
                  </w:pPr>
                </w:p>
              </w:tc>
              <w:tc>
                <w:tcPr>
                  <w:tcW w:w="474" w:type="pct"/>
                  <w:tcBorders>
                    <w:tl2br w:val="nil"/>
                    <w:tr2bl w:val="nil"/>
                  </w:tcBorders>
                  <w:vAlign w:val="center"/>
                </w:tcPr>
                <w:p w14:paraId="47B183A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X</w:t>
                  </w:r>
                </w:p>
              </w:tc>
              <w:tc>
                <w:tcPr>
                  <w:tcW w:w="435" w:type="pct"/>
                  <w:tcBorders>
                    <w:tl2br w:val="nil"/>
                    <w:tr2bl w:val="nil"/>
                  </w:tcBorders>
                  <w:vAlign w:val="center"/>
                </w:tcPr>
                <w:p w14:paraId="7A62183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Y</w:t>
                  </w:r>
                </w:p>
              </w:tc>
              <w:tc>
                <w:tcPr>
                  <w:tcW w:w="528" w:type="pct"/>
                  <w:tcBorders>
                    <w:tl2br w:val="nil"/>
                    <w:tr2bl w:val="nil"/>
                  </w:tcBorders>
                  <w:vAlign w:val="center"/>
                </w:tcPr>
                <w:p w14:paraId="08463E3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Z</w:t>
                  </w:r>
                </w:p>
              </w:tc>
              <w:tc>
                <w:tcPr>
                  <w:tcW w:w="540" w:type="pct"/>
                  <w:vMerge w:val="continue"/>
                  <w:tcBorders>
                    <w:tl2br w:val="nil"/>
                    <w:tr2bl w:val="nil"/>
                  </w:tcBorders>
                  <w:vAlign w:val="center"/>
                </w:tcPr>
                <w:p w14:paraId="4154C7A3">
                  <w:pPr>
                    <w:widowControl/>
                    <w:spacing w:beforeAutospacing="1" w:afterAutospacing="1" w:line="240" w:lineRule="auto"/>
                    <w:ind w:firstLine="0" w:firstLineChars="0"/>
                    <w:jc w:val="left"/>
                    <w:rPr>
                      <w:color w:val="000000" w:themeColor="text1"/>
                      <w:sz w:val="21"/>
                      <w:szCs w:val="21"/>
                      <w14:textFill>
                        <w14:solidFill>
                          <w14:schemeClr w14:val="tx1"/>
                        </w14:solidFill>
                      </w14:textFill>
                    </w:rPr>
                  </w:pPr>
                </w:p>
              </w:tc>
              <w:tc>
                <w:tcPr>
                  <w:tcW w:w="415" w:type="pct"/>
                  <w:vMerge w:val="continue"/>
                  <w:tcBorders>
                    <w:tl2br w:val="nil"/>
                    <w:tr2bl w:val="nil"/>
                  </w:tcBorders>
                  <w:vAlign w:val="center"/>
                </w:tcPr>
                <w:p w14:paraId="2747119D">
                  <w:pPr>
                    <w:widowControl/>
                    <w:spacing w:beforeAutospacing="1" w:afterAutospacing="1" w:line="240" w:lineRule="auto"/>
                    <w:ind w:firstLine="0" w:firstLineChars="0"/>
                    <w:jc w:val="left"/>
                    <w:rPr>
                      <w:color w:val="000000" w:themeColor="text1"/>
                      <w:sz w:val="21"/>
                      <w:szCs w:val="21"/>
                      <w14:textFill>
                        <w14:solidFill>
                          <w14:schemeClr w14:val="tx1"/>
                        </w14:solidFill>
                      </w14:textFill>
                    </w:rPr>
                  </w:pPr>
                </w:p>
              </w:tc>
              <w:tc>
                <w:tcPr>
                  <w:tcW w:w="478" w:type="pct"/>
                  <w:vMerge w:val="continue"/>
                  <w:tcBorders>
                    <w:tl2br w:val="nil"/>
                    <w:tr2bl w:val="nil"/>
                  </w:tcBorders>
                  <w:vAlign w:val="center"/>
                </w:tcPr>
                <w:p w14:paraId="696D8944">
                  <w:pPr>
                    <w:widowControl/>
                    <w:spacing w:beforeAutospacing="1" w:afterAutospacing="1" w:line="240" w:lineRule="auto"/>
                    <w:ind w:firstLine="0" w:firstLineChars="0"/>
                    <w:jc w:val="left"/>
                    <w:rPr>
                      <w:color w:val="000000" w:themeColor="text1"/>
                      <w:sz w:val="21"/>
                      <w:szCs w:val="21"/>
                      <w14:textFill>
                        <w14:solidFill>
                          <w14:schemeClr w14:val="tx1"/>
                        </w14:solidFill>
                      </w14:textFill>
                    </w:rPr>
                  </w:pPr>
                </w:p>
              </w:tc>
            </w:tr>
            <w:tr w14:paraId="3E97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42" w:type="pct"/>
                  <w:tcBorders>
                    <w:tl2br w:val="nil"/>
                    <w:tr2bl w:val="nil"/>
                  </w:tcBorders>
                  <w:vAlign w:val="center"/>
                </w:tcPr>
                <w:p w14:paraId="54F6C858">
                  <w:pPr>
                    <w:widowControl/>
                    <w:spacing w:line="240" w:lineRule="auto"/>
                    <w:ind w:firstLine="0" w:firstLineChars="0"/>
                    <w:jc w:val="center"/>
                    <w:textAlignment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816" w:type="pct"/>
                  <w:tcBorders>
                    <w:tl2br w:val="nil"/>
                    <w:tr2bl w:val="nil"/>
                  </w:tcBorders>
                  <w:vAlign w:val="center"/>
                </w:tcPr>
                <w:p w14:paraId="3F29C21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喷淋塔风机</w:t>
                  </w:r>
                </w:p>
              </w:tc>
              <w:tc>
                <w:tcPr>
                  <w:tcW w:w="583" w:type="pct"/>
                  <w:tcBorders>
                    <w:tl2br w:val="nil"/>
                    <w:tr2bl w:val="nil"/>
                  </w:tcBorders>
                  <w:vAlign w:val="center"/>
                </w:tcPr>
                <w:p w14:paraId="1BF05F2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5</w:t>
                  </w:r>
                </w:p>
              </w:tc>
              <w:tc>
                <w:tcPr>
                  <w:tcW w:w="385" w:type="pct"/>
                  <w:tcBorders>
                    <w:tl2br w:val="nil"/>
                    <w:tr2bl w:val="nil"/>
                  </w:tcBorders>
                  <w:vAlign w:val="center"/>
                </w:tcPr>
                <w:p w14:paraId="21505EF9">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474" w:type="pct"/>
                  <w:tcBorders>
                    <w:tl2br w:val="nil"/>
                    <w:tr2bl w:val="nil"/>
                  </w:tcBorders>
                  <w:vAlign w:val="center"/>
                </w:tcPr>
                <w:p w14:paraId="4930DE70">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w:t>
                  </w:r>
                </w:p>
              </w:tc>
              <w:tc>
                <w:tcPr>
                  <w:tcW w:w="435" w:type="pct"/>
                  <w:tcBorders>
                    <w:tl2br w:val="nil"/>
                    <w:tr2bl w:val="nil"/>
                  </w:tcBorders>
                  <w:vAlign w:val="center"/>
                </w:tcPr>
                <w:p w14:paraId="1AACDAC0">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528" w:type="pct"/>
                  <w:tcBorders>
                    <w:tl2br w:val="nil"/>
                    <w:tr2bl w:val="nil"/>
                  </w:tcBorders>
                  <w:vAlign w:val="center"/>
                </w:tcPr>
                <w:p w14:paraId="46F2AE58">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2</w:t>
                  </w:r>
                </w:p>
              </w:tc>
              <w:tc>
                <w:tcPr>
                  <w:tcW w:w="540" w:type="pct"/>
                  <w:tcBorders>
                    <w:tl2br w:val="nil"/>
                    <w:tr2bl w:val="nil"/>
                  </w:tcBorders>
                  <w:vAlign w:val="center"/>
                </w:tcPr>
                <w:p w14:paraId="445793D1">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3500</w:t>
                  </w:r>
                </w:p>
              </w:tc>
              <w:tc>
                <w:tcPr>
                  <w:tcW w:w="415" w:type="pct"/>
                  <w:tcBorders>
                    <w:tl2br w:val="nil"/>
                    <w:tr2bl w:val="nil"/>
                  </w:tcBorders>
                  <w:vAlign w:val="center"/>
                </w:tcPr>
                <w:p w14:paraId="7633A16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隔声罩</w:t>
                  </w:r>
                </w:p>
              </w:tc>
              <w:tc>
                <w:tcPr>
                  <w:tcW w:w="478" w:type="pct"/>
                  <w:tcBorders>
                    <w:tl2br w:val="nil"/>
                    <w:tr2bl w:val="nil"/>
                  </w:tcBorders>
                  <w:vAlign w:val="center"/>
                </w:tcPr>
                <w:p w14:paraId="2CB5CD5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昼间</w:t>
                  </w:r>
                </w:p>
              </w:tc>
            </w:tr>
          </w:tbl>
          <w:p w14:paraId="26606DD7">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采取的噪声污染的控制措施如下：</w:t>
            </w:r>
          </w:p>
          <w:p w14:paraId="564C23B9">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1）从声源控制噪声：选择低噪声和符合国家噪声标准的生产设备，并进行定期检修维护，使其处于良好的运行状态；对个别高噪声设备安装消声器、隔声罩等；在设备的基础与地面之间安装减振垫，减少机械振动产生的噪声污染；</w:t>
            </w:r>
          </w:p>
          <w:p w14:paraId="3B0CCE26">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（2）合理配置噪声源：</w:t>
            </w:r>
            <w:r>
              <w:rPr>
                <w:rFonts w:hint="eastAsia"/>
                <w:color w:val="000000" w:themeColor="text1"/>
                <w:kern w:val="0"/>
                <w:lang w:bidi="ar"/>
                <w14:textFill>
                  <w14:solidFill>
                    <w14:schemeClr w14:val="tx1"/>
                  </w14:solidFill>
                </w14:textFill>
              </w:rPr>
              <w:t>实验室内</w:t>
            </w:r>
            <w:r>
              <w:rPr>
                <w:color w:val="000000" w:themeColor="text1"/>
                <w:kern w:val="0"/>
                <w:lang w:bidi="ar"/>
                <w14:textFill>
                  <w14:solidFill>
                    <w14:schemeClr w14:val="tx1"/>
                  </w14:solidFill>
                </w14:textFill>
              </w:rPr>
              <w:t>噪声设备布置</w:t>
            </w:r>
            <w:r>
              <w:rPr>
                <w:rFonts w:hint="eastAsia"/>
                <w:color w:val="000000" w:themeColor="text1"/>
                <w:kern w:val="0"/>
                <w:lang w:bidi="ar"/>
                <w14:textFill>
                  <w14:solidFill>
                    <w14:schemeClr w14:val="tx1"/>
                  </w14:solidFill>
                </w14:textFill>
              </w:rPr>
              <w:t>在远离窗户的位置</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室外风机布置在屋顶，并加装</w:t>
            </w:r>
            <w:r>
              <w:rPr>
                <w:color w:val="000000" w:themeColor="text1"/>
                <w:kern w:val="0"/>
                <w:lang w:bidi="ar"/>
                <w14:textFill>
                  <w14:solidFill>
                    <w14:schemeClr w14:val="tx1"/>
                  </w14:solidFill>
                </w14:textFill>
              </w:rPr>
              <w:t>隔声罩；</w:t>
            </w:r>
          </w:p>
          <w:p w14:paraId="79E0573A">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（3）在传播过程中减弱噪声：在</w:t>
            </w:r>
            <w:r>
              <w:rPr>
                <w:rFonts w:hint="eastAsia"/>
                <w:color w:val="000000" w:themeColor="text1"/>
                <w:kern w:val="0"/>
                <w:lang w:bidi="ar"/>
                <w14:textFill>
                  <w14:solidFill>
                    <w14:schemeClr w14:val="tx1"/>
                  </w14:solidFill>
                </w14:textFill>
              </w:rPr>
              <w:t>办公楼</w:t>
            </w:r>
            <w:r>
              <w:rPr>
                <w:color w:val="000000" w:themeColor="text1"/>
                <w:kern w:val="0"/>
                <w:lang w:bidi="ar"/>
                <w14:textFill>
                  <w14:solidFill>
                    <w14:schemeClr w14:val="tx1"/>
                  </w14:solidFill>
                </w14:textFill>
              </w:rPr>
              <w:t>四周种上绿化带来降低对外界的影响。</w:t>
            </w:r>
          </w:p>
          <w:p w14:paraId="6CFE5BF1">
            <w:pPr>
              <w:widowControl/>
              <w:ind w:firstLine="482"/>
              <w:jc w:val="left"/>
              <w:rPr>
                <w:color w:val="000000" w:themeColor="text1"/>
                <w14:textFill>
                  <w14:solidFill>
                    <w14:schemeClr w14:val="tx1"/>
                  </w14:solidFill>
                </w14:textFill>
              </w:rPr>
            </w:pPr>
            <w:r>
              <w:rPr>
                <w:b/>
                <w:bCs/>
                <w:color w:val="000000" w:themeColor="text1"/>
                <w14:textFill>
                  <w14:solidFill>
                    <w14:schemeClr w14:val="tx1"/>
                  </w14:solidFill>
                </w14:textFill>
              </w:rPr>
              <w:t>3.2噪声</w:t>
            </w:r>
            <w:r>
              <w:rPr>
                <w:rFonts w:hint="eastAsia"/>
                <w:b/>
                <w:bCs/>
                <w:color w:val="000000" w:themeColor="text1"/>
                <w14:textFill>
                  <w14:solidFill>
                    <w14:schemeClr w14:val="tx1"/>
                  </w14:solidFill>
                </w14:textFill>
              </w:rPr>
              <w:t>影响</w:t>
            </w:r>
            <w:r>
              <w:rPr>
                <w:b/>
                <w:bCs/>
                <w:color w:val="000000" w:themeColor="text1"/>
                <w14:textFill>
                  <w14:solidFill>
                    <w14:schemeClr w14:val="tx1"/>
                  </w14:solidFill>
                </w14:textFill>
              </w:rPr>
              <w:t>预测</w:t>
            </w:r>
          </w:p>
          <w:p w14:paraId="1086F2D0">
            <w:pPr>
              <w:ind w:firstLine="480"/>
              <w:rPr>
                <w:color w:val="000000" w:themeColor="text1"/>
                <w14:textFill>
                  <w14:solidFill>
                    <w14:schemeClr w14:val="tx1"/>
                  </w14:solidFill>
                </w14:textFill>
              </w:rPr>
            </w:pPr>
            <w:r>
              <w:rPr>
                <w:color w:val="000000" w:themeColor="text1"/>
                <w14:textFill>
                  <w14:solidFill>
                    <w14:schemeClr w14:val="tx1"/>
                  </w14:solidFill>
                </w14:textFill>
              </w:rPr>
              <w:t>噪声从声源传播至受声点，</w:t>
            </w:r>
            <w:r>
              <w:rPr>
                <w:rFonts w:hint="eastAsia"/>
                <w:color w:val="000000" w:themeColor="text1"/>
                <w14:textFill>
                  <w14:solidFill>
                    <w14:schemeClr w14:val="tx1"/>
                  </w14:solidFill>
                </w14:textFill>
              </w:rPr>
              <w:t>忽略各种衰减</w:t>
            </w:r>
            <w:r>
              <w:rPr>
                <w:color w:val="000000" w:themeColor="text1"/>
                <w14:textFill>
                  <w14:solidFill>
                    <w14:schemeClr w14:val="tx1"/>
                  </w14:solidFill>
                </w14:textFill>
              </w:rPr>
              <w:t>因素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把各噪声源叠加简化为一个点声源进行计算，再将噪声值进行能量叠加，</w:t>
            </w:r>
            <w:r>
              <w:rPr>
                <w:rFonts w:hint="eastAsia"/>
                <w:color w:val="000000" w:themeColor="text1"/>
                <w14:textFill>
                  <w14:solidFill>
                    <w14:schemeClr w14:val="tx1"/>
                  </w14:solidFill>
                </w14:textFill>
              </w:rPr>
              <w:t>根据预测模式计算出各噪声源传播至厂界的噪声贡献强度，结果见下表：</w:t>
            </w:r>
          </w:p>
          <w:p w14:paraId="398AEDFD">
            <w:pPr>
              <w:snapToGrid w:val="0"/>
              <w:spacing w:line="50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w:t>
            </w:r>
            <w:r>
              <w:rPr>
                <w:b/>
                <w:color w:val="000000" w:themeColor="text1"/>
                <w:sz w:val="21"/>
                <w:szCs w:val="21"/>
                <w14:textFill>
                  <w14:solidFill>
                    <w14:schemeClr w14:val="tx1"/>
                  </w14:solidFill>
                </w14:textFill>
              </w:rPr>
              <w:t>4-1</w:t>
            </w:r>
            <w:r>
              <w:rPr>
                <w:rFonts w:hint="eastAsia"/>
                <w:b/>
                <w:color w:val="000000" w:themeColor="text1"/>
                <w:sz w:val="21"/>
                <w:szCs w:val="21"/>
                <w:lang w:val="en-US" w:eastAsia="zh-CN"/>
                <w14:textFill>
                  <w14:solidFill>
                    <w14:schemeClr w14:val="tx1"/>
                  </w14:solidFill>
                </w14:textFill>
              </w:rPr>
              <w:t>4</w:t>
            </w:r>
            <w:r>
              <w:rPr>
                <w:rFonts w:hint="eastAsia"/>
                <w:b/>
                <w:color w:val="000000" w:themeColor="text1"/>
                <w:sz w:val="21"/>
                <w:szCs w:val="21"/>
                <w14:textFill>
                  <w14:solidFill>
                    <w14:schemeClr w14:val="tx1"/>
                  </w14:solidFill>
                </w14:textFill>
              </w:rPr>
              <w:t>边界噪声预测结果单位：</w:t>
            </w:r>
            <w:r>
              <w:rPr>
                <w:b/>
                <w:color w:val="000000" w:themeColor="text1"/>
                <w:sz w:val="21"/>
                <w:szCs w:val="21"/>
                <w14:textFill>
                  <w14:solidFill>
                    <w14:schemeClr w14:val="tx1"/>
                  </w14:solidFill>
                </w14:textFill>
              </w:rPr>
              <w:t>dB</w:t>
            </w:r>
            <w:r>
              <w:rPr>
                <w:rFonts w:hint="eastAsia"/>
                <w:b/>
                <w:color w:val="000000" w:themeColor="text1"/>
                <w:sz w:val="21"/>
                <w:szCs w:val="21"/>
                <w14:textFill>
                  <w14:solidFill>
                    <w14:schemeClr w14:val="tx1"/>
                  </w14:solidFill>
                </w14:textFill>
              </w:rPr>
              <w:t>（</w:t>
            </w:r>
            <w:r>
              <w:rPr>
                <w:b/>
                <w:color w:val="000000" w:themeColor="text1"/>
                <w:sz w:val="21"/>
                <w:szCs w:val="21"/>
                <w14:textFill>
                  <w14:solidFill>
                    <w14:schemeClr w14:val="tx1"/>
                  </w14:solidFill>
                </w14:textFill>
              </w:rPr>
              <w:t>A</w:t>
            </w:r>
            <w:r>
              <w:rPr>
                <w:rFonts w:hint="eastAsia"/>
                <w:b/>
                <w:color w:val="000000" w:themeColor="text1"/>
                <w:sz w:val="21"/>
                <w:szCs w:val="21"/>
                <w14:textFill>
                  <w14:solidFill>
                    <w14:schemeClr w14:val="tx1"/>
                  </w14:solidFill>
                </w14:textFill>
              </w:rPr>
              <w:t>）</w:t>
            </w:r>
          </w:p>
          <w:tbl>
            <w:tblPr>
              <w:tblStyle w:val="2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1922"/>
              <w:gridCol w:w="1922"/>
              <w:gridCol w:w="1925"/>
            </w:tblGrid>
            <w:tr w14:paraId="50F9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14:paraId="19088120">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预测点</w:t>
                  </w:r>
                </w:p>
              </w:tc>
              <w:tc>
                <w:tcPr>
                  <w:tcW w:w="1249" w:type="pct"/>
                  <w:tcBorders>
                    <w:tl2br w:val="nil"/>
                    <w:tr2bl w:val="nil"/>
                  </w:tcBorders>
                  <w:vAlign w:val="center"/>
                </w:tcPr>
                <w:p w14:paraId="11DAA6F0">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位置</w:t>
                  </w:r>
                </w:p>
              </w:tc>
              <w:tc>
                <w:tcPr>
                  <w:tcW w:w="1249" w:type="pct"/>
                  <w:tcBorders>
                    <w:tl2br w:val="nil"/>
                    <w:tr2bl w:val="nil"/>
                  </w:tcBorders>
                  <w:vAlign w:val="center"/>
                </w:tcPr>
                <w:p w14:paraId="18B2C456">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昼间贡献值</w:t>
                  </w:r>
                </w:p>
              </w:tc>
              <w:tc>
                <w:tcPr>
                  <w:tcW w:w="1250" w:type="pct"/>
                  <w:tcBorders>
                    <w:tl2br w:val="nil"/>
                    <w:tr2bl w:val="nil"/>
                  </w:tcBorders>
                  <w:vAlign w:val="center"/>
                </w:tcPr>
                <w:p w14:paraId="0C8AADAD">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夜间贡献值</w:t>
                  </w:r>
                </w:p>
              </w:tc>
            </w:tr>
            <w:tr w14:paraId="2DAA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14:paraId="154DC488">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249" w:type="pct"/>
                  <w:tcBorders>
                    <w:tl2br w:val="nil"/>
                    <w:tr2bl w:val="nil"/>
                  </w:tcBorders>
                  <w:vAlign w:val="center"/>
                </w:tcPr>
                <w:p w14:paraId="22FACC82">
                  <w:pPr>
                    <w:adjustRightInd w:val="0"/>
                    <w:snapToGrid w:val="0"/>
                    <w:spacing w:before="31" w:beforeLines="10" w:after="31" w:afterLines="10" w:line="320" w:lineRule="exact"/>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边界东</w:t>
                  </w:r>
                </w:p>
              </w:tc>
              <w:tc>
                <w:tcPr>
                  <w:tcW w:w="1249" w:type="pct"/>
                  <w:tcBorders>
                    <w:tl2br w:val="nil"/>
                    <w:tr2bl w:val="nil"/>
                  </w:tcBorders>
                  <w:vAlign w:val="center"/>
                </w:tcPr>
                <w:p w14:paraId="507ADF19">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54.6</w:t>
                  </w:r>
                </w:p>
              </w:tc>
              <w:tc>
                <w:tcPr>
                  <w:tcW w:w="1250" w:type="pct"/>
                  <w:tcBorders>
                    <w:tl2br w:val="nil"/>
                    <w:tr2bl w:val="nil"/>
                  </w:tcBorders>
                  <w:vAlign w:val="center"/>
                </w:tcPr>
                <w:p w14:paraId="3436F3DA">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5578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14:paraId="7848A761">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249" w:type="pct"/>
                  <w:tcBorders>
                    <w:tl2br w:val="nil"/>
                    <w:tr2bl w:val="nil"/>
                  </w:tcBorders>
                  <w:vAlign w:val="center"/>
                </w:tcPr>
                <w:p w14:paraId="6E129DDA">
                  <w:pPr>
                    <w:adjustRightInd w:val="0"/>
                    <w:snapToGrid w:val="0"/>
                    <w:spacing w:before="31" w:beforeLines="10" w:after="31" w:afterLines="10" w:line="320" w:lineRule="exact"/>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边界南</w:t>
                  </w:r>
                </w:p>
              </w:tc>
              <w:tc>
                <w:tcPr>
                  <w:tcW w:w="1249" w:type="pct"/>
                  <w:tcBorders>
                    <w:tl2br w:val="nil"/>
                    <w:tr2bl w:val="nil"/>
                  </w:tcBorders>
                  <w:vAlign w:val="center"/>
                </w:tcPr>
                <w:p w14:paraId="7D4C9A64">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54.8</w:t>
                  </w:r>
                </w:p>
              </w:tc>
              <w:tc>
                <w:tcPr>
                  <w:tcW w:w="1250" w:type="pct"/>
                  <w:tcBorders>
                    <w:tl2br w:val="nil"/>
                    <w:tr2bl w:val="nil"/>
                  </w:tcBorders>
                  <w:vAlign w:val="center"/>
                </w:tcPr>
                <w:p w14:paraId="18E93669">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540F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14:paraId="1B6AC8E7">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249" w:type="pct"/>
                  <w:tcBorders>
                    <w:tl2br w:val="nil"/>
                    <w:tr2bl w:val="nil"/>
                  </w:tcBorders>
                  <w:vAlign w:val="center"/>
                </w:tcPr>
                <w:p w14:paraId="0E0C41B7">
                  <w:pPr>
                    <w:adjustRightInd w:val="0"/>
                    <w:snapToGrid w:val="0"/>
                    <w:spacing w:before="31" w:beforeLines="10" w:after="31" w:afterLines="10" w:line="320" w:lineRule="exact"/>
                    <w:ind w:firstLine="0" w:firstLineChars="0"/>
                    <w:jc w:val="center"/>
                    <w:rPr>
                      <w:rFonts w:hAnsi="宋体"/>
                      <w:color w:val="000000" w:themeColor="text1"/>
                      <w:kern w:val="0"/>
                      <w:sz w:val="21"/>
                      <w:szCs w:val="21"/>
                      <w14:textFill>
                        <w14:solidFill>
                          <w14:schemeClr w14:val="tx1"/>
                        </w14:solidFill>
                      </w14:textFill>
                    </w:rPr>
                  </w:pPr>
                  <w:bookmarkStart w:id="15" w:name="OLE_LINK26"/>
                  <w:r>
                    <w:rPr>
                      <w:rFonts w:hint="eastAsia" w:hAnsi="宋体"/>
                      <w:color w:val="000000" w:themeColor="text1"/>
                      <w:kern w:val="0"/>
                      <w:sz w:val="21"/>
                      <w:szCs w:val="21"/>
                      <w14:textFill>
                        <w14:solidFill>
                          <w14:schemeClr w14:val="tx1"/>
                        </w14:solidFill>
                      </w14:textFill>
                    </w:rPr>
                    <w:t>边界西</w:t>
                  </w:r>
                  <w:bookmarkEnd w:id="15"/>
                </w:p>
              </w:tc>
              <w:tc>
                <w:tcPr>
                  <w:tcW w:w="1249" w:type="pct"/>
                  <w:tcBorders>
                    <w:tl2br w:val="nil"/>
                    <w:tr2bl w:val="nil"/>
                  </w:tcBorders>
                  <w:vAlign w:val="center"/>
                </w:tcPr>
                <w:p w14:paraId="40BCBFBF">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58.4</w:t>
                  </w:r>
                </w:p>
              </w:tc>
              <w:tc>
                <w:tcPr>
                  <w:tcW w:w="1250" w:type="pct"/>
                  <w:tcBorders>
                    <w:tl2br w:val="nil"/>
                    <w:tr2bl w:val="nil"/>
                  </w:tcBorders>
                  <w:vAlign w:val="center"/>
                </w:tcPr>
                <w:p w14:paraId="2300A4EF">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02C4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14:paraId="3360D2DB">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249" w:type="pct"/>
                  <w:tcBorders>
                    <w:tl2br w:val="nil"/>
                    <w:tr2bl w:val="nil"/>
                  </w:tcBorders>
                  <w:vAlign w:val="center"/>
                </w:tcPr>
                <w:p w14:paraId="28457BB1">
                  <w:pPr>
                    <w:adjustRightInd w:val="0"/>
                    <w:snapToGrid w:val="0"/>
                    <w:spacing w:before="31" w:beforeLines="10" w:after="31" w:afterLines="10" w:line="320" w:lineRule="exact"/>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边界北</w:t>
                  </w:r>
                </w:p>
              </w:tc>
              <w:tc>
                <w:tcPr>
                  <w:tcW w:w="1249" w:type="pct"/>
                  <w:tcBorders>
                    <w:tl2br w:val="nil"/>
                    <w:tr2bl w:val="nil"/>
                  </w:tcBorders>
                  <w:vAlign w:val="center"/>
                </w:tcPr>
                <w:p w14:paraId="37C6334C">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55.7</w:t>
                  </w:r>
                </w:p>
              </w:tc>
              <w:tc>
                <w:tcPr>
                  <w:tcW w:w="1250" w:type="pct"/>
                  <w:tcBorders>
                    <w:tl2br w:val="nil"/>
                    <w:tr2bl w:val="nil"/>
                  </w:tcBorders>
                  <w:vAlign w:val="center"/>
                </w:tcPr>
                <w:p w14:paraId="7141A64C">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bl>
          <w:p w14:paraId="078C7109">
            <w:pPr>
              <w:adjustRightInd w:val="0"/>
              <w:snapToGrid w:val="0"/>
              <w:spacing w:line="500" w:lineRule="exact"/>
              <w:ind w:firstLine="480"/>
              <w:rPr>
                <w:b/>
                <w:bCs/>
                <w:color w:val="000000" w:themeColor="text1"/>
                <w14:textFill>
                  <w14:solidFill>
                    <w14:schemeClr w14:val="tx1"/>
                  </w14:solidFill>
                </w14:textFill>
              </w:rPr>
            </w:pPr>
            <w:r>
              <w:rPr>
                <w:rFonts w:hint="eastAsia"/>
                <w:color w:val="000000" w:themeColor="text1"/>
                <w14:textFill>
                  <w14:solidFill>
                    <w14:schemeClr w14:val="tx1"/>
                  </w14:solidFill>
                </w14:textFill>
              </w:rPr>
              <w:t>由上表可知，</w:t>
            </w:r>
            <w:r>
              <w:rPr>
                <w:rFonts w:hint="eastAsia"/>
                <w:color w:val="000000" w:themeColor="text1"/>
                <w:kern w:val="0"/>
                <w14:textFill>
                  <w14:solidFill>
                    <w14:schemeClr w14:val="tx1"/>
                  </w14:solidFill>
                </w14:textFill>
              </w:rPr>
              <w:t>经采取噪声降噪措施后，</w:t>
            </w:r>
            <w:r>
              <w:rPr>
                <w:rFonts w:hint="eastAsia"/>
                <w:color w:val="000000" w:themeColor="text1"/>
                <w14:textFill>
                  <w14:solidFill>
                    <w14:schemeClr w14:val="tx1"/>
                  </w14:solidFill>
                </w14:textFill>
              </w:rPr>
              <w:t>本项目建成后各厂界昼间贡献值可以满足《工业企业厂界环境噪声排放标准》（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类标准，即昼间</w:t>
            </w:r>
            <w:r>
              <w:rPr>
                <w:color w:val="000000" w:themeColor="text1"/>
                <w14:textFill>
                  <w14:solidFill>
                    <w14:schemeClr w14:val="tx1"/>
                  </w14:solidFill>
                </w14:textFill>
              </w:rPr>
              <w:t>≤65dB</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，项目</w:t>
            </w:r>
            <w:r>
              <w:rPr>
                <w:rFonts w:hint="eastAsia"/>
                <w:color w:val="000000" w:themeColor="text1"/>
                <w:kern w:val="0"/>
                <w14:textFill>
                  <w14:solidFill>
                    <w14:schemeClr w14:val="tx1"/>
                  </w14:solidFill>
                </w14:textFill>
              </w:rPr>
              <w:t>周边</w:t>
            </w:r>
            <w:r>
              <w:rPr>
                <w:color w:val="000000" w:themeColor="text1"/>
                <w:kern w:val="0"/>
                <w14:textFill>
                  <w14:solidFill>
                    <w14:schemeClr w14:val="tx1"/>
                  </w14:solidFill>
                </w14:textFill>
              </w:rPr>
              <w:t>50m</w:t>
            </w:r>
            <w:r>
              <w:rPr>
                <w:rFonts w:hint="eastAsia"/>
                <w:color w:val="000000" w:themeColor="text1"/>
                <w:kern w:val="0"/>
                <w14:textFill>
                  <w14:solidFill>
                    <w14:schemeClr w14:val="tx1"/>
                  </w14:solidFill>
                </w14:textFill>
              </w:rPr>
              <w:t>范围内无敏感目标，因此，本项目对周边声环境影响较小。</w:t>
            </w:r>
          </w:p>
          <w:p w14:paraId="5C58CDB8">
            <w:pPr>
              <w:pStyle w:val="15"/>
              <w:ind w:firstLine="482"/>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3.3噪声监测计划</w:t>
            </w:r>
          </w:p>
          <w:p w14:paraId="0C6F20FA">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依据《</w:t>
            </w:r>
            <w:r>
              <w:rPr>
                <w:color w:val="000000" w:themeColor="text1"/>
                <w:kern w:val="0"/>
                <w:lang w:bidi="ar"/>
                <w14:textFill>
                  <w14:solidFill>
                    <w14:schemeClr w14:val="tx1"/>
                  </w14:solidFill>
                </w14:textFill>
              </w:rPr>
              <w:t>排污单位自行监测技术指南总则》（HJ819-2017）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确定</w:t>
            </w:r>
            <w:r>
              <w:rPr>
                <w:color w:val="000000" w:themeColor="text1"/>
                <w14:textFill>
                  <w14:solidFill>
                    <w14:schemeClr w14:val="tx1"/>
                  </w14:solidFill>
                </w14:textFill>
              </w:rPr>
              <w:t>项目运营期噪声监测计划如下表4-1</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w:t>
            </w:r>
          </w:p>
          <w:p w14:paraId="501F94CA">
            <w:pPr>
              <w:widowControl/>
              <w:spacing w:line="240" w:lineRule="auto"/>
              <w:ind w:firstLine="48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表4-1</w:t>
            </w:r>
            <w:r>
              <w:rPr>
                <w:rFonts w:hint="eastAsia"/>
                <w:b/>
                <w:bCs/>
                <w:color w:val="000000" w:themeColor="text1"/>
                <w:sz w:val="21"/>
                <w:szCs w:val="21"/>
                <w:lang w:val="en-US" w:eastAsia="zh-CN"/>
                <w14:textFill>
                  <w14:solidFill>
                    <w14:schemeClr w14:val="tx1"/>
                  </w14:solidFill>
                </w14:textFill>
              </w:rPr>
              <w:t>5</w:t>
            </w:r>
            <w:r>
              <w:rPr>
                <w:b/>
                <w:bCs/>
                <w:color w:val="000000" w:themeColor="text1"/>
                <w:sz w:val="21"/>
                <w:szCs w:val="21"/>
                <w14:textFill>
                  <w14:solidFill>
                    <w14:schemeClr w14:val="tx1"/>
                  </w14:solidFill>
                </w14:textFill>
              </w:rPr>
              <w:t>噪声监测计划</w:t>
            </w:r>
          </w:p>
          <w:tbl>
            <w:tblPr>
              <w:tblStyle w:val="30"/>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217"/>
              <w:gridCol w:w="2687"/>
              <w:gridCol w:w="2646"/>
            </w:tblGrid>
            <w:tr w14:paraId="5E0F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tcBorders>
                    <w:tl2br w:val="nil"/>
                    <w:tr2bl w:val="nil"/>
                  </w:tcBorders>
                  <w:vAlign w:val="center"/>
                </w:tcPr>
                <w:p w14:paraId="06FF71D1">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w:t>
                  </w:r>
                </w:p>
              </w:tc>
              <w:tc>
                <w:tcPr>
                  <w:tcW w:w="783" w:type="pct"/>
                  <w:tcBorders>
                    <w:tl2br w:val="nil"/>
                    <w:tr2bl w:val="nil"/>
                  </w:tcBorders>
                  <w:vAlign w:val="center"/>
                </w:tcPr>
                <w:p w14:paraId="101AF9BD">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1729" w:type="pct"/>
                  <w:tcBorders>
                    <w:tl2br w:val="nil"/>
                    <w:tr2bl w:val="nil"/>
                  </w:tcBorders>
                  <w:vAlign w:val="center"/>
                </w:tcPr>
                <w:p w14:paraId="3BE60CF2">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监测因子</w:t>
                  </w:r>
                </w:p>
              </w:tc>
              <w:tc>
                <w:tcPr>
                  <w:tcW w:w="1703" w:type="pct"/>
                  <w:tcBorders>
                    <w:tl2br w:val="nil"/>
                    <w:tr2bl w:val="nil"/>
                  </w:tcBorders>
                  <w:vAlign w:val="center"/>
                </w:tcPr>
                <w:p w14:paraId="20FBAE2F">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监测频次</w:t>
                  </w:r>
                </w:p>
              </w:tc>
            </w:tr>
            <w:tr w14:paraId="2D46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tcBorders>
                    <w:tl2br w:val="nil"/>
                    <w:tr2bl w:val="nil"/>
                  </w:tcBorders>
                  <w:vAlign w:val="center"/>
                </w:tcPr>
                <w:p w14:paraId="71C6B54F">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环境噪声</w:t>
                  </w:r>
                </w:p>
              </w:tc>
              <w:tc>
                <w:tcPr>
                  <w:tcW w:w="783" w:type="pct"/>
                  <w:tcBorders>
                    <w:tl2br w:val="nil"/>
                    <w:tr2bl w:val="nil"/>
                  </w:tcBorders>
                  <w:vAlign w:val="center"/>
                </w:tcPr>
                <w:p w14:paraId="34A89EF6">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w:t>
                  </w:r>
                  <w:r>
                    <w:rPr>
                      <w:rFonts w:hint="eastAsia"/>
                      <w:color w:val="000000" w:themeColor="text1"/>
                      <w:sz w:val="21"/>
                      <w:szCs w:val="21"/>
                      <w14:textFill>
                        <w14:solidFill>
                          <w14:schemeClr w14:val="tx1"/>
                        </w14:solidFill>
                      </w14:textFill>
                    </w:rPr>
                    <w:t>边</w:t>
                  </w:r>
                  <w:r>
                    <w:rPr>
                      <w:color w:val="000000" w:themeColor="text1"/>
                      <w:sz w:val="21"/>
                      <w:szCs w:val="21"/>
                      <w14:textFill>
                        <w14:solidFill>
                          <w14:schemeClr w14:val="tx1"/>
                        </w14:solidFill>
                      </w14:textFill>
                    </w:rPr>
                    <w:t>界</w:t>
                  </w:r>
                </w:p>
              </w:tc>
              <w:tc>
                <w:tcPr>
                  <w:tcW w:w="1729" w:type="pct"/>
                  <w:tcBorders>
                    <w:tl2br w:val="nil"/>
                    <w:tr2bl w:val="nil"/>
                  </w:tcBorders>
                  <w:vAlign w:val="center"/>
                </w:tcPr>
                <w:p w14:paraId="03C29A6E">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等效连续A声级</w:t>
                  </w:r>
                </w:p>
              </w:tc>
              <w:tc>
                <w:tcPr>
                  <w:tcW w:w="1703" w:type="pct"/>
                  <w:tcBorders>
                    <w:tl2br w:val="nil"/>
                    <w:tr2bl w:val="nil"/>
                  </w:tcBorders>
                  <w:vAlign w:val="center"/>
                </w:tcPr>
                <w:p w14:paraId="55F1BA7A">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1次/季度</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仅监测昼间</w:t>
                  </w:r>
                </w:p>
              </w:tc>
            </w:tr>
          </w:tbl>
          <w:p w14:paraId="75364D30">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4、固体废物</w:t>
            </w:r>
          </w:p>
          <w:p w14:paraId="39118930">
            <w:pPr>
              <w:autoSpaceDE w:val="0"/>
              <w:autoSpaceDN w:val="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4.1固体废物产生情况分析</w:t>
            </w:r>
          </w:p>
          <w:p w14:paraId="04AE77FD">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项目营运期生产过程中会产生生活垃圾、一般固废和危险废物。</w:t>
            </w:r>
          </w:p>
          <w:p w14:paraId="1416B9CA">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（1）生活垃圾</w:t>
            </w:r>
          </w:p>
          <w:p w14:paraId="1A117D74">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生活垃圾主要来源于项目职工日常</w:t>
            </w:r>
            <w:r>
              <w:rPr>
                <w:rFonts w:hint="eastAsia"/>
                <w:color w:val="000000" w:themeColor="text1"/>
                <w:kern w:val="0"/>
                <w:lang w:val="en-US" w:eastAsia="zh-CN" w:bidi="ar"/>
                <w14:textFill>
                  <w14:solidFill>
                    <w14:schemeClr w14:val="tx1"/>
                  </w14:solidFill>
                </w14:textFill>
              </w:rPr>
              <w:t>生活垃圾和检验检测报告废纸等</w:t>
            </w:r>
            <w:r>
              <w:rPr>
                <w:color w:val="000000" w:themeColor="text1"/>
                <w:kern w:val="0"/>
                <w:lang w:bidi="ar"/>
                <w14:textFill>
                  <w14:solidFill>
                    <w14:schemeClr w14:val="tx1"/>
                  </w14:solidFill>
                </w14:textFill>
              </w:rPr>
              <w:t>，项目职工人数共20人，均不在厂区内食宿，职工生活垃圾排放量按0.5kg/人·天计，则生活垃圾产生量为10kg/d，年产生量约为3t（按年工作300天计），统一收集在垃圾箱后，</w:t>
            </w:r>
            <w:r>
              <w:rPr>
                <w:rFonts w:hint="eastAsia"/>
                <w:color w:val="000000" w:themeColor="text1"/>
                <w:kern w:val="0"/>
                <w:lang w:val="en-US" w:eastAsia="zh-CN" w:bidi="ar"/>
                <w14:textFill>
                  <w14:solidFill>
                    <w14:schemeClr w14:val="tx1"/>
                  </w14:solidFill>
                </w14:textFill>
              </w:rPr>
              <w:t>与巴州大朴石油技术服务有限公司垃圾一同清运</w:t>
            </w:r>
            <w:r>
              <w:rPr>
                <w:color w:val="000000" w:themeColor="text1"/>
                <w:kern w:val="0"/>
                <w:lang w:bidi="ar"/>
                <w14:textFill>
                  <w14:solidFill>
                    <w14:schemeClr w14:val="tx1"/>
                  </w14:solidFill>
                </w14:textFill>
              </w:rPr>
              <w:t>。</w:t>
            </w:r>
          </w:p>
          <w:p w14:paraId="0F5387DD">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（2）一般工业固废</w:t>
            </w:r>
          </w:p>
          <w:p w14:paraId="51361A4A">
            <w:pPr>
              <w:widowControl/>
              <w:ind w:firstLine="480"/>
              <w:jc w:val="left"/>
              <w:rPr>
                <w:rFonts w:hint="eastAsia" w:eastAsia="宋体"/>
                <w:color w:val="000000" w:themeColor="text1"/>
                <w:kern w:val="0"/>
                <w:lang w:eastAsia="zh-CN"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①</w:t>
            </w:r>
            <w:r>
              <w:rPr>
                <w:color w:val="000000" w:themeColor="text1"/>
                <w:kern w:val="0"/>
                <w:lang w:bidi="ar"/>
                <w14:textFill>
                  <w14:solidFill>
                    <w14:schemeClr w14:val="tx1"/>
                  </w14:solidFill>
                </w14:textFill>
              </w:rPr>
              <w:t>废包装</w:t>
            </w:r>
            <w:r>
              <w:rPr>
                <w:rFonts w:hint="eastAsia"/>
                <w:color w:val="000000" w:themeColor="text1"/>
                <w:kern w:val="0"/>
                <w:lang w:bidi="ar"/>
                <w14:textFill>
                  <w14:solidFill>
                    <w14:schemeClr w14:val="tx1"/>
                  </w14:solidFill>
                </w14:textFill>
              </w:rPr>
              <w:t>材料</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无毒无害包装材料</w:t>
            </w:r>
            <w:r>
              <w:rPr>
                <w:rFonts w:hint="eastAsia"/>
                <w:color w:val="000000" w:themeColor="text1"/>
                <w:kern w:val="0"/>
                <w:lang w:eastAsia="zh-CN" w:bidi="ar"/>
                <w14:textFill>
                  <w14:solidFill>
                    <w14:schemeClr w14:val="tx1"/>
                  </w14:solidFill>
                </w14:textFill>
              </w:rPr>
              <w:t>）</w:t>
            </w:r>
          </w:p>
          <w:p w14:paraId="5CE491D9">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本项目</w:t>
            </w:r>
            <w:r>
              <w:rPr>
                <w:rFonts w:hint="eastAsia"/>
                <w:color w:val="000000" w:themeColor="text1"/>
                <w:kern w:val="0"/>
                <w:lang w:bidi="ar"/>
                <w14:textFill>
                  <w14:solidFill>
                    <w14:schemeClr w14:val="tx1"/>
                  </w14:solidFill>
                </w14:textFill>
              </w:rPr>
              <w:t>所用的</w:t>
            </w:r>
            <w:r>
              <w:rPr>
                <w:color w:val="000000" w:themeColor="text1"/>
                <w:kern w:val="0"/>
                <w:lang w:bidi="ar"/>
                <w14:textFill>
                  <w14:solidFill>
                    <w14:schemeClr w14:val="tx1"/>
                  </w14:solidFill>
                </w14:textFill>
              </w:rPr>
              <w:t>原料会产生少量的废包装材料（包装纸箱、包装袋等），类比同类型</w:t>
            </w:r>
            <w:r>
              <w:rPr>
                <w:rFonts w:hint="eastAsia"/>
                <w:color w:val="000000" w:themeColor="text1"/>
                <w:kern w:val="0"/>
                <w:lang w:bidi="ar"/>
                <w14:textFill>
                  <w14:solidFill>
                    <w14:schemeClr w14:val="tx1"/>
                  </w14:solidFill>
                </w14:textFill>
              </w:rPr>
              <w:t>项目</w:t>
            </w:r>
            <w:r>
              <w:rPr>
                <w:color w:val="000000" w:themeColor="text1"/>
                <w:kern w:val="0"/>
                <w:lang w:bidi="ar"/>
                <w14:textFill>
                  <w14:solidFill>
                    <w14:schemeClr w14:val="tx1"/>
                  </w14:solidFill>
                </w14:textFill>
              </w:rPr>
              <w:t>，其年产生量约0.</w:t>
            </w:r>
            <w:r>
              <w:rPr>
                <w:rFonts w:hint="eastAsia"/>
                <w:color w:val="000000" w:themeColor="text1"/>
                <w:kern w:val="0"/>
                <w:lang w:val="en-US" w:eastAsia="zh-CN" w:bidi="ar"/>
                <w14:textFill>
                  <w14:solidFill>
                    <w14:schemeClr w14:val="tx1"/>
                  </w14:solidFill>
                </w14:textFill>
              </w:rPr>
              <w:t>0</w:t>
            </w:r>
            <w:r>
              <w:rPr>
                <w:color w:val="000000" w:themeColor="text1"/>
                <w:kern w:val="0"/>
                <w:lang w:bidi="ar"/>
                <w14:textFill>
                  <w14:solidFill>
                    <w14:schemeClr w14:val="tx1"/>
                  </w14:solidFill>
                </w14:textFill>
              </w:rPr>
              <w:t>2t/a，定点收集后由</w:t>
            </w:r>
            <w:r>
              <w:rPr>
                <w:rFonts w:hint="eastAsia"/>
                <w:color w:val="000000" w:themeColor="text1"/>
                <w:kern w:val="0"/>
                <w:lang w:bidi="ar"/>
                <w14:textFill>
                  <w14:solidFill>
                    <w14:schemeClr w14:val="tx1"/>
                  </w14:solidFill>
                </w14:textFill>
              </w:rPr>
              <w:t>废旧资源利用</w:t>
            </w:r>
            <w:r>
              <w:rPr>
                <w:color w:val="000000" w:themeColor="text1"/>
                <w:kern w:val="0"/>
                <w:lang w:bidi="ar"/>
                <w14:textFill>
                  <w14:solidFill>
                    <w14:schemeClr w14:val="tx1"/>
                  </w14:solidFill>
                </w14:textFill>
              </w:rPr>
              <w:t>单位回收。</w:t>
            </w:r>
          </w:p>
          <w:p w14:paraId="37444130">
            <w:pPr>
              <w:pStyle w:val="56"/>
              <w:widowControl/>
              <w:numPr>
                <w:ilvl w:val="0"/>
                <w:numId w:val="0"/>
              </w:numPr>
              <w:ind w:left="840" w:leftChars="0" w:hanging="360" w:firstLineChars="0"/>
              <w:jc w:val="left"/>
              <w:rPr>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②</w:t>
            </w:r>
            <w:r>
              <w:rPr>
                <w:rFonts w:hint="eastAsia" w:cs="Times New Roman"/>
                <w:color w:val="000000" w:themeColor="text1"/>
                <w:kern w:val="0"/>
                <w:sz w:val="24"/>
                <w:szCs w:val="24"/>
                <w:lang w:val="en-US" w:eastAsia="zh-CN" w:bidi="ar"/>
                <w14:textFill>
                  <w14:solidFill>
                    <w14:schemeClr w14:val="tx1"/>
                  </w14:solidFill>
                </w14:textFill>
              </w:rPr>
              <w:t>金属</w:t>
            </w:r>
            <w:r>
              <w:rPr>
                <w:color w:val="000000" w:themeColor="text1"/>
                <w:kern w:val="0"/>
                <w:lang w:bidi="ar"/>
                <w14:textFill>
                  <w14:solidFill>
                    <w14:schemeClr w14:val="tx1"/>
                  </w14:solidFill>
                </w14:textFill>
              </w:rPr>
              <w:t>边角料</w:t>
            </w:r>
          </w:p>
          <w:p w14:paraId="0806C970">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项目在</w:t>
            </w:r>
            <w:r>
              <w:rPr>
                <w:rFonts w:hint="eastAsia"/>
                <w:color w:val="000000" w:themeColor="text1"/>
                <w:kern w:val="0"/>
                <w:lang w:bidi="ar"/>
                <w14:textFill>
                  <w14:solidFill>
                    <w14:schemeClr w14:val="tx1"/>
                  </w14:solidFill>
                </w14:textFill>
              </w:rPr>
              <w:t>金属样品制样</w:t>
            </w:r>
            <w:r>
              <w:rPr>
                <w:color w:val="000000" w:themeColor="text1"/>
                <w:kern w:val="0"/>
                <w:lang w:bidi="ar"/>
                <w14:textFill>
                  <w14:solidFill>
                    <w14:schemeClr w14:val="tx1"/>
                  </w14:solidFill>
                </w14:textFill>
              </w:rPr>
              <w:t>过程中会产生少量的</w:t>
            </w:r>
            <w:r>
              <w:rPr>
                <w:rFonts w:hint="eastAsia"/>
                <w:color w:val="000000" w:themeColor="text1"/>
                <w:kern w:val="0"/>
                <w:lang w:bidi="ar"/>
                <w14:textFill>
                  <w14:solidFill>
                    <w14:schemeClr w14:val="tx1"/>
                  </w14:solidFill>
                </w14:textFill>
              </w:rPr>
              <w:t>金属碎屑</w:t>
            </w:r>
            <w:r>
              <w:rPr>
                <w:color w:val="000000" w:themeColor="text1"/>
                <w:kern w:val="0"/>
                <w:lang w:bidi="ar"/>
                <w14:textFill>
                  <w14:solidFill>
                    <w14:schemeClr w14:val="tx1"/>
                  </w14:solidFill>
                </w14:textFill>
              </w:rPr>
              <w:t>，根据类比分析，预计年产生</w:t>
            </w:r>
            <w:r>
              <w:rPr>
                <w:rFonts w:hint="eastAsia"/>
                <w:color w:val="000000" w:themeColor="text1"/>
                <w:kern w:val="0"/>
                <w:lang w:bidi="ar"/>
                <w14:textFill>
                  <w14:solidFill>
                    <w14:schemeClr w14:val="tx1"/>
                  </w14:solidFill>
                </w14:textFill>
              </w:rPr>
              <w:t>金属</w:t>
            </w:r>
            <w:r>
              <w:rPr>
                <w:color w:val="000000" w:themeColor="text1"/>
                <w:kern w:val="0"/>
                <w:lang w:bidi="ar"/>
                <w14:textFill>
                  <w14:solidFill>
                    <w14:schemeClr w14:val="tx1"/>
                  </w14:solidFill>
                </w14:textFill>
              </w:rPr>
              <w:t>边角料0.3t/a，</w:t>
            </w:r>
            <w:r>
              <w:rPr>
                <w:rFonts w:hint="eastAsia"/>
                <w:color w:val="000000" w:themeColor="text1"/>
                <w:kern w:val="0"/>
                <w:lang w:val="en-US" w:eastAsia="zh-CN" w:bidi="ar"/>
                <w14:textFill>
                  <w14:solidFill>
                    <w14:schemeClr w14:val="tx1"/>
                  </w14:solidFill>
                </w14:textFill>
              </w:rPr>
              <w:t>厂房内清扫捕集</w:t>
            </w:r>
            <w:r>
              <w:rPr>
                <w:color w:val="000000" w:themeColor="text1"/>
                <w:kern w:val="0"/>
                <w:lang w:bidi="ar"/>
                <w14:textFill>
                  <w14:solidFill>
                    <w14:schemeClr w14:val="tx1"/>
                  </w14:solidFill>
                </w14:textFill>
              </w:rPr>
              <w:t>后</w:t>
            </w:r>
            <w:r>
              <w:rPr>
                <w:rFonts w:hint="eastAsia"/>
                <w:color w:val="000000" w:themeColor="text1"/>
                <w:kern w:val="0"/>
                <w:lang w:bidi="ar"/>
                <w14:textFill>
                  <w14:solidFill>
                    <w14:schemeClr w14:val="tx1"/>
                  </w14:solidFill>
                </w14:textFill>
              </w:rPr>
              <w:t>由废旧资源利用单位回收。</w:t>
            </w:r>
          </w:p>
          <w:p w14:paraId="6A7D13C2">
            <w:pPr>
              <w:pStyle w:val="56"/>
              <w:widowControl/>
              <w:numPr>
                <w:ilvl w:val="0"/>
                <w:numId w:val="0"/>
              </w:numPr>
              <w:ind w:left="840" w:leftChars="0" w:hanging="360" w:firstLineChars="0"/>
              <w:jc w:val="left"/>
              <w:rPr>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③</w:t>
            </w:r>
            <w:r>
              <w:rPr>
                <w:rFonts w:hint="eastAsia"/>
                <w:color w:val="000000" w:themeColor="text1"/>
                <w:kern w:val="0"/>
                <w:lang w:bidi="ar"/>
                <w14:textFill>
                  <w14:solidFill>
                    <w14:schemeClr w14:val="tx1"/>
                  </w14:solidFill>
                </w14:textFill>
              </w:rPr>
              <w:t>报废样</w:t>
            </w:r>
            <w:r>
              <w:rPr>
                <w:color w:val="000000" w:themeColor="text1"/>
                <w:kern w:val="0"/>
                <w:lang w:bidi="ar"/>
                <w14:textFill>
                  <w14:solidFill>
                    <w14:schemeClr w14:val="tx1"/>
                  </w14:solidFill>
                </w14:textFill>
              </w:rPr>
              <w:t>品</w:t>
            </w:r>
          </w:p>
          <w:p w14:paraId="368E1106">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金属样品</w:t>
            </w:r>
            <w:r>
              <w:rPr>
                <w:rFonts w:hint="eastAsia"/>
                <w:color w:val="000000" w:themeColor="text1"/>
                <w:kern w:val="0"/>
                <w:lang w:bidi="ar"/>
                <w14:textFill>
                  <w14:solidFill>
                    <w14:schemeClr w14:val="tx1"/>
                  </w14:solidFill>
                </w14:textFill>
              </w:rPr>
              <w:t>测试过后即成为报废样品</w:t>
            </w:r>
            <w:r>
              <w:rPr>
                <w:color w:val="000000" w:themeColor="text1"/>
                <w:kern w:val="0"/>
                <w:lang w:bidi="ar"/>
                <w14:textFill>
                  <w14:solidFill>
                    <w14:schemeClr w14:val="tx1"/>
                  </w14:solidFill>
                </w14:textFill>
              </w:rPr>
              <w:t>，预计年产生报废样品约0.5t/a，经收集</w:t>
            </w:r>
            <w:r>
              <w:rPr>
                <w:rFonts w:hint="eastAsia"/>
                <w:color w:val="000000" w:themeColor="text1"/>
                <w:kern w:val="0"/>
                <w:lang w:bidi="ar"/>
                <w14:textFill>
                  <w14:solidFill>
                    <w14:schemeClr w14:val="tx1"/>
                  </w14:solidFill>
                </w14:textFill>
              </w:rPr>
              <w:t>由废旧资源利用单位回收。</w:t>
            </w:r>
          </w:p>
          <w:p w14:paraId="7C02D85D">
            <w:pPr>
              <w:widowControl/>
              <w:ind w:firstLine="480"/>
              <w:rPr>
                <w:rFonts w:hint="default" w:eastAsia="宋体"/>
                <w:color w:val="000000" w:themeColor="text1"/>
                <w:kern w:val="0"/>
                <w:lang w:val="en-US" w:eastAsia="zh-CN" w:bidi="ar"/>
                <w14:textFill>
                  <w14:solidFill>
                    <w14:schemeClr w14:val="tx1"/>
                  </w14:solidFill>
                </w14:textFill>
              </w:rPr>
            </w:pPr>
            <w:r>
              <w:rPr>
                <w:color w:val="000000" w:themeColor="text1"/>
                <w:kern w:val="0"/>
                <w:lang w:bidi="ar"/>
                <w14:textFill>
                  <w14:solidFill>
                    <w14:schemeClr w14:val="tx1"/>
                  </w14:solidFill>
                </w14:textFill>
              </w:rPr>
              <w:fldChar w:fldCharType="begin"/>
            </w:r>
            <w:r>
              <w:rPr>
                <w:color w:val="000000" w:themeColor="text1"/>
                <w:kern w:val="0"/>
                <w:lang w:bidi="ar"/>
                <w14:textFill>
                  <w14:solidFill>
                    <w14:schemeClr w14:val="tx1"/>
                  </w14:solidFill>
                </w14:textFill>
              </w:rPr>
              <w:instrText xml:space="preserve"> </w:instrText>
            </w:r>
            <w:r>
              <w:rPr>
                <w:rFonts w:hint="eastAsia"/>
                <w:color w:val="000000" w:themeColor="text1"/>
                <w:kern w:val="0"/>
                <w:lang w:bidi="ar"/>
                <w14:textFill>
                  <w14:solidFill>
                    <w14:schemeClr w14:val="tx1"/>
                  </w14:solidFill>
                </w14:textFill>
              </w:rPr>
              <w:instrText xml:space="preserve">= 4 \* GB3</w:instrText>
            </w:r>
            <w:r>
              <w:rPr>
                <w:color w:val="000000" w:themeColor="text1"/>
                <w:kern w:val="0"/>
                <w:lang w:bidi="ar"/>
                <w14:textFill>
                  <w14:solidFill>
                    <w14:schemeClr w14:val="tx1"/>
                  </w14:solidFill>
                </w14:textFill>
              </w:rPr>
              <w:instrText xml:space="preserve"> </w:instrText>
            </w:r>
            <w:r>
              <w:rPr>
                <w:color w:val="000000" w:themeColor="text1"/>
                <w:kern w:val="0"/>
                <w:lang w:bidi="ar"/>
                <w14:textFill>
                  <w14:solidFill>
                    <w14:schemeClr w14:val="tx1"/>
                  </w14:solidFill>
                </w14:textFill>
              </w:rPr>
              <w:fldChar w:fldCharType="separate"/>
            </w:r>
            <w:r>
              <w:rPr>
                <w:rFonts w:hint="eastAsia"/>
                <w:color w:val="000000" w:themeColor="text1"/>
                <w:kern w:val="0"/>
                <w:lang w:bidi="ar"/>
                <w14:textFill>
                  <w14:solidFill>
                    <w14:schemeClr w14:val="tx1"/>
                  </w14:solidFill>
                </w14:textFill>
              </w:rPr>
              <w:t>④</w:t>
            </w:r>
            <w:r>
              <w:rPr>
                <w:color w:val="000000" w:themeColor="text1"/>
                <w:kern w:val="0"/>
                <w:lang w:bidi="ar"/>
                <w14:textFill>
                  <w14:solidFill>
                    <w14:schemeClr w14:val="tx1"/>
                  </w14:solidFill>
                </w14:textFill>
              </w:rPr>
              <w:fldChar w:fldCharType="end"/>
            </w:r>
            <w:r>
              <w:rPr>
                <w:rFonts w:hint="eastAsia"/>
                <w:color w:val="000000" w:themeColor="text1"/>
                <w:kern w:val="0"/>
                <w:lang w:bidi="ar"/>
                <w14:textFill>
                  <w14:solidFill>
                    <w14:schemeClr w14:val="tx1"/>
                  </w14:solidFill>
                </w14:textFill>
              </w:rPr>
              <w:t>废</w:t>
            </w:r>
            <w:r>
              <w:rPr>
                <w:rFonts w:hint="eastAsia"/>
                <w:color w:val="000000" w:themeColor="text1"/>
                <w:kern w:val="0"/>
                <w:lang w:val="en-US" w:eastAsia="zh-CN" w:bidi="ar"/>
                <w14:textFill>
                  <w14:solidFill>
                    <w14:schemeClr w14:val="tx1"/>
                  </w14:solidFill>
                </w14:textFill>
              </w:rPr>
              <w:t>滤芯、废膜</w:t>
            </w:r>
          </w:p>
          <w:p w14:paraId="38A95C52">
            <w:pPr>
              <w:widowControl/>
              <w:ind w:firstLine="480"/>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在制备纯水过程中产生废过滤介质，主要为废RO</w:t>
            </w:r>
            <w:r>
              <w:rPr>
                <w:rFonts w:hint="eastAsia"/>
                <w:color w:val="000000" w:themeColor="text1"/>
                <w:kern w:val="0"/>
                <w:lang w:val="en-US" w:eastAsia="zh-CN" w:bidi="ar"/>
                <w14:textFill>
                  <w14:solidFill>
                    <w14:schemeClr w14:val="tx1"/>
                  </w14:solidFill>
                </w14:textFill>
              </w:rPr>
              <w:t>膜</w:t>
            </w:r>
            <w:r>
              <w:rPr>
                <w:rFonts w:hint="eastAsia"/>
                <w:color w:val="000000" w:themeColor="text1"/>
                <w:kern w:val="0"/>
                <w:lang w:bidi="ar"/>
                <w14:textFill>
                  <w14:solidFill>
                    <w14:schemeClr w14:val="tx1"/>
                  </w14:solidFill>
                </w14:textFill>
              </w:rPr>
              <w:t>、废滤芯，根据企业提供资料，纯水机每半年更换1 次，则废反渗透膜、废滤芯产生量为 0.0</w:t>
            </w:r>
            <w:r>
              <w:rPr>
                <w:rFonts w:hint="eastAsia"/>
                <w:color w:val="000000" w:themeColor="text1"/>
                <w:kern w:val="0"/>
                <w:lang w:val="en-US" w:eastAsia="zh-CN" w:bidi="ar"/>
                <w14:textFill>
                  <w14:solidFill>
                    <w14:schemeClr w14:val="tx1"/>
                  </w14:solidFill>
                </w14:textFill>
              </w:rPr>
              <w:t>2</w:t>
            </w:r>
            <w:r>
              <w:rPr>
                <w:rFonts w:hint="eastAsia"/>
                <w:color w:val="000000" w:themeColor="text1"/>
                <w:kern w:val="0"/>
                <w:lang w:bidi="ar"/>
                <w14:textFill>
                  <w14:solidFill>
                    <w14:schemeClr w14:val="tx1"/>
                  </w14:solidFill>
                </w14:textFill>
              </w:rPr>
              <w:t>t/a，为一般固废，收集后外售综合利用。</w:t>
            </w:r>
          </w:p>
          <w:p w14:paraId="105C9C5A">
            <w:pPr>
              <w:widowControl/>
              <w:ind w:firstLine="480"/>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⑤废气瓶</w:t>
            </w:r>
          </w:p>
          <w:p w14:paraId="30AAED84">
            <w:pPr>
              <w:widowControl/>
              <w:ind w:firstLine="480"/>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腐蚀实验过程废氮气、废硫化氢气瓶约95瓶/年，废气瓶由供气商回收。</w:t>
            </w:r>
          </w:p>
          <w:p w14:paraId="6045DF6C">
            <w:pPr>
              <w:widowControl/>
              <w:ind w:left="0" w:leftChars="0" w:firstLine="0" w:firstLineChars="0"/>
              <w:jc w:val="center"/>
              <w:rPr>
                <w:rFonts w:hint="default"/>
                <w:color w:val="000000" w:themeColor="text1"/>
                <w:lang w:val="en-US"/>
                <w14:textFill>
                  <w14:solidFill>
                    <w14:schemeClr w14:val="tx1"/>
                  </w14:solidFill>
                </w14:textFill>
              </w:rPr>
            </w:pPr>
            <w:r>
              <w:rPr>
                <w:b/>
                <w:bCs/>
                <w:color w:val="000000" w:themeColor="text1"/>
                <w:sz w:val="21"/>
                <w:szCs w:val="21"/>
                <w14:textFill>
                  <w14:solidFill>
                    <w14:schemeClr w14:val="tx1"/>
                  </w14:solidFill>
                </w14:textFill>
              </w:rPr>
              <w:t>表4-1</w:t>
            </w:r>
            <w:r>
              <w:rPr>
                <w:rFonts w:hint="eastAsia"/>
                <w:b/>
                <w:bCs/>
                <w:color w:val="000000" w:themeColor="text1"/>
                <w:sz w:val="21"/>
                <w:szCs w:val="21"/>
                <w:lang w:val="en-US" w:eastAsia="zh-CN"/>
                <w14:textFill>
                  <w14:solidFill>
                    <w14:schemeClr w14:val="tx1"/>
                  </w14:solidFill>
                </w14:textFill>
              </w:rPr>
              <w:t>6一般工业固废产排情况一览表</w:t>
            </w:r>
          </w:p>
          <w:tbl>
            <w:tblPr>
              <w:tblStyle w:val="30"/>
              <w:tblW w:w="89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925"/>
              <w:gridCol w:w="1531"/>
              <w:gridCol w:w="986"/>
              <w:gridCol w:w="850"/>
              <w:gridCol w:w="1802"/>
              <w:gridCol w:w="776"/>
              <w:gridCol w:w="1131"/>
            </w:tblGrid>
            <w:tr w14:paraId="41C9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l2br w:val="nil"/>
                    <w:tr2bl w:val="nil"/>
                  </w:tcBorders>
                  <w:vAlign w:val="center"/>
                </w:tcPr>
                <w:p w14:paraId="1AA1308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固体废物名称</w:t>
                  </w:r>
                </w:p>
              </w:tc>
              <w:tc>
                <w:tcPr>
                  <w:tcW w:w="515" w:type="pct"/>
                  <w:tcBorders>
                    <w:tl2br w:val="nil"/>
                    <w:tr2bl w:val="nil"/>
                  </w:tcBorders>
                  <w:vAlign w:val="center"/>
                </w:tcPr>
                <w:p w14:paraId="6A2AABB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产生环节</w:t>
                  </w:r>
                </w:p>
              </w:tc>
              <w:tc>
                <w:tcPr>
                  <w:tcW w:w="852" w:type="pct"/>
                  <w:tcBorders>
                    <w:tl2br w:val="nil"/>
                    <w:tr2bl w:val="nil"/>
                  </w:tcBorders>
                  <w:vAlign w:val="center"/>
                </w:tcPr>
                <w:p w14:paraId="0F29419D">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固废代码</w:t>
                  </w:r>
                </w:p>
              </w:tc>
              <w:tc>
                <w:tcPr>
                  <w:tcW w:w="549" w:type="pct"/>
                  <w:tcBorders>
                    <w:tl2br w:val="nil"/>
                    <w:tr2bl w:val="nil"/>
                  </w:tcBorders>
                  <w:vAlign w:val="center"/>
                </w:tcPr>
                <w:p w14:paraId="03E8A8A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固废属性</w:t>
                  </w:r>
                </w:p>
              </w:tc>
              <w:tc>
                <w:tcPr>
                  <w:tcW w:w="473" w:type="pct"/>
                  <w:tcBorders>
                    <w:tl2br w:val="nil"/>
                    <w:tr2bl w:val="nil"/>
                  </w:tcBorders>
                  <w:vAlign w:val="center"/>
                </w:tcPr>
                <w:p w14:paraId="0F1E57B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w:t>
                  </w:r>
                </w:p>
                <w:p w14:paraId="4BCC413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1003" w:type="pct"/>
                  <w:tcBorders>
                    <w:tl2br w:val="nil"/>
                    <w:tr2bl w:val="nil"/>
                  </w:tcBorders>
                  <w:vAlign w:val="center"/>
                </w:tcPr>
                <w:p w14:paraId="1C468FE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去向</w:t>
                  </w:r>
                </w:p>
              </w:tc>
              <w:tc>
                <w:tcPr>
                  <w:tcW w:w="432" w:type="pct"/>
                  <w:tcBorders>
                    <w:tl2br w:val="nil"/>
                    <w:tr2bl w:val="nil"/>
                  </w:tcBorders>
                  <w:vAlign w:val="center"/>
                </w:tcPr>
                <w:p w14:paraId="388B070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排放量（t/a）</w:t>
                  </w:r>
                </w:p>
              </w:tc>
              <w:tc>
                <w:tcPr>
                  <w:tcW w:w="629" w:type="pct"/>
                  <w:tcBorders>
                    <w:tl2br w:val="nil"/>
                    <w:tr2bl w:val="nil"/>
                  </w:tcBorders>
                  <w:vAlign w:val="center"/>
                </w:tcPr>
                <w:p w14:paraId="58B13F93">
                  <w:pPr>
                    <w:spacing w:line="240" w:lineRule="auto"/>
                    <w:ind w:firstLine="0" w:firstLineChars="0"/>
                    <w:jc w:val="center"/>
                    <w:rPr>
                      <w:color w:val="000000" w:themeColor="text1"/>
                      <w:sz w:val="21"/>
                      <w:szCs w:val="21"/>
                      <w14:textFill>
                        <w14:solidFill>
                          <w14:schemeClr w14:val="tx1"/>
                        </w14:solidFill>
                      </w14:textFill>
                    </w:rPr>
                  </w:pPr>
                </w:p>
              </w:tc>
            </w:tr>
            <w:tr w14:paraId="7A30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l2br w:val="nil"/>
                    <w:tr2bl w:val="nil"/>
                  </w:tcBorders>
                  <w:vAlign w:val="center"/>
                </w:tcPr>
                <w:p w14:paraId="03DAE9B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515" w:type="pct"/>
                  <w:tcBorders>
                    <w:tl2br w:val="nil"/>
                    <w:tr2bl w:val="nil"/>
                  </w:tcBorders>
                  <w:vAlign w:val="center"/>
                </w:tcPr>
                <w:p w14:paraId="74ED840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办公</w:t>
                  </w:r>
                </w:p>
              </w:tc>
              <w:tc>
                <w:tcPr>
                  <w:tcW w:w="852" w:type="pct"/>
                  <w:tcBorders>
                    <w:tl2br w:val="nil"/>
                    <w:tr2bl w:val="nil"/>
                  </w:tcBorders>
                  <w:vAlign w:val="center"/>
                </w:tcPr>
                <w:p w14:paraId="423ED06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900-099-S64</w:t>
                  </w:r>
                </w:p>
              </w:tc>
              <w:tc>
                <w:tcPr>
                  <w:tcW w:w="549" w:type="pct"/>
                  <w:tcBorders>
                    <w:tl2br w:val="nil"/>
                    <w:tr2bl w:val="nil"/>
                  </w:tcBorders>
                  <w:vAlign w:val="center"/>
                </w:tcPr>
                <w:p w14:paraId="2E22F60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473" w:type="pct"/>
                  <w:tcBorders>
                    <w:tl2br w:val="nil"/>
                    <w:tr2bl w:val="nil"/>
                  </w:tcBorders>
                  <w:vAlign w:val="center"/>
                </w:tcPr>
                <w:p w14:paraId="42ECAC6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003" w:type="pct"/>
                  <w:tcBorders>
                    <w:tl2br w:val="nil"/>
                    <w:tr2bl w:val="nil"/>
                  </w:tcBorders>
                  <w:vAlign w:val="center"/>
                </w:tcPr>
                <w:p w14:paraId="44FB6A9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环卫部门统一处置</w:t>
                  </w:r>
                </w:p>
              </w:tc>
              <w:tc>
                <w:tcPr>
                  <w:tcW w:w="432" w:type="pct"/>
                  <w:tcBorders>
                    <w:tl2br w:val="nil"/>
                    <w:tr2bl w:val="nil"/>
                  </w:tcBorders>
                  <w:vAlign w:val="center"/>
                </w:tcPr>
                <w:p w14:paraId="0E40280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29" w:type="pct"/>
                  <w:tcBorders>
                    <w:tl2br w:val="nil"/>
                    <w:tr2bl w:val="nil"/>
                  </w:tcBorders>
                  <w:vAlign w:val="center"/>
                </w:tcPr>
                <w:p w14:paraId="319E8D38">
                  <w:pPr>
                    <w:spacing w:line="240" w:lineRule="auto"/>
                    <w:ind w:firstLine="0" w:firstLineChars="0"/>
                    <w:jc w:val="center"/>
                    <w:rPr>
                      <w:color w:val="000000" w:themeColor="text1"/>
                      <w:sz w:val="21"/>
                      <w:szCs w:val="21"/>
                      <w14:textFill>
                        <w14:solidFill>
                          <w14:schemeClr w14:val="tx1"/>
                        </w14:solidFill>
                      </w14:textFill>
                    </w:rPr>
                  </w:pPr>
                </w:p>
              </w:tc>
            </w:tr>
            <w:tr w14:paraId="680D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l2br w:val="nil"/>
                    <w:tr2bl w:val="nil"/>
                  </w:tcBorders>
                  <w:vAlign w:val="center"/>
                </w:tcPr>
                <w:p w14:paraId="475EAB0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废包装</w:t>
                  </w:r>
                  <w:r>
                    <w:rPr>
                      <w:rFonts w:hint="eastAsia"/>
                      <w:color w:val="000000" w:themeColor="text1"/>
                      <w:sz w:val="21"/>
                      <w:szCs w:val="21"/>
                      <w14:textFill>
                        <w14:solidFill>
                          <w14:schemeClr w14:val="tx1"/>
                        </w14:solidFill>
                      </w14:textFill>
                    </w:rPr>
                    <w:t>材料</w:t>
                  </w:r>
                </w:p>
              </w:tc>
              <w:tc>
                <w:tcPr>
                  <w:tcW w:w="515" w:type="pct"/>
                  <w:tcBorders>
                    <w:tl2br w:val="nil"/>
                    <w:tr2bl w:val="nil"/>
                  </w:tcBorders>
                  <w:vAlign w:val="center"/>
                </w:tcPr>
                <w:p w14:paraId="340C3C9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原辅料包装</w:t>
                  </w:r>
                  <w:r>
                    <w:rPr>
                      <w:rFonts w:hint="eastAsia"/>
                      <w:color w:val="000000" w:themeColor="text1"/>
                      <w:sz w:val="21"/>
                      <w:szCs w:val="21"/>
                      <w14:textFill>
                        <w14:solidFill>
                          <w14:schemeClr w14:val="tx1"/>
                        </w14:solidFill>
                      </w14:textFill>
                    </w:rPr>
                    <w:t>箱袋</w:t>
                  </w:r>
                </w:p>
              </w:tc>
              <w:tc>
                <w:tcPr>
                  <w:tcW w:w="852" w:type="pct"/>
                  <w:tcBorders>
                    <w:tl2br w:val="nil"/>
                    <w:tr2bl w:val="nil"/>
                  </w:tcBorders>
                  <w:vAlign w:val="center"/>
                </w:tcPr>
                <w:p w14:paraId="5B06C1D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900-001-S92</w:t>
                  </w:r>
                </w:p>
              </w:tc>
              <w:tc>
                <w:tcPr>
                  <w:tcW w:w="549" w:type="pct"/>
                  <w:vMerge w:val="restart"/>
                  <w:tcBorders>
                    <w:tl2br w:val="nil"/>
                    <w:tr2bl w:val="nil"/>
                  </w:tcBorders>
                  <w:vAlign w:val="center"/>
                </w:tcPr>
                <w:p w14:paraId="0D4FA6F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一般工业固废</w:t>
                  </w:r>
                </w:p>
              </w:tc>
              <w:tc>
                <w:tcPr>
                  <w:tcW w:w="473" w:type="pct"/>
                  <w:tcBorders>
                    <w:tl2br w:val="nil"/>
                    <w:tr2bl w:val="nil"/>
                  </w:tcBorders>
                  <w:vAlign w:val="center"/>
                </w:tcPr>
                <w:p w14:paraId="436482C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0</w:t>
                  </w:r>
                  <w:r>
                    <w:rPr>
                      <w:color w:val="000000" w:themeColor="text1"/>
                      <w:sz w:val="21"/>
                      <w:szCs w:val="21"/>
                      <w14:textFill>
                        <w14:solidFill>
                          <w14:schemeClr w14:val="tx1"/>
                        </w14:solidFill>
                      </w14:textFill>
                    </w:rPr>
                    <w:t>2</w:t>
                  </w:r>
                </w:p>
              </w:tc>
              <w:tc>
                <w:tcPr>
                  <w:tcW w:w="1003" w:type="pct"/>
                  <w:vMerge w:val="restart"/>
                  <w:tcBorders>
                    <w:tl2br w:val="nil"/>
                    <w:tr2bl w:val="nil"/>
                  </w:tcBorders>
                  <w:vAlign w:val="center"/>
                </w:tcPr>
                <w:p w14:paraId="0FE5620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外售</w:t>
                  </w:r>
                  <w:r>
                    <w:rPr>
                      <w:rFonts w:hint="eastAsia"/>
                      <w:color w:val="000000" w:themeColor="text1"/>
                      <w:sz w:val="21"/>
                      <w:szCs w:val="21"/>
                      <w14:textFill>
                        <w14:solidFill>
                          <w14:schemeClr w14:val="tx1"/>
                        </w14:solidFill>
                      </w14:textFill>
                    </w:rPr>
                    <w:t>资源利用</w:t>
                  </w:r>
                  <w:r>
                    <w:rPr>
                      <w:color w:val="000000" w:themeColor="text1"/>
                      <w:sz w:val="21"/>
                      <w:szCs w:val="21"/>
                      <w14:textFill>
                        <w14:solidFill>
                          <w14:schemeClr w14:val="tx1"/>
                        </w14:solidFill>
                      </w14:textFill>
                    </w:rPr>
                    <w:t>单位回收</w:t>
                  </w:r>
                </w:p>
              </w:tc>
              <w:tc>
                <w:tcPr>
                  <w:tcW w:w="432" w:type="pct"/>
                  <w:tcBorders>
                    <w:tl2br w:val="nil"/>
                    <w:tr2bl w:val="nil"/>
                  </w:tcBorders>
                  <w:vAlign w:val="center"/>
                </w:tcPr>
                <w:p w14:paraId="0B580BD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0</w:t>
                  </w:r>
                  <w:r>
                    <w:rPr>
                      <w:color w:val="000000" w:themeColor="text1"/>
                      <w:sz w:val="21"/>
                      <w:szCs w:val="21"/>
                      <w14:textFill>
                        <w14:solidFill>
                          <w14:schemeClr w14:val="tx1"/>
                        </w14:solidFill>
                      </w14:textFill>
                    </w:rPr>
                    <w:t>2</w:t>
                  </w:r>
                </w:p>
              </w:tc>
              <w:tc>
                <w:tcPr>
                  <w:tcW w:w="629" w:type="pct"/>
                  <w:tcBorders>
                    <w:tl2br w:val="nil"/>
                    <w:tr2bl w:val="nil"/>
                  </w:tcBorders>
                  <w:vAlign w:val="center"/>
                </w:tcPr>
                <w:p w14:paraId="106B133A">
                  <w:pPr>
                    <w:spacing w:line="240" w:lineRule="auto"/>
                    <w:ind w:firstLine="0" w:firstLineChars="0"/>
                    <w:jc w:val="center"/>
                    <w:rPr>
                      <w:color w:val="000000" w:themeColor="text1"/>
                      <w:sz w:val="21"/>
                      <w:szCs w:val="21"/>
                      <w14:textFill>
                        <w14:solidFill>
                          <w14:schemeClr w14:val="tx1"/>
                        </w14:solidFill>
                      </w14:textFill>
                    </w:rPr>
                  </w:pPr>
                </w:p>
              </w:tc>
            </w:tr>
            <w:tr w14:paraId="5FE9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l2br w:val="nil"/>
                    <w:tr2bl w:val="nil"/>
                  </w:tcBorders>
                  <w:vAlign w:val="center"/>
                </w:tcPr>
                <w:p w14:paraId="0F4069D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金属</w:t>
                  </w:r>
                  <w:r>
                    <w:rPr>
                      <w:color w:val="000000" w:themeColor="text1"/>
                      <w:sz w:val="21"/>
                      <w:szCs w:val="21"/>
                      <w14:textFill>
                        <w14:solidFill>
                          <w14:schemeClr w14:val="tx1"/>
                        </w14:solidFill>
                      </w14:textFill>
                    </w:rPr>
                    <w:t>边角料</w:t>
                  </w:r>
                </w:p>
              </w:tc>
              <w:tc>
                <w:tcPr>
                  <w:tcW w:w="515" w:type="pct"/>
                  <w:tcBorders>
                    <w:tl2br w:val="nil"/>
                    <w:tr2bl w:val="nil"/>
                  </w:tcBorders>
                  <w:vAlign w:val="center"/>
                </w:tcPr>
                <w:p w14:paraId="252568A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制样</w:t>
                  </w:r>
                </w:p>
              </w:tc>
              <w:tc>
                <w:tcPr>
                  <w:tcW w:w="852" w:type="pct"/>
                  <w:tcBorders>
                    <w:tl2br w:val="nil"/>
                    <w:tr2bl w:val="nil"/>
                  </w:tcBorders>
                  <w:vAlign w:val="center"/>
                </w:tcPr>
                <w:p w14:paraId="3DEA2B3E">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900-001-S17</w:t>
                  </w:r>
                </w:p>
              </w:tc>
              <w:tc>
                <w:tcPr>
                  <w:tcW w:w="549" w:type="pct"/>
                  <w:vMerge w:val="continue"/>
                  <w:tcBorders>
                    <w:tl2br w:val="nil"/>
                    <w:tr2bl w:val="nil"/>
                  </w:tcBorders>
                  <w:vAlign w:val="center"/>
                </w:tcPr>
                <w:p w14:paraId="39D89B91">
                  <w:pPr>
                    <w:spacing w:line="240" w:lineRule="auto"/>
                    <w:ind w:firstLine="0" w:firstLineChars="0"/>
                    <w:jc w:val="center"/>
                    <w:rPr>
                      <w:color w:val="000000" w:themeColor="text1"/>
                      <w:sz w:val="21"/>
                      <w:szCs w:val="21"/>
                      <w14:textFill>
                        <w14:solidFill>
                          <w14:schemeClr w14:val="tx1"/>
                        </w14:solidFill>
                      </w14:textFill>
                    </w:rPr>
                  </w:pPr>
                </w:p>
              </w:tc>
              <w:tc>
                <w:tcPr>
                  <w:tcW w:w="473" w:type="pct"/>
                  <w:tcBorders>
                    <w:tl2br w:val="nil"/>
                    <w:tr2bl w:val="nil"/>
                  </w:tcBorders>
                  <w:vAlign w:val="center"/>
                </w:tcPr>
                <w:p w14:paraId="7A0AFD8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3</w:t>
                  </w:r>
                </w:p>
              </w:tc>
              <w:tc>
                <w:tcPr>
                  <w:tcW w:w="1003" w:type="pct"/>
                  <w:vMerge w:val="continue"/>
                  <w:tcBorders>
                    <w:tl2br w:val="nil"/>
                    <w:tr2bl w:val="nil"/>
                  </w:tcBorders>
                  <w:vAlign w:val="center"/>
                </w:tcPr>
                <w:p w14:paraId="36CDD3F3">
                  <w:pPr>
                    <w:spacing w:line="240" w:lineRule="auto"/>
                    <w:ind w:firstLine="0" w:firstLineChars="0"/>
                    <w:jc w:val="center"/>
                    <w:rPr>
                      <w:color w:val="000000" w:themeColor="text1"/>
                      <w:sz w:val="21"/>
                      <w:szCs w:val="21"/>
                      <w14:textFill>
                        <w14:solidFill>
                          <w14:schemeClr w14:val="tx1"/>
                        </w14:solidFill>
                      </w14:textFill>
                    </w:rPr>
                  </w:pPr>
                </w:p>
              </w:tc>
              <w:tc>
                <w:tcPr>
                  <w:tcW w:w="432" w:type="pct"/>
                  <w:tcBorders>
                    <w:tl2br w:val="nil"/>
                    <w:tr2bl w:val="nil"/>
                  </w:tcBorders>
                  <w:vAlign w:val="center"/>
                </w:tcPr>
                <w:p w14:paraId="0ECE683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3</w:t>
                  </w:r>
                </w:p>
              </w:tc>
              <w:tc>
                <w:tcPr>
                  <w:tcW w:w="629" w:type="pct"/>
                  <w:tcBorders>
                    <w:tl2br w:val="nil"/>
                    <w:tr2bl w:val="nil"/>
                  </w:tcBorders>
                  <w:vAlign w:val="center"/>
                </w:tcPr>
                <w:p w14:paraId="26022CE5">
                  <w:pPr>
                    <w:spacing w:line="240" w:lineRule="auto"/>
                    <w:ind w:firstLine="0" w:firstLineChars="0"/>
                    <w:jc w:val="center"/>
                    <w:rPr>
                      <w:color w:val="000000" w:themeColor="text1"/>
                      <w:sz w:val="21"/>
                      <w:szCs w:val="21"/>
                      <w14:textFill>
                        <w14:solidFill>
                          <w14:schemeClr w14:val="tx1"/>
                        </w14:solidFill>
                      </w14:textFill>
                    </w:rPr>
                  </w:pPr>
                </w:p>
              </w:tc>
            </w:tr>
            <w:tr w14:paraId="7EEE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l2br w:val="nil"/>
                    <w:tr2bl w:val="nil"/>
                  </w:tcBorders>
                  <w:vAlign w:val="center"/>
                </w:tcPr>
                <w:p w14:paraId="557BD18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报废样品</w:t>
                  </w:r>
                </w:p>
              </w:tc>
              <w:tc>
                <w:tcPr>
                  <w:tcW w:w="515" w:type="pct"/>
                  <w:tcBorders>
                    <w:tl2br w:val="nil"/>
                    <w:tr2bl w:val="nil"/>
                  </w:tcBorders>
                  <w:vAlign w:val="center"/>
                </w:tcPr>
                <w:p w14:paraId="5A48903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检验</w:t>
                  </w:r>
                </w:p>
              </w:tc>
              <w:tc>
                <w:tcPr>
                  <w:tcW w:w="852" w:type="pct"/>
                  <w:tcBorders>
                    <w:tl2br w:val="nil"/>
                    <w:tr2bl w:val="nil"/>
                  </w:tcBorders>
                  <w:vAlign w:val="center"/>
                </w:tcPr>
                <w:p w14:paraId="6085EC0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900-099-S59</w:t>
                  </w:r>
                </w:p>
              </w:tc>
              <w:tc>
                <w:tcPr>
                  <w:tcW w:w="549" w:type="pct"/>
                  <w:vMerge w:val="continue"/>
                  <w:tcBorders>
                    <w:tl2br w:val="nil"/>
                    <w:tr2bl w:val="nil"/>
                  </w:tcBorders>
                  <w:vAlign w:val="center"/>
                </w:tcPr>
                <w:p w14:paraId="0DF9EBC0">
                  <w:pPr>
                    <w:spacing w:line="240" w:lineRule="auto"/>
                    <w:ind w:firstLine="0" w:firstLineChars="0"/>
                    <w:jc w:val="center"/>
                    <w:rPr>
                      <w:color w:val="000000" w:themeColor="text1"/>
                      <w:sz w:val="21"/>
                      <w:szCs w:val="21"/>
                      <w14:textFill>
                        <w14:solidFill>
                          <w14:schemeClr w14:val="tx1"/>
                        </w14:solidFill>
                      </w14:textFill>
                    </w:rPr>
                  </w:pPr>
                </w:p>
              </w:tc>
              <w:tc>
                <w:tcPr>
                  <w:tcW w:w="473" w:type="pct"/>
                  <w:tcBorders>
                    <w:tl2br w:val="nil"/>
                    <w:tr2bl w:val="nil"/>
                  </w:tcBorders>
                  <w:vAlign w:val="center"/>
                </w:tcPr>
                <w:p w14:paraId="2B826BB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1003" w:type="pct"/>
                  <w:vMerge w:val="continue"/>
                  <w:tcBorders>
                    <w:tl2br w:val="nil"/>
                    <w:tr2bl w:val="nil"/>
                  </w:tcBorders>
                  <w:vAlign w:val="center"/>
                </w:tcPr>
                <w:p w14:paraId="7DC3C812">
                  <w:pPr>
                    <w:widowControl/>
                    <w:spacing w:line="240" w:lineRule="auto"/>
                    <w:ind w:firstLine="0" w:firstLineChars="0"/>
                    <w:jc w:val="center"/>
                    <w:rPr>
                      <w:color w:val="000000" w:themeColor="text1"/>
                      <w:sz w:val="21"/>
                      <w:szCs w:val="21"/>
                      <w14:textFill>
                        <w14:solidFill>
                          <w14:schemeClr w14:val="tx1"/>
                        </w14:solidFill>
                      </w14:textFill>
                    </w:rPr>
                  </w:pPr>
                </w:p>
              </w:tc>
              <w:tc>
                <w:tcPr>
                  <w:tcW w:w="432" w:type="pct"/>
                  <w:tcBorders>
                    <w:tl2br w:val="nil"/>
                    <w:tr2bl w:val="nil"/>
                  </w:tcBorders>
                  <w:vAlign w:val="center"/>
                </w:tcPr>
                <w:p w14:paraId="2BE9F69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629" w:type="pct"/>
                  <w:tcBorders>
                    <w:tl2br w:val="nil"/>
                    <w:tr2bl w:val="nil"/>
                  </w:tcBorders>
                  <w:vAlign w:val="center"/>
                </w:tcPr>
                <w:p w14:paraId="20AD2590">
                  <w:pPr>
                    <w:spacing w:line="240" w:lineRule="auto"/>
                    <w:ind w:firstLine="0" w:firstLineChars="0"/>
                    <w:jc w:val="center"/>
                    <w:rPr>
                      <w:color w:val="000000" w:themeColor="text1"/>
                      <w:sz w:val="21"/>
                      <w:szCs w:val="21"/>
                      <w14:textFill>
                        <w14:solidFill>
                          <w14:schemeClr w14:val="tx1"/>
                        </w14:solidFill>
                      </w14:textFill>
                    </w:rPr>
                  </w:pPr>
                </w:p>
              </w:tc>
            </w:tr>
            <w:tr w14:paraId="4489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l2br w:val="nil"/>
                    <w:tr2bl w:val="nil"/>
                  </w:tcBorders>
                  <w:vAlign w:val="center"/>
                </w:tcPr>
                <w:p w14:paraId="5F1EBDA4">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废滤芯、废膜</w:t>
                  </w:r>
                </w:p>
              </w:tc>
              <w:tc>
                <w:tcPr>
                  <w:tcW w:w="515" w:type="pct"/>
                  <w:tcBorders>
                    <w:tl2br w:val="nil"/>
                    <w:tr2bl w:val="nil"/>
                  </w:tcBorders>
                  <w:vAlign w:val="center"/>
                </w:tcPr>
                <w:p w14:paraId="0C4E921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纯水机</w:t>
                  </w:r>
                </w:p>
              </w:tc>
              <w:tc>
                <w:tcPr>
                  <w:tcW w:w="852" w:type="pct"/>
                  <w:tcBorders>
                    <w:tl2br w:val="nil"/>
                    <w:tr2bl w:val="nil"/>
                  </w:tcBorders>
                  <w:vAlign w:val="center"/>
                </w:tcPr>
                <w:p w14:paraId="2C505833">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900-009-S59</w:t>
                  </w:r>
                </w:p>
              </w:tc>
              <w:tc>
                <w:tcPr>
                  <w:tcW w:w="549" w:type="pct"/>
                  <w:vMerge w:val="continue"/>
                  <w:tcBorders>
                    <w:tl2br w:val="nil"/>
                    <w:tr2bl w:val="nil"/>
                  </w:tcBorders>
                  <w:vAlign w:val="center"/>
                </w:tcPr>
                <w:p w14:paraId="238A52CC">
                  <w:pPr>
                    <w:spacing w:line="240" w:lineRule="auto"/>
                    <w:ind w:firstLine="0" w:firstLineChars="0"/>
                    <w:jc w:val="center"/>
                    <w:rPr>
                      <w:color w:val="000000" w:themeColor="text1"/>
                      <w:sz w:val="21"/>
                      <w:szCs w:val="21"/>
                      <w14:textFill>
                        <w14:solidFill>
                          <w14:schemeClr w14:val="tx1"/>
                        </w14:solidFill>
                      </w14:textFill>
                    </w:rPr>
                  </w:pPr>
                </w:p>
              </w:tc>
              <w:tc>
                <w:tcPr>
                  <w:tcW w:w="473" w:type="pct"/>
                  <w:tcBorders>
                    <w:tl2br w:val="nil"/>
                    <w:tr2bl w:val="nil"/>
                  </w:tcBorders>
                  <w:vAlign w:val="center"/>
                </w:tcPr>
                <w:p w14:paraId="11E38E7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2</w:t>
                  </w:r>
                </w:p>
              </w:tc>
              <w:tc>
                <w:tcPr>
                  <w:tcW w:w="1003" w:type="pct"/>
                  <w:vMerge w:val="continue"/>
                  <w:tcBorders>
                    <w:tl2br w:val="nil"/>
                    <w:tr2bl w:val="nil"/>
                  </w:tcBorders>
                  <w:vAlign w:val="center"/>
                </w:tcPr>
                <w:p w14:paraId="250A09A9">
                  <w:pPr>
                    <w:widowControl/>
                    <w:spacing w:line="240" w:lineRule="auto"/>
                    <w:ind w:firstLine="0" w:firstLineChars="0"/>
                    <w:jc w:val="center"/>
                    <w:rPr>
                      <w:color w:val="000000" w:themeColor="text1"/>
                      <w:sz w:val="21"/>
                      <w:szCs w:val="21"/>
                      <w14:textFill>
                        <w14:solidFill>
                          <w14:schemeClr w14:val="tx1"/>
                        </w14:solidFill>
                      </w14:textFill>
                    </w:rPr>
                  </w:pPr>
                </w:p>
              </w:tc>
              <w:tc>
                <w:tcPr>
                  <w:tcW w:w="432" w:type="pct"/>
                  <w:tcBorders>
                    <w:tl2br w:val="nil"/>
                    <w:tr2bl w:val="nil"/>
                  </w:tcBorders>
                  <w:vAlign w:val="center"/>
                </w:tcPr>
                <w:p w14:paraId="1E2966B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2</w:t>
                  </w:r>
                </w:p>
              </w:tc>
              <w:tc>
                <w:tcPr>
                  <w:tcW w:w="629" w:type="pct"/>
                  <w:tcBorders>
                    <w:tl2br w:val="nil"/>
                    <w:tr2bl w:val="nil"/>
                  </w:tcBorders>
                  <w:vAlign w:val="center"/>
                </w:tcPr>
                <w:p w14:paraId="7A671A86">
                  <w:pPr>
                    <w:spacing w:line="240" w:lineRule="auto"/>
                    <w:ind w:firstLine="0" w:firstLineChars="0"/>
                    <w:jc w:val="center"/>
                    <w:rPr>
                      <w:color w:val="000000" w:themeColor="text1"/>
                      <w:sz w:val="21"/>
                      <w:szCs w:val="21"/>
                      <w14:textFill>
                        <w14:solidFill>
                          <w14:schemeClr w14:val="tx1"/>
                        </w14:solidFill>
                      </w14:textFill>
                    </w:rPr>
                  </w:pPr>
                </w:p>
              </w:tc>
            </w:tr>
            <w:tr w14:paraId="644E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l2br w:val="nil"/>
                    <w:tr2bl w:val="nil"/>
                  </w:tcBorders>
                  <w:vAlign w:val="center"/>
                </w:tcPr>
                <w:p w14:paraId="41AD2AAD">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废气瓶</w:t>
                  </w:r>
                </w:p>
              </w:tc>
              <w:tc>
                <w:tcPr>
                  <w:tcW w:w="515" w:type="pct"/>
                  <w:tcBorders>
                    <w:tl2br w:val="nil"/>
                    <w:tr2bl w:val="nil"/>
                  </w:tcBorders>
                  <w:vAlign w:val="center"/>
                </w:tcPr>
                <w:p w14:paraId="22BD2EF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供气</w:t>
                  </w:r>
                </w:p>
              </w:tc>
              <w:tc>
                <w:tcPr>
                  <w:tcW w:w="852" w:type="pct"/>
                  <w:tcBorders>
                    <w:tl2br w:val="nil"/>
                    <w:tr2bl w:val="nil"/>
                  </w:tcBorders>
                  <w:vAlign w:val="center"/>
                </w:tcPr>
                <w:p w14:paraId="0D89E134">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900-003-S62</w:t>
                  </w:r>
                </w:p>
              </w:tc>
              <w:tc>
                <w:tcPr>
                  <w:tcW w:w="549" w:type="pct"/>
                  <w:vMerge w:val="continue"/>
                  <w:tcBorders>
                    <w:tl2br w:val="nil"/>
                    <w:tr2bl w:val="nil"/>
                  </w:tcBorders>
                  <w:vAlign w:val="center"/>
                </w:tcPr>
                <w:p w14:paraId="1CB7F830">
                  <w:pPr>
                    <w:spacing w:line="240" w:lineRule="auto"/>
                    <w:ind w:firstLine="0" w:firstLineChars="0"/>
                    <w:jc w:val="center"/>
                    <w:rPr>
                      <w:color w:val="000000" w:themeColor="text1"/>
                      <w:sz w:val="21"/>
                      <w:szCs w:val="21"/>
                      <w14:textFill>
                        <w14:solidFill>
                          <w14:schemeClr w14:val="tx1"/>
                        </w14:solidFill>
                      </w14:textFill>
                    </w:rPr>
                  </w:pPr>
                </w:p>
              </w:tc>
              <w:tc>
                <w:tcPr>
                  <w:tcW w:w="473" w:type="pct"/>
                  <w:tcBorders>
                    <w:tl2br w:val="nil"/>
                    <w:tr2bl w:val="nil"/>
                  </w:tcBorders>
                  <w:vAlign w:val="center"/>
                </w:tcPr>
                <w:p w14:paraId="0C57AE1C">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95瓶</w:t>
                  </w:r>
                </w:p>
              </w:tc>
              <w:tc>
                <w:tcPr>
                  <w:tcW w:w="1003" w:type="pct"/>
                  <w:tcBorders>
                    <w:tl2br w:val="nil"/>
                    <w:tr2bl w:val="nil"/>
                  </w:tcBorders>
                  <w:vAlign w:val="center"/>
                </w:tcPr>
                <w:p w14:paraId="5E138498">
                  <w:pPr>
                    <w:widowControl/>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气瓶供应商回收</w:t>
                  </w:r>
                </w:p>
              </w:tc>
              <w:tc>
                <w:tcPr>
                  <w:tcW w:w="432" w:type="pct"/>
                  <w:tcBorders>
                    <w:tl2br w:val="nil"/>
                    <w:tr2bl w:val="nil"/>
                  </w:tcBorders>
                  <w:vAlign w:val="center"/>
                </w:tcPr>
                <w:p w14:paraId="70096BA8">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95瓶</w:t>
                  </w:r>
                </w:p>
              </w:tc>
              <w:tc>
                <w:tcPr>
                  <w:tcW w:w="629" w:type="pct"/>
                  <w:tcBorders>
                    <w:tl2br w:val="nil"/>
                    <w:tr2bl w:val="nil"/>
                  </w:tcBorders>
                  <w:vAlign w:val="center"/>
                </w:tcPr>
                <w:p w14:paraId="4CF074E3">
                  <w:pPr>
                    <w:spacing w:line="240" w:lineRule="auto"/>
                    <w:ind w:firstLine="0" w:firstLineChars="0"/>
                    <w:jc w:val="center"/>
                    <w:rPr>
                      <w:color w:val="000000" w:themeColor="text1"/>
                      <w:sz w:val="21"/>
                      <w:szCs w:val="21"/>
                      <w14:textFill>
                        <w14:solidFill>
                          <w14:schemeClr w14:val="tx1"/>
                        </w14:solidFill>
                      </w14:textFill>
                    </w:rPr>
                  </w:pPr>
                </w:p>
              </w:tc>
            </w:tr>
          </w:tbl>
          <w:p w14:paraId="7148BEA4">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（3）危险废物</w:t>
            </w:r>
          </w:p>
          <w:p w14:paraId="0E4B3192">
            <w:pPr>
              <w:widowControl/>
              <w:ind w:firstLine="480"/>
              <w:jc w:val="left"/>
              <w:rPr>
                <w:rFonts w:hint="default" w:eastAsia="宋体"/>
                <w:color w:val="000000" w:themeColor="text1"/>
                <w:lang w:val="en-US" w:eastAsia="zh-CN"/>
                <w14:textFill>
                  <w14:solidFill>
                    <w14:schemeClr w14:val="tx1"/>
                  </w14:solidFill>
                </w14:textFill>
              </w:rPr>
            </w:pPr>
            <w:r>
              <w:rPr>
                <w:color w:val="000000" w:themeColor="text1"/>
                <w:kern w:val="0"/>
                <w:lang w:bidi="ar"/>
                <w14:textFill>
                  <w14:solidFill>
                    <w14:schemeClr w14:val="tx1"/>
                  </w14:solidFill>
                </w14:textFill>
              </w:rPr>
              <w:t>项目运营期危险废物主要包括</w:t>
            </w:r>
            <w:r>
              <w:rPr>
                <w:rFonts w:hint="eastAsia"/>
                <w:color w:val="000000" w:themeColor="text1"/>
                <w:kern w:val="0"/>
                <w:lang w:bidi="ar"/>
                <w14:textFill>
                  <w14:solidFill>
                    <w14:schemeClr w14:val="tx1"/>
                  </w14:solidFill>
                </w14:textFill>
              </w:rPr>
              <w:t>实验废液</w:t>
            </w:r>
            <w:r>
              <w:rPr>
                <w:color w:val="000000" w:themeColor="text1"/>
                <w:kern w:val="0"/>
                <w:lang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清洗废液、</w:t>
            </w:r>
            <w:r>
              <w:rPr>
                <w:color w:val="000000" w:themeColor="text1"/>
                <w:kern w:val="0"/>
                <w:lang w:bidi="ar"/>
                <w14:textFill>
                  <w14:solidFill>
                    <w14:schemeClr w14:val="tx1"/>
                  </w14:solidFill>
                </w14:textFill>
              </w:rPr>
              <w:t>废</w:t>
            </w:r>
            <w:r>
              <w:rPr>
                <w:rFonts w:hint="eastAsia"/>
                <w:color w:val="000000" w:themeColor="text1"/>
                <w:kern w:val="0"/>
                <w:lang w:bidi="ar"/>
                <w14:textFill>
                  <w14:solidFill>
                    <w14:schemeClr w14:val="tx1"/>
                  </w14:solidFill>
                </w14:textFill>
              </w:rPr>
              <w:t>药品瓶</w:t>
            </w:r>
            <w:r>
              <w:rPr>
                <w:color w:val="000000" w:themeColor="text1"/>
                <w:kern w:val="0"/>
                <w:lang w:bidi="ar"/>
                <w14:textFill>
                  <w14:solidFill>
                    <w14:schemeClr w14:val="tx1"/>
                  </w14:solidFill>
                </w14:textFill>
              </w:rPr>
              <w:t>、</w:t>
            </w:r>
            <w:r>
              <w:rPr>
                <w:rFonts w:hint="eastAsia"/>
                <w:color w:val="000000" w:themeColor="text1"/>
                <w:kern w:val="0"/>
                <w:lang w:eastAsia="zh-CN" w:bidi="ar"/>
                <w14:textFill>
                  <w14:solidFill>
                    <w14:schemeClr w14:val="tx1"/>
                  </w14:solidFill>
                </w14:textFill>
              </w:rPr>
              <w:t>废活性炭</w:t>
            </w:r>
            <w:r>
              <w:rPr>
                <w:rFonts w:hint="eastAsia"/>
                <w:color w:val="000000" w:themeColor="text1"/>
                <w:kern w:val="0"/>
                <w:lang w:val="en-US" w:eastAsia="zh-CN" w:bidi="ar"/>
                <w14:textFill>
                  <w14:solidFill>
                    <w14:schemeClr w14:val="tx1"/>
                  </w14:solidFill>
                </w14:textFill>
              </w:rPr>
              <w:t>、碱喷淋废液</w:t>
            </w:r>
            <w:r>
              <w:rPr>
                <w:color w:val="000000" w:themeColor="text1"/>
                <w:kern w:val="0"/>
                <w:lang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对照《国家危险废物名录》（2025年版）危废产生情况如下：</w:t>
            </w:r>
          </w:p>
          <w:p w14:paraId="674E1005">
            <w:pPr>
              <w:pStyle w:val="56"/>
              <w:widowControl/>
              <w:numPr>
                <w:ilvl w:val="0"/>
                <w:numId w:val="0"/>
              </w:numPr>
              <w:ind w:left="840" w:leftChars="0" w:hanging="360" w:firstLineChars="0"/>
              <w:jc w:val="left"/>
              <w:rPr>
                <w:color w:val="000000" w:themeColor="text1"/>
                <w:kern w:val="0"/>
                <w:lang w:bidi="ar"/>
                <w14:textFill>
                  <w14:solidFill>
                    <w14:schemeClr w14:val="tx1"/>
                  </w14:solidFill>
                </w14:textFill>
              </w:rPr>
            </w:pPr>
            <w:r>
              <w:rPr>
                <w:rFonts w:hint="default" w:ascii="宋体" w:hAnsi="宋体" w:eastAsia="宋体" w:cs="宋体"/>
                <w:color w:val="000000" w:themeColor="text1"/>
                <w:kern w:val="0"/>
                <w:sz w:val="24"/>
                <w:szCs w:val="24"/>
                <w:lang w:val="en-US" w:eastAsia="zh-CN" w:bidi="ar"/>
                <w14:textFill>
                  <w14:solidFill>
                    <w14:schemeClr w14:val="tx1"/>
                  </w14:solidFill>
                </w14:textFill>
              </w:rPr>
              <w:t>①</w:t>
            </w:r>
            <w:r>
              <w:rPr>
                <w:color w:val="000000" w:themeColor="text1"/>
                <w:kern w:val="0"/>
                <w:lang w:bidi="ar"/>
                <w14:textFill>
                  <w14:solidFill>
                    <w14:schemeClr w14:val="tx1"/>
                  </w14:solidFill>
                </w14:textFill>
              </w:rPr>
              <w:t>实验废液</w:t>
            </w:r>
          </w:p>
          <w:p w14:paraId="524FE028">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金相侵蚀、金属理化表面性能检测，HIC、SSC试验前含酸无机废液</w:t>
            </w:r>
            <w:r>
              <w:rPr>
                <w:rFonts w:hint="eastAsia"/>
                <w:color w:val="000000" w:themeColor="text1"/>
                <w:kern w:val="0"/>
                <w:lang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根据水平衡图</w:t>
            </w:r>
            <w:r>
              <w:rPr>
                <w:rFonts w:hint="eastAsia"/>
                <w:color w:val="000000" w:themeColor="text1"/>
                <w:kern w:val="0"/>
                <w:lang w:bidi="ar"/>
                <w14:textFill>
                  <w14:solidFill>
                    <w14:schemeClr w14:val="tx1"/>
                  </w14:solidFill>
                </w14:textFill>
              </w:rPr>
              <w:t>年产生量为</w:t>
            </w:r>
            <w:r>
              <w:rPr>
                <w:rFonts w:hint="eastAsia"/>
                <w:color w:val="000000" w:themeColor="text1"/>
                <w:kern w:val="0"/>
                <w:lang w:val="en-US" w:eastAsia="zh-CN" w:bidi="ar"/>
                <w14:textFill>
                  <w14:solidFill>
                    <w14:schemeClr w14:val="tx1"/>
                  </w14:solidFill>
                </w14:textFill>
              </w:rPr>
              <w:t>2.42</w:t>
            </w:r>
            <w:r>
              <w:rPr>
                <w:color w:val="000000" w:themeColor="text1"/>
                <w:kern w:val="0"/>
                <w:lang w:bidi="ar"/>
                <w14:textFill>
                  <w14:solidFill>
                    <w14:schemeClr w14:val="tx1"/>
                  </w14:solidFill>
                </w14:textFill>
              </w:rPr>
              <w:t>t/a</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实验废液属于HW49其他废物，危废代码：</w:t>
            </w:r>
            <w:r>
              <w:rPr>
                <w:rFonts w:hint="eastAsia"/>
                <w:color w:val="000000" w:themeColor="text1"/>
                <w:kern w:val="0"/>
                <w:lang w:val="en-US" w:eastAsia="zh-CN" w:bidi="ar"/>
                <w14:textFill>
                  <w14:solidFill>
                    <w14:schemeClr w14:val="tx1"/>
                  </w14:solidFill>
                </w14:textFill>
              </w:rPr>
              <w:t xml:space="preserve">HW49 </w:t>
            </w:r>
            <w:r>
              <w:rPr>
                <w:color w:val="000000" w:themeColor="text1"/>
                <w:kern w:val="0"/>
                <w:lang w:bidi="ar"/>
                <w14:textFill>
                  <w14:solidFill>
                    <w14:schemeClr w14:val="tx1"/>
                  </w14:solidFill>
                </w14:textFill>
              </w:rPr>
              <w:t>900-047-49。</w:t>
            </w:r>
          </w:p>
          <w:p w14:paraId="1CDC3E3F">
            <w:pPr>
              <w:widowControl/>
              <w:ind w:firstLine="480"/>
              <w:jc w:val="left"/>
              <w:rPr>
                <w:rFonts w:hint="default" w:eastAsia="宋体"/>
                <w:color w:val="000000" w:themeColor="text1"/>
                <w:kern w:val="0"/>
                <w:lang w:val="en-US" w:eastAsia="zh-CN" w:bidi="ar"/>
                <w14:textFill>
                  <w14:solidFill>
                    <w14:schemeClr w14:val="tx1"/>
                  </w14:solidFill>
                </w14:textFill>
              </w:rPr>
            </w:pPr>
            <w:r>
              <w:rPr>
                <w:color w:val="000000" w:themeColor="text1"/>
                <w:kern w:val="0"/>
                <w:lang w:bidi="ar"/>
                <w14:textFill>
                  <w14:solidFill>
                    <w14:schemeClr w14:val="tx1"/>
                  </w14:solidFill>
                </w14:textFill>
              </w:rPr>
              <w:fldChar w:fldCharType="begin"/>
            </w:r>
            <w:r>
              <w:rPr>
                <w:color w:val="000000" w:themeColor="text1"/>
                <w:kern w:val="0"/>
                <w:lang w:bidi="ar"/>
                <w14:textFill>
                  <w14:solidFill>
                    <w14:schemeClr w14:val="tx1"/>
                  </w14:solidFill>
                </w14:textFill>
              </w:rPr>
              <w:instrText xml:space="preserve"> </w:instrText>
            </w:r>
            <w:r>
              <w:rPr>
                <w:rFonts w:hint="eastAsia"/>
                <w:color w:val="000000" w:themeColor="text1"/>
                <w:kern w:val="0"/>
                <w:lang w:bidi="ar"/>
                <w14:textFill>
                  <w14:solidFill>
                    <w14:schemeClr w14:val="tx1"/>
                  </w14:solidFill>
                </w14:textFill>
              </w:rPr>
              <w:instrText xml:space="preserve">= 2 \* GB3</w:instrText>
            </w:r>
            <w:r>
              <w:rPr>
                <w:color w:val="000000" w:themeColor="text1"/>
                <w:kern w:val="0"/>
                <w:lang w:bidi="ar"/>
                <w14:textFill>
                  <w14:solidFill>
                    <w14:schemeClr w14:val="tx1"/>
                  </w14:solidFill>
                </w14:textFill>
              </w:rPr>
              <w:instrText xml:space="preserve"> </w:instrText>
            </w:r>
            <w:r>
              <w:rPr>
                <w:color w:val="000000" w:themeColor="text1"/>
                <w:kern w:val="0"/>
                <w:lang w:bidi="ar"/>
                <w14:textFill>
                  <w14:solidFill>
                    <w14:schemeClr w14:val="tx1"/>
                  </w14:solidFill>
                </w14:textFill>
              </w:rPr>
              <w:fldChar w:fldCharType="separate"/>
            </w:r>
            <w:r>
              <w:rPr>
                <w:rFonts w:hint="eastAsia"/>
                <w:color w:val="000000" w:themeColor="text1"/>
                <w:kern w:val="0"/>
                <w:lang w:bidi="ar"/>
                <w14:textFill>
                  <w14:solidFill>
                    <w14:schemeClr w14:val="tx1"/>
                  </w14:solidFill>
                </w14:textFill>
              </w:rPr>
              <w:t>②</w:t>
            </w:r>
            <w:r>
              <w:rPr>
                <w:color w:val="000000" w:themeColor="text1"/>
                <w:kern w:val="0"/>
                <w:lang w:bidi="ar"/>
                <w14:textFill>
                  <w14:solidFill>
                    <w14:schemeClr w14:val="tx1"/>
                  </w14:solidFill>
                </w14:textFill>
              </w:rPr>
              <w:fldChar w:fldCharType="end"/>
            </w:r>
            <w:r>
              <w:rPr>
                <w:color w:val="000000" w:themeColor="text1"/>
                <w:kern w:val="0"/>
                <w:lang w:bidi="ar"/>
                <w14:textFill>
                  <w14:solidFill>
                    <w14:schemeClr w14:val="tx1"/>
                  </w14:solidFill>
                </w14:textFill>
              </w:rPr>
              <w:t>废药品瓶</w:t>
            </w:r>
          </w:p>
          <w:p w14:paraId="55B4B9DC">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本项目</w:t>
            </w:r>
            <w:r>
              <w:rPr>
                <w:rFonts w:hint="eastAsia"/>
                <w:color w:val="000000" w:themeColor="text1"/>
                <w:kern w:val="0"/>
                <w:lang w:bidi="ar"/>
                <w14:textFill>
                  <w14:solidFill>
                    <w14:schemeClr w14:val="tx1"/>
                  </w14:solidFill>
                </w14:textFill>
              </w:rPr>
              <w:t>金相腐蚀检验所用的药品用完后，药品包装瓶和</w:t>
            </w:r>
            <w:r>
              <w:rPr>
                <w:rFonts w:hint="eastAsia"/>
                <w:color w:val="000000" w:themeColor="text1"/>
                <w:kern w:val="0"/>
                <w:lang w:eastAsia="zh-CN" w:bidi="ar"/>
                <w14:textFill>
                  <w14:solidFill>
                    <w14:schemeClr w14:val="tx1"/>
                  </w14:solidFill>
                </w14:textFill>
              </w:rPr>
              <w:t>其他</w:t>
            </w:r>
            <w:r>
              <w:rPr>
                <w:rFonts w:hint="eastAsia"/>
                <w:color w:val="000000" w:themeColor="text1"/>
                <w:kern w:val="0"/>
                <w:lang w:bidi="ar"/>
                <w14:textFill>
                  <w14:solidFill>
                    <w14:schemeClr w14:val="tx1"/>
                  </w14:solidFill>
                </w14:textFill>
              </w:rPr>
              <w:t>沾染药剂的包装材料，年产生量为0</w:t>
            </w:r>
            <w:r>
              <w:rPr>
                <w:color w:val="000000" w:themeColor="text1"/>
                <w:kern w:val="0"/>
                <w:lang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0</w:t>
            </w:r>
            <w:r>
              <w:rPr>
                <w:color w:val="000000" w:themeColor="text1"/>
                <w:kern w:val="0"/>
                <w:lang w:bidi="ar"/>
                <w14:textFill>
                  <w14:solidFill>
                    <w14:schemeClr w14:val="tx1"/>
                  </w14:solidFill>
                </w14:textFill>
              </w:rPr>
              <w:t>4t/a。</w:t>
            </w:r>
            <w:r>
              <w:rPr>
                <w:rFonts w:hint="eastAsia"/>
                <w:color w:val="000000" w:themeColor="text1"/>
                <w:kern w:val="0"/>
                <w:lang w:bidi="ar"/>
                <w14:textFill>
                  <w14:solidFill>
                    <w14:schemeClr w14:val="tx1"/>
                  </w14:solidFill>
                </w14:textFill>
              </w:rPr>
              <w:t>评价要求采用专用容器收集后，暂存于危废暂存间内，定期委托有相应危废处理资质单位处置，严禁随意丢弃。</w:t>
            </w:r>
            <w:r>
              <w:rPr>
                <w:color w:val="000000" w:themeColor="text1"/>
                <w:kern w:val="0"/>
                <w:lang w:bidi="ar"/>
                <w14:textFill>
                  <w14:solidFill>
                    <w14:schemeClr w14:val="tx1"/>
                  </w14:solidFill>
                </w14:textFill>
              </w:rPr>
              <w:t>废药品瓶属于HW49其他废物，危废代码：</w:t>
            </w:r>
            <w:r>
              <w:rPr>
                <w:rFonts w:hint="eastAsia"/>
                <w:color w:val="000000" w:themeColor="text1"/>
                <w:kern w:val="0"/>
                <w:lang w:val="en-US" w:eastAsia="zh-CN" w:bidi="ar"/>
                <w14:textFill>
                  <w14:solidFill>
                    <w14:schemeClr w14:val="tx1"/>
                  </w14:solidFill>
                </w14:textFill>
              </w:rPr>
              <w:t xml:space="preserve">HW49 </w:t>
            </w:r>
            <w:r>
              <w:rPr>
                <w:color w:val="000000" w:themeColor="text1"/>
                <w:kern w:val="0"/>
                <w:lang w:bidi="ar"/>
                <w14:textFill>
                  <w14:solidFill>
                    <w14:schemeClr w14:val="tx1"/>
                  </w14:solidFill>
                </w14:textFill>
              </w:rPr>
              <w:t>900-04</w:t>
            </w:r>
            <w:r>
              <w:rPr>
                <w:rFonts w:hint="eastAsia"/>
                <w:color w:val="000000" w:themeColor="text1"/>
                <w:kern w:val="0"/>
                <w:lang w:val="en-US" w:eastAsia="zh-CN" w:bidi="ar"/>
                <w14:textFill>
                  <w14:solidFill>
                    <w14:schemeClr w14:val="tx1"/>
                  </w14:solidFill>
                </w14:textFill>
              </w:rPr>
              <w:t>1</w:t>
            </w:r>
            <w:r>
              <w:rPr>
                <w:color w:val="000000" w:themeColor="text1"/>
                <w:kern w:val="0"/>
                <w:lang w:bidi="ar"/>
                <w14:textFill>
                  <w14:solidFill>
                    <w14:schemeClr w14:val="tx1"/>
                  </w14:solidFill>
                </w14:textFill>
              </w:rPr>
              <w:t>-49。</w:t>
            </w:r>
          </w:p>
          <w:p w14:paraId="45B4CADC">
            <w:pPr>
              <w:widowControl/>
              <w:ind w:firstLine="480" w:firstLineChars="0"/>
              <w:jc w:val="left"/>
              <w:rPr>
                <w:rFonts w:hint="default" w:eastAsia="宋体"/>
                <w:color w:val="000000" w:themeColor="text1"/>
                <w:kern w:val="0"/>
                <w:lang w:val="en-US" w:eastAsia="zh-CN" w:bidi="ar"/>
                <w14:textFill>
                  <w14:solidFill>
                    <w14:schemeClr w14:val="tx1"/>
                  </w14:solidFill>
                </w14:textFill>
              </w:rPr>
            </w:pPr>
            <w:r>
              <w:rPr>
                <w:color w:val="000000" w:themeColor="text1"/>
                <w:kern w:val="0"/>
                <w:lang w:bidi="ar"/>
                <w14:textFill>
                  <w14:solidFill>
                    <w14:schemeClr w14:val="tx1"/>
                  </w14:solidFill>
                </w14:textFill>
              </w:rPr>
              <w:fldChar w:fldCharType="begin"/>
            </w:r>
            <w:r>
              <w:rPr>
                <w:color w:val="000000" w:themeColor="text1"/>
                <w:kern w:val="0"/>
                <w:lang w:bidi="ar"/>
                <w14:textFill>
                  <w14:solidFill>
                    <w14:schemeClr w14:val="tx1"/>
                  </w14:solidFill>
                </w14:textFill>
              </w:rPr>
              <w:instrText xml:space="preserve"> </w:instrText>
            </w:r>
            <w:r>
              <w:rPr>
                <w:rFonts w:hint="eastAsia"/>
                <w:color w:val="000000" w:themeColor="text1"/>
                <w:kern w:val="0"/>
                <w:lang w:bidi="ar"/>
                <w14:textFill>
                  <w14:solidFill>
                    <w14:schemeClr w14:val="tx1"/>
                  </w14:solidFill>
                </w14:textFill>
              </w:rPr>
              <w:instrText xml:space="preserve">= 3 \* GB3</w:instrText>
            </w:r>
            <w:r>
              <w:rPr>
                <w:color w:val="000000" w:themeColor="text1"/>
                <w:kern w:val="0"/>
                <w:lang w:bidi="ar"/>
                <w14:textFill>
                  <w14:solidFill>
                    <w14:schemeClr w14:val="tx1"/>
                  </w14:solidFill>
                </w14:textFill>
              </w:rPr>
              <w:instrText xml:space="preserve"> </w:instrText>
            </w:r>
            <w:r>
              <w:rPr>
                <w:color w:val="000000" w:themeColor="text1"/>
                <w:kern w:val="0"/>
                <w:lang w:bidi="ar"/>
                <w14:textFill>
                  <w14:solidFill>
                    <w14:schemeClr w14:val="tx1"/>
                  </w14:solidFill>
                </w14:textFill>
              </w:rPr>
              <w:fldChar w:fldCharType="separate"/>
            </w:r>
            <w:r>
              <w:rPr>
                <w:rFonts w:hint="eastAsia"/>
                <w:color w:val="000000" w:themeColor="text1"/>
                <w:kern w:val="0"/>
                <w:lang w:bidi="ar"/>
                <w14:textFill>
                  <w14:solidFill>
                    <w14:schemeClr w14:val="tx1"/>
                  </w14:solidFill>
                </w14:textFill>
              </w:rPr>
              <w:t>③</w:t>
            </w:r>
            <w:r>
              <w:rPr>
                <w:color w:val="000000" w:themeColor="text1"/>
                <w:kern w:val="0"/>
                <w:lang w:bidi="ar"/>
                <w14:textFill>
                  <w14:solidFill>
                    <w14:schemeClr w14:val="tx1"/>
                  </w14:solidFill>
                </w14:textFill>
              </w:rPr>
              <w:fldChar w:fldCharType="end"/>
            </w:r>
            <w:r>
              <w:rPr>
                <w:rFonts w:hint="eastAsia"/>
                <w:color w:val="000000" w:themeColor="text1"/>
                <w:kern w:val="0"/>
                <w:lang w:val="en-US" w:eastAsia="zh-CN" w:bidi="ar"/>
                <w14:textFill>
                  <w14:solidFill>
                    <w14:schemeClr w14:val="tx1"/>
                  </w14:solidFill>
                </w14:textFill>
              </w:rPr>
              <w:t>冲洗废水</w:t>
            </w:r>
          </w:p>
          <w:p w14:paraId="3A783E7E">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操作结束后对实验过程中使用的相关容器及设备进行清洗，</w:t>
            </w:r>
            <w:r>
              <w:rPr>
                <w:rFonts w:hint="eastAsia"/>
                <w:color w:val="000000" w:themeColor="text1"/>
                <w:kern w:val="0"/>
                <w:lang w:val="en-US" w:eastAsia="zh-CN" w:bidi="ar"/>
                <w14:textFill>
                  <w14:solidFill>
                    <w14:schemeClr w14:val="tx1"/>
                  </w14:solidFill>
                </w14:textFill>
              </w:rPr>
              <w:t>根据水平衡图</w:t>
            </w:r>
            <w:r>
              <w:rPr>
                <w:rFonts w:hint="eastAsia"/>
                <w:color w:val="000000" w:themeColor="text1"/>
                <w:kern w:val="0"/>
                <w:lang w:bidi="ar"/>
                <w14:textFill>
                  <w14:solidFill>
                    <w14:schemeClr w14:val="tx1"/>
                  </w14:solidFill>
                </w14:textFill>
              </w:rPr>
              <w:t>清洗废液产生量约为</w:t>
            </w:r>
            <w:r>
              <w:rPr>
                <w:rFonts w:hint="eastAsia"/>
                <w:color w:val="000000" w:themeColor="text1"/>
                <w:kern w:val="0"/>
                <w:lang w:val="en-US" w:eastAsia="zh-CN" w:bidi="ar"/>
                <w14:textFill>
                  <w14:solidFill>
                    <w14:schemeClr w14:val="tx1"/>
                  </w14:solidFill>
                </w14:textFill>
              </w:rPr>
              <w:t>16.2</w:t>
            </w:r>
            <w:r>
              <w:rPr>
                <w:rFonts w:hint="eastAsia"/>
                <w:color w:val="000000" w:themeColor="text1"/>
                <w:kern w:val="0"/>
                <w:lang w:bidi="ar"/>
                <w14:textFill>
                  <w14:solidFill>
                    <w14:schemeClr w14:val="tx1"/>
                  </w14:solidFill>
                </w14:textFill>
              </w:rPr>
              <w:t>t/a，收集后作为危废委托有资质单位处置</w:t>
            </w:r>
            <w:r>
              <w:rPr>
                <w:color w:val="000000" w:themeColor="text1"/>
                <w:kern w:val="0"/>
                <w:lang w:bidi="ar"/>
                <w14:textFill>
                  <w14:solidFill>
                    <w14:schemeClr w14:val="tx1"/>
                  </w14:solidFill>
                </w14:textFill>
              </w:rPr>
              <w:t>。危废代码：</w:t>
            </w:r>
            <w:r>
              <w:rPr>
                <w:rFonts w:hint="eastAsia"/>
                <w:color w:val="000000" w:themeColor="text1"/>
                <w:kern w:val="0"/>
                <w:lang w:val="en-US" w:eastAsia="zh-CN" w:bidi="ar"/>
                <w14:textFill>
                  <w14:solidFill>
                    <w14:schemeClr w14:val="tx1"/>
                  </w14:solidFill>
                </w14:textFill>
              </w:rPr>
              <w:t xml:space="preserve">HW49 </w:t>
            </w:r>
            <w:r>
              <w:rPr>
                <w:color w:val="000000" w:themeColor="text1"/>
                <w:kern w:val="0"/>
                <w:lang w:bidi="ar"/>
                <w14:textFill>
                  <w14:solidFill>
                    <w14:schemeClr w14:val="tx1"/>
                  </w14:solidFill>
                </w14:textFill>
              </w:rPr>
              <w:t>900-047-49。</w:t>
            </w:r>
          </w:p>
          <w:p w14:paraId="7D4F1ABB">
            <w:pPr>
              <w:widowControl/>
              <w:ind w:firstLine="480"/>
              <w:jc w:val="left"/>
              <w:rPr>
                <w:rFonts w:hint="default" w:eastAsia="宋体"/>
                <w:color w:val="000000" w:themeColor="text1"/>
                <w:kern w:val="0"/>
                <w:lang w:val="en-US" w:eastAsia="zh-CN" w:bidi="ar"/>
                <w14:textFill>
                  <w14:solidFill>
                    <w14:schemeClr w14:val="tx1"/>
                  </w14:solidFill>
                </w14:textFill>
              </w:rPr>
            </w:pPr>
            <w:r>
              <w:rPr>
                <w:color w:val="000000" w:themeColor="text1"/>
                <w:kern w:val="0"/>
                <w:lang w:bidi="ar"/>
                <w14:textFill>
                  <w14:solidFill>
                    <w14:schemeClr w14:val="tx1"/>
                  </w14:solidFill>
                </w14:textFill>
              </w:rPr>
              <w:fldChar w:fldCharType="begin"/>
            </w:r>
            <w:r>
              <w:rPr>
                <w:color w:val="000000" w:themeColor="text1"/>
                <w:kern w:val="0"/>
                <w:lang w:bidi="ar"/>
                <w14:textFill>
                  <w14:solidFill>
                    <w14:schemeClr w14:val="tx1"/>
                  </w14:solidFill>
                </w14:textFill>
              </w:rPr>
              <w:instrText xml:space="preserve"> </w:instrText>
            </w:r>
            <w:r>
              <w:rPr>
                <w:rFonts w:hint="eastAsia"/>
                <w:color w:val="000000" w:themeColor="text1"/>
                <w:kern w:val="0"/>
                <w:lang w:bidi="ar"/>
                <w14:textFill>
                  <w14:solidFill>
                    <w14:schemeClr w14:val="tx1"/>
                  </w14:solidFill>
                </w14:textFill>
              </w:rPr>
              <w:instrText xml:space="preserve">= 4 \* GB3</w:instrText>
            </w:r>
            <w:r>
              <w:rPr>
                <w:color w:val="000000" w:themeColor="text1"/>
                <w:kern w:val="0"/>
                <w:lang w:bidi="ar"/>
                <w14:textFill>
                  <w14:solidFill>
                    <w14:schemeClr w14:val="tx1"/>
                  </w14:solidFill>
                </w14:textFill>
              </w:rPr>
              <w:instrText xml:space="preserve"> </w:instrText>
            </w:r>
            <w:r>
              <w:rPr>
                <w:color w:val="000000" w:themeColor="text1"/>
                <w:kern w:val="0"/>
                <w:lang w:bidi="ar"/>
                <w14:textFill>
                  <w14:solidFill>
                    <w14:schemeClr w14:val="tx1"/>
                  </w14:solidFill>
                </w14:textFill>
              </w:rPr>
              <w:fldChar w:fldCharType="separate"/>
            </w:r>
            <w:r>
              <w:rPr>
                <w:rFonts w:hint="eastAsia"/>
                <w:color w:val="000000" w:themeColor="text1"/>
                <w:kern w:val="0"/>
                <w:lang w:bidi="ar"/>
                <w14:textFill>
                  <w14:solidFill>
                    <w14:schemeClr w14:val="tx1"/>
                  </w14:solidFill>
                </w14:textFill>
              </w:rPr>
              <w:t>④</w:t>
            </w:r>
            <w:r>
              <w:rPr>
                <w:color w:val="000000" w:themeColor="text1"/>
                <w:kern w:val="0"/>
                <w:lang w:bidi="ar"/>
                <w14:textFill>
                  <w14:solidFill>
                    <w14:schemeClr w14:val="tx1"/>
                  </w14:solidFill>
                </w14:textFill>
              </w:rPr>
              <w:fldChar w:fldCharType="end"/>
            </w:r>
            <w:r>
              <w:rPr>
                <w:rFonts w:hint="eastAsia"/>
                <w:color w:val="000000" w:themeColor="text1"/>
                <w:kern w:val="0"/>
                <w:lang w:val="en-US" w:eastAsia="zh-CN" w:bidi="ar"/>
                <w14:textFill>
                  <w14:solidFill>
                    <w14:schemeClr w14:val="tx1"/>
                  </w14:solidFill>
                </w14:textFill>
              </w:rPr>
              <w:t>碱喷淋废液</w:t>
            </w:r>
          </w:p>
          <w:p w14:paraId="42140F99">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本</w:t>
            </w:r>
            <w:r>
              <w:rPr>
                <w:rFonts w:hint="eastAsia"/>
                <w:color w:val="000000" w:themeColor="text1"/>
                <w:kern w:val="0"/>
                <w:lang w:bidi="ar"/>
                <w14:textFill>
                  <w14:solidFill>
                    <w14:schemeClr w14:val="tx1"/>
                  </w14:solidFill>
                </w14:textFill>
              </w:rPr>
              <w:t>项目设置碱喷淋装置，根据企业提供</w:t>
            </w:r>
            <w:r>
              <w:rPr>
                <w:rFonts w:hint="eastAsia"/>
                <w:color w:val="000000" w:themeColor="text1"/>
                <w:kern w:val="0"/>
                <w:lang w:val="en-US" w:eastAsia="zh-CN" w:bidi="ar"/>
                <w14:textFill>
                  <w14:solidFill>
                    <w14:schemeClr w14:val="tx1"/>
                  </w14:solidFill>
                </w14:textFill>
              </w:rPr>
              <w:t>喷淋塔液位填料规格</w:t>
            </w:r>
            <w:r>
              <w:rPr>
                <w:rFonts w:hint="eastAsia"/>
                <w:color w:val="000000" w:themeColor="text1"/>
                <w:kern w:val="0"/>
                <w:lang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碱喷淋废液年产生量约5.544t/a，</w:t>
            </w:r>
            <w:r>
              <w:rPr>
                <w:rFonts w:hint="eastAsia"/>
                <w:color w:val="000000" w:themeColor="text1"/>
                <w:kern w:val="0"/>
                <w:lang w:bidi="ar"/>
                <w14:textFill>
                  <w14:solidFill>
                    <w14:schemeClr w14:val="tx1"/>
                  </w14:solidFill>
                </w14:textFill>
              </w:rPr>
              <w:t>碱喷淋废液属于危废，废物代码为</w:t>
            </w:r>
            <w:r>
              <w:rPr>
                <w:rFonts w:hint="eastAsia"/>
                <w:color w:val="000000" w:themeColor="text1"/>
                <w:kern w:val="0"/>
                <w:lang w:val="en-US" w:eastAsia="zh-CN" w:bidi="ar"/>
                <w14:textFill>
                  <w14:solidFill>
                    <w14:schemeClr w14:val="tx1"/>
                  </w14:solidFill>
                </w14:textFill>
              </w:rPr>
              <w:t xml:space="preserve">HW49 </w:t>
            </w:r>
            <w:r>
              <w:rPr>
                <w:color w:val="000000" w:themeColor="text1"/>
                <w:kern w:val="0"/>
                <w:lang w:bidi="ar"/>
                <w14:textFill>
                  <w14:solidFill>
                    <w14:schemeClr w14:val="tx1"/>
                  </w14:solidFill>
                </w14:textFill>
              </w:rPr>
              <w:t>900-047-49。</w:t>
            </w:r>
          </w:p>
          <w:p w14:paraId="796F23DC">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5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废自吸过滤式防毒面具</w:t>
            </w:r>
          </w:p>
          <w:p w14:paraId="738552CE">
            <w:pPr>
              <w:widowControl/>
              <w:ind w:firstLine="48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硫化氢气路更换及玻璃容器腔检修过程需佩戴</w:t>
            </w:r>
            <w:r>
              <w:rPr>
                <w:rFonts w:hint="eastAsia"/>
                <w:color w:val="000000" w:themeColor="text1"/>
                <w14:textFill>
                  <w14:solidFill>
                    <w14:schemeClr w14:val="tx1"/>
                  </w14:solidFill>
                </w14:textFill>
              </w:rPr>
              <w:t>自吸过滤式防毒面具</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根据实验要求每年检修一次，每年产生废过滤面具2个，暂存危废暂存间，</w:t>
            </w:r>
            <w:r>
              <w:rPr>
                <w:rFonts w:hint="eastAsia"/>
                <w:color w:val="000000" w:themeColor="text1"/>
                <w:kern w:val="0"/>
                <w:lang w:bidi="ar"/>
                <w14:textFill>
                  <w14:solidFill>
                    <w14:schemeClr w14:val="tx1"/>
                  </w14:solidFill>
                </w14:textFill>
              </w:rPr>
              <w:t>收集后作为危废委托有资质单位处置</w:t>
            </w:r>
            <w:r>
              <w:rPr>
                <w:color w:val="000000" w:themeColor="text1"/>
                <w:kern w:val="0"/>
                <w:lang w:bidi="ar"/>
                <w14:textFill>
                  <w14:solidFill>
                    <w14:schemeClr w14:val="tx1"/>
                  </w14:solidFill>
                </w14:textFill>
              </w:rPr>
              <w:t>。危废代码：</w:t>
            </w:r>
            <w:r>
              <w:rPr>
                <w:rFonts w:hint="eastAsia"/>
                <w:color w:val="000000" w:themeColor="text1"/>
                <w:kern w:val="0"/>
                <w:lang w:val="en-US" w:eastAsia="zh-CN" w:bidi="ar"/>
                <w14:textFill>
                  <w14:solidFill>
                    <w14:schemeClr w14:val="tx1"/>
                  </w14:solidFill>
                </w14:textFill>
              </w:rPr>
              <w:t xml:space="preserve">HW49 </w:t>
            </w:r>
            <w:r>
              <w:rPr>
                <w:color w:val="000000" w:themeColor="text1"/>
                <w:kern w:val="0"/>
                <w:lang w:bidi="ar"/>
                <w14:textFill>
                  <w14:solidFill>
                    <w14:schemeClr w14:val="tx1"/>
                  </w14:solidFill>
                </w14:textFill>
              </w:rPr>
              <w:t>900-04</w:t>
            </w:r>
            <w:r>
              <w:rPr>
                <w:rFonts w:hint="eastAsia"/>
                <w:color w:val="000000" w:themeColor="text1"/>
                <w:kern w:val="0"/>
                <w:lang w:val="en-US" w:eastAsia="zh-CN" w:bidi="ar"/>
                <w14:textFill>
                  <w14:solidFill>
                    <w14:schemeClr w14:val="tx1"/>
                  </w14:solidFill>
                </w14:textFill>
              </w:rPr>
              <w:t>1</w:t>
            </w:r>
            <w:r>
              <w:rPr>
                <w:color w:val="000000" w:themeColor="text1"/>
                <w:kern w:val="0"/>
                <w:lang w:bidi="ar"/>
                <w14:textFill>
                  <w14:solidFill>
                    <w14:schemeClr w14:val="tx1"/>
                  </w14:solidFill>
                </w14:textFill>
              </w:rPr>
              <w:t>-49。</w:t>
            </w:r>
          </w:p>
          <w:p w14:paraId="1A2C6B5C">
            <w:pPr>
              <w:widowControl/>
              <w:ind w:firstLine="48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⑥</w:t>
            </w:r>
            <w:r>
              <w:rPr>
                <w:rFonts w:hint="eastAsia"/>
                <w:color w:val="000000" w:themeColor="text1"/>
                <w14:textFill>
                  <w14:solidFill>
                    <w14:schemeClr w14:val="tx1"/>
                  </w14:solidFill>
                </w14:textFill>
              </w:rPr>
              <w:t>废活性炭</w:t>
            </w:r>
          </w:p>
          <w:p w14:paraId="59A15DEE">
            <w:pPr>
              <w:widowControl/>
              <w:ind w:firstLine="480"/>
              <w:jc w:val="lef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本项目采用活性炭装置吸附处理有机废气和酸性气体，活性炭定期更换会产生废活性炭。根据设计方案，活性炭装填体积约为</w:t>
            </w:r>
            <w:r>
              <w:rPr>
                <w:rFonts w:hint="eastAsia"/>
                <w:color w:val="000000" w:themeColor="text1"/>
                <w:lang w:val="en-US" w:eastAsia="zh-CN"/>
                <w14:textFill>
                  <w14:solidFill>
                    <w14:schemeClr w14:val="tx1"/>
                  </w14:solidFill>
                </w14:textFill>
              </w:rPr>
              <w:t>0.40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活性炭一次装填量为</w:t>
            </w:r>
            <w:r>
              <w:rPr>
                <w:rFonts w:hint="eastAsia"/>
                <w:color w:val="000000" w:themeColor="text1"/>
                <w:lang w:val="en-US" w:eastAsia="zh-CN"/>
                <w14:textFill>
                  <w14:solidFill>
                    <w14:schemeClr w14:val="tx1"/>
                  </w14:solidFill>
                </w14:textFill>
              </w:rPr>
              <w:t>0.50</w:t>
            </w:r>
            <w:r>
              <w:rPr>
                <w:rFonts w:hint="eastAsia"/>
                <w:color w:val="000000" w:themeColor="text1"/>
                <w14:textFill>
                  <w14:solidFill>
                    <w14:schemeClr w14:val="tx1"/>
                  </w14:solidFill>
                </w14:textFill>
              </w:rPr>
              <w:t>t。</w:t>
            </w:r>
            <w:r>
              <w:rPr>
                <w:rFonts w:hint="eastAsia"/>
                <w:color w:val="000000" w:themeColor="text1"/>
                <w:kern w:val="0"/>
                <w:lang w:bidi="ar"/>
                <w14:textFill>
                  <w14:solidFill>
                    <w14:schemeClr w14:val="tx1"/>
                  </w14:solidFill>
                </w14:textFill>
              </w:rPr>
              <w:t>废物代码为</w:t>
            </w:r>
            <w:r>
              <w:rPr>
                <w:rFonts w:hint="eastAsia"/>
                <w:color w:val="000000" w:themeColor="text1"/>
                <w:kern w:val="0"/>
                <w:lang w:val="en-US" w:eastAsia="zh-CN" w:bidi="ar"/>
                <w14:textFill>
                  <w14:solidFill>
                    <w14:schemeClr w14:val="tx1"/>
                  </w14:solidFill>
                </w14:textFill>
              </w:rPr>
              <w:t xml:space="preserve">HW49 </w:t>
            </w:r>
            <w:r>
              <w:rPr>
                <w:rFonts w:hint="eastAsia"/>
                <w:color w:val="000000" w:themeColor="text1"/>
                <w14:textFill>
                  <w14:solidFill>
                    <w14:schemeClr w14:val="tx1"/>
                  </w14:solidFill>
                </w14:textFill>
              </w:rPr>
              <w:t>900-039-49</w:t>
            </w:r>
            <w:r>
              <w:rPr>
                <w:rFonts w:hint="eastAsia"/>
                <w:color w:val="000000" w:themeColor="text1"/>
                <w:lang w:eastAsia="zh-CN"/>
                <w14:textFill>
                  <w14:solidFill>
                    <w14:schemeClr w14:val="tx1"/>
                  </w14:solidFill>
                </w14:textFill>
              </w:rPr>
              <w:t>。</w:t>
            </w:r>
          </w:p>
          <w:p w14:paraId="36A94BBB">
            <w:pPr>
              <w:pStyle w:val="3"/>
              <w:jc w:val="center"/>
              <w:outlineLvl w:val="1"/>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表4-1</w:t>
            </w:r>
            <w:r>
              <w:rPr>
                <w:rFonts w:hint="eastAsia" w:ascii="Times New Roman" w:hAnsi="Times New Roman"/>
                <w:color w:val="000000" w:themeColor="text1"/>
                <w:sz w:val="21"/>
                <w:szCs w:val="21"/>
                <w:lang w:val="en-US" w:eastAsia="zh-CN"/>
                <w14:textFill>
                  <w14:solidFill>
                    <w14:schemeClr w14:val="tx1"/>
                  </w14:solidFill>
                </w14:textFill>
              </w:rPr>
              <w:t>7</w:t>
            </w:r>
            <w:r>
              <w:rPr>
                <w:rFonts w:ascii="Times New Roman" w:hAnsi="Times New Roman"/>
                <w:color w:val="000000" w:themeColor="text1"/>
                <w:sz w:val="21"/>
                <w:szCs w:val="21"/>
                <w14:textFill>
                  <w14:solidFill>
                    <w14:schemeClr w14:val="tx1"/>
                  </w14:solidFill>
                </w14:textFill>
              </w:rPr>
              <w:t>危险废物产生情况一览表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
              <w:gridCol w:w="641"/>
              <w:gridCol w:w="637"/>
              <w:gridCol w:w="842"/>
              <w:gridCol w:w="800"/>
              <w:gridCol w:w="710"/>
              <w:gridCol w:w="436"/>
              <w:gridCol w:w="601"/>
              <w:gridCol w:w="720"/>
              <w:gridCol w:w="505"/>
              <w:gridCol w:w="672"/>
              <w:gridCol w:w="832"/>
            </w:tblGrid>
            <w:tr w14:paraId="07A4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37" w:type="pct"/>
                  <w:tcBorders>
                    <w:tl2br w:val="nil"/>
                    <w:tr2bl w:val="nil"/>
                  </w:tcBorders>
                  <w:vAlign w:val="center"/>
                </w:tcPr>
                <w:p w14:paraId="1EA716FD">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413" w:type="pct"/>
                  <w:tcBorders>
                    <w:tl2br w:val="nil"/>
                    <w:tr2bl w:val="nil"/>
                  </w:tcBorders>
                  <w:vAlign w:val="center"/>
                </w:tcPr>
                <w:p w14:paraId="751272BF">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危废名称</w:t>
                  </w:r>
                </w:p>
              </w:tc>
              <w:tc>
                <w:tcPr>
                  <w:tcW w:w="410" w:type="pct"/>
                  <w:tcBorders>
                    <w:tl2br w:val="nil"/>
                    <w:tr2bl w:val="nil"/>
                  </w:tcBorders>
                  <w:vAlign w:val="center"/>
                </w:tcPr>
                <w:p w14:paraId="472A565C">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危废类别</w:t>
                  </w:r>
                </w:p>
              </w:tc>
              <w:tc>
                <w:tcPr>
                  <w:tcW w:w="542" w:type="pct"/>
                  <w:tcBorders>
                    <w:tl2br w:val="nil"/>
                    <w:tr2bl w:val="nil"/>
                  </w:tcBorders>
                  <w:vAlign w:val="center"/>
                </w:tcPr>
                <w:p w14:paraId="7CC2797E">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危废代码</w:t>
                  </w:r>
                </w:p>
              </w:tc>
              <w:tc>
                <w:tcPr>
                  <w:tcW w:w="515" w:type="pct"/>
                  <w:tcBorders>
                    <w:tl2br w:val="nil"/>
                    <w:tr2bl w:val="nil"/>
                  </w:tcBorders>
                  <w:vAlign w:val="center"/>
                </w:tcPr>
                <w:p w14:paraId="7130136E">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产生量（t/a）</w:t>
                  </w:r>
                </w:p>
              </w:tc>
              <w:tc>
                <w:tcPr>
                  <w:tcW w:w="457" w:type="pct"/>
                  <w:tcBorders>
                    <w:tl2br w:val="nil"/>
                    <w:tr2bl w:val="nil"/>
                  </w:tcBorders>
                  <w:vAlign w:val="center"/>
                </w:tcPr>
                <w:p w14:paraId="4649F4D7">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产生工序</w:t>
                  </w:r>
                </w:p>
              </w:tc>
              <w:tc>
                <w:tcPr>
                  <w:tcW w:w="281" w:type="pct"/>
                  <w:tcBorders>
                    <w:tl2br w:val="nil"/>
                    <w:tr2bl w:val="nil"/>
                  </w:tcBorders>
                  <w:vAlign w:val="center"/>
                </w:tcPr>
                <w:p w14:paraId="600DC4B8">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形态</w:t>
                  </w:r>
                </w:p>
              </w:tc>
              <w:tc>
                <w:tcPr>
                  <w:tcW w:w="595" w:type="dxa"/>
                  <w:tcBorders>
                    <w:tl2br w:val="nil"/>
                    <w:tr2bl w:val="nil"/>
                  </w:tcBorders>
                  <w:vAlign w:val="center"/>
                </w:tcPr>
                <w:p w14:paraId="07414A49">
                  <w:pPr>
                    <w:pStyle w:val="19"/>
                    <w:numPr>
                      <w:ilvl w:val="0"/>
                      <w:numId w:val="0"/>
                    </w:numPr>
                    <w:spacing w:line="240" w:lineRule="auto"/>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产生周期</w:t>
                  </w:r>
                </w:p>
              </w:tc>
              <w:tc>
                <w:tcPr>
                  <w:tcW w:w="464" w:type="pct"/>
                  <w:tcBorders>
                    <w:tl2br w:val="nil"/>
                    <w:tr2bl w:val="nil"/>
                  </w:tcBorders>
                  <w:vAlign w:val="center"/>
                </w:tcPr>
                <w:p w14:paraId="25DA7414">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主要成分</w:t>
                  </w:r>
                </w:p>
              </w:tc>
              <w:tc>
                <w:tcPr>
                  <w:tcW w:w="325" w:type="pct"/>
                  <w:tcBorders>
                    <w:tl2br w:val="nil"/>
                    <w:tr2bl w:val="nil"/>
                  </w:tcBorders>
                  <w:vAlign w:val="center"/>
                </w:tcPr>
                <w:p w14:paraId="73A9FCAF">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转运</w:t>
                  </w:r>
                  <w:r>
                    <w:rPr>
                      <w:color w:val="000000" w:themeColor="text1"/>
                      <w:sz w:val="21"/>
                      <w:szCs w:val="21"/>
                      <w14:textFill>
                        <w14:solidFill>
                          <w14:schemeClr w14:val="tx1"/>
                        </w14:solidFill>
                      </w14:textFill>
                    </w:rPr>
                    <w:t>周期</w:t>
                  </w:r>
                </w:p>
              </w:tc>
              <w:tc>
                <w:tcPr>
                  <w:tcW w:w="433" w:type="pct"/>
                  <w:tcBorders>
                    <w:tl2br w:val="nil"/>
                    <w:tr2bl w:val="nil"/>
                  </w:tcBorders>
                  <w:vAlign w:val="center"/>
                </w:tcPr>
                <w:p w14:paraId="1A066F54">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危险特性</w:t>
                  </w:r>
                </w:p>
              </w:tc>
              <w:tc>
                <w:tcPr>
                  <w:tcW w:w="536" w:type="pct"/>
                  <w:tcBorders>
                    <w:tl2br w:val="nil"/>
                    <w:tr2bl w:val="nil"/>
                  </w:tcBorders>
                  <w:vAlign w:val="center"/>
                </w:tcPr>
                <w:p w14:paraId="6E0B5833">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污染防治措施</w:t>
                  </w:r>
                </w:p>
              </w:tc>
            </w:tr>
            <w:tr w14:paraId="591D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vAlign w:val="center"/>
                </w:tcPr>
                <w:p w14:paraId="4AC77E63">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13" w:type="pct"/>
                  <w:tcBorders>
                    <w:tl2br w:val="nil"/>
                    <w:tr2bl w:val="nil"/>
                  </w:tcBorders>
                  <w:vAlign w:val="center"/>
                </w:tcPr>
                <w:p w14:paraId="5655FB94">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实验废液</w:t>
                  </w:r>
                </w:p>
              </w:tc>
              <w:tc>
                <w:tcPr>
                  <w:tcW w:w="410" w:type="pct"/>
                  <w:tcBorders>
                    <w:tl2br w:val="nil"/>
                    <w:tr2bl w:val="nil"/>
                  </w:tcBorders>
                  <w:vAlign w:val="center"/>
                </w:tcPr>
                <w:p w14:paraId="09AD23F6">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542" w:type="pct"/>
                  <w:tcBorders>
                    <w:tl2br w:val="nil"/>
                    <w:tr2bl w:val="nil"/>
                  </w:tcBorders>
                  <w:vAlign w:val="center"/>
                </w:tcPr>
                <w:p w14:paraId="2FE1AD07">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515" w:type="pct"/>
                  <w:tcBorders>
                    <w:tl2br w:val="nil"/>
                    <w:tr2bl w:val="nil"/>
                  </w:tcBorders>
                  <w:vAlign w:val="center"/>
                </w:tcPr>
                <w:p w14:paraId="262D3D58">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2.42</w:t>
                  </w:r>
                </w:p>
              </w:tc>
              <w:tc>
                <w:tcPr>
                  <w:tcW w:w="457" w:type="pct"/>
                  <w:tcBorders>
                    <w:tl2br w:val="nil"/>
                    <w:tr2bl w:val="nil"/>
                  </w:tcBorders>
                  <w:vAlign w:val="center"/>
                </w:tcPr>
                <w:p w14:paraId="45CCDC19">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试剂配制</w:t>
                  </w:r>
                </w:p>
              </w:tc>
              <w:tc>
                <w:tcPr>
                  <w:tcW w:w="281" w:type="pct"/>
                  <w:tcBorders>
                    <w:tl2br w:val="nil"/>
                    <w:tr2bl w:val="nil"/>
                  </w:tcBorders>
                  <w:vAlign w:val="center"/>
                </w:tcPr>
                <w:p w14:paraId="181B22E8">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液态</w:t>
                  </w:r>
                </w:p>
              </w:tc>
              <w:tc>
                <w:tcPr>
                  <w:tcW w:w="595" w:type="dxa"/>
                  <w:tcBorders>
                    <w:tl2br w:val="nil"/>
                    <w:tr2bl w:val="nil"/>
                  </w:tcBorders>
                  <w:vAlign w:val="center"/>
                </w:tcPr>
                <w:p w14:paraId="27C50C40">
                  <w:pPr>
                    <w:pStyle w:val="19"/>
                    <w:numPr>
                      <w:ilvl w:val="0"/>
                      <w:numId w:val="0"/>
                    </w:numPr>
                    <w:spacing w:line="240" w:lineRule="auto"/>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1天</w:t>
                  </w:r>
                </w:p>
              </w:tc>
              <w:tc>
                <w:tcPr>
                  <w:tcW w:w="464" w:type="pct"/>
                  <w:tcBorders>
                    <w:tl2br w:val="nil"/>
                    <w:tr2bl w:val="nil"/>
                  </w:tcBorders>
                  <w:vAlign w:val="center"/>
                </w:tcPr>
                <w:p w14:paraId="3A5B4A93">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化学药品</w:t>
                  </w:r>
                </w:p>
              </w:tc>
              <w:tc>
                <w:tcPr>
                  <w:tcW w:w="325" w:type="pct"/>
                  <w:tcBorders>
                    <w:tl2br w:val="nil"/>
                    <w:tr2bl w:val="nil"/>
                  </w:tcBorders>
                  <w:vAlign w:val="center"/>
                </w:tcPr>
                <w:p w14:paraId="65E530D5">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3个月</w:t>
                  </w:r>
                </w:p>
              </w:tc>
              <w:tc>
                <w:tcPr>
                  <w:tcW w:w="433" w:type="pct"/>
                  <w:tcBorders>
                    <w:tl2br w:val="nil"/>
                    <w:tr2bl w:val="nil"/>
                  </w:tcBorders>
                  <w:vAlign w:val="center"/>
                </w:tcPr>
                <w:p w14:paraId="7AE9BAFA">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536" w:type="pct"/>
                  <w:vMerge w:val="restart"/>
                  <w:tcBorders>
                    <w:tl2br w:val="nil"/>
                    <w:tr2bl w:val="nil"/>
                  </w:tcBorders>
                  <w:vAlign w:val="center"/>
                </w:tcPr>
                <w:p w14:paraId="1A6DE3C7">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危废暂存间分类暂存，定期交由有资质单位集中处置</w:t>
                  </w:r>
                </w:p>
              </w:tc>
            </w:tr>
            <w:tr w14:paraId="498F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vAlign w:val="center"/>
                </w:tcPr>
                <w:p w14:paraId="104DD74F">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413" w:type="pct"/>
                  <w:tcBorders>
                    <w:tl2br w:val="nil"/>
                    <w:tr2bl w:val="nil"/>
                  </w:tcBorders>
                  <w:vAlign w:val="center"/>
                </w:tcPr>
                <w:p w14:paraId="57F7F375">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废药品瓶</w:t>
                  </w:r>
                </w:p>
              </w:tc>
              <w:tc>
                <w:tcPr>
                  <w:tcW w:w="410" w:type="pct"/>
                  <w:tcBorders>
                    <w:tl2br w:val="nil"/>
                    <w:tr2bl w:val="nil"/>
                  </w:tcBorders>
                  <w:vAlign w:val="center"/>
                </w:tcPr>
                <w:p w14:paraId="10BDA2CE">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542" w:type="pct"/>
                  <w:tcBorders>
                    <w:tl2br w:val="nil"/>
                    <w:tr2bl w:val="nil"/>
                  </w:tcBorders>
                  <w:vAlign w:val="center"/>
                </w:tcPr>
                <w:p w14:paraId="64B82235">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w:t>
                  </w:r>
                  <w:r>
                    <w:rPr>
                      <w:rFonts w:hint="eastAsia"/>
                      <w:color w:val="000000" w:themeColor="text1"/>
                      <w:sz w:val="21"/>
                      <w:szCs w:val="21"/>
                      <w:lang w:val="en-US" w:eastAsia="zh-CN"/>
                      <w14:textFill>
                        <w14:solidFill>
                          <w14:schemeClr w14:val="tx1"/>
                        </w14:solidFill>
                      </w14:textFill>
                    </w:rPr>
                    <w:t>1</w:t>
                  </w:r>
                  <w:r>
                    <w:rPr>
                      <w:color w:val="000000" w:themeColor="text1"/>
                      <w:sz w:val="21"/>
                      <w:szCs w:val="21"/>
                      <w14:textFill>
                        <w14:solidFill>
                          <w14:schemeClr w14:val="tx1"/>
                        </w14:solidFill>
                      </w14:textFill>
                    </w:rPr>
                    <w:t>-49</w:t>
                  </w:r>
                </w:p>
              </w:tc>
              <w:tc>
                <w:tcPr>
                  <w:tcW w:w="515" w:type="pct"/>
                  <w:tcBorders>
                    <w:tl2br w:val="nil"/>
                    <w:tr2bl w:val="nil"/>
                  </w:tcBorders>
                  <w:vAlign w:val="center"/>
                </w:tcPr>
                <w:p w14:paraId="7FF86B43">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0.04</w:t>
                  </w:r>
                </w:p>
              </w:tc>
              <w:tc>
                <w:tcPr>
                  <w:tcW w:w="457" w:type="pct"/>
                  <w:tcBorders>
                    <w:tl2br w:val="nil"/>
                    <w:tr2bl w:val="nil"/>
                  </w:tcBorders>
                  <w:vAlign w:val="center"/>
                </w:tcPr>
                <w:p w14:paraId="1CB1E230">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原料使用</w:t>
                  </w:r>
                </w:p>
              </w:tc>
              <w:tc>
                <w:tcPr>
                  <w:tcW w:w="281" w:type="pct"/>
                  <w:tcBorders>
                    <w:tl2br w:val="nil"/>
                    <w:tr2bl w:val="nil"/>
                  </w:tcBorders>
                  <w:vAlign w:val="center"/>
                </w:tcPr>
                <w:p w14:paraId="0F5BAAB1">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固态</w:t>
                  </w:r>
                </w:p>
              </w:tc>
              <w:tc>
                <w:tcPr>
                  <w:tcW w:w="595" w:type="dxa"/>
                  <w:tcBorders>
                    <w:tl2br w:val="nil"/>
                    <w:tr2bl w:val="nil"/>
                  </w:tcBorders>
                  <w:vAlign w:val="center"/>
                </w:tcPr>
                <w:p w14:paraId="0FA21DA4">
                  <w:pPr>
                    <w:pStyle w:val="19"/>
                    <w:numPr>
                      <w:ilvl w:val="0"/>
                      <w:numId w:val="0"/>
                    </w:numPr>
                    <w:spacing w:line="240" w:lineRule="auto"/>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1个月</w:t>
                  </w:r>
                </w:p>
              </w:tc>
              <w:tc>
                <w:tcPr>
                  <w:tcW w:w="464" w:type="pct"/>
                  <w:tcBorders>
                    <w:tl2br w:val="nil"/>
                    <w:tr2bl w:val="nil"/>
                  </w:tcBorders>
                  <w:vAlign w:val="center"/>
                </w:tcPr>
                <w:p w14:paraId="5D12C2D8">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化学药品</w:t>
                  </w:r>
                </w:p>
              </w:tc>
              <w:tc>
                <w:tcPr>
                  <w:tcW w:w="325" w:type="pct"/>
                  <w:tcBorders>
                    <w:tl2br w:val="nil"/>
                    <w:tr2bl w:val="nil"/>
                  </w:tcBorders>
                  <w:vAlign w:val="center"/>
                </w:tcPr>
                <w:p w14:paraId="12FEB396">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3个月</w:t>
                  </w:r>
                </w:p>
              </w:tc>
              <w:tc>
                <w:tcPr>
                  <w:tcW w:w="433" w:type="pct"/>
                  <w:tcBorders>
                    <w:tl2br w:val="nil"/>
                    <w:tr2bl w:val="nil"/>
                  </w:tcBorders>
                  <w:vAlign w:val="center"/>
                </w:tcPr>
                <w:p w14:paraId="406B0B20">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In</w:t>
                  </w:r>
                </w:p>
              </w:tc>
              <w:tc>
                <w:tcPr>
                  <w:tcW w:w="536" w:type="pct"/>
                  <w:vMerge w:val="continue"/>
                  <w:tcBorders>
                    <w:tl2br w:val="nil"/>
                    <w:tr2bl w:val="nil"/>
                  </w:tcBorders>
                  <w:vAlign w:val="center"/>
                </w:tcPr>
                <w:p w14:paraId="08D3B511">
                  <w:pPr>
                    <w:pStyle w:val="19"/>
                    <w:numPr>
                      <w:ilvl w:val="0"/>
                      <w:numId w:val="0"/>
                    </w:numPr>
                    <w:spacing w:line="240" w:lineRule="auto"/>
                    <w:jc w:val="center"/>
                    <w:rPr>
                      <w:color w:val="000000" w:themeColor="text1"/>
                      <w:sz w:val="21"/>
                      <w:szCs w:val="21"/>
                      <w14:textFill>
                        <w14:solidFill>
                          <w14:schemeClr w14:val="tx1"/>
                        </w14:solidFill>
                      </w14:textFill>
                    </w:rPr>
                  </w:pPr>
                </w:p>
              </w:tc>
            </w:tr>
            <w:tr w14:paraId="7B44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vAlign w:val="center"/>
                </w:tcPr>
                <w:p w14:paraId="4891EB3C">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413" w:type="pct"/>
                  <w:tcBorders>
                    <w:tl2br w:val="nil"/>
                    <w:tr2bl w:val="nil"/>
                  </w:tcBorders>
                  <w:vAlign w:val="center"/>
                </w:tcPr>
                <w:p w14:paraId="36383141">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冲洗废水</w:t>
                  </w:r>
                </w:p>
              </w:tc>
              <w:tc>
                <w:tcPr>
                  <w:tcW w:w="410" w:type="pct"/>
                  <w:tcBorders>
                    <w:tl2br w:val="nil"/>
                    <w:tr2bl w:val="nil"/>
                  </w:tcBorders>
                  <w:vAlign w:val="center"/>
                </w:tcPr>
                <w:p w14:paraId="5220AB1B">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542" w:type="pct"/>
                  <w:tcBorders>
                    <w:tl2br w:val="nil"/>
                    <w:tr2bl w:val="nil"/>
                  </w:tcBorders>
                  <w:vAlign w:val="center"/>
                </w:tcPr>
                <w:p w14:paraId="778071CA">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900-047-49</w:t>
                  </w:r>
                </w:p>
              </w:tc>
              <w:tc>
                <w:tcPr>
                  <w:tcW w:w="515" w:type="pct"/>
                  <w:tcBorders>
                    <w:tl2br w:val="nil"/>
                    <w:tr2bl w:val="nil"/>
                  </w:tcBorders>
                  <w:vAlign w:val="center"/>
                </w:tcPr>
                <w:p w14:paraId="7B91F440">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16.2</w:t>
                  </w:r>
                </w:p>
              </w:tc>
              <w:tc>
                <w:tcPr>
                  <w:tcW w:w="457" w:type="pct"/>
                  <w:tcBorders>
                    <w:tl2br w:val="nil"/>
                    <w:tr2bl w:val="nil"/>
                  </w:tcBorders>
                  <w:vAlign w:val="center"/>
                </w:tcPr>
                <w:p w14:paraId="4D4DB48B">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器皿冲洗</w:t>
                  </w:r>
                </w:p>
              </w:tc>
              <w:tc>
                <w:tcPr>
                  <w:tcW w:w="281" w:type="pct"/>
                  <w:tcBorders>
                    <w:tl2br w:val="nil"/>
                    <w:tr2bl w:val="nil"/>
                  </w:tcBorders>
                  <w:vAlign w:val="center"/>
                </w:tcPr>
                <w:p w14:paraId="37DBDBB4">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液态</w:t>
                  </w:r>
                </w:p>
              </w:tc>
              <w:tc>
                <w:tcPr>
                  <w:tcW w:w="595" w:type="dxa"/>
                  <w:tcBorders>
                    <w:tl2br w:val="nil"/>
                    <w:tr2bl w:val="nil"/>
                  </w:tcBorders>
                  <w:vAlign w:val="center"/>
                </w:tcPr>
                <w:p w14:paraId="3CA33B32">
                  <w:pPr>
                    <w:pStyle w:val="19"/>
                    <w:numPr>
                      <w:ilvl w:val="0"/>
                      <w:numId w:val="0"/>
                    </w:num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1天</w:t>
                  </w:r>
                </w:p>
              </w:tc>
              <w:tc>
                <w:tcPr>
                  <w:tcW w:w="464" w:type="pct"/>
                  <w:tcBorders>
                    <w:tl2br w:val="nil"/>
                    <w:tr2bl w:val="nil"/>
                  </w:tcBorders>
                  <w:vAlign w:val="center"/>
                </w:tcPr>
                <w:p w14:paraId="2F9F180E">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含酸重金属废液</w:t>
                  </w:r>
                </w:p>
              </w:tc>
              <w:tc>
                <w:tcPr>
                  <w:tcW w:w="325" w:type="pct"/>
                  <w:tcBorders>
                    <w:tl2br w:val="nil"/>
                    <w:tr2bl w:val="nil"/>
                  </w:tcBorders>
                  <w:vAlign w:val="center"/>
                </w:tcPr>
                <w:p w14:paraId="5A5A15AF">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1个月</w:t>
                  </w:r>
                </w:p>
              </w:tc>
              <w:tc>
                <w:tcPr>
                  <w:tcW w:w="433" w:type="pct"/>
                  <w:tcBorders>
                    <w:tl2br w:val="nil"/>
                    <w:tr2bl w:val="nil"/>
                  </w:tcBorders>
                  <w:vAlign w:val="center"/>
                </w:tcPr>
                <w:p w14:paraId="7A05C9E0">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536" w:type="pct"/>
                  <w:vMerge w:val="continue"/>
                  <w:tcBorders>
                    <w:tl2br w:val="nil"/>
                    <w:tr2bl w:val="nil"/>
                  </w:tcBorders>
                  <w:vAlign w:val="center"/>
                </w:tcPr>
                <w:p w14:paraId="288DDB11">
                  <w:pPr>
                    <w:pStyle w:val="19"/>
                    <w:numPr>
                      <w:ilvl w:val="0"/>
                      <w:numId w:val="0"/>
                    </w:numPr>
                    <w:spacing w:line="240" w:lineRule="auto"/>
                    <w:jc w:val="center"/>
                    <w:rPr>
                      <w:color w:val="000000" w:themeColor="text1"/>
                      <w:sz w:val="21"/>
                      <w:szCs w:val="21"/>
                      <w14:textFill>
                        <w14:solidFill>
                          <w14:schemeClr w14:val="tx1"/>
                        </w14:solidFill>
                      </w14:textFill>
                    </w:rPr>
                  </w:pPr>
                </w:p>
              </w:tc>
            </w:tr>
            <w:tr w14:paraId="1897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vAlign w:val="center"/>
                </w:tcPr>
                <w:p w14:paraId="68485C6A">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413" w:type="pct"/>
                  <w:tcBorders>
                    <w:tl2br w:val="nil"/>
                    <w:tr2bl w:val="nil"/>
                  </w:tcBorders>
                  <w:vAlign w:val="center"/>
                </w:tcPr>
                <w:p w14:paraId="47C22512">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碱喷淋废液</w:t>
                  </w:r>
                </w:p>
              </w:tc>
              <w:tc>
                <w:tcPr>
                  <w:tcW w:w="410" w:type="pct"/>
                  <w:tcBorders>
                    <w:tl2br w:val="nil"/>
                    <w:tr2bl w:val="nil"/>
                  </w:tcBorders>
                  <w:vAlign w:val="center"/>
                </w:tcPr>
                <w:p w14:paraId="7830B829">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542" w:type="pct"/>
                  <w:tcBorders>
                    <w:tl2br w:val="nil"/>
                    <w:tr2bl w:val="nil"/>
                  </w:tcBorders>
                  <w:vAlign w:val="center"/>
                </w:tcPr>
                <w:p w14:paraId="4E9BD853">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900-047-49</w:t>
                  </w:r>
                </w:p>
              </w:tc>
              <w:tc>
                <w:tcPr>
                  <w:tcW w:w="515" w:type="pct"/>
                  <w:tcBorders>
                    <w:tl2br w:val="nil"/>
                    <w:tr2bl w:val="nil"/>
                  </w:tcBorders>
                  <w:vAlign w:val="center"/>
                </w:tcPr>
                <w:p w14:paraId="30DFAE48">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5.544</w:t>
                  </w:r>
                </w:p>
              </w:tc>
              <w:tc>
                <w:tcPr>
                  <w:tcW w:w="457" w:type="pct"/>
                  <w:tcBorders>
                    <w:tl2br w:val="nil"/>
                    <w:tr2bl w:val="nil"/>
                  </w:tcBorders>
                  <w:vAlign w:val="center"/>
                </w:tcPr>
                <w:p w14:paraId="3EC794B7">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硫化氢废气碱洗</w:t>
                  </w:r>
                </w:p>
              </w:tc>
              <w:tc>
                <w:tcPr>
                  <w:tcW w:w="281" w:type="pct"/>
                  <w:tcBorders>
                    <w:tl2br w:val="nil"/>
                    <w:tr2bl w:val="nil"/>
                  </w:tcBorders>
                  <w:vAlign w:val="center"/>
                </w:tcPr>
                <w:p w14:paraId="683ACD2D">
                  <w:pPr>
                    <w:pStyle w:val="19"/>
                    <w:numPr>
                      <w:ilvl w:val="0"/>
                      <w:numId w:val="0"/>
                    </w:num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液态</w:t>
                  </w:r>
                </w:p>
              </w:tc>
              <w:tc>
                <w:tcPr>
                  <w:tcW w:w="595" w:type="dxa"/>
                  <w:tcBorders>
                    <w:tl2br w:val="nil"/>
                    <w:tr2bl w:val="nil"/>
                  </w:tcBorders>
                  <w:vAlign w:val="center"/>
                </w:tcPr>
                <w:p w14:paraId="255087F7">
                  <w:pPr>
                    <w:pStyle w:val="19"/>
                    <w:numPr>
                      <w:ilvl w:val="0"/>
                      <w:numId w:val="0"/>
                    </w:num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1年</w:t>
                  </w:r>
                </w:p>
              </w:tc>
              <w:tc>
                <w:tcPr>
                  <w:tcW w:w="464" w:type="pct"/>
                  <w:tcBorders>
                    <w:tl2br w:val="nil"/>
                    <w:tr2bl w:val="nil"/>
                  </w:tcBorders>
                  <w:vAlign w:val="center"/>
                </w:tcPr>
                <w:p w14:paraId="7518D23D">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硫化物</w:t>
                  </w:r>
                </w:p>
              </w:tc>
              <w:tc>
                <w:tcPr>
                  <w:tcW w:w="325" w:type="pct"/>
                  <w:tcBorders>
                    <w:tl2br w:val="nil"/>
                    <w:tr2bl w:val="nil"/>
                  </w:tcBorders>
                  <w:vAlign w:val="center"/>
                </w:tcPr>
                <w:p w14:paraId="6B7E4383">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3个月</w:t>
                  </w:r>
                </w:p>
              </w:tc>
              <w:tc>
                <w:tcPr>
                  <w:tcW w:w="433" w:type="pct"/>
                  <w:tcBorders>
                    <w:tl2br w:val="nil"/>
                    <w:tr2bl w:val="nil"/>
                  </w:tcBorders>
                  <w:vAlign w:val="center"/>
                </w:tcPr>
                <w:p w14:paraId="2CBE0C3B">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536" w:type="pct"/>
                  <w:vMerge w:val="continue"/>
                  <w:tcBorders>
                    <w:tl2br w:val="nil"/>
                    <w:tr2bl w:val="nil"/>
                  </w:tcBorders>
                  <w:vAlign w:val="center"/>
                </w:tcPr>
                <w:p w14:paraId="5B2356C7">
                  <w:pPr>
                    <w:pStyle w:val="19"/>
                    <w:numPr>
                      <w:ilvl w:val="0"/>
                      <w:numId w:val="0"/>
                    </w:numPr>
                    <w:spacing w:line="240" w:lineRule="auto"/>
                    <w:jc w:val="center"/>
                    <w:rPr>
                      <w:color w:val="000000" w:themeColor="text1"/>
                      <w:sz w:val="21"/>
                      <w:szCs w:val="21"/>
                      <w14:textFill>
                        <w14:solidFill>
                          <w14:schemeClr w14:val="tx1"/>
                        </w14:solidFill>
                      </w14:textFill>
                    </w:rPr>
                  </w:pPr>
                </w:p>
              </w:tc>
            </w:tr>
            <w:tr w14:paraId="61BE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vAlign w:val="center"/>
                </w:tcPr>
                <w:p w14:paraId="7FDBE62A">
                  <w:pPr>
                    <w:pStyle w:val="19"/>
                    <w:numPr>
                      <w:ilvl w:val="0"/>
                      <w:numId w:val="0"/>
                    </w:num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413" w:type="pct"/>
                  <w:tcBorders>
                    <w:tl2br w:val="nil"/>
                    <w:tr2bl w:val="nil"/>
                  </w:tcBorders>
                  <w:vAlign w:val="center"/>
                </w:tcPr>
                <w:p w14:paraId="024253A3">
                  <w:pPr>
                    <w:pStyle w:val="19"/>
                    <w:numPr>
                      <w:ilvl w:val="0"/>
                      <w:numId w:val="0"/>
                    </w:numPr>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废自吸过滤式防毒面具</w:t>
                  </w:r>
                </w:p>
              </w:tc>
              <w:tc>
                <w:tcPr>
                  <w:tcW w:w="637" w:type="dxa"/>
                  <w:tcBorders>
                    <w:tl2br w:val="nil"/>
                    <w:tr2bl w:val="nil"/>
                  </w:tcBorders>
                  <w:vAlign w:val="center"/>
                </w:tcPr>
                <w:p w14:paraId="233D0E1A">
                  <w:pPr>
                    <w:pStyle w:val="19"/>
                    <w:numPr>
                      <w:ilvl w:val="0"/>
                      <w:numId w:val="0"/>
                    </w:numPr>
                    <w:spacing w:line="240" w:lineRule="auto"/>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842" w:type="dxa"/>
                  <w:tcBorders>
                    <w:tl2br w:val="nil"/>
                    <w:tr2bl w:val="nil"/>
                  </w:tcBorders>
                  <w:vAlign w:val="center"/>
                </w:tcPr>
                <w:p w14:paraId="7EE8B797">
                  <w:pPr>
                    <w:pStyle w:val="19"/>
                    <w:numPr>
                      <w:ilvl w:val="0"/>
                      <w:numId w:val="0"/>
                    </w:numPr>
                    <w:spacing w:line="240" w:lineRule="auto"/>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w:t>
                  </w:r>
                  <w:r>
                    <w:rPr>
                      <w:rFonts w:hint="eastAsia"/>
                      <w:color w:val="000000" w:themeColor="text1"/>
                      <w:sz w:val="21"/>
                      <w:szCs w:val="21"/>
                      <w:lang w:val="en-US" w:eastAsia="zh-CN"/>
                      <w14:textFill>
                        <w14:solidFill>
                          <w14:schemeClr w14:val="tx1"/>
                        </w14:solidFill>
                      </w14:textFill>
                    </w:rPr>
                    <w:t>1</w:t>
                  </w:r>
                  <w:r>
                    <w:rPr>
                      <w:color w:val="000000" w:themeColor="text1"/>
                      <w:sz w:val="21"/>
                      <w:szCs w:val="21"/>
                      <w14:textFill>
                        <w14:solidFill>
                          <w14:schemeClr w14:val="tx1"/>
                        </w14:solidFill>
                      </w14:textFill>
                    </w:rPr>
                    <w:t>-49</w:t>
                  </w:r>
                </w:p>
              </w:tc>
              <w:tc>
                <w:tcPr>
                  <w:tcW w:w="515" w:type="pct"/>
                  <w:tcBorders>
                    <w:tl2br w:val="nil"/>
                    <w:tr2bl w:val="nil"/>
                  </w:tcBorders>
                  <w:vAlign w:val="center"/>
                </w:tcPr>
                <w:p w14:paraId="539B78D9">
                  <w:pPr>
                    <w:pStyle w:val="19"/>
                    <w:numPr>
                      <w:ilvl w:val="0"/>
                      <w:numId w:val="0"/>
                    </w:num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2个/a</w:t>
                  </w:r>
                </w:p>
              </w:tc>
              <w:tc>
                <w:tcPr>
                  <w:tcW w:w="457" w:type="pct"/>
                  <w:tcBorders>
                    <w:tl2br w:val="nil"/>
                    <w:tr2bl w:val="nil"/>
                  </w:tcBorders>
                  <w:vAlign w:val="center"/>
                </w:tcPr>
                <w:p w14:paraId="3300CB52">
                  <w:pPr>
                    <w:pStyle w:val="19"/>
                    <w:numPr>
                      <w:ilvl w:val="0"/>
                      <w:numId w:val="0"/>
                    </w:num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检修</w:t>
                  </w:r>
                </w:p>
              </w:tc>
              <w:tc>
                <w:tcPr>
                  <w:tcW w:w="281" w:type="pct"/>
                  <w:tcBorders>
                    <w:tl2br w:val="nil"/>
                    <w:tr2bl w:val="nil"/>
                  </w:tcBorders>
                  <w:vAlign w:val="center"/>
                </w:tcPr>
                <w:p w14:paraId="42869CB3">
                  <w:pPr>
                    <w:pStyle w:val="19"/>
                    <w:numPr>
                      <w:ilvl w:val="0"/>
                      <w:numId w:val="0"/>
                    </w:num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固态</w:t>
                  </w:r>
                </w:p>
              </w:tc>
              <w:tc>
                <w:tcPr>
                  <w:tcW w:w="595" w:type="dxa"/>
                  <w:tcBorders>
                    <w:tl2br w:val="nil"/>
                    <w:tr2bl w:val="nil"/>
                  </w:tcBorders>
                  <w:vAlign w:val="center"/>
                </w:tcPr>
                <w:p w14:paraId="0871E5A9">
                  <w:pPr>
                    <w:pStyle w:val="19"/>
                    <w:numPr>
                      <w:ilvl w:val="0"/>
                      <w:numId w:val="0"/>
                    </w:numPr>
                    <w:spacing w:line="240" w:lineRule="auto"/>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1年</w:t>
                  </w:r>
                </w:p>
              </w:tc>
              <w:tc>
                <w:tcPr>
                  <w:tcW w:w="464" w:type="pct"/>
                  <w:tcBorders>
                    <w:tl2br w:val="nil"/>
                    <w:tr2bl w:val="nil"/>
                  </w:tcBorders>
                  <w:vAlign w:val="center"/>
                </w:tcPr>
                <w:p w14:paraId="04CF0D4B">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硫化氢气体</w:t>
                  </w:r>
                </w:p>
              </w:tc>
              <w:tc>
                <w:tcPr>
                  <w:tcW w:w="325" w:type="pct"/>
                  <w:tcBorders>
                    <w:tl2br w:val="nil"/>
                    <w:tr2bl w:val="nil"/>
                  </w:tcBorders>
                  <w:vAlign w:val="center"/>
                </w:tcPr>
                <w:p w14:paraId="3C0A8F3F">
                  <w:pPr>
                    <w:pStyle w:val="19"/>
                    <w:numPr>
                      <w:ilvl w:val="0"/>
                      <w:numId w:val="0"/>
                    </w:num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10个月</w:t>
                  </w:r>
                </w:p>
              </w:tc>
              <w:tc>
                <w:tcPr>
                  <w:tcW w:w="433" w:type="pct"/>
                  <w:tcBorders>
                    <w:tl2br w:val="nil"/>
                    <w:tr2bl w:val="nil"/>
                  </w:tcBorders>
                  <w:vAlign w:val="center"/>
                </w:tcPr>
                <w:p w14:paraId="3DD85009">
                  <w:pPr>
                    <w:pStyle w:val="19"/>
                    <w:numPr>
                      <w:ilvl w:val="0"/>
                      <w:numId w:val="0"/>
                    </w:numPr>
                    <w:spacing w:line="240" w:lineRule="auto"/>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In</w:t>
                  </w:r>
                </w:p>
              </w:tc>
              <w:tc>
                <w:tcPr>
                  <w:tcW w:w="536" w:type="pct"/>
                  <w:vMerge w:val="continue"/>
                  <w:tcBorders>
                    <w:tl2br w:val="nil"/>
                    <w:tr2bl w:val="nil"/>
                  </w:tcBorders>
                  <w:vAlign w:val="center"/>
                </w:tcPr>
                <w:p w14:paraId="46DC3368">
                  <w:pPr>
                    <w:pStyle w:val="19"/>
                    <w:numPr>
                      <w:ilvl w:val="0"/>
                      <w:numId w:val="0"/>
                    </w:numPr>
                    <w:spacing w:line="240" w:lineRule="auto"/>
                    <w:jc w:val="center"/>
                    <w:rPr>
                      <w:color w:val="000000" w:themeColor="text1"/>
                      <w:sz w:val="21"/>
                      <w:szCs w:val="21"/>
                      <w14:textFill>
                        <w14:solidFill>
                          <w14:schemeClr w14:val="tx1"/>
                        </w14:solidFill>
                      </w14:textFill>
                    </w:rPr>
                  </w:pPr>
                </w:p>
              </w:tc>
            </w:tr>
            <w:tr w14:paraId="48A2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tcBorders>
                    <w:tl2br w:val="nil"/>
                    <w:tr2bl w:val="nil"/>
                  </w:tcBorders>
                  <w:vAlign w:val="center"/>
                </w:tcPr>
                <w:p w14:paraId="5910E194">
                  <w:pPr>
                    <w:pStyle w:val="19"/>
                    <w:numPr>
                      <w:ilvl w:val="0"/>
                      <w:numId w:val="0"/>
                    </w:num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413" w:type="pct"/>
                  <w:tcBorders>
                    <w:tl2br w:val="nil"/>
                    <w:tr2bl w:val="nil"/>
                  </w:tcBorders>
                  <w:vAlign w:val="center"/>
                </w:tcPr>
                <w:p w14:paraId="5B8DD221">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废活性炭</w:t>
                  </w:r>
                </w:p>
              </w:tc>
              <w:tc>
                <w:tcPr>
                  <w:tcW w:w="410" w:type="pct"/>
                  <w:tcBorders>
                    <w:tl2br w:val="nil"/>
                    <w:tr2bl w:val="nil"/>
                  </w:tcBorders>
                  <w:vAlign w:val="center"/>
                </w:tcPr>
                <w:p w14:paraId="646387F8">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542" w:type="pct"/>
                  <w:tcBorders>
                    <w:tl2br w:val="nil"/>
                    <w:tr2bl w:val="nil"/>
                  </w:tcBorders>
                  <w:vAlign w:val="center"/>
                </w:tcPr>
                <w:p w14:paraId="359D1123">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900-039-49</w:t>
                  </w:r>
                </w:p>
              </w:tc>
              <w:tc>
                <w:tcPr>
                  <w:tcW w:w="515" w:type="pct"/>
                  <w:tcBorders>
                    <w:tl2br w:val="nil"/>
                    <w:tr2bl w:val="nil"/>
                  </w:tcBorders>
                  <w:vAlign w:val="center"/>
                </w:tcPr>
                <w:p w14:paraId="4E05169D">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0.50</w:t>
                  </w:r>
                </w:p>
              </w:tc>
              <w:tc>
                <w:tcPr>
                  <w:tcW w:w="457" w:type="pct"/>
                  <w:tcBorders>
                    <w:tl2br w:val="nil"/>
                    <w:tr2bl w:val="nil"/>
                  </w:tcBorders>
                  <w:vAlign w:val="center"/>
                </w:tcPr>
                <w:p w14:paraId="133530C1">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酸性、有机废气</w:t>
                  </w:r>
                </w:p>
              </w:tc>
              <w:tc>
                <w:tcPr>
                  <w:tcW w:w="281" w:type="pct"/>
                  <w:tcBorders>
                    <w:tl2br w:val="nil"/>
                    <w:tr2bl w:val="nil"/>
                  </w:tcBorders>
                  <w:vAlign w:val="center"/>
                </w:tcPr>
                <w:p w14:paraId="12A428B4">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固态</w:t>
                  </w:r>
                </w:p>
              </w:tc>
              <w:tc>
                <w:tcPr>
                  <w:tcW w:w="595" w:type="dxa"/>
                  <w:tcBorders>
                    <w:tl2br w:val="nil"/>
                    <w:tr2bl w:val="nil"/>
                  </w:tcBorders>
                  <w:vAlign w:val="center"/>
                </w:tcPr>
                <w:p w14:paraId="1DA534DD">
                  <w:pPr>
                    <w:pStyle w:val="19"/>
                    <w:numPr>
                      <w:ilvl w:val="0"/>
                      <w:numId w:val="0"/>
                    </w:num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1年</w:t>
                  </w:r>
                </w:p>
              </w:tc>
              <w:tc>
                <w:tcPr>
                  <w:tcW w:w="464" w:type="pct"/>
                  <w:tcBorders>
                    <w:tl2br w:val="nil"/>
                    <w:tr2bl w:val="nil"/>
                  </w:tcBorders>
                  <w:vAlign w:val="center"/>
                </w:tcPr>
                <w:p w14:paraId="37D6FC8A">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有机、无机物</w:t>
                  </w:r>
                </w:p>
              </w:tc>
              <w:tc>
                <w:tcPr>
                  <w:tcW w:w="325" w:type="pct"/>
                  <w:tcBorders>
                    <w:tl2br w:val="nil"/>
                    <w:tr2bl w:val="nil"/>
                  </w:tcBorders>
                  <w:vAlign w:val="center"/>
                </w:tcPr>
                <w:p w14:paraId="0ECA3A1C">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10个月</w:t>
                  </w:r>
                </w:p>
              </w:tc>
              <w:tc>
                <w:tcPr>
                  <w:tcW w:w="433" w:type="pct"/>
                  <w:tcBorders>
                    <w:tl2br w:val="nil"/>
                    <w:tr2bl w:val="nil"/>
                  </w:tcBorders>
                  <w:vAlign w:val="center"/>
                </w:tcPr>
                <w:p w14:paraId="63BF8214">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w:t>
                  </w:r>
                </w:p>
              </w:tc>
              <w:tc>
                <w:tcPr>
                  <w:tcW w:w="536" w:type="pct"/>
                  <w:vMerge w:val="continue"/>
                  <w:tcBorders>
                    <w:tl2br w:val="nil"/>
                    <w:tr2bl w:val="nil"/>
                  </w:tcBorders>
                  <w:vAlign w:val="center"/>
                </w:tcPr>
                <w:p w14:paraId="664C0E28">
                  <w:pPr>
                    <w:pStyle w:val="19"/>
                    <w:numPr>
                      <w:ilvl w:val="0"/>
                      <w:numId w:val="0"/>
                    </w:numPr>
                    <w:spacing w:line="240" w:lineRule="auto"/>
                    <w:jc w:val="center"/>
                    <w:rPr>
                      <w:color w:val="000000" w:themeColor="text1"/>
                      <w:sz w:val="21"/>
                      <w:szCs w:val="21"/>
                      <w14:textFill>
                        <w14:solidFill>
                          <w14:schemeClr w14:val="tx1"/>
                        </w14:solidFill>
                      </w14:textFill>
                    </w:rPr>
                  </w:pPr>
                </w:p>
              </w:tc>
            </w:tr>
          </w:tbl>
          <w:p w14:paraId="0E1D1A25">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w:t>
            </w:r>
            <w:r>
              <w:rPr>
                <w:color w:val="000000" w:themeColor="text1"/>
                <w:kern w:val="0"/>
                <w:lang w:bidi="ar"/>
                <w14:textFill>
                  <w14:solidFill>
                    <w14:schemeClr w14:val="tx1"/>
                  </w14:solidFill>
                </w14:textFill>
              </w:rPr>
              <w:t>拟在</w:t>
            </w:r>
            <w:r>
              <w:rPr>
                <w:rFonts w:hint="eastAsia"/>
                <w:color w:val="000000" w:themeColor="text1"/>
                <w:kern w:val="0"/>
                <w:lang w:bidi="ar"/>
                <w14:textFill>
                  <w14:solidFill>
                    <w14:schemeClr w14:val="tx1"/>
                  </w14:solidFill>
                </w14:textFill>
              </w:rPr>
              <w:t>1楼</w:t>
            </w:r>
            <w:r>
              <w:rPr>
                <w:color w:val="000000" w:themeColor="text1"/>
                <w:kern w:val="0"/>
                <w:lang w:bidi="ar"/>
                <w14:textFill>
                  <w14:solidFill>
                    <w14:schemeClr w14:val="tx1"/>
                  </w14:solidFill>
                </w14:textFill>
              </w:rPr>
              <w:t>建设1间15m</w:t>
            </w:r>
            <w:r>
              <w:rPr>
                <w:color w:val="000000" w:themeColor="text1"/>
                <w:kern w:val="0"/>
                <w:vertAlign w:val="superscript"/>
                <w:lang w:bidi="ar"/>
                <w14:textFill>
                  <w14:solidFill>
                    <w14:schemeClr w14:val="tx1"/>
                  </w14:solidFill>
                </w14:textFill>
              </w:rPr>
              <w:t>2</w:t>
            </w:r>
            <w:r>
              <w:rPr>
                <w:color w:val="000000" w:themeColor="text1"/>
                <w:kern w:val="0"/>
                <w:lang w:bidi="ar"/>
                <w14:textFill>
                  <w14:solidFill>
                    <w14:schemeClr w14:val="tx1"/>
                  </w14:solidFill>
                </w14:textFill>
              </w:rPr>
              <w:t>的危废暂存间，严格按照《危险废物贮存污染控制标准》（GB18597-2023）要求建设，场所地面须进行六防措施，设置危险废物标识牌，并制定危险废物管理制度和台账。</w:t>
            </w:r>
          </w:p>
          <w:p w14:paraId="36F8AD48">
            <w:pPr>
              <w:pStyle w:val="56"/>
              <w:widowControl/>
              <w:numPr>
                <w:ilvl w:val="0"/>
                <w:numId w:val="0"/>
              </w:numPr>
              <w:ind w:left="840" w:leftChars="0" w:hanging="360" w:firstLineChars="0"/>
              <w:jc w:val="left"/>
              <w:rPr>
                <w:color w:val="000000" w:themeColor="text1"/>
                <w:kern w:val="0"/>
                <w:lang w:bidi="ar"/>
                <w14:textFill>
                  <w14:solidFill>
                    <w14:schemeClr w14:val="tx1"/>
                  </w14:solidFill>
                </w14:textFill>
              </w:rPr>
            </w:pPr>
            <w:r>
              <w:rPr>
                <w:rFonts w:hint="default" w:ascii="宋体" w:hAnsi="宋体" w:eastAsia="宋体" w:cs="宋体"/>
                <w:color w:val="000000" w:themeColor="text1"/>
                <w:kern w:val="0"/>
                <w:sz w:val="24"/>
                <w:szCs w:val="24"/>
                <w:lang w:val="en-US" w:eastAsia="zh-CN" w:bidi="ar"/>
                <w14:textFill>
                  <w14:solidFill>
                    <w14:schemeClr w14:val="tx1"/>
                  </w14:solidFill>
                </w14:textFill>
              </w:rPr>
              <w:t>②</w:t>
            </w:r>
            <w:r>
              <w:rPr>
                <w:color w:val="000000" w:themeColor="text1"/>
                <w:kern w:val="0"/>
                <w:lang w:bidi="ar"/>
                <w14:textFill>
                  <w14:solidFill>
                    <w14:schemeClr w14:val="tx1"/>
                  </w14:solidFill>
                </w14:textFill>
              </w:rPr>
              <w:t>危废暂存间暂存合理性</w:t>
            </w:r>
          </w:p>
          <w:p w14:paraId="4A071ABC">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w:t>
            </w:r>
            <w:r>
              <w:rPr>
                <w:color w:val="000000" w:themeColor="text1"/>
                <w:kern w:val="0"/>
                <w:lang w:bidi="ar"/>
                <w14:textFill>
                  <w14:solidFill>
                    <w14:schemeClr w14:val="tx1"/>
                  </w14:solidFill>
                </w14:textFill>
              </w:rPr>
              <w:t>定期将危废外送处置，一般最长暂存时间为6个月，</w:t>
            </w:r>
            <w:r>
              <w:rPr>
                <w:rFonts w:hint="eastAsia"/>
                <w:color w:val="000000" w:themeColor="text1"/>
                <w:kern w:val="0"/>
                <w:lang w:val="en-US" w:eastAsia="zh-CN" w:bidi="ar"/>
                <w14:textFill>
                  <w14:solidFill>
                    <w14:schemeClr w14:val="tx1"/>
                  </w14:solidFill>
                </w14:textFill>
              </w:rPr>
              <w:t>除去通道、围堰等</w:t>
            </w:r>
            <w:r>
              <w:rPr>
                <w:color w:val="000000" w:themeColor="text1"/>
                <w:kern w:val="0"/>
                <w:lang w:bidi="ar"/>
                <w14:textFill>
                  <w14:solidFill>
                    <w14:schemeClr w14:val="tx1"/>
                  </w14:solidFill>
                </w14:textFill>
              </w:rPr>
              <w:t>最大贮存量为</w:t>
            </w:r>
            <w:r>
              <w:rPr>
                <w:rFonts w:hint="eastAsia"/>
                <w:color w:val="000000" w:themeColor="text1"/>
                <w:kern w:val="0"/>
                <w:lang w:val="en-US" w:eastAsia="zh-CN" w:bidi="ar"/>
                <w14:textFill>
                  <w14:solidFill>
                    <w14:schemeClr w14:val="tx1"/>
                  </w14:solidFill>
                </w14:textFill>
              </w:rPr>
              <w:t>11</w:t>
            </w:r>
            <w:r>
              <w:rPr>
                <w:color w:val="000000" w:themeColor="text1"/>
                <w:kern w:val="0"/>
                <w:lang w:bidi="ar"/>
                <w14:textFill>
                  <w14:solidFill>
                    <w14:schemeClr w14:val="tx1"/>
                  </w14:solidFill>
                </w14:textFill>
              </w:rPr>
              <w:t>t，在</w:t>
            </w:r>
            <w:r>
              <w:rPr>
                <w:rFonts w:hint="eastAsia"/>
                <w:color w:val="000000" w:themeColor="text1"/>
                <w:kern w:val="0"/>
                <w:lang w:bidi="ar"/>
                <w14:textFill>
                  <w14:solidFill>
                    <w14:schemeClr w14:val="tx1"/>
                  </w14:solidFill>
                </w14:textFill>
              </w:rPr>
              <w:t>危废间</w:t>
            </w:r>
            <w:r>
              <w:rPr>
                <w:color w:val="000000" w:themeColor="text1"/>
                <w:kern w:val="0"/>
                <w:lang w:bidi="ar"/>
                <w14:textFill>
                  <w14:solidFill>
                    <w14:schemeClr w14:val="tx1"/>
                  </w14:solidFill>
                </w14:textFill>
              </w:rPr>
              <w:t>最大容量范围内。因此本项目建成后危废暂存间场所面积能够满足危废贮存需求。</w:t>
            </w:r>
          </w:p>
          <w:p w14:paraId="06AE0CA6">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本项目危废不属于易挥发的物体，对周围大气环境影响较小；危废均存放于危废暂存间内，</w:t>
            </w:r>
            <w:r>
              <w:rPr>
                <w:rFonts w:hint="eastAsia"/>
                <w:color w:val="000000" w:themeColor="text1"/>
                <w:kern w:val="0"/>
                <w:lang w:bidi="ar"/>
                <w14:textFill>
                  <w14:solidFill>
                    <w14:schemeClr w14:val="tx1"/>
                  </w14:solidFill>
                </w14:textFill>
              </w:rPr>
              <w:t>用</w:t>
            </w:r>
            <w:r>
              <w:rPr>
                <w:color w:val="000000" w:themeColor="text1"/>
                <w:kern w:val="0"/>
                <w:lang w:bidi="ar"/>
                <w14:textFill>
                  <w14:solidFill>
                    <w14:schemeClr w14:val="tx1"/>
                  </w14:solidFill>
                </w14:textFill>
              </w:rPr>
              <w:t>铁桶密闭收集置于托盘上，不易发生泄漏或流动；危废暂存间铺设防渗材料做重点防渗，危废不会进入地下水和土壤中，不会对项目周围地下水和土壤产生影响。建设项目周边无敏感目标，影响较小。</w:t>
            </w:r>
          </w:p>
          <w:p w14:paraId="4329FFDC">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综上所述，本项目实施后对固体废物的处置本着减量化、资源化、无害化的原则进行妥善处理，避免对环境造成二次污染，不会对环境造成不利影响。</w:t>
            </w:r>
          </w:p>
          <w:p w14:paraId="6F407D20">
            <w:pPr>
              <w:widowControl/>
              <w:ind w:firstLine="480"/>
              <w:jc w:val="left"/>
              <w:rPr>
                <w:rFonts w:hint="default"/>
                <w:b/>
                <w:bCs/>
                <w:color w:val="000000" w:themeColor="text1"/>
                <w:kern w:val="0"/>
                <w:lang w:val="en-US" w:eastAsia="zh-CN" w:bidi="ar"/>
                <w14:textFill>
                  <w14:solidFill>
                    <w14:schemeClr w14:val="tx1"/>
                  </w14:solidFill>
                </w14:textFill>
              </w:rPr>
            </w:pPr>
            <w:r>
              <w:rPr>
                <w:rFonts w:hint="default"/>
                <w:b/>
                <w:bCs/>
                <w:color w:val="000000" w:themeColor="text1"/>
                <w:kern w:val="0"/>
                <w:lang w:val="en-US" w:eastAsia="zh-CN" w:bidi="ar"/>
                <w14:textFill>
                  <w14:solidFill>
                    <w14:schemeClr w14:val="tx1"/>
                  </w14:solidFill>
                </w14:textFill>
              </w:rPr>
              <w:t>4.</w:t>
            </w:r>
            <w:r>
              <w:rPr>
                <w:rFonts w:hint="eastAsia"/>
                <w:b/>
                <w:bCs/>
                <w:color w:val="000000" w:themeColor="text1"/>
                <w:kern w:val="0"/>
                <w:lang w:val="en-US" w:eastAsia="zh-CN" w:bidi="ar"/>
                <w14:textFill>
                  <w14:solidFill>
                    <w14:schemeClr w14:val="tx1"/>
                  </w14:solidFill>
                </w14:textFill>
              </w:rPr>
              <w:t>2</w:t>
            </w:r>
            <w:r>
              <w:rPr>
                <w:rFonts w:hint="default"/>
                <w:b/>
                <w:bCs/>
                <w:color w:val="000000" w:themeColor="text1"/>
                <w:kern w:val="0"/>
                <w:lang w:val="en-US" w:eastAsia="zh-CN" w:bidi="ar"/>
                <w14:textFill>
                  <w14:solidFill>
                    <w14:schemeClr w14:val="tx1"/>
                  </w14:solidFill>
                </w14:textFill>
              </w:rPr>
              <w:t>一般工业固废管理要求</w:t>
            </w:r>
          </w:p>
          <w:p w14:paraId="63FB8306">
            <w:pPr>
              <w:widowControl/>
              <w:ind w:firstLine="480"/>
              <w:jc w:val="left"/>
              <w:rPr>
                <w:rFonts w:hint="default" w:ascii="Times New Roman" w:hAnsi="Times New Roman" w:cs="Times New Roman"/>
                <w:b/>
                <w:bCs w:val="0"/>
                <w:color w:val="000000" w:themeColor="text1"/>
                <w:spacing w:val="10"/>
                <w:kern w:val="0"/>
                <w:sz w:val="24"/>
                <w:szCs w:val="24"/>
                <w:highlight w:val="none"/>
                <w:lang w:val="en-US" w:eastAsia="zh-CN" w:bidi="ar-SA"/>
                <w14:textFill>
                  <w14:solidFill>
                    <w14:schemeClr w14:val="tx1"/>
                  </w14:solidFill>
                </w14:textFill>
              </w:rPr>
            </w:pPr>
            <w:r>
              <w:rPr>
                <w:rFonts w:hint="default"/>
                <w:color w:val="000000" w:themeColor="text1"/>
                <w:kern w:val="0"/>
                <w:lang w:val="en-US" w:eastAsia="zh-CN" w:bidi="ar"/>
                <w14:textFill>
                  <w14:solidFill>
                    <w14:schemeClr w14:val="tx1"/>
                  </w14:solidFill>
                </w14:textFill>
              </w:rPr>
              <w:t>本项目将严格按照《中华人民共和国固体废物污染环境防治法》（2020年9月1日修订）“防扬散、防流失、防渗漏或者其他防止污染环境的措施，不得擅自倾倒、堆放、丢</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弃、遗撒固体废物”的要求做好“三防”，</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各类固体废物妥善处置，不得形成二次污染</w:t>
            </w:r>
            <w:r>
              <w:rPr>
                <w:rFonts w:hint="default" w:ascii="Times New Roman" w:hAnsi="Times New Roman" w:cs="Times New Roman"/>
                <w:color w:val="000000" w:themeColor="text1"/>
                <w:kern w:val="0"/>
                <w:sz w:val="24"/>
                <w:szCs w:val="20"/>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同时禁止向生活垃圾收集设施中投放工业固体废物。</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一般工业固废暂存参照执行《一般工业固体废物贮存和填埋污染控制标准》</w:t>
            </w:r>
            <w:r>
              <w:rPr>
                <w:rFonts w:hint="eastAsia" w:ascii="Times New Roman" w:hAnsi="Times New Roman" w:cs="Times New Roman"/>
                <w:color w:val="000000" w:themeColor="text1"/>
                <w:kern w:val="0"/>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GB18599-2020</w:t>
            </w:r>
            <w:r>
              <w:rPr>
                <w:rFonts w:hint="eastAsia" w:ascii="Times New Roman" w:hAnsi="Times New Roman" w:cs="Times New Roman"/>
                <w:color w:val="000000" w:themeColor="text1"/>
                <w:kern w:val="0"/>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中的“其贮存过程应满足相应防渗漏、防雨淋、防扬尘等环境保护要求”。</w:t>
            </w:r>
          </w:p>
          <w:p w14:paraId="705249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建设单位应根据《一般工业固体废物规范化环境管理指南（征求意见稿）》（环办便函〔2024〕256号）管理台账制度及贮存管理要求落实以下要求：</w:t>
            </w:r>
          </w:p>
          <w:p w14:paraId="1D6936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产生单位应当按照《一般工业固体废物管理台账制定指南（试行）》要求，建立管理台账，全面、准确地记录一般工业固体废物种类、数量、流向、贮存、利用、处置等信息。鼓励优先使用信息系统建立电子台账，建立电子台账的产生单位，无需再记录纸质台账。无法建立或者不适于使用电子台账的，建立纸质台账。</w:t>
            </w:r>
          </w:p>
          <w:p w14:paraId="6145E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（2）采用库房、包装工具（罐、桶、包装袋等）贮存一般工业固体废物，其贮存过程应当设置一般工业固体废物</w:t>
            </w:r>
            <w:r>
              <w:rPr>
                <w:rFonts w:hint="eastAsia" w:cs="Times New Roman"/>
                <w:color w:val="000000" w:themeColor="text1"/>
                <w:kern w:val="2"/>
                <w:sz w:val="24"/>
                <w:szCs w:val="24"/>
                <w:highlight w:val="none"/>
                <w:lang w:val="en-US" w:eastAsia="zh-CN" w:bidi="ar-SA"/>
                <w14:textFill>
                  <w14:solidFill>
                    <w14:schemeClr w14:val="tx1"/>
                  </w14:solidFill>
                </w14:textFill>
              </w:rPr>
              <w:t>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设有雨棚、围堰或围墙，仓库内部地面干净平整无损，地面应当做硬化或其他防渗措施处理，满足防扬散、防流失、防渗漏、防雨淋等环境保护要求，不应露天堆放一般工业固体废物。应在贮存设施显著位置张贴符合《环境保护图形标志-固体废物贮存（处置）场》（GB15562.2）规定的环境保护图形标志，并注明相应固废类别。</w:t>
            </w:r>
          </w:p>
          <w:p w14:paraId="7FC03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（3）对照《固体废物分类与代码目录》，将一般工业固体废物分类分区贮存。一般工业固体废物不得混入生活垃圾和危险废物，不得向生活垃圾收集设施中投放工业固体废物。</w:t>
            </w:r>
          </w:p>
          <w:p w14:paraId="369FEB45">
            <w:pPr>
              <w:pStyle w:val="43"/>
              <w:keepNext w:val="0"/>
              <w:keepLines w:val="0"/>
              <w:pageBreakBefore w:val="0"/>
              <w:suppressLineNumbers w:val="0"/>
              <w:kinsoku/>
              <w:wordWrap/>
              <w:overflowPunct/>
              <w:topLinePunct w:val="0"/>
              <w:autoSpaceDE/>
              <w:autoSpaceDN/>
              <w:bidi w:val="0"/>
              <w:snapToGrid/>
              <w:spacing w:beforeAutospacing="0" w:after="0" w:afterAutospacing="0" w:line="360" w:lineRule="auto"/>
              <w:ind w:left="480" w:leftChars="200" w:right="0" w:firstLine="0" w:firstLineChars="0"/>
              <w:jc w:val="left"/>
              <w:textAlignment w:val="auto"/>
              <w:rPr>
                <w:rFonts w:hint="default" w:ascii="Times New Roman" w:hAnsi="Times New Roman" w:eastAsia="新宋体" w:cs="Times New Roman"/>
                <w:b/>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
                <w:bCs/>
                <w:color w:val="000000" w:themeColor="text1"/>
                <w:spacing w:val="0"/>
                <w:kern w:val="2"/>
                <w:sz w:val="24"/>
                <w:szCs w:val="24"/>
                <w:lang w:val="en-US" w:eastAsia="zh-CN" w:bidi="ar-SA"/>
                <w14:textFill>
                  <w14:solidFill>
                    <w14:schemeClr w14:val="tx1"/>
                  </w14:solidFill>
                </w14:textFill>
              </w:rPr>
              <w:t>4.3固废台账记录要求</w:t>
            </w:r>
          </w:p>
          <w:p w14:paraId="39C91684">
            <w:pPr>
              <w:pStyle w:val="4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（1）记录内容</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排污单位应建立工业固体废物环境管理台账，危险废物环境管理台账记录应符合《危险废物产生单位管理计划制定指南》等标准及管理文件的相关要求，待危险废物环境管理台账相关标准或管理文件发布实施后，从其规定。一般工业固体废物环境管理台账记录应符合《一般工业固体废物管理台账制定指南》要求。</w:t>
            </w:r>
          </w:p>
          <w:p w14:paraId="2D4859CD">
            <w:pPr>
              <w:pStyle w:val="4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（2）记录频次</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“危险废物和一般工业固体废物需分别符合《危险废物产生单位管理计划制定指南》和《一般工业固体废物管理台账制定指南》要求。”记录形式</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一般固废台账保存期限不少于5年，危废台账保存期限不少于10年。本项目的危险废物在产生、收集、贮存、运输过程中主要的风险防范措施为</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建设单位应严格按照相关要求</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用密封袋统一收集</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定期检</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查</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储存桶是否损坏</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确保不发生泄漏</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然后定期交有资质单位处理，运输过程落实防渗、防漏措施，则本项目危险废物通过采取相应的风险防范措施，可以将项目的危险废物的环境风险水平降到较低的水平，因此本项目的危险废物环境风险水平在可接受的范围，不会对周围环境造成影响。</w:t>
            </w:r>
          </w:p>
          <w:p w14:paraId="385A4299">
            <w:pPr>
              <w:pStyle w:val="4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本项目的危险废物在产生、收集、贮存、运输过程中主要的风险防范措施为</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建设单位应严格按照相关要求，</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液态危废应在聚乙烯密封桶收集</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，定期检查储存桶是否损坏，确保不发生泄漏，然后定期交有资质单位处理，运输过程落实防、防漏措施，则本项目危险废物通过采取相应的风险防范措施，可以</w:t>
            </w:r>
            <w:r>
              <w:rPr>
                <w:rFonts w:hint="eastAsia"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将本</w:t>
            </w:r>
            <w:r>
              <w:rPr>
                <w:rFonts w:hint="default" w:ascii="Times New Roman" w:hAnsi="Times New Roman" w:eastAsia="新宋体" w:cs="Times New Roman"/>
                <w:b w:val="0"/>
                <w:bCs w:val="0"/>
                <w:color w:val="000000" w:themeColor="text1"/>
                <w:spacing w:val="0"/>
                <w:kern w:val="2"/>
                <w:sz w:val="24"/>
                <w:szCs w:val="24"/>
                <w:lang w:val="en-US" w:eastAsia="zh-CN" w:bidi="ar-SA"/>
                <w14:textFill>
                  <w14:solidFill>
                    <w14:schemeClr w14:val="tx1"/>
                  </w14:solidFill>
                </w14:textFill>
              </w:rPr>
              <w:t>项目的危险废物的环境风险水平降到较低的水平，因此本项目的危险废物环境风险水平在可接受的范围，不会对周围环境造成影响。</w:t>
            </w:r>
          </w:p>
          <w:p w14:paraId="5BABF780">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新宋体" w:cs="Times New Roman"/>
                <w:b/>
                <w:bCs w:val="0"/>
                <w:color w:val="000000" w:themeColor="text1"/>
                <w:spacing w:val="10"/>
                <w:kern w:val="0"/>
                <w:sz w:val="24"/>
                <w:szCs w:val="24"/>
                <w:highlight w:val="none"/>
                <w:lang w:val="en-US" w:eastAsia="zh-CN" w:bidi="ar-SA"/>
                <w14:textFill>
                  <w14:solidFill>
                    <w14:schemeClr w14:val="tx1"/>
                  </w14:solidFill>
                </w14:textFill>
              </w:rPr>
            </w:pPr>
            <w:r>
              <w:rPr>
                <w:rFonts w:hint="default" w:ascii="Times New Roman" w:hAnsi="Times New Roman" w:eastAsia="新宋体" w:cs="Times New Roman"/>
                <w:b/>
                <w:bCs w:val="0"/>
                <w:color w:val="000000" w:themeColor="text1"/>
                <w:spacing w:val="10"/>
                <w:kern w:val="0"/>
                <w:sz w:val="24"/>
                <w:szCs w:val="24"/>
                <w:highlight w:val="none"/>
                <w:lang w:val="en-US" w:eastAsia="zh-CN" w:bidi="ar-SA"/>
                <w14:textFill>
                  <w14:solidFill>
                    <w14:schemeClr w14:val="tx1"/>
                  </w14:solidFill>
                </w14:textFill>
              </w:rPr>
              <w:t>4.4危险废物管理要求</w:t>
            </w:r>
          </w:p>
          <w:p w14:paraId="17DA180D">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0"/>
                <w:sz w:val="24"/>
                <w:szCs w:val="24"/>
                <w:highlight w:val="none"/>
                <w:lang w:val="en-US" w:eastAsia="zh-CN" w:bidi="ar-SA"/>
                <w14:textFill>
                  <w14:solidFill>
                    <w14:schemeClr w14:val="tx1"/>
                  </w14:solidFill>
                </w14:textFill>
              </w:rPr>
              <w:t>危废暂存间按照《危险废物贮存污染控制标准》（GB18597-2023）有关要求</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建设危废暂存间，采取全封闭形式建设，用于收集和暂存，委托有资质的单位进行处理，并根据规定实施危废转移制度。</w:t>
            </w:r>
          </w:p>
          <w:p w14:paraId="72E6DAE9">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危险废物暂存间污染防治措施应包括：</w:t>
            </w:r>
          </w:p>
          <w:p w14:paraId="58E068C3">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①贮存设施应根据危险废物的形态、物理化学性质、包装形式和污染物迁移途径，采取必要的防</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晒</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、防雨、防漏、防渗、防腐以及其他环境污染防治措施，不应露天堆放危险废物。</w:t>
            </w:r>
          </w:p>
          <w:p w14:paraId="14C2F99A">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②贮存设施应根据危险废物的类别、数量、形态、物理化学性质和污染防治等要求设置必要的贮存分区，避免不相容的危险废物接触、混合。</w:t>
            </w:r>
          </w:p>
          <w:p w14:paraId="1D1D169F">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③贮存设施或贮存分区内地面、墙面</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裙角</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、堵截泄漏的围堰、接触危险废物的隔板和墙体等应采用坚固的材料建造，表面无裂缝。</w:t>
            </w:r>
          </w:p>
          <w:p w14:paraId="3B69C99D">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层</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渗透系数不大于10</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cm/s</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，或至少2mm厚高密度聚乙烯膜等人工防渗材料</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渗透系数不大于10</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cm/s</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，或其他防渗性能等效的材料。</w:t>
            </w:r>
          </w:p>
          <w:p w14:paraId="4710B10A">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⑤同一贮存设施宜采用相同的防渗、防腐工艺</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包括防渗、防腐结构或材料</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，防渗、防腐材料应覆盖所有可能与废物及其渗滤液、渗漏液等接触的构筑物表面</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采用不同防渗、防腐工艺应分别建设贮存分区。</w:t>
            </w:r>
          </w:p>
          <w:p w14:paraId="45011625">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⑥贮存设施应采取技术和管理措施防止无关人员进入。</w:t>
            </w:r>
          </w:p>
          <w:p w14:paraId="1A7F6EC2">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⑦贮存周期：贮存期限不得超过国家规定，不允许在厂区内长期堆存，要定期运出，运输方式可采用汽车运输，在运输过程中要加强运输管理，运输人与交接人应填写交接单，严禁在途中</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抛撒</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。贮存点应及时清运贮存的危险废物，实时贮存量不应超过3吨。</w:t>
            </w:r>
          </w:p>
          <w:p w14:paraId="6E5F4E0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⑧厂内建立危险废物</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台账</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管理制度，</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做好</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危险废物情况的记录，记录上须注明危险废物的名称、来源、数量、特性和包装容器的类别、入库日期、存放库位、废物出库日期及接收单位名称，危险废物的记录和货单在危险废物回取后应继续保留五年；同时，企业需进行网上申报，全面实施危险废物转移业务信息化办理，危险废物转移通过监管平台执行电子联单。</w:t>
            </w:r>
          </w:p>
          <w:p w14:paraId="2A17267A">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4.4.1</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危险废物转移</w:t>
            </w:r>
          </w:p>
          <w:p w14:paraId="7EF1471B">
            <w:pPr>
              <w:pStyle w:val="90"/>
              <w:keepNext w:val="0"/>
              <w:keepLines w:val="0"/>
              <w:suppressLineNumbers w:val="0"/>
              <w:spacing w:before="0" w:beforeAutospacing="0" w:afterAutospacing="0" w:line="360" w:lineRule="auto"/>
              <w:ind w:left="0" w:right="0"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根据《危险废物转移管理办法》</w:t>
            </w:r>
            <w:r>
              <w:rPr>
                <w:rFonts w:hint="default" w:ascii="Times New Roman" w:hAnsi="Times New Roman" w:cs="Times New Roman"/>
                <w:color w:val="000000" w:themeColor="text1"/>
                <w:sz w:val="24"/>
                <w:szCs w:val="24"/>
                <w:highlight w:val="none"/>
                <w:lang w:eastAsia="zh-CN"/>
                <w14:textFill>
                  <w14:solidFill>
                    <w14:schemeClr w14:val="tx1"/>
                  </w14:solidFill>
                </w14:textFill>
              </w:rPr>
              <w:t>（部令第23号）</w:t>
            </w:r>
            <w:r>
              <w:rPr>
                <w:rFonts w:hint="default" w:ascii="Times New Roman" w:hAnsi="Times New Roman" w:cs="Times New Roman"/>
                <w:color w:val="000000" w:themeColor="text1"/>
                <w:sz w:val="24"/>
                <w:szCs w:val="24"/>
                <w:highlight w:val="none"/>
                <w:lang w:val="en-US" w:eastAsia="zh-CN" w:bidi="en-US"/>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企业按照国家有关规定办理应当执行危险废物转移联单制度</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并在贮运过程中严格执行危险化学品贮存、运输和监管的有关规定</w:t>
            </w:r>
            <w:r>
              <w:rPr>
                <w:rFonts w:hint="default" w:ascii="Times New Roman" w:hAnsi="Times New Roman" w:cs="Times New Roman"/>
                <w:color w:val="000000" w:themeColor="text1"/>
                <w:sz w:val="24"/>
                <w:szCs w:val="24"/>
                <w:highlight w:val="none"/>
                <w:lang w:eastAsia="zh-CN"/>
                <w14:textFill>
                  <w14:solidFill>
                    <w14:schemeClr w14:val="tx1"/>
                  </w14:solidFill>
                </w14:textFill>
              </w:rPr>
              <w:t>，具体见表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56FE7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表4-1</w:t>
            </w:r>
            <w:r>
              <w:rPr>
                <w:rFonts w:hint="eastAsia"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val="0"/>
                <w:color w:val="000000" w:themeColor="text1"/>
                <w:spacing w:val="10"/>
                <w:kern w:val="0"/>
                <w:sz w:val="21"/>
                <w:szCs w:val="21"/>
                <w:highlight w:val="none"/>
                <w:lang w:val="en-US" w:eastAsia="zh-CN" w:bidi="ar-SA"/>
                <w14:textFill>
                  <w14:solidFill>
                    <w14:schemeClr w14:val="tx1"/>
                  </w14:solidFill>
                </w14:textFill>
              </w:rPr>
              <w:t>危险废物管理要求</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一览表</w:t>
            </w:r>
          </w:p>
          <w:tbl>
            <w:tblPr>
              <w:tblStyle w:val="30"/>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29"/>
              <w:gridCol w:w="6934"/>
            </w:tblGrid>
            <w:tr w14:paraId="19FAC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34" w:type="pct"/>
                  <w:tcBorders>
                    <w:tl2br w:val="nil"/>
                    <w:tr2bl w:val="nil"/>
                  </w:tcBorders>
                  <w:noWrap w:val="0"/>
                  <w:vAlign w:val="center"/>
                </w:tcPr>
                <w:p w14:paraId="481878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第三条</w:t>
                  </w:r>
                </w:p>
              </w:tc>
              <w:tc>
                <w:tcPr>
                  <w:tcW w:w="4465" w:type="pct"/>
                  <w:tcBorders>
                    <w:tl2br w:val="nil"/>
                    <w:tr2bl w:val="nil"/>
                  </w:tcBorders>
                  <w:noWrap w:val="0"/>
                  <w:vAlign w:val="center"/>
                </w:tcPr>
                <w:p w14:paraId="0CFFB3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危险废物转移应当遵循就近原则。</w:t>
                  </w:r>
                </w:p>
              </w:tc>
            </w:tr>
            <w:tr w14:paraId="70DBD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34" w:type="pct"/>
                  <w:tcBorders>
                    <w:tl2br w:val="nil"/>
                    <w:tr2bl w:val="nil"/>
                  </w:tcBorders>
                  <w:noWrap w:val="0"/>
                  <w:vAlign w:val="center"/>
                </w:tcPr>
                <w:p w14:paraId="50E190D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第六条</w:t>
                  </w:r>
                </w:p>
              </w:tc>
              <w:tc>
                <w:tcPr>
                  <w:tcW w:w="4465" w:type="pct"/>
                  <w:tcBorders>
                    <w:tl2br w:val="nil"/>
                    <w:tr2bl w:val="nil"/>
                  </w:tcBorders>
                  <w:noWrap w:val="0"/>
                  <w:vAlign w:val="center"/>
                </w:tcPr>
                <w:p w14:paraId="4D0C437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转移危险废物的，应当执行危险废物转移联单制度，法律法规另有规定的除外。</w:t>
                  </w:r>
                </w:p>
              </w:tc>
            </w:tr>
            <w:tr w14:paraId="3869D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34" w:type="pct"/>
                  <w:tcBorders>
                    <w:tl2br w:val="nil"/>
                    <w:tr2bl w:val="nil"/>
                  </w:tcBorders>
                  <w:noWrap w:val="0"/>
                  <w:vAlign w:val="center"/>
                </w:tcPr>
                <w:p w14:paraId="49FE798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第七条</w:t>
                  </w:r>
                </w:p>
              </w:tc>
              <w:tc>
                <w:tcPr>
                  <w:tcW w:w="4465" w:type="pct"/>
                  <w:tcBorders>
                    <w:tl2br w:val="nil"/>
                    <w:tr2bl w:val="nil"/>
                  </w:tcBorders>
                  <w:noWrap w:val="0"/>
                  <w:vAlign w:val="center"/>
                </w:tcPr>
                <w:p w14:paraId="3CA24A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转移危险废物的，应当通过国家危险废物信息管理系统（以下简称信息系统）填写、运行危险废物电子转移联单，并依照国家有关规定公开危险废物转移相关污染环境防治信息。</w:t>
                  </w:r>
                </w:p>
              </w:tc>
            </w:tr>
            <w:tr w14:paraId="1F6B6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34" w:type="pct"/>
                  <w:tcBorders>
                    <w:tl2br w:val="nil"/>
                    <w:tr2bl w:val="nil"/>
                  </w:tcBorders>
                  <w:noWrap w:val="0"/>
                  <w:vAlign w:val="center"/>
                </w:tcPr>
                <w:p w14:paraId="6655228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第八条</w:t>
                  </w:r>
                </w:p>
              </w:tc>
              <w:tc>
                <w:tcPr>
                  <w:tcW w:w="4465" w:type="pct"/>
                  <w:tcBorders>
                    <w:tl2br w:val="nil"/>
                    <w:tr2bl w:val="nil"/>
                  </w:tcBorders>
                  <w:noWrap w:val="0"/>
                  <w:vAlign w:val="center"/>
                </w:tcPr>
                <w:p w14:paraId="0D1AAB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运输危险货物的，应当遵守国家有关危险货物运输管理的规定。未经公安机关批准，危险废物运输车辆不得进入危险货物运输车辆限制通行的区域。</w:t>
                  </w:r>
                </w:p>
              </w:tc>
            </w:tr>
            <w:tr w14:paraId="18FF9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34" w:type="pct"/>
                  <w:tcBorders>
                    <w:tl2br w:val="nil"/>
                    <w:tr2bl w:val="nil"/>
                  </w:tcBorders>
                  <w:noWrap w:val="0"/>
                  <w:vAlign w:val="center"/>
                </w:tcPr>
                <w:p w14:paraId="23620C0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第九条</w:t>
                  </w:r>
                </w:p>
              </w:tc>
              <w:tc>
                <w:tcPr>
                  <w:tcW w:w="4465" w:type="pct"/>
                  <w:tcBorders>
                    <w:tl2br w:val="nil"/>
                    <w:tr2bl w:val="nil"/>
                  </w:tcBorders>
                  <w:noWrap w:val="0"/>
                  <w:vAlign w:val="center"/>
                </w:tcPr>
                <w:p w14:paraId="40A1621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14:paraId="6F31E3D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tc>
            </w:tr>
            <w:tr w14:paraId="18444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34" w:type="pct"/>
                  <w:tcBorders>
                    <w:tl2br w:val="nil"/>
                    <w:tr2bl w:val="nil"/>
                  </w:tcBorders>
                  <w:noWrap w:val="0"/>
                  <w:vAlign w:val="center"/>
                </w:tcPr>
                <w:p w14:paraId="594AD1F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第十条</w:t>
                  </w:r>
                </w:p>
              </w:tc>
              <w:tc>
                <w:tcPr>
                  <w:tcW w:w="4465" w:type="pct"/>
                  <w:tcBorders>
                    <w:tl2br w:val="nil"/>
                    <w:tr2bl w:val="nil"/>
                  </w:tcBorders>
                  <w:noWrap w:val="0"/>
                  <w:vAlign w:val="center"/>
                </w:tcPr>
                <w:p w14:paraId="1C5C17E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移出人应当履行以下义务：</w:t>
                  </w:r>
                </w:p>
                <w:p w14:paraId="67F534B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（一）对承运人或者接受人的主体资格和技术能力进行核实，依法签订书面合同，并在合同中约定运输、贮存、利用、处置危险废物的污染防治要求及相关责任；</w:t>
                  </w:r>
                </w:p>
                <w:p w14:paraId="40FE84B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（二）制定危险废物管理计划，明确拟转移危险废物的种类、重量（数量）和流向等信息；</w:t>
                  </w:r>
                </w:p>
                <w:p w14:paraId="141324B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（三）建立危险废物管理台账，对转移的危险废物进行计量称重，如实记录、妥善保管转移危险废物的种类、重量（数量）和</w:t>
                  </w:r>
                  <w:r>
                    <w:rPr>
                      <w:rFonts w:hint="eastAsia" w:cs="Times New Roman"/>
                      <w:b w:val="0"/>
                      <w:bCs/>
                      <w:color w:val="000000" w:themeColor="text1"/>
                      <w:kern w:val="0"/>
                      <w:sz w:val="21"/>
                      <w:szCs w:val="21"/>
                      <w:lang w:val="en-US" w:eastAsia="zh-CN" w:bidi="ar"/>
                      <w14:textFill>
                        <w14:solidFill>
                          <w14:schemeClr w14:val="tx1"/>
                        </w14:solidFill>
                      </w14:textFill>
                    </w:rPr>
                    <w:t>接收</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人等相关信息；</w:t>
                  </w:r>
                </w:p>
                <w:p w14:paraId="3072D4F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（四）填写、运行危险废物转移联单，在危险废物转移联单中如实填写移出人、承运人、</w:t>
                  </w:r>
                  <w:r>
                    <w:rPr>
                      <w:rFonts w:hint="eastAsia" w:cs="Times New Roman"/>
                      <w:b w:val="0"/>
                      <w:bCs/>
                      <w:color w:val="000000" w:themeColor="text1"/>
                      <w:kern w:val="0"/>
                      <w:sz w:val="21"/>
                      <w:szCs w:val="21"/>
                      <w:lang w:val="en-US" w:eastAsia="zh-CN" w:bidi="ar"/>
                      <w14:textFill>
                        <w14:solidFill>
                          <w14:schemeClr w14:val="tx1"/>
                        </w14:solidFill>
                      </w14:textFill>
                    </w:rPr>
                    <w:t>接收</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人信息，转移危险废物的种类、重量（数量）、危险特性等信息以及突发环境事件的防范措施等；</w:t>
                  </w:r>
                </w:p>
                <w:p w14:paraId="0A2655F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（五）及时核实</w:t>
                  </w:r>
                  <w:r>
                    <w:rPr>
                      <w:rFonts w:hint="eastAsia" w:cs="Times New Roman"/>
                      <w:b w:val="0"/>
                      <w:bCs/>
                      <w:color w:val="000000" w:themeColor="text1"/>
                      <w:kern w:val="0"/>
                      <w:sz w:val="21"/>
                      <w:szCs w:val="21"/>
                      <w:lang w:val="en-US" w:eastAsia="zh-CN" w:bidi="ar"/>
                      <w14:textFill>
                        <w14:solidFill>
                          <w14:schemeClr w14:val="tx1"/>
                        </w14:solidFill>
                      </w14:textFill>
                    </w:rPr>
                    <w:t>接收</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人贮存、利用或者处置相关危险废物情况；</w:t>
                  </w:r>
                </w:p>
                <w:p w14:paraId="2A2C614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（六）法律法规规定的其他义务。</w:t>
                  </w:r>
                </w:p>
                <w:p w14:paraId="12D5DF7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移出人应当按照国家有关要求开展危险废物鉴别。禁止将危险废物以副产品等名义提供或者委托给无危险废物经营许可证的单位或者其他生产经营者从事收集、贮存、利用、处置活动。</w:t>
                  </w:r>
                </w:p>
              </w:tc>
            </w:tr>
            <w:tr w14:paraId="65596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34" w:type="pct"/>
                  <w:tcBorders>
                    <w:tl2br w:val="nil"/>
                    <w:tr2bl w:val="nil"/>
                  </w:tcBorders>
                  <w:noWrap w:val="0"/>
                  <w:vAlign w:val="center"/>
                </w:tcPr>
                <w:p w14:paraId="02E635D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第十一条</w:t>
                  </w:r>
                </w:p>
              </w:tc>
              <w:tc>
                <w:tcPr>
                  <w:tcW w:w="4465" w:type="pct"/>
                  <w:tcBorders>
                    <w:tl2br w:val="nil"/>
                    <w:tr2bl w:val="nil"/>
                  </w:tcBorders>
                  <w:noWrap w:val="0"/>
                  <w:vAlign w:val="center"/>
                </w:tcPr>
                <w:p w14:paraId="1BE680B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承运人应当履行以下义务：</w:t>
                  </w:r>
                </w:p>
                <w:p w14:paraId="1892C97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（一）核实危险废物转移联单，没有转移联单的，应当拒绝运输；</w:t>
                  </w:r>
                </w:p>
                <w:p w14:paraId="20D572A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（二）填写、运行危险废物转移联单，在危险废物转移联单中如实填写承运人名称、运输工具及其营运证件号以及运输起点和终点等运输相关信息，并与危险货物运单一并随运输工具携带；</w:t>
                  </w:r>
                </w:p>
                <w:p w14:paraId="6C0144A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（三）按照危险废物污染环境防治和危险货物运输相关规定运输危险废物，记录运输轨迹，防范危险废物丢失、包装破损、泄漏或者发生突发环境事件；</w:t>
                  </w:r>
                </w:p>
                <w:p w14:paraId="1C55D47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（四）将运输的危险废物运抵接受人地址，交付给危险废物转移联单上指定的接受人，并将运输情况及时告知移出人；</w:t>
                  </w:r>
                </w:p>
                <w:p w14:paraId="0BF981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（五）法律法规规定的其他义务。</w:t>
                  </w:r>
                </w:p>
              </w:tc>
            </w:tr>
          </w:tbl>
          <w:p w14:paraId="6E485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3"/>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4.4.2</w:t>
            </w:r>
            <w:r>
              <w:rPr>
                <w:rFonts w:hint="default" w:ascii="Times New Roman" w:hAnsi="Times New Roman" w:cs="Times New Roman"/>
                <w:b/>
                <w:bCs/>
                <w:color w:val="000000" w:themeColor="text1"/>
                <w:sz w:val="24"/>
                <w:szCs w:val="24"/>
                <w:highlight w:val="none"/>
                <w14:textFill>
                  <w14:solidFill>
                    <w14:schemeClr w14:val="tx1"/>
                  </w14:solidFill>
                </w14:textFill>
              </w:rPr>
              <w:t>危险废物全过程管理</w:t>
            </w:r>
          </w:p>
          <w:p w14:paraId="7E860099">
            <w:pPr>
              <w:pStyle w:val="90"/>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按照《“十四五”全国危险废物规范化环境管理评估工作方案》“表2危险废物规范化环境管理评估指标（工业危险废物产生单位）”对企业的运行管理提出要求，以利于企业在</w:t>
            </w:r>
            <w:r>
              <w:rPr>
                <w:rFonts w:hint="default" w:ascii="Times New Roman" w:hAnsi="Times New Roman" w:cs="Times New Roman"/>
                <w:color w:val="000000" w:themeColor="text1"/>
                <w:sz w:val="24"/>
                <w:szCs w:val="24"/>
                <w:highlight w:val="none"/>
                <w:lang w:eastAsia="zh-CN"/>
                <w14:textFill>
                  <w14:solidFill>
                    <w14:schemeClr w14:val="tx1"/>
                  </w14:solidFill>
                </w14:textFill>
              </w:rPr>
              <w:t>项目运营期</w:t>
            </w:r>
            <w:r>
              <w:rPr>
                <w:rFonts w:hint="default" w:ascii="Times New Roman" w:hAnsi="Times New Roman" w:cs="Times New Roman"/>
                <w:color w:val="000000" w:themeColor="text1"/>
                <w:sz w:val="24"/>
                <w:szCs w:val="24"/>
                <w:highlight w:val="none"/>
                <w14:textFill>
                  <w14:solidFill>
                    <w14:schemeClr w14:val="tx1"/>
                  </w14:solidFill>
                </w14:textFill>
              </w:rPr>
              <w:t>中规范危险废物的管理制度和落实情况。</w:t>
            </w:r>
          </w:p>
          <w:p w14:paraId="0FE94F62">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outlineLvl w:val="3"/>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14:textFill>
                  <w14:solidFill>
                    <w14:schemeClr w14:val="tx1"/>
                  </w14:solidFill>
                </w14:textFill>
              </w:rPr>
              <w:t>危险废物全过程管理</w:t>
            </w:r>
          </w:p>
          <w:p w14:paraId="679B73E4">
            <w:pPr>
              <w:pStyle w:val="90"/>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按照《“十四五”全国危险废物规</w:t>
            </w:r>
            <w:r>
              <w:rPr>
                <w:rFonts w:hint="default" w:ascii="Times New Roman" w:hAnsi="Times New Roman" w:cs="Times New Roman"/>
                <w:color w:val="000000" w:themeColor="text1"/>
                <w:sz w:val="24"/>
                <w:szCs w:val="24"/>
                <w:highlight w:val="none"/>
                <w14:textFill>
                  <w14:solidFill>
                    <w14:schemeClr w14:val="tx1"/>
                  </w14:solidFill>
                </w14:textFill>
              </w:rPr>
              <w:t>范化环境管理评估工作方案》“表2危险废物规范化环境管理评估指标（工业危险废物产生单位）”对企业的运行管理提出要求，以利于企业在</w:t>
            </w:r>
            <w:r>
              <w:rPr>
                <w:rFonts w:hint="default" w:ascii="Times New Roman" w:hAnsi="Times New Roman" w:cs="Times New Roman"/>
                <w:color w:val="000000" w:themeColor="text1"/>
                <w:sz w:val="24"/>
                <w:szCs w:val="24"/>
                <w:highlight w:val="none"/>
                <w:lang w:eastAsia="zh-CN"/>
                <w14:textFill>
                  <w14:solidFill>
                    <w14:schemeClr w14:val="tx1"/>
                  </w14:solidFill>
                </w14:textFill>
              </w:rPr>
              <w:t>项目运营期</w:t>
            </w:r>
            <w:r>
              <w:rPr>
                <w:rFonts w:hint="default" w:ascii="Times New Roman" w:hAnsi="Times New Roman" w:cs="Times New Roman"/>
                <w:color w:val="000000" w:themeColor="text1"/>
                <w:sz w:val="24"/>
                <w:szCs w:val="24"/>
                <w:highlight w:val="none"/>
                <w14:textFill>
                  <w14:solidFill>
                    <w14:schemeClr w14:val="tx1"/>
                  </w14:solidFill>
                </w14:textFill>
              </w:rPr>
              <w:t>中规范危险废物的管理制度和落实情况。</w:t>
            </w:r>
          </w:p>
          <w:p w14:paraId="3EE78427">
            <w:pPr>
              <w:pStyle w:val="6"/>
              <w:pageBreakBefore w:val="0"/>
              <w:widowControl w:val="0"/>
              <w:numPr>
                <w:ilvl w:val="4"/>
                <w:numId w:val="0"/>
              </w:numPr>
              <w:suppressLineNumbers w:val="0"/>
              <w:kinsoku/>
              <w:wordWrap/>
              <w:overflowPunct/>
              <w:topLinePunct w:val="0"/>
              <w:bidi w:val="0"/>
              <w:snapToGrid/>
              <w:spacing w:before="0" w:beforeAutospacing="0" w:after="0" w:afterAutospacing="0" w:line="360" w:lineRule="auto"/>
              <w:ind w:left="0" w:right="0" w:firstLine="480" w:firstLineChars="200"/>
              <w:jc w:val="both"/>
              <w:rPr>
                <w:rFonts w:hint="default" w:ascii="Times New Roman" w:hAnsi="Times New Roman"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14:textFill>
                  <w14:solidFill>
                    <w14:schemeClr w14:val="tx1"/>
                  </w14:solidFill>
                </w14:textFill>
              </w:rPr>
              <w:t>污染环境防治责任制度</w:t>
            </w:r>
          </w:p>
          <w:p w14:paraId="34D9B54C">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pP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产生工业固体废物的单位应当建立健全工业固体废物产生、收集、贮存、利用、处置全过程的污染环境防治责任制度，采取防治工业固体废物污染环境的措施。具体要求如下：</w:t>
            </w:r>
          </w:p>
          <w:p w14:paraId="533C3762">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pPr>
            <w:r>
              <w:rPr>
                <w:rFonts w:hint="default" w:ascii="Times New Roman" w:hAnsi="Times New Roman" w:cs="Times New Roman"/>
                <w:color w:val="000000" w:themeColor="text1"/>
                <w:sz w:val="24"/>
                <w:szCs w:val="24"/>
                <w:highlight w:val="none"/>
                <w:lang w:val="zh-TW" w:eastAsia="zh-CN" w:bidi="zh-TW"/>
                <w14:textFill>
                  <w14:solidFill>
                    <w14:schemeClr w14:val="tx1"/>
                  </w14:solidFill>
                </w14:textFill>
              </w:rPr>
              <w:t>①</w:t>
            </w: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建立涵盖全过程的责任制度，负责人明确，各项责任分解清晰；负责人熟悉危险废物环境管理相关法规、制度、标准、规范；制定的制度得到落实，采取了防治工业固体废物污染环境的措施。</w:t>
            </w:r>
          </w:p>
          <w:p w14:paraId="649F7F9E">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pPr>
            <w:r>
              <w:rPr>
                <w:rFonts w:hint="default" w:ascii="Times New Roman" w:hAnsi="Times New Roman" w:cs="Times New Roman"/>
                <w:color w:val="000000" w:themeColor="text1"/>
                <w:sz w:val="24"/>
                <w:szCs w:val="24"/>
                <w:highlight w:val="none"/>
                <w:lang w:val="zh-TW" w:eastAsia="zh-CN" w:bidi="zh-TW"/>
                <w14:textFill>
                  <w14:solidFill>
                    <w14:schemeClr w14:val="tx1"/>
                  </w14:solidFill>
                </w14:textFill>
              </w:rPr>
              <w:t>②</w:t>
            </w: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执行危险废物污染防治责任信息公开制度，在显著位置张贴危险废物污染防治责任信息。张贴信息能够表明危险废物产生环节、危害特性、去向及责任人等。</w:t>
            </w:r>
          </w:p>
          <w:p w14:paraId="1B4C86AE">
            <w:pPr>
              <w:pStyle w:val="6"/>
              <w:pageBreakBefore w:val="0"/>
              <w:numPr>
                <w:ilvl w:val="4"/>
                <w:numId w:val="0"/>
              </w:numPr>
              <w:suppressLineNumbers w:val="0"/>
              <w:kinsoku/>
              <w:wordWrap/>
              <w:overflowPunct/>
              <w:topLinePunct w:val="0"/>
              <w:bidi w:val="0"/>
              <w:spacing w:before="0" w:beforeAutospacing="0" w:after="0" w:afterAutospacing="0" w:line="360" w:lineRule="auto"/>
              <w:ind w:left="0" w:right="0" w:firstLine="480" w:firstLineChars="200"/>
              <w:rPr>
                <w:rFonts w:hint="default" w:ascii="Times New Roman" w:hAnsi="Times New Roman"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14:textFill>
                  <w14:solidFill>
                    <w14:schemeClr w14:val="tx1"/>
                  </w14:solidFill>
                </w14:textFill>
              </w:rPr>
              <w:t>标志制度</w:t>
            </w:r>
          </w:p>
          <w:p w14:paraId="44277D8C">
            <w:pPr>
              <w:keepNext w:val="0"/>
              <w:keepLines w:val="0"/>
              <w:pageBreakBefore w:val="0"/>
              <w:suppressLineNumbers w:val="0"/>
              <w:kinsoku/>
              <w:wordWrap/>
              <w:overflowPunct/>
              <w:topLinePunct w:val="0"/>
              <w:bidi w:val="0"/>
              <w:spacing w:before="0" w:beforeAutospacing="0" w:after="0" w:afterAutospacing="0" w:line="360" w:lineRule="auto"/>
              <w:ind w:left="0" w:right="0" w:firstLine="480"/>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pP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危险废物的容器和包装物应当按照规定设置危险废物识别标志。具体要求如下：</w:t>
            </w:r>
          </w:p>
          <w:p w14:paraId="18028DDB">
            <w:pPr>
              <w:keepNext w:val="0"/>
              <w:keepLines w:val="0"/>
              <w:pageBreakBefore w:val="0"/>
              <w:suppressLineNumbers w:val="0"/>
              <w:kinsoku/>
              <w:wordWrap/>
              <w:overflowPunct/>
              <w:topLinePunct w:val="0"/>
              <w:bidi w:val="0"/>
              <w:spacing w:before="0" w:beforeAutospacing="0" w:after="0" w:afterAutospacing="0" w:line="360" w:lineRule="auto"/>
              <w:ind w:left="0" w:right="0" w:firstLine="480"/>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pPr>
            <w:r>
              <w:rPr>
                <w:rFonts w:hint="default" w:ascii="Times New Roman" w:hAnsi="Times New Roman" w:cs="Times New Roman"/>
                <w:color w:val="000000" w:themeColor="text1"/>
                <w:sz w:val="24"/>
                <w:szCs w:val="24"/>
                <w:highlight w:val="none"/>
                <w:lang w:val="zh-TW" w:eastAsia="zh-CN" w:bidi="zh-TW"/>
                <w14:textFill>
                  <w14:solidFill>
                    <w14:schemeClr w14:val="tx1"/>
                  </w14:solidFill>
                </w14:textFill>
              </w:rPr>
              <w:t>①</w:t>
            </w: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危险废物的容器和包装物应当按照规定设置危险废物识别标志。危险废物识别标志样式正确、内容填写真实完整。</w:t>
            </w:r>
          </w:p>
          <w:p w14:paraId="2776325B">
            <w:pPr>
              <w:keepNext w:val="0"/>
              <w:keepLines w:val="0"/>
              <w:pageBreakBefore w:val="0"/>
              <w:suppressLineNumbers w:val="0"/>
              <w:kinsoku/>
              <w:wordWrap/>
              <w:overflowPunct/>
              <w:topLinePunct w:val="0"/>
              <w:bidi w:val="0"/>
              <w:spacing w:before="0" w:beforeAutospacing="0" w:after="0" w:afterAutospacing="0" w:line="360" w:lineRule="auto"/>
              <w:ind w:left="0" w:right="0" w:firstLine="480"/>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pPr>
            <w:r>
              <w:rPr>
                <w:rFonts w:hint="default" w:ascii="Times New Roman" w:hAnsi="Times New Roman" w:cs="Times New Roman"/>
                <w:color w:val="000000" w:themeColor="text1"/>
                <w:sz w:val="24"/>
                <w:szCs w:val="24"/>
                <w:highlight w:val="none"/>
                <w:lang w:val="zh-TW" w:eastAsia="zh-CN" w:bidi="zh-TW"/>
                <w14:textFill>
                  <w14:solidFill>
                    <w14:schemeClr w14:val="tx1"/>
                  </w14:solidFill>
                </w14:textFill>
              </w:rPr>
              <w:t>②</w:t>
            </w: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收集、贮存、利用、处置危险废物的设施、场所，应当按照规定设置危险废物识别标志。在收集、贮存、利用、处置危险废物的设施、场所均需设置规范（形状、颜色、图案均正确）的危险废物识别标志。</w:t>
            </w:r>
          </w:p>
          <w:p w14:paraId="09529560">
            <w:pPr>
              <w:pStyle w:val="6"/>
              <w:pageBreakBefore w:val="0"/>
              <w:numPr>
                <w:ilvl w:val="4"/>
                <w:numId w:val="0"/>
              </w:numPr>
              <w:suppressLineNumbers w:val="0"/>
              <w:kinsoku/>
              <w:wordWrap/>
              <w:overflowPunct/>
              <w:topLinePunct w:val="0"/>
              <w:bidi w:val="0"/>
              <w:spacing w:before="0" w:beforeAutospacing="0" w:after="0" w:afterAutospacing="0" w:line="360" w:lineRule="auto"/>
              <w:ind w:left="0" w:right="0" w:firstLine="480" w:firstLineChars="200"/>
              <w:jc w:val="both"/>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）危废管理计划和管理台账</w:t>
            </w:r>
          </w:p>
          <w:p w14:paraId="6FFA3AB1">
            <w:pPr>
              <w:pStyle w:val="6"/>
              <w:pageBreakBefore w:val="0"/>
              <w:numPr>
                <w:ilvl w:val="4"/>
                <w:numId w:val="0"/>
              </w:numPr>
              <w:suppressLineNumbers w:val="0"/>
              <w:kinsoku/>
              <w:wordWrap/>
              <w:overflowPunct/>
              <w:topLinePunct w:val="0"/>
              <w:bidi w:val="0"/>
              <w:spacing w:before="0" w:beforeAutospacing="0" w:after="0" w:afterAutospacing="0" w:line="360" w:lineRule="auto"/>
              <w:ind w:left="0" w:right="0" w:firstLine="480" w:firstLineChars="200"/>
              <w:jc w:val="both"/>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建设单位</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应按照《危险废物管理计划和管理台账制定技术导则》（HJ1259-2022）的要求制定本项目危险废物管理计划和管理台账、申报危险废物有关资料。</w:t>
            </w:r>
          </w:p>
          <w:p w14:paraId="5B8746F4">
            <w:pPr>
              <w:pStyle w:val="6"/>
              <w:pageBreakBefore w:val="0"/>
              <w:numPr>
                <w:ilvl w:val="4"/>
                <w:numId w:val="0"/>
              </w:numPr>
              <w:suppressLineNumbers w:val="0"/>
              <w:kinsoku/>
              <w:wordWrap/>
              <w:overflowPunct/>
              <w:topLinePunct w:val="0"/>
              <w:bidi w:val="0"/>
              <w:spacing w:before="0" w:beforeAutospacing="0" w:after="0" w:afterAutospacing="0" w:line="360" w:lineRule="auto"/>
              <w:ind w:left="0" w:right="0" w:firstLine="480" w:firstLineChars="200"/>
              <w:jc w:val="both"/>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按年度制定危险废物管理计划，并于每年3月31日前通过国家危险废物信息管理系统在线填写并提交当年度的危险废物管理计划，由国家危险废物信息管理系统自动生成备案编号和回执，完成备案</w:t>
            </w:r>
            <w:r>
              <w:rPr>
                <w:rFonts w:hint="eastAsia"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危险废物管理计划备案内容需要调整的，产生危险废物的单位应当及时变更建立危险废物管理台账，落实危险废物管理台账记录责任人，明确工作职责，并对危险废物管理台账的真实性、准确性和完整性负法律责任。危险废物管理台账的记录频次、记录内容、记录保存等应符合《危险废物管理计划和管理台账制定技术导则》（HJ1259-2022）的要求。</w:t>
            </w:r>
          </w:p>
          <w:p w14:paraId="66C528C1">
            <w:pPr>
              <w:pStyle w:val="6"/>
              <w:pageBreakBefore w:val="0"/>
              <w:numPr>
                <w:ilvl w:val="4"/>
                <w:numId w:val="0"/>
              </w:numPr>
              <w:suppressLineNumbers w:val="0"/>
              <w:kinsoku/>
              <w:wordWrap/>
              <w:overflowPunct/>
              <w:topLinePunct w:val="0"/>
              <w:bidi w:val="0"/>
              <w:spacing w:before="0" w:beforeAutospacing="0" w:after="0" w:afterAutospacing="0" w:line="360" w:lineRule="auto"/>
              <w:ind w:left="0" w:right="0" w:firstLine="480" w:firstLineChars="200"/>
              <w:jc w:val="both"/>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定期通过国家危险废物信息管理系统向所在地生态环境部门申报危险废物的种类、产生量、流向、贮存、利用、处置等有关资料，并保证申报内容的真实性、准确性和完整性。申报周期、申报内容等应符合《危险废物管理计划和管理台账制定技术导则》（HJ1259-2022）的要求。</w:t>
            </w:r>
          </w:p>
          <w:p w14:paraId="724DBC40">
            <w:pPr>
              <w:pStyle w:val="6"/>
              <w:pageBreakBefore w:val="0"/>
              <w:numPr>
                <w:ilvl w:val="4"/>
                <w:numId w:val="0"/>
              </w:numPr>
              <w:suppressLineNumbers w:val="0"/>
              <w:kinsoku/>
              <w:wordWrap/>
              <w:overflowPunct/>
              <w:topLinePunct w:val="0"/>
              <w:bidi w:val="0"/>
              <w:spacing w:before="0" w:beforeAutospacing="0" w:after="0" w:afterAutospacing="0" w:line="360" w:lineRule="auto"/>
              <w:ind w:left="0" w:right="0" w:firstLine="480" w:firstLineChars="200"/>
              <w:rPr>
                <w:rFonts w:hint="default" w:ascii="Times New Roman" w:hAnsi="Times New Roman"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14:textFill>
                  <w14:solidFill>
                    <w14:schemeClr w14:val="tx1"/>
                  </w14:solidFill>
                </w14:textFill>
              </w:rPr>
              <w:t>管理计划</w:t>
            </w:r>
          </w:p>
          <w:p w14:paraId="29C7E49A">
            <w:pPr>
              <w:keepNext w:val="0"/>
              <w:keepLines w:val="0"/>
              <w:pageBreakBefore w:val="0"/>
              <w:suppressLineNumbers w:val="0"/>
              <w:kinsoku/>
              <w:wordWrap/>
              <w:overflowPunct/>
              <w:topLinePunct w:val="0"/>
              <w:bidi w:val="0"/>
              <w:spacing w:before="0" w:beforeAutospacing="0" w:after="0" w:afterAutospacing="0" w:line="360" w:lineRule="auto"/>
              <w:ind w:left="0" w:right="0" w:firstLine="480"/>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pPr>
            <w:r>
              <w:rPr>
                <w:rFonts w:hint="default" w:ascii="Times New Roman" w:hAnsi="Times New Roman" w:cs="Times New Roman"/>
                <w:color w:val="000000" w:themeColor="text1"/>
                <w:sz w:val="24"/>
                <w:szCs w:val="24"/>
                <w:highlight w:val="none"/>
                <w:lang w:val="zh-TW" w:bidi="zh-TW"/>
                <w14:textFill>
                  <w14:solidFill>
                    <w14:schemeClr w14:val="tx1"/>
                  </w14:solidFill>
                </w14:textFill>
              </w:rPr>
              <w:t>本项目运营期必须</w:t>
            </w: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危险废物产生单位管理计划制定指南》要求，依据国家相关法律法规和标准规范的有关要求制定管理计划，并严格按照管理计划加强危险废物全生命周期的环境管理。管理计划应注重减少危险废物的产生量和危害性，并采取防范措施避免危险废物在贮存、利用、处置等过程中的环境风险。管理计划按年度制定，并存档5年以上</w:t>
            </w:r>
            <w:r>
              <w:rPr>
                <w:rFonts w:hint="default" w:ascii="Times New Roman" w:hAnsi="Times New Roman" w:cs="Times New Roman"/>
                <w:color w:val="000000" w:themeColor="text1"/>
                <w:sz w:val="24"/>
                <w:szCs w:val="24"/>
                <w:highlight w:val="none"/>
                <w:lang w:val="zh-TW" w:bidi="zh-TW"/>
                <w14:textFill>
                  <w14:solidFill>
                    <w14:schemeClr w14:val="tx1"/>
                  </w14:solidFill>
                </w14:textFill>
              </w:rPr>
              <w:t>。结合自身的实际情况，与生产记录相衔接，建立危险废物台账，如实记载产生危险废物的种类、数量、流向、贮存、利用处置等信息。采用信息化手段建立危险废物台账。应在台账工作的基础上如实向所在地县级以上人民政府环境保护主管部门申报危险废物的种类、产生量、流向、贮存、处置等有关资料。</w:t>
            </w: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具体要求如下：</w:t>
            </w:r>
          </w:p>
          <w:p w14:paraId="189F5910">
            <w:pPr>
              <w:keepNext w:val="0"/>
              <w:keepLines w:val="0"/>
              <w:pageBreakBefore w:val="0"/>
              <w:suppressLineNumbers w:val="0"/>
              <w:kinsoku/>
              <w:wordWrap/>
              <w:overflowPunct/>
              <w:topLinePunct w:val="0"/>
              <w:bidi w:val="0"/>
              <w:spacing w:before="0" w:beforeAutospacing="0" w:after="0" w:afterAutospacing="0" w:line="360" w:lineRule="auto"/>
              <w:ind w:left="0" w:right="0" w:firstLine="480"/>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pPr>
            <w:r>
              <w:rPr>
                <w:rFonts w:hint="default" w:ascii="Times New Roman" w:hAnsi="Times New Roman" w:cs="Times New Roman"/>
                <w:color w:val="000000" w:themeColor="text1"/>
                <w:sz w:val="24"/>
                <w:szCs w:val="24"/>
                <w:highlight w:val="none"/>
                <w:lang w:val="zh-TW" w:eastAsia="zh-CN" w:bidi="zh-TW"/>
                <w14:textFill>
                  <w14:solidFill>
                    <w14:schemeClr w14:val="tx1"/>
                  </w14:solidFill>
                </w14:textFill>
              </w:rPr>
              <w:t>①</w:t>
            </w: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管理计划要求内容齐全，危险废物的产生环节、种类、危害特性、产生量、利用处置方式描述清晰。管理计划包括以下内容：a.危险废物的产生环节、种类描述清晰。b.危险废物产生量预测依据充分，且提出了减少产生量的措施。c.危险废物的危害特性描述准确，且提出了降低危害性的措施。d.危险废物贮存、利用、处置措施描述清晰。</w:t>
            </w:r>
          </w:p>
          <w:p w14:paraId="5FC22A4B">
            <w:pPr>
              <w:keepNext w:val="0"/>
              <w:keepLines w:val="0"/>
              <w:pageBreakBefore w:val="0"/>
              <w:suppressLineNumbers w:val="0"/>
              <w:kinsoku/>
              <w:wordWrap/>
              <w:overflowPunct/>
              <w:topLinePunct w:val="0"/>
              <w:bidi w:val="0"/>
              <w:spacing w:before="0" w:beforeAutospacing="0" w:after="0" w:afterAutospacing="0" w:line="360" w:lineRule="auto"/>
              <w:ind w:left="0" w:right="0" w:firstLine="480"/>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pPr>
            <w:r>
              <w:rPr>
                <w:rFonts w:hint="default" w:ascii="Times New Roman" w:hAnsi="Times New Roman" w:cs="Times New Roman"/>
                <w:color w:val="000000" w:themeColor="text1"/>
                <w:sz w:val="24"/>
                <w:szCs w:val="24"/>
                <w:highlight w:val="none"/>
                <w:lang w:val="zh-TW" w:eastAsia="zh-CN" w:bidi="zh-TW"/>
                <w14:textFill>
                  <w14:solidFill>
                    <w14:schemeClr w14:val="tx1"/>
                  </w14:solidFill>
                </w14:textFill>
              </w:rPr>
              <w:t>②</w:t>
            </w:r>
            <w:r>
              <w:rPr>
                <w:rFonts w:hint="default" w:ascii="Times New Roman" w:hAnsi="Times New Roman" w:cs="Times New Roman"/>
                <w:color w:val="000000" w:themeColor="text1"/>
                <w:sz w:val="24"/>
                <w:szCs w:val="24"/>
                <w:highlight w:val="none"/>
                <w:lang w:val="zh-TW" w:eastAsia="zh-TW" w:bidi="zh-TW"/>
                <w14:textFill>
                  <w14:solidFill>
                    <w14:schemeClr w14:val="tx1"/>
                  </w14:solidFill>
                </w14:textFill>
              </w:rPr>
              <w:t>通过国家危险废物信息管理系统报所在地生态环境主管部门备案；内容发生变更时及时变更相关备案内容。</w:t>
            </w:r>
          </w:p>
          <w:p w14:paraId="544DBC9D">
            <w:pPr>
              <w:keepNext w:val="0"/>
              <w:keepLines w:val="0"/>
              <w:pageBreakBefore w:val="0"/>
              <w:suppressLineNumbers w:val="0"/>
              <w:kinsoku/>
              <w:wordWrap/>
              <w:overflowPunct/>
              <w:topLinePunct w:val="0"/>
              <w:bidi w:val="0"/>
              <w:spacing w:before="0" w:beforeAutospacing="0" w:after="0" w:afterAutospacing="0" w:line="360" w:lineRule="auto"/>
              <w:ind w:left="0" w:right="0" w:firstLine="480"/>
              <w:rPr>
                <w:rFonts w:hint="default" w:ascii="Times New Roman" w:hAnsi="Times New Roman" w:cs="Times New Roman"/>
                <w:color w:val="000000" w:themeColor="text1"/>
                <w:spacing w:val="-6"/>
                <w:sz w:val="24"/>
                <w:highlight w:val="none"/>
                <w14:textFill>
                  <w14:solidFill>
                    <w14:schemeClr w14:val="tx1"/>
                  </w14:solidFill>
                </w14:textFill>
              </w:rPr>
            </w:pPr>
            <w:r>
              <w:rPr>
                <w:rFonts w:hint="default" w:ascii="Times New Roman" w:hAnsi="Times New Roman" w:cs="Times New Roman"/>
                <w:color w:val="000000" w:themeColor="text1"/>
                <w:spacing w:val="-6"/>
                <w:sz w:val="24"/>
                <w:highlight w:val="none"/>
                <w14:textFill>
                  <w14:solidFill>
                    <w14:schemeClr w14:val="tx1"/>
                  </w14:solidFill>
                </w14:textFill>
              </w:rPr>
              <w:t>综上所述，项目产生的固废均可得到合理处置或综合利用，对周围环境影响较小。</w:t>
            </w:r>
          </w:p>
          <w:p w14:paraId="76997520">
            <w:pPr>
              <w:keepNext w:val="0"/>
              <w:keepLines w:val="0"/>
              <w:pageBreakBefore w:val="0"/>
              <w:suppressLineNumbers w:val="0"/>
              <w:kinsoku/>
              <w:wordWrap/>
              <w:overflowPunct/>
              <w:topLinePunct w:val="0"/>
              <w:bidi w:val="0"/>
              <w:spacing w:before="0" w:beforeAutospacing="0" w:after="0" w:afterAutospacing="0" w:line="360" w:lineRule="auto"/>
              <w:ind w:left="0" w:right="0" w:firstLine="480"/>
              <w:rPr>
                <w:rFonts w:hint="default" w:ascii="Times New Roman" w:hAnsi="Times New Roman" w:cs="Times New Roman"/>
                <w:b/>
                <w:bCs/>
                <w:color w:val="000000" w:themeColor="text1"/>
                <w:spacing w:val="-6"/>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6"/>
                <w:sz w:val="24"/>
                <w:highlight w:val="none"/>
                <w:lang w:val="en-US" w:eastAsia="zh-CN"/>
                <w14:textFill>
                  <w14:solidFill>
                    <w14:schemeClr w14:val="tx1"/>
                  </w14:solidFill>
                </w14:textFill>
              </w:rPr>
              <w:t>4.5危险废物处置合理性</w:t>
            </w:r>
          </w:p>
          <w:p w14:paraId="59F60529">
            <w:pPr>
              <w:pStyle w:val="15"/>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56" w:firstLineChars="200"/>
              <w:jc w:val="left"/>
              <w:textAlignment w:val="auto"/>
              <w:rPr>
                <w:rFonts w:hint="default" w:ascii="Times New Roman" w:hAnsi="Times New Roman" w:cs="Times New Roman"/>
                <w:color w:val="000000" w:themeColor="text1"/>
                <w:spacing w:val="-6"/>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本环评拟在</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实验室1楼建设</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一座建筑面积约</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pacing w:val="-6"/>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危废暂存间，</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液态类危废最大暂存量约10t，固态类危废最大暂存量约1t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。危废暂存间应严格按照《危险废物贮存污染控制标准》（GB18597-2023）要求建设。项目</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危废</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送往有资质的危险废物处理单位进行无害化处理前，应按《危险废物转移管理办法》（生态环境部公安部交通运输部，部令第23号）的要求，填写危险废物转移联单并经环保主管部门审批后方可运出厂区。根据巴州联合环境治理有限公司（危废处理资质编号：6528010110）</w:t>
            </w:r>
            <w:r>
              <w:rPr>
                <w:rFonts w:hint="eastAsia"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危废暂存间用于</w:t>
            </w:r>
            <w:r>
              <w:rPr>
                <w:rFonts w:hint="eastAsia" w:cs="Times New Roman"/>
                <w:color w:val="000000" w:themeColor="text1"/>
                <w:spacing w:val="-6"/>
                <w:kern w:val="2"/>
                <w:sz w:val="24"/>
                <w:szCs w:val="24"/>
                <w:highlight w:val="none"/>
                <w:lang w:val="en-US" w:eastAsia="zh-CN" w:bidi="ar-SA"/>
                <w14:textFill>
                  <w14:solidFill>
                    <w14:schemeClr w14:val="tx1"/>
                  </w14:solidFill>
                </w14:textFill>
              </w:rPr>
              <w:t>实验废液、废沾染药瓶等</w:t>
            </w:r>
            <w:r>
              <w:rPr>
                <w:rFonts w:hint="default" w:ascii="Times New Roman" w:hAnsi="Times New Roman" w:eastAsia="宋体" w:cs="Times New Roman"/>
                <w:color w:val="000000" w:themeColor="text1"/>
                <w:spacing w:val="-6"/>
                <w:kern w:val="2"/>
                <w:sz w:val="24"/>
                <w:szCs w:val="24"/>
                <w:highlight w:val="none"/>
                <w:lang w:val="en-US" w:eastAsia="zh-CN" w:bidi="ar-SA"/>
                <w14:textFill>
                  <w14:solidFill>
                    <w14:schemeClr w14:val="tx1"/>
                  </w14:solidFill>
                </w14:textFill>
              </w:rPr>
              <w:t>和废活性炭暂存可行，去向合理。</w:t>
            </w:r>
          </w:p>
          <w:p w14:paraId="287D111D">
            <w:pPr>
              <w:pStyle w:val="15"/>
              <w:spacing w:before="0" w:after="0" w:line="360" w:lineRule="auto"/>
              <w:ind w:left="480" w:leftChars="200" w:right="0" w:firstLine="0" w:firstLineChars="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5、地下水、土壤</w:t>
            </w:r>
          </w:p>
          <w:p w14:paraId="42728420">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5.1地下水、土壤环境影响分析</w:t>
            </w:r>
          </w:p>
          <w:p w14:paraId="4617BC67">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本项目为</w:t>
            </w:r>
            <w:r>
              <w:rPr>
                <w:rFonts w:hint="eastAsia" w:eastAsia="新宋体" w:cs="Times New Roman"/>
                <w:color w:val="000000" w:themeColor="text1"/>
                <w:kern w:val="0"/>
                <w:sz w:val="24"/>
                <w:szCs w:val="24"/>
                <w:lang w:val="en-US" w:eastAsia="zh-CN" w:bidi="ar"/>
                <w14:textFill>
                  <w14:solidFill>
                    <w14:schemeClr w14:val="tx1"/>
                  </w14:solidFill>
                </w14:textFill>
              </w:rPr>
              <w:t>实验室检测服务</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，可能产生的污染源主要为</w:t>
            </w:r>
            <w:r>
              <w:rPr>
                <w:rFonts w:hint="eastAsia" w:eastAsia="新宋体" w:cs="Times New Roman"/>
                <w:color w:val="000000" w:themeColor="text1"/>
                <w:kern w:val="0"/>
                <w:sz w:val="24"/>
                <w:szCs w:val="24"/>
                <w:lang w:val="en-US" w:eastAsia="zh-CN" w:bidi="ar"/>
                <w14:textFill>
                  <w14:solidFill>
                    <w14:schemeClr w14:val="tx1"/>
                  </w14:solidFill>
                </w14:textFill>
              </w:rPr>
              <w:t>实验废液等垂直泄漏至未硬化地面</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eastAsia" w:eastAsia="新宋体" w:cs="Times New Roman"/>
                <w:color w:val="000000" w:themeColor="text1"/>
                <w:kern w:val="0"/>
                <w:sz w:val="24"/>
                <w:szCs w:val="24"/>
                <w:lang w:val="en-US" w:eastAsia="zh-CN" w:bidi="ar"/>
                <w14:textFill>
                  <w14:solidFill>
                    <w14:schemeClr w14:val="tx1"/>
                  </w14:solidFill>
                </w14:textFill>
              </w:rPr>
              <w:t>本环评要求</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对</w:t>
            </w:r>
            <w:r>
              <w:rPr>
                <w:rFonts w:hint="eastAsia" w:eastAsia="新宋体" w:cs="Times New Roman"/>
                <w:color w:val="000000" w:themeColor="text1"/>
                <w:kern w:val="0"/>
                <w:sz w:val="24"/>
                <w:szCs w:val="24"/>
                <w:lang w:val="en-US" w:eastAsia="zh-CN" w:bidi="ar"/>
                <w14:textFill>
                  <w14:solidFill>
                    <w14:schemeClr w14:val="tx1"/>
                  </w14:solidFill>
                </w14:textFill>
              </w:rPr>
              <w:t>实验室整体楼层分区防渗</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32791BB1">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（1）地下水防渗原则</w:t>
            </w:r>
          </w:p>
          <w:p w14:paraId="5AD655CD">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根据地下水污染防治措施和对策，“坚持源头控制、分区防控、污染监控。应急响应、重点突出饮用水源水质安全”的原则。</w:t>
            </w:r>
          </w:p>
          <w:p w14:paraId="203EA0B7">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源头控制</w:t>
            </w:r>
          </w:p>
          <w:p w14:paraId="4E288170">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项目应根据国家现行相关规范加强环境管理，采取防治和降低污染物跑、冒、漏、滴、漏的措施。正常生产过程中应加强巡检及时处理污染物跑、冒、漏、滴、漏。同时应加强对防渗工程检查，若发现防渗密封材料老化或损坏，应及时维修更换。</w:t>
            </w:r>
          </w:p>
          <w:p w14:paraId="6E17FDFF">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项目</w:t>
            </w:r>
            <w:r>
              <w:rPr>
                <w:rFonts w:hint="eastAsia" w:eastAsia="新宋体" w:cs="Times New Roman"/>
                <w:color w:val="000000" w:themeColor="text1"/>
                <w:kern w:val="0"/>
                <w:sz w:val="24"/>
                <w:szCs w:val="24"/>
                <w:lang w:val="en-US" w:eastAsia="zh-CN" w:bidi="ar"/>
                <w14:textFill>
                  <w14:solidFill>
                    <w14:schemeClr w14:val="tx1"/>
                  </w14:solidFill>
                </w14:textFill>
              </w:rPr>
              <w:t>固态类危废</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产生量较少</w:t>
            </w:r>
            <w:r>
              <w:rPr>
                <w:rFonts w:hint="eastAsia" w:eastAsia="新宋体" w:cs="Times New Roman"/>
                <w:color w:val="000000" w:themeColor="text1"/>
                <w:kern w:val="0"/>
                <w:sz w:val="24"/>
                <w:szCs w:val="24"/>
                <w:lang w:val="en-US" w:eastAsia="zh-CN" w:bidi="ar"/>
                <w14:textFill>
                  <w14:solidFill>
                    <w14:schemeClr w14:val="tx1"/>
                  </w14:solidFill>
                </w14:textFill>
              </w:rPr>
              <w:t>且有高密度聚乙烯密封袋收集置于防渗托盘上</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eastAsia" w:eastAsia="新宋体" w:cs="Times New Roman"/>
                <w:color w:val="000000" w:themeColor="text1"/>
                <w:kern w:val="0"/>
                <w:sz w:val="24"/>
                <w:szCs w:val="24"/>
                <w:lang w:val="en-US" w:eastAsia="zh-CN" w:bidi="ar"/>
                <w14:textFill>
                  <w14:solidFill>
                    <w14:schemeClr w14:val="tx1"/>
                  </w14:solidFill>
                </w14:textFill>
              </w:rPr>
              <w:t>液态类危废聚乙烯密封桶收集置于防渗托盘</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暂存于危废贮存</w:t>
            </w:r>
            <w:r>
              <w:rPr>
                <w:rFonts w:hint="eastAsia" w:eastAsia="新宋体" w:cs="Times New Roman"/>
                <w:color w:val="000000" w:themeColor="text1"/>
                <w:kern w:val="0"/>
                <w:sz w:val="24"/>
                <w:szCs w:val="24"/>
                <w:lang w:val="en-US" w:eastAsia="zh-CN" w:bidi="ar"/>
                <w14:textFill>
                  <w14:solidFill>
                    <w14:schemeClr w14:val="tx1"/>
                  </w14:solidFill>
                </w14:textFill>
              </w:rPr>
              <w:t>间</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内，危废</w:t>
            </w:r>
            <w:r>
              <w:rPr>
                <w:rFonts w:hint="eastAsia" w:eastAsia="新宋体" w:cs="Times New Roman"/>
                <w:color w:val="000000" w:themeColor="text1"/>
                <w:kern w:val="0"/>
                <w:sz w:val="24"/>
                <w:szCs w:val="24"/>
                <w:lang w:val="en-US" w:eastAsia="zh-CN" w:bidi="ar"/>
                <w14:textFill>
                  <w14:solidFill>
                    <w14:schemeClr w14:val="tx1"/>
                  </w14:solidFill>
                </w14:textFill>
              </w:rPr>
              <w:t>暂存间</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封闭、防渗并定期巡检，危险废物暂存间防渗要求按《危险废物贮存污染控制标准》（GB18597-2023）设计</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泄漏的可能性较小，正常工况下不会对地下水、土壤环境产生影响</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2C0D5829">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综上所述，项目在正常运行工况下，项目对土壤环境影响不大，建设单位应加强污染源控制和土壤污染防治，防止事故排放出现，则对该区域土壤环境影响是可以接受的。</w:t>
            </w:r>
          </w:p>
          <w:p w14:paraId="0393489D">
            <w:pPr>
              <w:ind w:firstLine="482"/>
              <w:rPr>
                <w:color w:val="000000" w:themeColor="text1"/>
                <w14:textFill>
                  <w14:solidFill>
                    <w14:schemeClr w14:val="tx1"/>
                  </w14:solidFill>
                </w14:textFill>
              </w:rPr>
            </w:pPr>
            <w:r>
              <w:rPr>
                <w:b/>
                <w:bCs/>
                <w:color w:val="000000" w:themeColor="text1"/>
                <w14:textFill>
                  <w14:solidFill>
                    <w14:schemeClr w14:val="tx1"/>
                  </w14:solidFill>
                </w14:textFill>
              </w:rPr>
              <w:t>5.2地下水、土壤防渗措施</w:t>
            </w:r>
          </w:p>
          <w:p w14:paraId="5352DA11">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（1）源头控制</w:t>
            </w:r>
          </w:p>
          <w:p w14:paraId="711BFF54">
            <w:pPr>
              <w:widowControl/>
              <w:autoSpaceDE w:val="0"/>
              <w:autoSpaceDN w:val="0"/>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项目应根据国家现行相关规范加强环境管理，采取防止和降低污染物跑、冒、滴、漏的措施。</w:t>
            </w:r>
            <w:r>
              <w:rPr>
                <w:rFonts w:hint="eastAsia"/>
                <w:color w:val="000000" w:themeColor="text1"/>
                <w:kern w:val="0"/>
                <w:lang w:val="en-US" w:eastAsia="zh-CN" w:bidi="ar"/>
                <w14:textFill>
                  <w14:solidFill>
                    <w14:schemeClr w14:val="tx1"/>
                  </w14:solidFill>
                </w14:textFill>
              </w:rPr>
              <w:t>实验室</w:t>
            </w:r>
            <w:r>
              <w:rPr>
                <w:color w:val="000000" w:themeColor="text1"/>
                <w:kern w:val="0"/>
                <w:lang w:bidi="ar"/>
                <w14:textFill>
                  <w14:solidFill>
                    <w14:schemeClr w14:val="tx1"/>
                  </w14:solidFill>
                </w14:textFill>
              </w:rPr>
              <w:t>、危废暂存间区域按照相关标准和要求做好防渗工作，正常生产过程中应加强巡检及时处理污染物跑、冒、滴、漏，同时应加强对防渗工程的检查，若发现防渗密封材料老化或损坏，应及时维修更换；从源头上减少地下水污染源的产生，是地下水水污染防治的基本措施。</w:t>
            </w:r>
          </w:p>
          <w:p w14:paraId="42229DA4">
            <w:pPr>
              <w:widowControl/>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（2）分区防渗措施</w:t>
            </w:r>
          </w:p>
          <w:p w14:paraId="107E8755">
            <w:pPr>
              <w:widowControl/>
              <w:autoSpaceDE w:val="0"/>
              <w:autoSpaceDN w:val="0"/>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按照《环境影响评价技术导则地下水环境》（HJ610-2016）要求，防渗分区应根据建设项目场地天然气包气带防污性能、污染控制难易程度和污染物特性提出防渗技术要求。其中污染物控制难易程度分级和天然气包气带防污性能分级分别参照下表进行相关等级确定，见下表4-1</w:t>
            </w:r>
            <w:r>
              <w:rPr>
                <w:rFonts w:hint="eastAsia"/>
                <w:color w:val="000000" w:themeColor="text1"/>
                <w:kern w:val="0"/>
                <w:lang w:val="en-US" w:eastAsia="zh-CN" w:bidi="ar"/>
                <w14:textFill>
                  <w14:solidFill>
                    <w14:schemeClr w14:val="tx1"/>
                  </w14:solidFill>
                </w14:textFill>
              </w:rPr>
              <w:t>9</w:t>
            </w:r>
            <w:r>
              <w:rPr>
                <w:color w:val="000000" w:themeColor="text1"/>
                <w:kern w:val="0"/>
                <w:lang w:bidi="ar"/>
                <w14:textFill>
                  <w14:solidFill>
                    <w14:schemeClr w14:val="tx1"/>
                  </w14:solidFill>
                </w14:textFill>
              </w:rPr>
              <w:t>。</w:t>
            </w:r>
          </w:p>
          <w:p w14:paraId="29078E12">
            <w:pPr>
              <w:widowControl/>
              <w:spacing w:line="240" w:lineRule="auto"/>
              <w:ind w:firstLine="48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表4-1</w:t>
            </w:r>
            <w:r>
              <w:rPr>
                <w:rFonts w:hint="eastAsia"/>
                <w:b/>
                <w:bCs/>
                <w:color w:val="000000" w:themeColor="text1"/>
                <w:sz w:val="21"/>
                <w:szCs w:val="21"/>
                <w:lang w:val="en-US" w:eastAsia="zh-CN"/>
                <w14:textFill>
                  <w14:solidFill>
                    <w14:schemeClr w14:val="tx1"/>
                  </w14:solidFill>
                </w14:textFill>
              </w:rPr>
              <w:t>9</w:t>
            </w:r>
            <w:r>
              <w:rPr>
                <w:b/>
                <w:bCs/>
                <w:color w:val="000000" w:themeColor="text1"/>
                <w:sz w:val="21"/>
                <w:szCs w:val="21"/>
                <w14:textFill>
                  <w14:solidFill>
                    <w14:schemeClr w14:val="tx1"/>
                  </w14:solidFill>
                </w14:textFill>
              </w:rPr>
              <w:t>地下水污染</w:t>
            </w:r>
            <w:r>
              <w:rPr>
                <w:rFonts w:hint="eastAsia"/>
                <w:b/>
                <w:bCs/>
                <w:color w:val="000000" w:themeColor="text1"/>
                <w:sz w:val="21"/>
                <w:szCs w:val="21"/>
                <w:lang w:val="en-US" w:eastAsia="zh-CN"/>
                <w14:textFill>
                  <w14:solidFill>
                    <w14:schemeClr w14:val="tx1"/>
                  </w14:solidFill>
                </w14:textFill>
              </w:rPr>
              <w:t>防渗</w:t>
            </w:r>
            <w:r>
              <w:rPr>
                <w:b/>
                <w:bCs/>
                <w:color w:val="000000" w:themeColor="text1"/>
                <w:sz w:val="21"/>
                <w:szCs w:val="21"/>
                <w14:textFill>
                  <w14:solidFill>
                    <w14:schemeClr w14:val="tx1"/>
                  </w14:solidFill>
                </w14:textFill>
              </w:rPr>
              <w:t>分区参照表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304"/>
              <w:gridCol w:w="1412"/>
              <w:gridCol w:w="1198"/>
              <w:gridCol w:w="2583"/>
            </w:tblGrid>
            <w:tr w14:paraId="6C09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tcBorders>
                    <w:tl2br w:val="nil"/>
                    <w:tr2bl w:val="nil"/>
                  </w:tcBorders>
                  <w:vAlign w:val="center"/>
                </w:tcPr>
                <w:p w14:paraId="6FE9000A">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防渗区域</w:t>
                  </w:r>
                </w:p>
              </w:tc>
              <w:tc>
                <w:tcPr>
                  <w:tcW w:w="839" w:type="pct"/>
                  <w:tcBorders>
                    <w:tl2br w:val="nil"/>
                    <w:tr2bl w:val="nil"/>
                  </w:tcBorders>
                  <w:vAlign w:val="center"/>
                </w:tcPr>
                <w:p w14:paraId="4D4E03E8">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天然包气带防污性能</w:t>
                  </w:r>
                </w:p>
              </w:tc>
              <w:tc>
                <w:tcPr>
                  <w:tcW w:w="909" w:type="pct"/>
                  <w:tcBorders>
                    <w:tl2br w:val="nil"/>
                    <w:tr2bl w:val="nil"/>
                  </w:tcBorders>
                  <w:vAlign w:val="center"/>
                </w:tcPr>
                <w:p w14:paraId="61BD53AA">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污染控制难易程度</w:t>
                  </w:r>
                </w:p>
              </w:tc>
              <w:tc>
                <w:tcPr>
                  <w:tcW w:w="771" w:type="pct"/>
                  <w:tcBorders>
                    <w:tl2br w:val="nil"/>
                    <w:tr2bl w:val="nil"/>
                  </w:tcBorders>
                  <w:vAlign w:val="center"/>
                </w:tcPr>
                <w:p w14:paraId="038203DB">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污染物类型</w:t>
                  </w:r>
                </w:p>
              </w:tc>
              <w:tc>
                <w:tcPr>
                  <w:tcW w:w="1662" w:type="pct"/>
                  <w:tcBorders>
                    <w:tl2br w:val="nil"/>
                    <w:tr2bl w:val="nil"/>
                  </w:tcBorders>
                  <w:vAlign w:val="center"/>
                </w:tcPr>
                <w:p w14:paraId="44611206">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污染物防渗技术要求</w:t>
                  </w:r>
                </w:p>
              </w:tc>
            </w:tr>
            <w:tr w14:paraId="5E7D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restart"/>
                  <w:tcBorders>
                    <w:tl2br w:val="nil"/>
                    <w:tr2bl w:val="nil"/>
                  </w:tcBorders>
                  <w:vAlign w:val="center"/>
                </w:tcPr>
                <w:p w14:paraId="33206F1E">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重点防渗区</w:t>
                  </w:r>
                </w:p>
              </w:tc>
              <w:tc>
                <w:tcPr>
                  <w:tcW w:w="839" w:type="pct"/>
                  <w:tcBorders>
                    <w:tl2br w:val="nil"/>
                    <w:tr2bl w:val="nil"/>
                  </w:tcBorders>
                  <w:vAlign w:val="center"/>
                </w:tcPr>
                <w:p w14:paraId="03F1CBEF">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c>
                <w:tcPr>
                  <w:tcW w:w="909" w:type="pct"/>
                  <w:tcBorders>
                    <w:tl2br w:val="nil"/>
                    <w:tr2bl w:val="nil"/>
                  </w:tcBorders>
                  <w:vAlign w:val="center"/>
                </w:tcPr>
                <w:p w14:paraId="072B31F5">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难</w:t>
                  </w:r>
                </w:p>
              </w:tc>
              <w:tc>
                <w:tcPr>
                  <w:tcW w:w="771" w:type="pct"/>
                  <w:vMerge w:val="restart"/>
                  <w:tcBorders>
                    <w:tl2br w:val="nil"/>
                    <w:tr2bl w:val="nil"/>
                  </w:tcBorders>
                  <w:vAlign w:val="center"/>
                </w:tcPr>
                <w:p w14:paraId="09EA317D">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重金属、持久性有机污染物</w:t>
                  </w:r>
                </w:p>
              </w:tc>
              <w:tc>
                <w:tcPr>
                  <w:tcW w:w="1662" w:type="pct"/>
                  <w:vMerge w:val="restart"/>
                  <w:tcBorders>
                    <w:tl2br w:val="nil"/>
                    <w:tr2bl w:val="nil"/>
                  </w:tcBorders>
                  <w:vAlign w:val="center"/>
                </w:tcPr>
                <w:p w14:paraId="4780DBEE">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等效黏土防渗层Mb</w:t>
                  </w:r>
                  <w:r>
                    <w:rPr>
                      <w:rFonts w:hint="eastAsia" w:ascii="宋体" w:hAnsi="宋体" w:cs="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6m，K</w:t>
                  </w:r>
                  <w:r>
                    <w:rPr>
                      <w:rFonts w:hint="eastAsia" w:ascii="宋体" w:hAnsi="宋体" w:cs="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1×10</w:t>
                  </w:r>
                  <w:r>
                    <w:rPr>
                      <w:color w:val="000000" w:themeColor="text1"/>
                      <w:sz w:val="21"/>
                      <w:szCs w:val="21"/>
                      <w:vertAlign w:val="superscript"/>
                      <w14:textFill>
                        <w14:solidFill>
                          <w14:schemeClr w14:val="tx1"/>
                        </w14:solidFill>
                      </w14:textFill>
                    </w:rPr>
                    <w:t>-7</w:t>
                  </w:r>
                  <w:r>
                    <w:rPr>
                      <w:color w:val="000000" w:themeColor="text1"/>
                      <w:sz w:val="21"/>
                      <w:szCs w:val="21"/>
                      <w14:textFill>
                        <w14:solidFill>
                          <w14:schemeClr w14:val="tx1"/>
                        </w14:solidFill>
                      </w14:textFill>
                    </w:rPr>
                    <w:t>cm/s，或参照GB18598执行</w:t>
                  </w:r>
                </w:p>
              </w:tc>
            </w:tr>
            <w:tr w14:paraId="5419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vAlign w:val="center"/>
                </w:tcPr>
                <w:p w14:paraId="6296C36E">
                  <w:pPr>
                    <w:pStyle w:val="19"/>
                    <w:numPr>
                      <w:ilvl w:val="0"/>
                      <w:numId w:val="0"/>
                    </w:numPr>
                    <w:spacing w:line="240" w:lineRule="auto"/>
                    <w:jc w:val="center"/>
                    <w:rPr>
                      <w:color w:val="000000" w:themeColor="text1"/>
                      <w:sz w:val="21"/>
                      <w:szCs w:val="21"/>
                      <w14:textFill>
                        <w14:solidFill>
                          <w14:schemeClr w14:val="tx1"/>
                        </w14:solidFill>
                      </w14:textFill>
                    </w:rPr>
                  </w:pPr>
                </w:p>
              </w:tc>
              <w:tc>
                <w:tcPr>
                  <w:tcW w:w="839" w:type="pct"/>
                  <w:tcBorders>
                    <w:tl2br w:val="nil"/>
                    <w:tr2bl w:val="nil"/>
                  </w:tcBorders>
                  <w:vAlign w:val="center"/>
                </w:tcPr>
                <w:p w14:paraId="200A3C7A">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中－强</w:t>
                  </w:r>
                </w:p>
              </w:tc>
              <w:tc>
                <w:tcPr>
                  <w:tcW w:w="909" w:type="pct"/>
                  <w:tcBorders>
                    <w:tl2br w:val="nil"/>
                    <w:tr2bl w:val="nil"/>
                  </w:tcBorders>
                  <w:vAlign w:val="center"/>
                </w:tcPr>
                <w:p w14:paraId="286EFB82">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难</w:t>
                  </w:r>
                </w:p>
              </w:tc>
              <w:tc>
                <w:tcPr>
                  <w:tcW w:w="771" w:type="pct"/>
                  <w:vMerge w:val="continue"/>
                  <w:tcBorders>
                    <w:tl2br w:val="nil"/>
                    <w:tr2bl w:val="nil"/>
                  </w:tcBorders>
                  <w:vAlign w:val="center"/>
                </w:tcPr>
                <w:p w14:paraId="533B1D5E">
                  <w:pPr>
                    <w:pStyle w:val="19"/>
                    <w:numPr>
                      <w:ilvl w:val="0"/>
                      <w:numId w:val="0"/>
                    </w:numPr>
                    <w:spacing w:line="240" w:lineRule="auto"/>
                    <w:jc w:val="center"/>
                    <w:rPr>
                      <w:color w:val="000000" w:themeColor="text1"/>
                      <w:sz w:val="21"/>
                      <w:szCs w:val="21"/>
                      <w14:textFill>
                        <w14:solidFill>
                          <w14:schemeClr w14:val="tx1"/>
                        </w14:solidFill>
                      </w14:textFill>
                    </w:rPr>
                  </w:pPr>
                </w:p>
              </w:tc>
              <w:tc>
                <w:tcPr>
                  <w:tcW w:w="1662" w:type="pct"/>
                  <w:vMerge w:val="continue"/>
                  <w:tcBorders>
                    <w:tl2br w:val="nil"/>
                    <w:tr2bl w:val="nil"/>
                  </w:tcBorders>
                  <w:vAlign w:val="center"/>
                </w:tcPr>
                <w:p w14:paraId="3EED4496">
                  <w:pPr>
                    <w:pStyle w:val="19"/>
                    <w:numPr>
                      <w:ilvl w:val="0"/>
                      <w:numId w:val="0"/>
                    </w:numPr>
                    <w:spacing w:line="240" w:lineRule="auto"/>
                    <w:jc w:val="center"/>
                    <w:rPr>
                      <w:color w:val="000000" w:themeColor="text1"/>
                      <w:sz w:val="21"/>
                      <w:szCs w:val="21"/>
                      <w14:textFill>
                        <w14:solidFill>
                          <w14:schemeClr w14:val="tx1"/>
                        </w14:solidFill>
                      </w14:textFill>
                    </w:rPr>
                  </w:pPr>
                </w:p>
              </w:tc>
            </w:tr>
            <w:tr w14:paraId="0298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vAlign w:val="center"/>
                </w:tcPr>
                <w:p w14:paraId="75211C7F">
                  <w:pPr>
                    <w:pStyle w:val="19"/>
                    <w:numPr>
                      <w:ilvl w:val="0"/>
                      <w:numId w:val="0"/>
                    </w:numPr>
                    <w:spacing w:line="240" w:lineRule="auto"/>
                    <w:jc w:val="center"/>
                    <w:rPr>
                      <w:color w:val="000000" w:themeColor="text1"/>
                      <w:sz w:val="21"/>
                      <w:szCs w:val="21"/>
                      <w14:textFill>
                        <w14:solidFill>
                          <w14:schemeClr w14:val="tx1"/>
                        </w14:solidFill>
                      </w14:textFill>
                    </w:rPr>
                  </w:pPr>
                </w:p>
              </w:tc>
              <w:tc>
                <w:tcPr>
                  <w:tcW w:w="839" w:type="pct"/>
                  <w:tcBorders>
                    <w:tl2br w:val="nil"/>
                    <w:tr2bl w:val="nil"/>
                  </w:tcBorders>
                  <w:vAlign w:val="center"/>
                </w:tcPr>
                <w:p w14:paraId="39EE5363">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c>
                <w:tcPr>
                  <w:tcW w:w="909" w:type="pct"/>
                  <w:tcBorders>
                    <w:tl2br w:val="nil"/>
                    <w:tr2bl w:val="nil"/>
                  </w:tcBorders>
                  <w:vAlign w:val="center"/>
                </w:tcPr>
                <w:p w14:paraId="2B109CCF">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易</w:t>
                  </w:r>
                </w:p>
              </w:tc>
              <w:tc>
                <w:tcPr>
                  <w:tcW w:w="771" w:type="pct"/>
                  <w:vMerge w:val="continue"/>
                  <w:tcBorders>
                    <w:tl2br w:val="nil"/>
                    <w:tr2bl w:val="nil"/>
                  </w:tcBorders>
                  <w:vAlign w:val="center"/>
                </w:tcPr>
                <w:p w14:paraId="6C936C2F">
                  <w:pPr>
                    <w:pStyle w:val="19"/>
                    <w:numPr>
                      <w:ilvl w:val="0"/>
                      <w:numId w:val="0"/>
                    </w:numPr>
                    <w:spacing w:line="240" w:lineRule="auto"/>
                    <w:jc w:val="center"/>
                    <w:rPr>
                      <w:color w:val="000000" w:themeColor="text1"/>
                      <w:sz w:val="21"/>
                      <w:szCs w:val="21"/>
                      <w14:textFill>
                        <w14:solidFill>
                          <w14:schemeClr w14:val="tx1"/>
                        </w14:solidFill>
                      </w14:textFill>
                    </w:rPr>
                  </w:pPr>
                </w:p>
              </w:tc>
              <w:tc>
                <w:tcPr>
                  <w:tcW w:w="1662" w:type="pct"/>
                  <w:vMerge w:val="continue"/>
                  <w:tcBorders>
                    <w:tl2br w:val="nil"/>
                    <w:tr2bl w:val="nil"/>
                  </w:tcBorders>
                  <w:vAlign w:val="center"/>
                </w:tcPr>
                <w:p w14:paraId="15ED199C">
                  <w:pPr>
                    <w:pStyle w:val="19"/>
                    <w:numPr>
                      <w:ilvl w:val="0"/>
                      <w:numId w:val="0"/>
                    </w:numPr>
                    <w:spacing w:line="240" w:lineRule="auto"/>
                    <w:jc w:val="center"/>
                    <w:rPr>
                      <w:color w:val="000000" w:themeColor="text1"/>
                      <w:sz w:val="21"/>
                      <w:szCs w:val="21"/>
                      <w14:textFill>
                        <w14:solidFill>
                          <w14:schemeClr w14:val="tx1"/>
                        </w14:solidFill>
                      </w14:textFill>
                    </w:rPr>
                  </w:pPr>
                </w:p>
              </w:tc>
            </w:tr>
            <w:tr w14:paraId="1E6B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restart"/>
                  <w:tcBorders>
                    <w:tl2br w:val="nil"/>
                    <w:tr2bl w:val="nil"/>
                  </w:tcBorders>
                  <w:vAlign w:val="center"/>
                </w:tcPr>
                <w:p w14:paraId="57D89C9A">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一般防渗区</w:t>
                  </w:r>
                </w:p>
              </w:tc>
              <w:tc>
                <w:tcPr>
                  <w:tcW w:w="839" w:type="pct"/>
                  <w:tcBorders>
                    <w:tl2br w:val="nil"/>
                    <w:tr2bl w:val="nil"/>
                  </w:tcBorders>
                  <w:vAlign w:val="center"/>
                </w:tcPr>
                <w:p w14:paraId="70249B48">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c>
                <w:tcPr>
                  <w:tcW w:w="909" w:type="pct"/>
                  <w:tcBorders>
                    <w:tl2br w:val="nil"/>
                    <w:tr2bl w:val="nil"/>
                  </w:tcBorders>
                  <w:vAlign w:val="center"/>
                </w:tcPr>
                <w:p w14:paraId="650251A3">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易－难</w:t>
                  </w:r>
                </w:p>
              </w:tc>
              <w:tc>
                <w:tcPr>
                  <w:tcW w:w="771" w:type="pct"/>
                  <w:vMerge w:val="restart"/>
                  <w:tcBorders>
                    <w:tl2br w:val="nil"/>
                    <w:tr2bl w:val="nil"/>
                  </w:tcBorders>
                  <w:vAlign w:val="center"/>
                </w:tcPr>
                <w:p w14:paraId="56931D11">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其他类型</w:t>
                  </w:r>
                </w:p>
              </w:tc>
              <w:tc>
                <w:tcPr>
                  <w:tcW w:w="1662" w:type="pct"/>
                  <w:vMerge w:val="restart"/>
                  <w:tcBorders>
                    <w:tl2br w:val="nil"/>
                    <w:tr2bl w:val="nil"/>
                  </w:tcBorders>
                  <w:vAlign w:val="center"/>
                </w:tcPr>
                <w:p w14:paraId="545BE949">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等效黏土防渗层Mb</w:t>
                  </w:r>
                  <w:r>
                    <w:rPr>
                      <w:rFonts w:hint="eastAsia" w:ascii="宋体" w:hAnsi="宋体" w:cs="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1.5m，K</w:t>
                  </w:r>
                  <w:r>
                    <w:rPr>
                      <w:rFonts w:hint="eastAsia" w:ascii="宋体" w:hAnsi="宋体" w:cs="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1×10</w:t>
                  </w:r>
                  <w:r>
                    <w:rPr>
                      <w:color w:val="000000" w:themeColor="text1"/>
                      <w:sz w:val="21"/>
                      <w:szCs w:val="21"/>
                      <w:vertAlign w:val="superscript"/>
                      <w14:textFill>
                        <w14:solidFill>
                          <w14:schemeClr w14:val="tx1"/>
                        </w14:solidFill>
                      </w14:textFill>
                    </w:rPr>
                    <w:t>-7</w:t>
                  </w:r>
                  <w:r>
                    <w:rPr>
                      <w:color w:val="000000" w:themeColor="text1"/>
                      <w:sz w:val="21"/>
                      <w:szCs w:val="21"/>
                      <w14:textFill>
                        <w14:solidFill>
                          <w14:schemeClr w14:val="tx1"/>
                        </w14:solidFill>
                      </w14:textFill>
                    </w:rPr>
                    <w:t>cm/s，或参照GB16889执行</w:t>
                  </w:r>
                </w:p>
              </w:tc>
            </w:tr>
            <w:tr w14:paraId="24CF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vAlign w:val="center"/>
                </w:tcPr>
                <w:p w14:paraId="2C3A1CB0">
                  <w:pPr>
                    <w:pStyle w:val="19"/>
                    <w:numPr>
                      <w:ilvl w:val="0"/>
                      <w:numId w:val="0"/>
                    </w:numPr>
                    <w:spacing w:line="240" w:lineRule="auto"/>
                    <w:jc w:val="center"/>
                    <w:rPr>
                      <w:color w:val="000000" w:themeColor="text1"/>
                      <w:sz w:val="21"/>
                      <w:szCs w:val="21"/>
                      <w14:textFill>
                        <w14:solidFill>
                          <w14:schemeClr w14:val="tx1"/>
                        </w14:solidFill>
                      </w14:textFill>
                    </w:rPr>
                  </w:pPr>
                </w:p>
              </w:tc>
              <w:tc>
                <w:tcPr>
                  <w:tcW w:w="839" w:type="pct"/>
                  <w:tcBorders>
                    <w:tl2br w:val="nil"/>
                    <w:tr2bl w:val="nil"/>
                  </w:tcBorders>
                  <w:vAlign w:val="center"/>
                </w:tcPr>
                <w:p w14:paraId="0E5D187C">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中－强</w:t>
                  </w:r>
                </w:p>
              </w:tc>
              <w:tc>
                <w:tcPr>
                  <w:tcW w:w="909" w:type="pct"/>
                  <w:tcBorders>
                    <w:tl2br w:val="nil"/>
                    <w:tr2bl w:val="nil"/>
                  </w:tcBorders>
                  <w:vAlign w:val="center"/>
                </w:tcPr>
                <w:p w14:paraId="4FC546EE">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难</w:t>
                  </w:r>
                </w:p>
              </w:tc>
              <w:tc>
                <w:tcPr>
                  <w:tcW w:w="771" w:type="pct"/>
                  <w:vMerge w:val="continue"/>
                  <w:tcBorders>
                    <w:tl2br w:val="nil"/>
                    <w:tr2bl w:val="nil"/>
                  </w:tcBorders>
                  <w:vAlign w:val="center"/>
                </w:tcPr>
                <w:p w14:paraId="4377B727">
                  <w:pPr>
                    <w:pStyle w:val="19"/>
                    <w:numPr>
                      <w:ilvl w:val="0"/>
                      <w:numId w:val="0"/>
                    </w:numPr>
                    <w:spacing w:line="240" w:lineRule="auto"/>
                    <w:jc w:val="center"/>
                    <w:rPr>
                      <w:color w:val="000000" w:themeColor="text1"/>
                      <w:sz w:val="21"/>
                      <w:szCs w:val="21"/>
                      <w14:textFill>
                        <w14:solidFill>
                          <w14:schemeClr w14:val="tx1"/>
                        </w14:solidFill>
                      </w14:textFill>
                    </w:rPr>
                  </w:pPr>
                </w:p>
              </w:tc>
              <w:tc>
                <w:tcPr>
                  <w:tcW w:w="1662" w:type="pct"/>
                  <w:vMerge w:val="continue"/>
                  <w:tcBorders>
                    <w:tl2br w:val="nil"/>
                    <w:tr2bl w:val="nil"/>
                  </w:tcBorders>
                  <w:vAlign w:val="center"/>
                </w:tcPr>
                <w:p w14:paraId="4947F663">
                  <w:pPr>
                    <w:pStyle w:val="19"/>
                    <w:numPr>
                      <w:ilvl w:val="0"/>
                      <w:numId w:val="0"/>
                    </w:numPr>
                    <w:spacing w:line="240" w:lineRule="auto"/>
                    <w:jc w:val="center"/>
                    <w:rPr>
                      <w:color w:val="000000" w:themeColor="text1"/>
                      <w:sz w:val="21"/>
                      <w:szCs w:val="21"/>
                      <w14:textFill>
                        <w14:solidFill>
                          <w14:schemeClr w14:val="tx1"/>
                        </w14:solidFill>
                      </w14:textFill>
                    </w:rPr>
                  </w:pPr>
                </w:p>
              </w:tc>
            </w:tr>
            <w:tr w14:paraId="7358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vAlign w:val="center"/>
                </w:tcPr>
                <w:p w14:paraId="541BFD14">
                  <w:pPr>
                    <w:pStyle w:val="19"/>
                    <w:numPr>
                      <w:ilvl w:val="0"/>
                      <w:numId w:val="0"/>
                    </w:numPr>
                    <w:spacing w:line="240" w:lineRule="auto"/>
                    <w:jc w:val="center"/>
                    <w:rPr>
                      <w:color w:val="000000" w:themeColor="text1"/>
                      <w:sz w:val="21"/>
                      <w:szCs w:val="21"/>
                      <w14:textFill>
                        <w14:solidFill>
                          <w14:schemeClr w14:val="tx1"/>
                        </w14:solidFill>
                      </w14:textFill>
                    </w:rPr>
                  </w:pPr>
                </w:p>
              </w:tc>
              <w:tc>
                <w:tcPr>
                  <w:tcW w:w="839" w:type="pct"/>
                  <w:tcBorders>
                    <w:tl2br w:val="nil"/>
                    <w:tr2bl w:val="nil"/>
                  </w:tcBorders>
                  <w:vAlign w:val="center"/>
                </w:tcPr>
                <w:p w14:paraId="2ED10264">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中</w:t>
                  </w:r>
                </w:p>
              </w:tc>
              <w:tc>
                <w:tcPr>
                  <w:tcW w:w="909" w:type="pct"/>
                  <w:tcBorders>
                    <w:tl2br w:val="nil"/>
                    <w:tr2bl w:val="nil"/>
                  </w:tcBorders>
                  <w:vAlign w:val="center"/>
                </w:tcPr>
                <w:p w14:paraId="0B1D2E0E">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易</w:t>
                  </w:r>
                </w:p>
              </w:tc>
              <w:tc>
                <w:tcPr>
                  <w:tcW w:w="771" w:type="pct"/>
                  <w:vMerge w:val="restart"/>
                  <w:tcBorders>
                    <w:tl2br w:val="nil"/>
                    <w:tr2bl w:val="nil"/>
                  </w:tcBorders>
                  <w:vAlign w:val="center"/>
                </w:tcPr>
                <w:p w14:paraId="3677F450">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重金属、持久性有机污染物</w:t>
                  </w:r>
                </w:p>
              </w:tc>
              <w:tc>
                <w:tcPr>
                  <w:tcW w:w="1662" w:type="pct"/>
                  <w:vMerge w:val="continue"/>
                  <w:tcBorders>
                    <w:tl2br w:val="nil"/>
                    <w:tr2bl w:val="nil"/>
                  </w:tcBorders>
                  <w:vAlign w:val="center"/>
                </w:tcPr>
                <w:p w14:paraId="2FFDA7AD">
                  <w:pPr>
                    <w:pStyle w:val="19"/>
                    <w:numPr>
                      <w:ilvl w:val="0"/>
                      <w:numId w:val="0"/>
                    </w:numPr>
                    <w:spacing w:line="240" w:lineRule="auto"/>
                    <w:jc w:val="center"/>
                    <w:rPr>
                      <w:color w:val="000000" w:themeColor="text1"/>
                      <w:sz w:val="21"/>
                      <w:szCs w:val="21"/>
                      <w14:textFill>
                        <w14:solidFill>
                          <w14:schemeClr w14:val="tx1"/>
                        </w14:solidFill>
                      </w14:textFill>
                    </w:rPr>
                  </w:pPr>
                </w:p>
              </w:tc>
            </w:tr>
            <w:tr w14:paraId="2225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vAlign w:val="center"/>
                </w:tcPr>
                <w:p w14:paraId="7FECD342">
                  <w:pPr>
                    <w:pStyle w:val="19"/>
                    <w:numPr>
                      <w:ilvl w:val="0"/>
                      <w:numId w:val="0"/>
                    </w:numPr>
                    <w:spacing w:line="240" w:lineRule="auto"/>
                    <w:jc w:val="center"/>
                    <w:rPr>
                      <w:color w:val="000000" w:themeColor="text1"/>
                      <w:sz w:val="21"/>
                      <w:szCs w:val="21"/>
                      <w14:textFill>
                        <w14:solidFill>
                          <w14:schemeClr w14:val="tx1"/>
                        </w14:solidFill>
                      </w14:textFill>
                    </w:rPr>
                  </w:pPr>
                </w:p>
              </w:tc>
              <w:tc>
                <w:tcPr>
                  <w:tcW w:w="839" w:type="pct"/>
                  <w:tcBorders>
                    <w:tl2br w:val="nil"/>
                    <w:tr2bl w:val="nil"/>
                  </w:tcBorders>
                  <w:vAlign w:val="center"/>
                </w:tcPr>
                <w:p w14:paraId="48853E2A">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强</w:t>
                  </w:r>
                </w:p>
              </w:tc>
              <w:tc>
                <w:tcPr>
                  <w:tcW w:w="909" w:type="pct"/>
                  <w:tcBorders>
                    <w:tl2br w:val="nil"/>
                    <w:tr2bl w:val="nil"/>
                  </w:tcBorders>
                  <w:vAlign w:val="center"/>
                </w:tcPr>
                <w:p w14:paraId="540F9853">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易</w:t>
                  </w:r>
                </w:p>
              </w:tc>
              <w:tc>
                <w:tcPr>
                  <w:tcW w:w="771" w:type="pct"/>
                  <w:vMerge w:val="continue"/>
                  <w:tcBorders>
                    <w:tl2br w:val="nil"/>
                    <w:tr2bl w:val="nil"/>
                  </w:tcBorders>
                  <w:vAlign w:val="center"/>
                </w:tcPr>
                <w:p w14:paraId="74E8D56E">
                  <w:pPr>
                    <w:pStyle w:val="19"/>
                    <w:numPr>
                      <w:ilvl w:val="0"/>
                      <w:numId w:val="0"/>
                    </w:numPr>
                    <w:spacing w:line="240" w:lineRule="auto"/>
                    <w:jc w:val="center"/>
                    <w:rPr>
                      <w:color w:val="000000" w:themeColor="text1"/>
                      <w:sz w:val="21"/>
                      <w:szCs w:val="21"/>
                      <w14:textFill>
                        <w14:solidFill>
                          <w14:schemeClr w14:val="tx1"/>
                        </w14:solidFill>
                      </w14:textFill>
                    </w:rPr>
                  </w:pPr>
                </w:p>
              </w:tc>
              <w:tc>
                <w:tcPr>
                  <w:tcW w:w="1662" w:type="pct"/>
                  <w:vMerge w:val="continue"/>
                  <w:tcBorders>
                    <w:tl2br w:val="nil"/>
                    <w:tr2bl w:val="nil"/>
                  </w:tcBorders>
                  <w:vAlign w:val="center"/>
                </w:tcPr>
                <w:p w14:paraId="3800ABE8">
                  <w:pPr>
                    <w:pStyle w:val="19"/>
                    <w:numPr>
                      <w:ilvl w:val="0"/>
                      <w:numId w:val="0"/>
                    </w:numPr>
                    <w:spacing w:line="240" w:lineRule="auto"/>
                    <w:jc w:val="center"/>
                    <w:rPr>
                      <w:color w:val="000000" w:themeColor="text1"/>
                      <w:sz w:val="21"/>
                      <w:szCs w:val="21"/>
                      <w14:textFill>
                        <w14:solidFill>
                          <w14:schemeClr w14:val="tx1"/>
                        </w14:solidFill>
                      </w14:textFill>
                    </w:rPr>
                  </w:pPr>
                </w:p>
              </w:tc>
            </w:tr>
            <w:tr w14:paraId="1C48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tcBorders>
                    <w:tl2br w:val="nil"/>
                    <w:tr2bl w:val="nil"/>
                  </w:tcBorders>
                  <w:vAlign w:val="center"/>
                </w:tcPr>
                <w:p w14:paraId="7C3F58ED">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简单防渗区</w:t>
                  </w:r>
                </w:p>
              </w:tc>
              <w:tc>
                <w:tcPr>
                  <w:tcW w:w="839" w:type="pct"/>
                  <w:tcBorders>
                    <w:tl2br w:val="nil"/>
                    <w:tr2bl w:val="nil"/>
                  </w:tcBorders>
                  <w:vAlign w:val="center"/>
                </w:tcPr>
                <w:p w14:paraId="6B4FFBA6">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中－强</w:t>
                  </w:r>
                </w:p>
              </w:tc>
              <w:tc>
                <w:tcPr>
                  <w:tcW w:w="909" w:type="pct"/>
                  <w:tcBorders>
                    <w:tl2br w:val="nil"/>
                    <w:tr2bl w:val="nil"/>
                  </w:tcBorders>
                  <w:vAlign w:val="center"/>
                </w:tcPr>
                <w:p w14:paraId="132F4694">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易</w:t>
                  </w:r>
                </w:p>
              </w:tc>
              <w:tc>
                <w:tcPr>
                  <w:tcW w:w="771" w:type="pct"/>
                  <w:tcBorders>
                    <w:tl2br w:val="nil"/>
                    <w:tr2bl w:val="nil"/>
                  </w:tcBorders>
                  <w:vAlign w:val="center"/>
                </w:tcPr>
                <w:p w14:paraId="6CD6B70B">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其他类型</w:t>
                  </w:r>
                </w:p>
              </w:tc>
              <w:tc>
                <w:tcPr>
                  <w:tcW w:w="1662" w:type="pct"/>
                  <w:tcBorders>
                    <w:tl2br w:val="nil"/>
                    <w:tr2bl w:val="nil"/>
                  </w:tcBorders>
                  <w:vAlign w:val="center"/>
                </w:tcPr>
                <w:p w14:paraId="212870E8">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一般地面硬化</w:t>
                  </w:r>
                </w:p>
              </w:tc>
            </w:tr>
          </w:tbl>
          <w:p w14:paraId="5981D708">
            <w:pPr>
              <w:widowControl/>
              <w:autoSpaceDE w:val="0"/>
              <w:autoSpaceDN w:val="0"/>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根据各</w:t>
            </w:r>
            <w:r>
              <w:rPr>
                <w:rFonts w:hint="eastAsia"/>
                <w:color w:val="000000" w:themeColor="text1"/>
                <w:kern w:val="0"/>
                <w:lang w:bidi="ar"/>
                <w14:textFill>
                  <w14:solidFill>
                    <w14:schemeClr w14:val="tx1"/>
                  </w14:solidFill>
                </w14:textFill>
              </w:rPr>
              <w:t>功能</w:t>
            </w:r>
            <w:r>
              <w:rPr>
                <w:color w:val="000000" w:themeColor="text1"/>
                <w:kern w:val="0"/>
                <w:lang w:bidi="ar"/>
                <w14:textFill>
                  <w14:solidFill>
                    <w14:schemeClr w14:val="tx1"/>
                  </w14:solidFill>
                </w14:textFill>
              </w:rPr>
              <w:t>区可能泄露至地面区域污染物的性质和</w:t>
            </w:r>
            <w:r>
              <w:rPr>
                <w:rFonts w:hint="eastAsia"/>
                <w:color w:val="000000" w:themeColor="text1"/>
                <w:kern w:val="0"/>
                <w:lang w:bidi="ar"/>
                <w14:textFill>
                  <w14:solidFill>
                    <w14:schemeClr w14:val="tx1"/>
                  </w14:solidFill>
                </w14:textFill>
              </w:rPr>
              <w:t>功能</w:t>
            </w:r>
            <w:r>
              <w:rPr>
                <w:color w:val="000000" w:themeColor="text1"/>
                <w:kern w:val="0"/>
                <w:lang w:bidi="ar"/>
                <w14:textFill>
                  <w14:solidFill>
                    <w14:schemeClr w14:val="tx1"/>
                  </w14:solidFill>
                </w14:textFill>
              </w:rPr>
              <w:t>单元的构筑方式，潜在的地下水污染源分类分析，将</w:t>
            </w:r>
            <w:r>
              <w:rPr>
                <w:rFonts w:hint="eastAsia"/>
                <w:color w:val="000000" w:themeColor="text1"/>
                <w:kern w:val="0"/>
                <w:lang w:bidi="ar"/>
                <w14:textFill>
                  <w14:solidFill>
                    <w14:schemeClr w14:val="tx1"/>
                  </w14:solidFill>
                </w14:textFill>
              </w:rPr>
              <w:t>试验楼</w:t>
            </w:r>
            <w:r>
              <w:rPr>
                <w:color w:val="000000" w:themeColor="text1"/>
                <w:kern w:val="0"/>
                <w:lang w:bidi="ar"/>
                <w14:textFill>
                  <w14:solidFill>
                    <w14:schemeClr w14:val="tx1"/>
                  </w14:solidFill>
                </w14:textFill>
              </w:rPr>
              <w:t>划分为重点防渗区、一般防渗区和简单防渗区。</w:t>
            </w:r>
          </w:p>
          <w:p w14:paraId="6FA451C8">
            <w:pPr>
              <w:widowControl/>
              <w:autoSpaceDE w:val="0"/>
              <w:autoSpaceDN w:val="0"/>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重点防渗区：</w:t>
            </w:r>
            <w:r>
              <w:rPr>
                <w:rFonts w:hint="eastAsia"/>
                <w:color w:val="000000" w:themeColor="text1"/>
                <w:kern w:val="0"/>
                <w:lang w:bidi="ar"/>
                <w14:textFill>
                  <w14:solidFill>
                    <w14:schemeClr w14:val="tx1"/>
                  </w14:solidFill>
                </w14:textFill>
              </w:rPr>
              <w:t>1楼</w:t>
            </w:r>
            <w:r>
              <w:rPr>
                <w:color w:val="000000" w:themeColor="text1"/>
                <w:kern w:val="0"/>
                <w:lang w:bidi="ar"/>
                <w14:textFill>
                  <w14:solidFill>
                    <w14:schemeClr w14:val="tx1"/>
                  </w14:solidFill>
                </w14:textFill>
              </w:rPr>
              <w:t>危废暂存间</w:t>
            </w:r>
            <w:r>
              <w:rPr>
                <w:rFonts w:hint="eastAsia"/>
                <w:color w:val="000000" w:themeColor="text1"/>
                <w:kern w:val="0"/>
                <w:lang w:bidi="ar"/>
                <w14:textFill>
                  <w14:solidFill>
                    <w14:schemeClr w14:val="tx1"/>
                  </w14:solidFill>
                </w14:textFill>
              </w:rPr>
              <w:t>（废酸、废液暂存间）</w:t>
            </w:r>
            <w:r>
              <w:rPr>
                <w:color w:val="000000" w:themeColor="text1"/>
                <w:kern w:val="0"/>
                <w:lang w:bidi="ar"/>
                <w14:textFill>
                  <w14:solidFill>
                    <w14:schemeClr w14:val="tx1"/>
                  </w14:solidFill>
                </w14:textFill>
              </w:rPr>
              <w:t>。</w:t>
            </w:r>
          </w:p>
          <w:p w14:paraId="107E082A">
            <w:pPr>
              <w:widowControl/>
              <w:autoSpaceDE w:val="0"/>
              <w:autoSpaceDN w:val="0"/>
              <w:ind w:firstLine="480"/>
              <w:rPr>
                <w:rFonts w:hint="eastAsia" w:eastAsia="宋体"/>
                <w:color w:val="000000" w:themeColor="text1"/>
                <w:kern w:val="0"/>
                <w:lang w:eastAsia="zh-CN" w:bidi="ar"/>
                <w14:textFill>
                  <w14:solidFill>
                    <w14:schemeClr w14:val="tx1"/>
                  </w14:solidFill>
                </w14:textFill>
              </w:rPr>
            </w:pPr>
            <w:r>
              <w:rPr>
                <w:color w:val="000000" w:themeColor="text1"/>
                <w:kern w:val="0"/>
                <w:lang w:bidi="ar"/>
                <w14:textFill>
                  <w14:solidFill>
                    <w14:schemeClr w14:val="tx1"/>
                  </w14:solidFill>
                </w14:textFill>
              </w:rPr>
              <w:t>一般防渗区：包括</w:t>
            </w:r>
            <w:r>
              <w:rPr>
                <w:rFonts w:hint="eastAsia"/>
                <w:color w:val="000000" w:themeColor="text1"/>
                <w:kern w:val="0"/>
                <w:lang w:bidi="ar"/>
                <w14:textFill>
                  <w14:solidFill>
                    <w14:schemeClr w14:val="tx1"/>
                  </w14:solidFill>
                </w14:textFill>
              </w:rPr>
              <w:t>1楼</w:t>
            </w:r>
            <w:r>
              <w:rPr>
                <w:rFonts w:hint="eastAsia"/>
                <w:color w:val="000000" w:themeColor="text1"/>
                <w:kern w:val="0"/>
                <w:lang w:val="en-US" w:eastAsia="zh-CN" w:bidi="ar"/>
                <w14:textFill>
                  <w14:solidFill>
                    <w14:schemeClr w14:val="tx1"/>
                  </w14:solidFill>
                </w14:textFill>
              </w:rPr>
              <w:t>危险化学品库房</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2楼化学实验室</w:t>
            </w:r>
            <w:r>
              <w:rPr>
                <w:rFonts w:hint="eastAsia"/>
                <w:color w:val="000000" w:themeColor="text1"/>
                <w:lang w:eastAsia="zh-CN"/>
                <w14:textFill>
                  <w14:solidFill>
                    <w14:schemeClr w14:val="tx1"/>
                  </w14:solidFill>
                </w14:textFill>
              </w:rPr>
              <w:t>。</w:t>
            </w:r>
          </w:p>
          <w:p w14:paraId="2A171CF0">
            <w:pPr>
              <w:widowControl/>
              <w:autoSpaceDE w:val="0"/>
              <w:autoSpaceDN w:val="0"/>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简单防渗区：包括</w:t>
            </w:r>
            <w:r>
              <w:rPr>
                <w:rFonts w:hint="eastAsia"/>
                <w:color w:val="000000" w:themeColor="text1"/>
                <w:kern w:val="0"/>
                <w:lang w:eastAsia="zh-CN" w:bidi="ar"/>
                <w14:textFill>
                  <w14:solidFill>
                    <w14:schemeClr w14:val="tx1"/>
                  </w14:solidFill>
                </w14:textFill>
              </w:rPr>
              <w:t>其他</w:t>
            </w:r>
            <w:r>
              <w:rPr>
                <w:rFonts w:hint="eastAsia"/>
                <w:color w:val="000000" w:themeColor="text1"/>
                <w:kern w:val="0"/>
                <w:lang w:bidi="ar"/>
                <w14:textFill>
                  <w14:solidFill>
                    <w14:schemeClr w14:val="tx1"/>
                  </w14:solidFill>
                </w14:textFill>
              </w:rPr>
              <w:t>实验室</w:t>
            </w:r>
            <w:r>
              <w:rPr>
                <w:color w:val="000000" w:themeColor="text1"/>
                <w:kern w:val="0"/>
                <w:lang w:bidi="ar"/>
                <w14:textFill>
                  <w14:solidFill>
                    <w14:schemeClr w14:val="tx1"/>
                  </w14:solidFill>
                </w14:textFill>
              </w:rPr>
              <w:t>地面。</w:t>
            </w:r>
          </w:p>
          <w:p w14:paraId="33BD1FDC">
            <w:pPr>
              <w:widowControl/>
              <w:autoSpaceDE w:val="0"/>
              <w:autoSpaceDN w:val="0"/>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根据以上分区情况，对各部分防渗分区情况进行统计。</w:t>
            </w:r>
          </w:p>
          <w:p w14:paraId="1BCF1D87">
            <w:pPr>
              <w:widowControl/>
              <w:spacing w:line="240" w:lineRule="auto"/>
              <w:ind w:firstLine="482"/>
              <w:jc w:val="center"/>
              <w:rPr>
                <w:b/>
                <w:bCs/>
                <w:color w:val="000000" w:themeColor="text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20</w:t>
            </w:r>
            <w:r>
              <w:rPr>
                <w:b/>
                <w:bCs/>
                <w:color w:val="000000" w:themeColor="text1"/>
                <w:sz w:val="21"/>
                <w:szCs w:val="21"/>
                <w14:textFill>
                  <w14:solidFill>
                    <w14:schemeClr w14:val="tx1"/>
                  </w14:solidFill>
                </w14:textFill>
              </w:rPr>
              <w:t>本项目地下水污染途径及应采取的防治措施</w:t>
            </w:r>
          </w:p>
          <w:tbl>
            <w:tblPr>
              <w:tblStyle w:val="2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493"/>
              <w:gridCol w:w="2124"/>
              <w:gridCol w:w="3038"/>
            </w:tblGrid>
            <w:tr w14:paraId="2D12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15" w:type="pct"/>
                  <w:tcBorders>
                    <w:tl2br w:val="nil"/>
                    <w:tr2bl w:val="nil"/>
                  </w:tcBorders>
                  <w:vAlign w:val="center"/>
                </w:tcPr>
                <w:p w14:paraId="52044C35">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防渗级别</w:t>
                  </w:r>
                </w:p>
              </w:tc>
              <w:tc>
                <w:tcPr>
                  <w:tcW w:w="961" w:type="pct"/>
                  <w:tcBorders>
                    <w:tl2br w:val="nil"/>
                    <w:tr2bl w:val="nil"/>
                  </w:tcBorders>
                  <w:vAlign w:val="center"/>
                </w:tcPr>
                <w:p w14:paraId="2A8D619D">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区域</w:t>
                  </w:r>
                </w:p>
              </w:tc>
              <w:tc>
                <w:tcPr>
                  <w:tcW w:w="1367" w:type="pct"/>
                  <w:tcBorders>
                    <w:tl2br w:val="nil"/>
                    <w:tr2bl w:val="nil"/>
                  </w:tcBorders>
                  <w:vAlign w:val="center"/>
                </w:tcPr>
                <w:p w14:paraId="18DE0BD5">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防渗要求</w:t>
                  </w:r>
                </w:p>
              </w:tc>
              <w:tc>
                <w:tcPr>
                  <w:tcW w:w="1955" w:type="pct"/>
                  <w:tcBorders>
                    <w:tl2br w:val="nil"/>
                    <w:tr2bl w:val="nil"/>
                  </w:tcBorders>
                  <w:vAlign w:val="center"/>
                </w:tcPr>
                <w:p w14:paraId="255ADC88">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防渗工艺</w:t>
                  </w:r>
                </w:p>
              </w:tc>
            </w:tr>
            <w:tr w14:paraId="3712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715" w:type="pct"/>
                  <w:tcBorders>
                    <w:tl2br w:val="nil"/>
                    <w:tr2bl w:val="nil"/>
                  </w:tcBorders>
                  <w:vAlign w:val="center"/>
                </w:tcPr>
                <w:p w14:paraId="73424E17">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重点防渗</w:t>
                  </w:r>
                </w:p>
              </w:tc>
              <w:tc>
                <w:tcPr>
                  <w:tcW w:w="961" w:type="pct"/>
                  <w:tcBorders>
                    <w:tl2br w:val="nil"/>
                    <w:tr2bl w:val="nil"/>
                  </w:tcBorders>
                  <w:vAlign w:val="center"/>
                </w:tcPr>
                <w:p w14:paraId="772316C2">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1楼</w:t>
                  </w:r>
                  <w:r>
                    <w:rPr>
                      <w:color w:val="000000" w:themeColor="text1"/>
                      <w:sz w:val="21"/>
                      <w:szCs w:val="21"/>
                      <w14:textFill>
                        <w14:solidFill>
                          <w14:schemeClr w14:val="tx1"/>
                        </w14:solidFill>
                      </w14:textFill>
                    </w:rPr>
                    <w:t>危废暂存间</w:t>
                  </w:r>
                </w:p>
              </w:tc>
              <w:tc>
                <w:tcPr>
                  <w:tcW w:w="1367" w:type="pct"/>
                  <w:tcBorders>
                    <w:tl2br w:val="nil"/>
                    <w:tr2bl w:val="nil"/>
                  </w:tcBorders>
                  <w:vAlign w:val="center"/>
                </w:tcPr>
                <w:p w14:paraId="0837DB74">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重点防渗区，设防渗检漏系统；渗透系数≤1.0×10</w:t>
                  </w:r>
                  <w:r>
                    <w:rPr>
                      <w:color w:val="000000" w:themeColor="text1"/>
                      <w:sz w:val="21"/>
                      <w:szCs w:val="21"/>
                      <w:vertAlign w:val="superscript"/>
                      <w14:textFill>
                        <w14:solidFill>
                          <w14:schemeClr w14:val="tx1"/>
                        </w14:solidFill>
                      </w14:textFill>
                    </w:rPr>
                    <w:t>-10</w:t>
                  </w:r>
                  <w:r>
                    <w:rPr>
                      <w:color w:val="000000" w:themeColor="text1"/>
                      <w:sz w:val="21"/>
                      <w:szCs w:val="21"/>
                      <w14:textFill>
                        <w14:solidFill>
                          <w14:schemeClr w14:val="tx1"/>
                        </w14:solidFill>
                      </w14:textFill>
                    </w:rPr>
                    <w:t>cm/s</w:t>
                  </w:r>
                </w:p>
              </w:tc>
              <w:tc>
                <w:tcPr>
                  <w:tcW w:w="1955" w:type="pct"/>
                  <w:tcBorders>
                    <w:tl2br w:val="nil"/>
                    <w:tr2bl w:val="nil"/>
                  </w:tcBorders>
                  <w:vAlign w:val="center"/>
                </w:tcPr>
                <w:p w14:paraId="0562FD08">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重点防渗区域采用HDPE膜+水泥基渗透结晶型抗渗混凝土（厚度≥250mm）。其下铺砌砂石基层，原土夯实达到防渗目的</w:t>
                  </w:r>
                </w:p>
              </w:tc>
            </w:tr>
            <w:tr w14:paraId="679C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15" w:type="pct"/>
                  <w:tcBorders>
                    <w:tl2br w:val="nil"/>
                    <w:tr2bl w:val="nil"/>
                  </w:tcBorders>
                  <w:vAlign w:val="center"/>
                </w:tcPr>
                <w:p w14:paraId="526F6700">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一般防渗</w:t>
                  </w:r>
                </w:p>
              </w:tc>
              <w:tc>
                <w:tcPr>
                  <w:tcW w:w="961" w:type="pct"/>
                  <w:tcBorders>
                    <w:tl2br w:val="nil"/>
                    <w:tr2bl w:val="nil"/>
                  </w:tcBorders>
                  <w:vAlign w:val="center"/>
                </w:tcPr>
                <w:p w14:paraId="56614DEC">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危险化学品库房、2楼化学实验室</w:t>
                  </w:r>
                </w:p>
              </w:tc>
              <w:tc>
                <w:tcPr>
                  <w:tcW w:w="1367" w:type="pct"/>
                  <w:tcBorders>
                    <w:tl2br w:val="nil"/>
                    <w:tr2bl w:val="nil"/>
                  </w:tcBorders>
                  <w:vAlign w:val="center"/>
                </w:tcPr>
                <w:p w14:paraId="73A67FBE">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一般防渗区，设防渗检漏系统；渗透系数≤1.0×10</w:t>
                  </w:r>
                  <w:r>
                    <w:rPr>
                      <w:color w:val="000000" w:themeColor="text1"/>
                      <w:sz w:val="21"/>
                      <w:szCs w:val="21"/>
                      <w:vertAlign w:val="superscript"/>
                      <w14:textFill>
                        <w14:solidFill>
                          <w14:schemeClr w14:val="tx1"/>
                        </w14:solidFill>
                      </w14:textFill>
                    </w:rPr>
                    <w:t>-7</w:t>
                  </w:r>
                  <w:r>
                    <w:rPr>
                      <w:color w:val="000000" w:themeColor="text1"/>
                      <w:sz w:val="21"/>
                      <w:szCs w:val="21"/>
                      <w14:textFill>
                        <w14:solidFill>
                          <w14:schemeClr w14:val="tx1"/>
                        </w14:solidFill>
                      </w14:textFill>
                    </w:rPr>
                    <w:t>cm/s</w:t>
                  </w:r>
                </w:p>
              </w:tc>
              <w:tc>
                <w:tcPr>
                  <w:tcW w:w="1955" w:type="pct"/>
                  <w:tcBorders>
                    <w:tl2br w:val="nil"/>
                    <w:tr2bl w:val="nil"/>
                  </w:tcBorders>
                  <w:vAlign w:val="center"/>
                </w:tcPr>
                <w:p w14:paraId="2C731CF3">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采用抗渗混凝土（厚度≥100mm），其下铺砌砂石基层，原土夯实达到防渗目的</w:t>
                  </w:r>
                </w:p>
              </w:tc>
            </w:tr>
            <w:tr w14:paraId="2615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15" w:type="pct"/>
                  <w:tcBorders>
                    <w:tl2br w:val="nil"/>
                    <w:tr2bl w:val="nil"/>
                  </w:tcBorders>
                  <w:vAlign w:val="center"/>
                </w:tcPr>
                <w:p w14:paraId="4DDABF71">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简单防渗</w:t>
                  </w:r>
                </w:p>
              </w:tc>
              <w:tc>
                <w:tcPr>
                  <w:tcW w:w="961" w:type="pct"/>
                  <w:tcBorders>
                    <w:tl2br w:val="nil"/>
                    <w:tr2bl w:val="nil"/>
                  </w:tcBorders>
                  <w:vAlign w:val="center"/>
                </w:tcPr>
                <w:p w14:paraId="7F5A76C6">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其他</w:t>
                  </w:r>
                  <w:r>
                    <w:rPr>
                      <w:rFonts w:hint="eastAsia"/>
                      <w:color w:val="000000" w:themeColor="text1"/>
                      <w:sz w:val="21"/>
                      <w:szCs w:val="21"/>
                      <w14:textFill>
                        <w14:solidFill>
                          <w14:schemeClr w14:val="tx1"/>
                        </w14:solidFill>
                      </w14:textFill>
                    </w:rPr>
                    <w:t>实验室</w:t>
                  </w:r>
                </w:p>
              </w:tc>
              <w:tc>
                <w:tcPr>
                  <w:tcW w:w="1367" w:type="pct"/>
                  <w:tcBorders>
                    <w:tl2br w:val="nil"/>
                    <w:tr2bl w:val="nil"/>
                  </w:tcBorders>
                  <w:vAlign w:val="center"/>
                </w:tcPr>
                <w:p w14:paraId="60401EFC">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简单防渗区</w:t>
                  </w:r>
                </w:p>
              </w:tc>
              <w:tc>
                <w:tcPr>
                  <w:tcW w:w="1955" w:type="pct"/>
                  <w:tcBorders>
                    <w:tl2br w:val="nil"/>
                    <w:tr2bl w:val="nil"/>
                  </w:tcBorders>
                  <w:vAlign w:val="center"/>
                </w:tcPr>
                <w:p w14:paraId="07BECD7C">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一般地面硬化</w:t>
                  </w:r>
                </w:p>
              </w:tc>
            </w:tr>
          </w:tbl>
          <w:p w14:paraId="13344B50">
            <w:pPr>
              <w:widowControl/>
              <w:autoSpaceDE w:val="0"/>
              <w:autoSpaceDN w:val="0"/>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在采取上述污染防治措施后，营运期基本不会对土壤</w:t>
            </w:r>
            <w:r>
              <w:rPr>
                <w:rFonts w:hint="eastAsia"/>
                <w:color w:val="000000" w:themeColor="text1"/>
                <w:kern w:val="0"/>
                <w:lang w:eastAsia="zh-CN" w:bidi="ar"/>
                <w14:textFill>
                  <w14:solidFill>
                    <w14:schemeClr w14:val="tx1"/>
                  </w14:solidFill>
                </w14:textFill>
              </w:rPr>
              <w:t>、</w:t>
            </w:r>
            <w:r>
              <w:rPr>
                <w:color w:val="000000" w:themeColor="text1"/>
                <w:kern w:val="0"/>
                <w:lang w:bidi="ar"/>
                <w14:textFill>
                  <w14:solidFill>
                    <w14:schemeClr w14:val="tx1"/>
                  </w14:solidFill>
                </w14:textFill>
              </w:rPr>
              <w:t>地下水产生污染</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营运期内无需对地下水、土壤开展跟踪监测</w:t>
            </w:r>
            <w:r>
              <w:rPr>
                <w:color w:val="000000" w:themeColor="text1"/>
                <w:kern w:val="0"/>
                <w:lang w:bidi="ar"/>
                <w14:textFill>
                  <w14:solidFill>
                    <w14:schemeClr w14:val="tx1"/>
                  </w14:solidFill>
                </w14:textFill>
              </w:rPr>
              <w:t>。</w:t>
            </w:r>
          </w:p>
          <w:p w14:paraId="015CFFCB">
            <w:pPr>
              <w:widowControl/>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6、生态环境</w:t>
            </w:r>
          </w:p>
          <w:p w14:paraId="3B4246F0">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项目用地范围内无生态环境保护目标，合理布局、加强周边绿化，在站区外种植与当地气候条件适应</w:t>
            </w:r>
            <w:r>
              <w:rPr>
                <w:rFonts w:hint="eastAsia"/>
                <w:color w:val="000000" w:themeColor="text1"/>
                <w:kern w:val="0"/>
                <w:lang w:eastAsia="zh-CN" w:bidi="ar"/>
                <w14:textFill>
                  <w14:solidFill>
                    <w14:schemeClr w14:val="tx1"/>
                  </w14:solidFill>
                </w14:textFill>
              </w:rPr>
              <w:t>的</w:t>
            </w:r>
            <w:r>
              <w:rPr>
                <w:color w:val="000000" w:themeColor="text1"/>
                <w:kern w:val="0"/>
                <w:lang w:bidi="ar"/>
                <w14:textFill>
                  <w14:solidFill>
                    <w14:schemeClr w14:val="tx1"/>
                  </w14:solidFill>
                </w14:textFill>
              </w:rPr>
              <w:t>植物种类，丰富区域的物种数量，营运对周围生态环境基本无影响。</w:t>
            </w:r>
          </w:p>
          <w:p w14:paraId="60015750">
            <w:pPr>
              <w:widowControl/>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7、环境风险分析</w:t>
            </w:r>
          </w:p>
          <w:p w14:paraId="0E6D6F32">
            <w:pPr>
              <w:ind w:firstLine="480"/>
              <w:textAlignment w:val="center"/>
              <w:rPr>
                <w:color w:val="000000" w:themeColor="text1"/>
                <w14:textFill>
                  <w14:solidFill>
                    <w14:schemeClr w14:val="tx1"/>
                  </w14:solidFill>
                </w14:textFill>
              </w:rPr>
            </w:pPr>
            <w:r>
              <w:rPr>
                <w:color w:val="000000" w:themeColor="text1"/>
                <w14:textFill>
                  <w14:solidFill>
                    <w14:schemeClr w14:val="tx1"/>
                  </w14:solidFill>
                </w14:textFill>
              </w:rPr>
              <w:t>环境风险评价的目的是分析和预测建设项目存在的潜在危险、有害因素，项目建设和运行期间发生的可预</w:t>
            </w:r>
            <w:r>
              <w:rPr>
                <w:rFonts w:hint="eastAsia"/>
                <w:color w:val="000000" w:themeColor="text1"/>
                <w:lang w:eastAsia="zh-CN"/>
                <w14:textFill>
                  <w14:solidFill>
                    <w14:schemeClr w14:val="tx1"/>
                  </w14:solidFill>
                </w14:textFill>
              </w:rPr>
              <w:t>测的</w:t>
            </w:r>
            <w:r>
              <w:rPr>
                <w:color w:val="000000" w:themeColor="text1"/>
                <w14:textFill>
                  <w14:solidFill>
                    <w14:schemeClr w14:val="tx1"/>
                  </w14:solidFill>
                </w14:textFill>
              </w:rPr>
              <w:t>突发事故或事件（一般不包括人为破坏和自然灾害），引起有毒有害物质、易燃易爆物质泄漏，或突发事件产生新的有毒有害物质，所造成的对人身安全与环境的影响和损害程度，提出合理可行的防范、应急、减缓措施，以使建设项目事故率、损失和环境影响达到可接受水平。预测风险事故对环境的影响和场界外人群的伤害，风险防范措施作为项目环境风险评价的重点。</w:t>
            </w:r>
          </w:p>
          <w:p w14:paraId="18B12127">
            <w:pPr>
              <w:widowControl/>
              <w:ind w:firstLine="482"/>
              <w:jc w:val="left"/>
              <w:rPr>
                <w:color w:val="000000" w:themeColor="text1"/>
                <w14:textFill>
                  <w14:solidFill>
                    <w14:schemeClr w14:val="tx1"/>
                  </w14:solidFill>
                </w14:textFill>
              </w:rPr>
            </w:pPr>
            <w:r>
              <w:rPr>
                <w:b/>
                <w:bCs/>
                <w:color w:val="000000" w:themeColor="text1"/>
                <w14:textFill>
                  <w14:solidFill>
                    <w14:schemeClr w14:val="tx1"/>
                  </w14:solidFill>
                </w14:textFill>
              </w:rPr>
              <w:t>7.1环境风险潜势判定</w:t>
            </w:r>
          </w:p>
          <w:p w14:paraId="1000BE99">
            <w:pPr>
              <w:widowControl/>
              <w:ind w:firstLine="480"/>
              <w:jc w:val="left"/>
              <w:rPr>
                <w:color w:val="000000" w:themeColor="text1"/>
                <w:kern w:val="0"/>
                <w:lang w:bidi="zh-CN"/>
                <w14:textFill>
                  <w14:solidFill>
                    <w14:schemeClr w14:val="tx1"/>
                  </w14:solidFill>
                </w14:textFill>
              </w:rPr>
            </w:pPr>
            <w:r>
              <w:rPr>
                <w:color w:val="000000" w:themeColor="text1"/>
                <w:kern w:val="0"/>
                <w:lang w:bidi="zh-CN"/>
                <w14:textFill>
                  <w14:solidFill>
                    <w14:schemeClr w14:val="tx1"/>
                  </w14:solidFill>
                </w14:textFill>
              </w:rPr>
              <w:t>根据《建设项目环境风险评价技术导则》（HJ/T169-2018），当只涉及一种危险物质时，计算该物质的总量与其临界量的比值，即为Q；</w:t>
            </w:r>
          </w:p>
          <w:p w14:paraId="100FFCFD">
            <w:pPr>
              <w:widowControl/>
              <w:ind w:firstLine="480"/>
              <w:jc w:val="left"/>
              <w:rPr>
                <w:color w:val="000000" w:themeColor="text1"/>
                <w:kern w:val="0"/>
                <w:lang w:bidi="zh-CN"/>
                <w14:textFill>
                  <w14:solidFill>
                    <w14:schemeClr w14:val="tx1"/>
                  </w14:solidFill>
                </w14:textFill>
              </w:rPr>
            </w:pPr>
            <w:r>
              <w:rPr>
                <w:color w:val="000000" w:themeColor="text1"/>
                <w:kern w:val="0"/>
                <w:lang w:bidi="zh-CN"/>
                <w14:textFill>
                  <w14:solidFill>
                    <w14:schemeClr w14:val="tx1"/>
                  </w14:solidFill>
                </w14:textFill>
              </w:rPr>
              <w:t>当存在多种危险物质时，则按下面公式计算物质总量与其临界量的比值（Q）：</w:t>
            </w:r>
          </w:p>
          <w:p w14:paraId="4CD992FE">
            <w:pPr>
              <w:widowControl/>
              <w:ind w:firstLine="2880" w:firstLineChars="1200"/>
              <w:jc w:val="left"/>
              <w:rPr>
                <w:color w:val="000000" w:themeColor="text1"/>
                <w:kern w:val="0"/>
                <w:lang w:bidi="zh-CN"/>
                <w14:textFill>
                  <w14:solidFill>
                    <w14:schemeClr w14:val="tx1"/>
                  </w14:solidFill>
                </w14:textFill>
              </w:rPr>
            </w:pPr>
            <w:r>
              <w:rPr>
                <w:color w:val="000000" w:themeColor="text1"/>
                <w:kern w:val="0"/>
                <w:lang w:bidi="zh-CN"/>
                <w14:textFill>
                  <w14:solidFill>
                    <w14:schemeClr w14:val="tx1"/>
                  </w14:solidFill>
                </w14:textFill>
              </w:rPr>
              <w:drawing>
                <wp:inline distT="0" distB="0" distL="0" distR="0">
                  <wp:extent cx="1536700" cy="324485"/>
                  <wp:effectExtent l="0" t="0" r="6350" b="18415"/>
                  <wp:docPr id="195"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pic:cNvPicPr>
                            <a:picLocks noChangeAspect="1"/>
                          </pic:cNvPicPr>
                        </pic:nvPicPr>
                        <pic:blipFill>
                          <a:blip r:embed="rId22"/>
                          <a:stretch>
                            <a:fillRect/>
                          </a:stretch>
                        </pic:blipFill>
                        <pic:spPr>
                          <a:xfrm>
                            <a:off x="0" y="0"/>
                            <a:ext cx="1536700" cy="324485"/>
                          </a:xfrm>
                          <a:prstGeom prst="rect">
                            <a:avLst/>
                          </a:prstGeom>
                          <a:noFill/>
                          <a:ln w="9525" cap="flat" cmpd="sng">
                            <a:noFill/>
                            <a:prstDash val="solid"/>
                            <a:miter/>
                          </a:ln>
                        </pic:spPr>
                      </pic:pic>
                    </a:graphicData>
                  </a:graphic>
                </wp:inline>
              </w:drawing>
            </w:r>
          </w:p>
          <w:p w14:paraId="5FCB9592">
            <w:pPr>
              <w:widowControl/>
              <w:ind w:firstLine="480"/>
              <w:jc w:val="left"/>
              <w:rPr>
                <w:color w:val="000000" w:themeColor="text1"/>
                <w:kern w:val="0"/>
                <w:lang w:bidi="zh-CN"/>
                <w14:textFill>
                  <w14:solidFill>
                    <w14:schemeClr w14:val="tx1"/>
                  </w14:solidFill>
                </w14:textFill>
              </w:rPr>
            </w:pPr>
            <w:r>
              <w:rPr>
                <w:color w:val="000000" w:themeColor="text1"/>
                <w:kern w:val="0"/>
                <w:lang w:bidi="zh-CN"/>
                <w14:textFill>
                  <w14:solidFill>
                    <w14:schemeClr w14:val="tx1"/>
                  </w14:solidFill>
                </w14:textFill>
              </w:rPr>
              <w:t>式中：q1，q2····q</w:t>
            </w:r>
            <w:r>
              <w:rPr>
                <w:color w:val="000000" w:themeColor="text1"/>
                <w:kern w:val="0"/>
                <w:lang w:bidi="zh-CN"/>
                <w14:textFill>
                  <w14:solidFill>
                    <w14:schemeClr w14:val="tx1"/>
                  </w14:solidFill>
                </w14:textFill>
              </w:rPr>
              <w:tab/>
            </w:r>
            <w:r>
              <w:rPr>
                <w:color w:val="000000" w:themeColor="text1"/>
                <w:kern w:val="0"/>
                <w:lang w:bidi="zh-CN"/>
                <w14:textFill>
                  <w14:solidFill>
                    <w14:schemeClr w14:val="tx1"/>
                  </w14:solidFill>
                </w14:textFill>
              </w:rPr>
              <w:t>n—每种危险物质的最大存在总量，t。</w:t>
            </w:r>
          </w:p>
          <w:p w14:paraId="17EC1EC9">
            <w:pPr>
              <w:widowControl/>
              <w:ind w:firstLine="480"/>
              <w:jc w:val="left"/>
              <w:rPr>
                <w:color w:val="000000" w:themeColor="text1"/>
                <w:kern w:val="0"/>
                <w:lang w:bidi="zh-CN"/>
                <w14:textFill>
                  <w14:solidFill>
                    <w14:schemeClr w14:val="tx1"/>
                  </w14:solidFill>
                </w14:textFill>
              </w:rPr>
            </w:pPr>
            <w:r>
              <w:rPr>
                <w:color w:val="000000" w:themeColor="text1"/>
                <w:kern w:val="0"/>
                <w:lang w:bidi="zh-CN"/>
                <w14:textFill>
                  <w14:solidFill>
                    <w14:schemeClr w14:val="tx1"/>
                  </w14:solidFill>
                </w14:textFill>
              </w:rPr>
              <w:t>Q1，Q2···Qn—每种危险物质的临界量，t。当Q&lt;1时，该项目环境风险潜势为Ⅰ。当Q≥1时候，将Q值划分为：（1）1≤Q&lt;10；（2）10≤Q&lt;100；（3）Q≥100。</w:t>
            </w:r>
          </w:p>
          <w:p w14:paraId="0829315B">
            <w:pPr>
              <w:widowControl/>
              <w:ind w:firstLine="480"/>
              <w:jc w:val="left"/>
              <w:rPr>
                <w:color w:val="000000" w:themeColor="text1"/>
                <w14:textFill>
                  <w14:solidFill>
                    <w14:schemeClr w14:val="tx1"/>
                  </w14:solidFill>
                </w14:textFill>
              </w:rPr>
            </w:pPr>
            <w:r>
              <w:rPr>
                <w:color w:val="000000" w:themeColor="text1"/>
                <w:kern w:val="0"/>
                <w:lang w:bidi="zh-CN"/>
                <w14:textFill>
                  <w14:solidFill>
                    <w14:schemeClr w14:val="tx1"/>
                  </w14:solidFill>
                </w14:textFill>
              </w:rPr>
              <w:t>对照《建设项目环境风险评价技术导则》（HJ/T169-2018）附录B，项目</w:t>
            </w:r>
            <w:r>
              <w:rPr>
                <w:rFonts w:hint="eastAsia"/>
                <w:color w:val="000000" w:themeColor="text1"/>
                <w:kern w:val="0"/>
                <w:lang w:bidi="zh-CN"/>
                <w14:textFill>
                  <w14:solidFill>
                    <w14:schemeClr w14:val="tx1"/>
                  </w14:solidFill>
                </w14:textFill>
              </w:rPr>
              <w:t>涉及的</w:t>
            </w:r>
            <w:r>
              <w:rPr>
                <w:color w:val="000000" w:themeColor="text1"/>
                <w:kern w:val="0"/>
                <w:lang w:bidi="zh-CN"/>
                <w14:textFill>
                  <w14:solidFill>
                    <w14:schemeClr w14:val="tx1"/>
                  </w14:solidFill>
                </w14:textFill>
              </w:rPr>
              <w:t>危险物质主要为硝酸、硫酸、盐酸、</w:t>
            </w:r>
            <w:r>
              <w:rPr>
                <w:rFonts w:hint="eastAsia"/>
                <w:color w:val="000000" w:themeColor="text1"/>
                <w:kern w:val="0"/>
                <w:lang w:bidi="zh-CN"/>
                <w14:textFill>
                  <w14:solidFill>
                    <w14:schemeClr w14:val="tx1"/>
                  </w14:solidFill>
                </w14:textFill>
              </w:rPr>
              <w:t>氢氟酸、四氯化碳、甲醇、硫化氢</w:t>
            </w:r>
            <w:r>
              <w:rPr>
                <w:color w:val="000000" w:themeColor="text1"/>
                <w:kern w:val="0"/>
                <w:lang w:bidi="zh-CN"/>
                <w14:textFill>
                  <w14:solidFill>
                    <w14:schemeClr w14:val="tx1"/>
                  </w14:solidFill>
                </w14:textFill>
              </w:rPr>
              <w:t>、氨水等，储存量如下表4-</w:t>
            </w:r>
            <w:r>
              <w:rPr>
                <w:rFonts w:hint="eastAsia"/>
                <w:color w:val="000000" w:themeColor="text1"/>
                <w:kern w:val="0"/>
                <w:lang w:val="en-US" w:bidi="zh-CN"/>
                <w14:textFill>
                  <w14:solidFill>
                    <w14:schemeClr w14:val="tx1"/>
                  </w14:solidFill>
                </w14:textFill>
              </w:rPr>
              <w:t>21</w:t>
            </w:r>
            <w:r>
              <w:rPr>
                <w:color w:val="000000" w:themeColor="text1"/>
                <w:kern w:val="0"/>
                <w:lang w:bidi="zh-CN"/>
                <w14:textFill>
                  <w14:solidFill>
                    <w14:schemeClr w14:val="tx1"/>
                  </w14:solidFill>
                </w14:textFill>
              </w:rPr>
              <w:t>所示。</w:t>
            </w:r>
            <w:r>
              <w:rPr>
                <w:color w:val="000000" w:themeColor="text1"/>
                <w:kern w:val="0"/>
                <w:lang w:bidi="ar"/>
                <w14:textFill>
                  <w14:solidFill>
                    <w14:schemeClr w14:val="tx1"/>
                  </w14:solidFill>
                </w14:textFill>
              </w:rPr>
              <w:t>本项目环境风险潜势初判如下：</w:t>
            </w:r>
          </w:p>
          <w:p w14:paraId="5FB0E670">
            <w:pPr>
              <w:pStyle w:val="20"/>
              <w:spacing w:after="0" w:line="240" w:lineRule="auto"/>
              <w:ind w:left="0" w:leftChars="0" w:firstLine="0" w:firstLineChars="0"/>
              <w:jc w:val="center"/>
              <w:rPr>
                <w:color w:val="000000" w:themeColor="text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21</w:t>
            </w:r>
            <w:r>
              <w:rPr>
                <w:b/>
                <w:bCs/>
                <w:color w:val="000000" w:themeColor="text1"/>
                <w:sz w:val="21"/>
                <w:szCs w:val="21"/>
                <w14:textFill>
                  <w14:solidFill>
                    <w14:schemeClr w14:val="tx1"/>
                  </w14:solidFill>
                </w14:textFill>
              </w:rPr>
              <w:t>环境风险物质储存量与临界量比值</w:t>
            </w:r>
          </w:p>
          <w:tbl>
            <w:tblPr>
              <w:tblStyle w:val="30"/>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090"/>
              <w:gridCol w:w="1960"/>
              <w:gridCol w:w="1709"/>
              <w:gridCol w:w="1202"/>
              <w:gridCol w:w="1138"/>
            </w:tblGrid>
            <w:tr w14:paraId="1CF9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61FCE076">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702" w:type="pct"/>
                  <w:tcBorders>
                    <w:tl2br w:val="nil"/>
                    <w:tr2bl w:val="nil"/>
                  </w:tcBorders>
                  <w:vAlign w:val="center"/>
                </w:tcPr>
                <w:p w14:paraId="21F81DC6">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物质名称</w:t>
                  </w:r>
                </w:p>
              </w:tc>
              <w:tc>
                <w:tcPr>
                  <w:tcW w:w="1262" w:type="pct"/>
                  <w:tcBorders>
                    <w:tl2br w:val="nil"/>
                    <w:tr2bl w:val="nil"/>
                  </w:tcBorders>
                  <w:vAlign w:val="center"/>
                </w:tcPr>
                <w:p w14:paraId="127F8211">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储存位置</w:t>
                  </w:r>
                </w:p>
              </w:tc>
              <w:tc>
                <w:tcPr>
                  <w:tcW w:w="1100" w:type="pct"/>
                  <w:tcBorders>
                    <w:tl2br w:val="nil"/>
                    <w:tr2bl w:val="nil"/>
                  </w:tcBorders>
                  <w:vAlign w:val="center"/>
                </w:tcPr>
                <w:p w14:paraId="7CE92D74">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最大储存量（t）</w:t>
                  </w:r>
                </w:p>
              </w:tc>
              <w:tc>
                <w:tcPr>
                  <w:tcW w:w="774" w:type="pct"/>
                  <w:tcBorders>
                    <w:tl2br w:val="nil"/>
                    <w:tr2bl w:val="nil"/>
                  </w:tcBorders>
                  <w:vAlign w:val="center"/>
                </w:tcPr>
                <w:p w14:paraId="65DF88A1">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临界量（t）</w:t>
                  </w:r>
                </w:p>
              </w:tc>
              <w:tc>
                <w:tcPr>
                  <w:tcW w:w="733" w:type="pct"/>
                  <w:tcBorders>
                    <w:tl2br w:val="nil"/>
                    <w:tr2bl w:val="nil"/>
                  </w:tcBorders>
                  <w:vAlign w:val="center"/>
                </w:tcPr>
                <w:p w14:paraId="7CAA2C1A">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比值Q</w:t>
                  </w:r>
                </w:p>
              </w:tc>
            </w:tr>
            <w:tr w14:paraId="7E16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7961D089">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702" w:type="pct"/>
                  <w:tcBorders>
                    <w:tl2br w:val="nil"/>
                    <w:tr2bl w:val="nil"/>
                  </w:tcBorders>
                  <w:vAlign w:val="center"/>
                </w:tcPr>
                <w:p w14:paraId="6160D2D7">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硝酸</w:t>
                  </w:r>
                </w:p>
              </w:tc>
              <w:tc>
                <w:tcPr>
                  <w:tcW w:w="1262" w:type="pct"/>
                  <w:tcBorders>
                    <w:tl2br w:val="nil"/>
                    <w:tr2bl w:val="nil"/>
                  </w:tcBorders>
                  <w:vAlign w:val="center"/>
                </w:tcPr>
                <w:p w14:paraId="2303EE65">
                  <w:pPr>
                    <w:pStyle w:val="19"/>
                    <w:numPr>
                      <w:ilvl w:val="0"/>
                      <w:numId w:val="0"/>
                    </w:numPr>
                    <w:spacing w:line="240" w:lineRule="auto"/>
                    <w:jc w:val="center"/>
                    <w:rPr>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易制毒易制爆室</w:t>
                  </w:r>
                </w:p>
              </w:tc>
              <w:tc>
                <w:tcPr>
                  <w:tcW w:w="1100" w:type="pct"/>
                  <w:tcBorders>
                    <w:tl2br w:val="nil"/>
                    <w:tr2bl w:val="nil"/>
                  </w:tcBorders>
                  <w:vAlign w:val="center"/>
                </w:tcPr>
                <w:p w14:paraId="7E15E267">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0.007025</w:t>
                  </w:r>
                </w:p>
              </w:tc>
              <w:tc>
                <w:tcPr>
                  <w:tcW w:w="774" w:type="pct"/>
                  <w:tcBorders>
                    <w:tl2br w:val="nil"/>
                    <w:tr2bl w:val="nil"/>
                  </w:tcBorders>
                  <w:vAlign w:val="center"/>
                </w:tcPr>
                <w:p w14:paraId="69CDC8A1">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w:t>
                  </w:r>
                </w:p>
              </w:tc>
              <w:tc>
                <w:tcPr>
                  <w:tcW w:w="733" w:type="pct"/>
                  <w:tcBorders>
                    <w:tl2br w:val="nil"/>
                    <w:tr2bl w:val="nil"/>
                  </w:tcBorders>
                  <w:vAlign w:val="center"/>
                </w:tcPr>
                <w:p w14:paraId="39F54B42">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0.000937</w:t>
                  </w:r>
                </w:p>
              </w:tc>
            </w:tr>
            <w:tr w14:paraId="4FA8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2C3E7AFA">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702" w:type="pct"/>
                  <w:tcBorders>
                    <w:tl2br w:val="nil"/>
                    <w:tr2bl w:val="nil"/>
                  </w:tcBorders>
                  <w:vAlign w:val="center"/>
                </w:tcPr>
                <w:p w14:paraId="3A1DF763">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硫酸</w:t>
                  </w:r>
                </w:p>
              </w:tc>
              <w:tc>
                <w:tcPr>
                  <w:tcW w:w="1262" w:type="pct"/>
                  <w:tcBorders>
                    <w:tl2br w:val="nil"/>
                    <w:tr2bl w:val="nil"/>
                  </w:tcBorders>
                  <w:vAlign w:val="center"/>
                </w:tcPr>
                <w:p w14:paraId="37E1964E">
                  <w:pPr>
                    <w:pStyle w:val="19"/>
                    <w:numPr>
                      <w:ilvl w:val="0"/>
                      <w:numId w:val="0"/>
                    </w:numPr>
                    <w:spacing w:line="240" w:lineRule="auto"/>
                    <w:jc w:val="center"/>
                    <w:rPr>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易制毒易制爆室</w:t>
                  </w:r>
                </w:p>
              </w:tc>
              <w:tc>
                <w:tcPr>
                  <w:tcW w:w="1100" w:type="pct"/>
                  <w:tcBorders>
                    <w:tl2br w:val="nil"/>
                    <w:tr2bl w:val="nil"/>
                  </w:tcBorders>
                  <w:vAlign w:val="center"/>
                </w:tcPr>
                <w:p w14:paraId="25020B39">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0.0091525</w:t>
                  </w:r>
                </w:p>
              </w:tc>
              <w:tc>
                <w:tcPr>
                  <w:tcW w:w="774" w:type="pct"/>
                  <w:tcBorders>
                    <w:tl2br w:val="nil"/>
                    <w:tr2bl w:val="nil"/>
                  </w:tcBorders>
                  <w:vAlign w:val="center"/>
                </w:tcPr>
                <w:p w14:paraId="12C4147F">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733" w:type="pct"/>
                  <w:tcBorders>
                    <w:tl2br w:val="nil"/>
                    <w:tr2bl w:val="nil"/>
                  </w:tcBorders>
                  <w:vAlign w:val="center"/>
                </w:tcPr>
                <w:p w14:paraId="600BA5B4">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0.000915</w:t>
                  </w:r>
                </w:p>
              </w:tc>
            </w:tr>
            <w:tr w14:paraId="38D9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1EE257B9">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702" w:type="pct"/>
                  <w:tcBorders>
                    <w:tl2br w:val="nil"/>
                    <w:tr2bl w:val="nil"/>
                  </w:tcBorders>
                  <w:vAlign w:val="center"/>
                </w:tcPr>
                <w:p w14:paraId="7261B9BD">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盐酸</w:t>
                  </w:r>
                </w:p>
              </w:tc>
              <w:tc>
                <w:tcPr>
                  <w:tcW w:w="1262" w:type="pct"/>
                  <w:tcBorders>
                    <w:tl2br w:val="nil"/>
                    <w:tr2bl w:val="nil"/>
                  </w:tcBorders>
                  <w:vAlign w:val="center"/>
                </w:tcPr>
                <w:p w14:paraId="3D15B1C1">
                  <w:pPr>
                    <w:pStyle w:val="19"/>
                    <w:numPr>
                      <w:ilvl w:val="0"/>
                      <w:numId w:val="0"/>
                    </w:numPr>
                    <w:spacing w:line="240" w:lineRule="auto"/>
                    <w:jc w:val="center"/>
                    <w:rPr>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易制毒易制爆室</w:t>
                  </w:r>
                </w:p>
              </w:tc>
              <w:tc>
                <w:tcPr>
                  <w:tcW w:w="1100" w:type="pct"/>
                  <w:tcBorders>
                    <w:tl2br w:val="nil"/>
                    <w:tr2bl w:val="nil"/>
                  </w:tcBorders>
                  <w:vAlign w:val="center"/>
                </w:tcPr>
                <w:p w14:paraId="25171DEB">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0.00119775</w:t>
                  </w:r>
                </w:p>
              </w:tc>
              <w:tc>
                <w:tcPr>
                  <w:tcW w:w="774" w:type="pct"/>
                  <w:tcBorders>
                    <w:tl2br w:val="nil"/>
                    <w:tr2bl w:val="nil"/>
                  </w:tcBorders>
                  <w:vAlign w:val="center"/>
                </w:tcPr>
                <w:p w14:paraId="1EF4F6CC">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.5</w:t>
                  </w:r>
                </w:p>
              </w:tc>
              <w:tc>
                <w:tcPr>
                  <w:tcW w:w="733" w:type="pct"/>
                  <w:tcBorders>
                    <w:tl2br w:val="nil"/>
                    <w:tr2bl w:val="nil"/>
                  </w:tcBorders>
                  <w:vAlign w:val="center"/>
                </w:tcPr>
                <w:p w14:paraId="64E740AD">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0.00016</w:t>
                  </w:r>
                </w:p>
              </w:tc>
            </w:tr>
            <w:tr w14:paraId="5875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3128DA60">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702" w:type="pct"/>
                  <w:tcBorders>
                    <w:tl2br w:val="nil"/>
                    <w:tr2bl w:val="nil"/>
                  </w:tcBorders>
                  <w:vAlign w:val="center"/>
                </w:tcPr>
                <w:p w14:paraId="68D33C66">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氢氟酸</w:t>
                  </w:r>
                </w:p>
              </w:tc>
              <w:tc>
                <w:tcPr>
                  <w:tcW w:w="1262" w:type="pct"/>
                  <w:tcBorders>
                    <w:tl2br w:val="nil"/>
                    <w:tr2bl w:val="nil"/>
                  </w:tcBorders>
                  <w:vAlign w:val="center"/>
                </w:tcPr>
                <w:p w14:paraId="3665E83C">
                  <w:pPr>
                    <w:pStyle w:val="19"/>
                    <w:numPr>
                      <w:ilvl w:val="0"/>
                      <w:numId w:val="0"/>
                    </w:numPr>
                    <w:spacing w:line="240" w:lineRule="auto"/>
                    <w:jc w:val="center"/>
                    <w:rPr>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易制毒易制爆室</w:t>
                  </w:r>
                </w:p>
              </w:tc>
              <w:tc>
                <w:tcPr>
                  <w:tcW w:w="1100" w:type="pct"/>
                  <w:tcBorders>
                    <w:tl2br w:val="nil"/>
                    <w:tr2bl w:val="nil"/>
                  </w:tcBorders>
                  <w:vAlign w:val="center"/>
                </w:tcPr>
                <w:p w14:paraId="3EB1D537">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0.00049</w:t>
                  </w:r>
                </w:p>
              </w:tc>
              <w:tc>
                <w:tcPr>
                  <w:tcW w:w="774" w:type="pct"/>
                  <w:tcBorders>
                    <w:tl2br w:val="nil"/>
                    <w:tr2bl w:val="nil"/>
                  </w:tcBorders>
                  <w:vAlign w:val="center"/>
                </w:tcPr>
                <w:p w14:paraId="3E11B91F">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733" w:type="pct"/>
                  <w:tcBorders>
                    <w:tl2br w:val="nil"/>
                    <w:tr2bl w:val="nil"/>
                  </w:tcBorders>
                  <w:vAlign w:val="center"/>
                </w:tcPr>
                <w:p w14:paraId="245BCC6F">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0.00049</w:t>
                  </w:r>
                </w:p>
              </w:tc>
            </w:tr>
            <w:tr w14:paraId="6AC3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29B5B420">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702" w:type="pct"/>
                  <w:tcBorders>
                    <w:tl2br w:val="nil"/>
                    <w:tr2bl w:val="nil"/>
                  </w:tcBorders>
                  <w:vAlign w:val="center"/>
                </w:tcPr>
                <w:p w14:paraId="7A0B1D5C">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四氯化碳</w:t>
                  </w:r>
                </w:p>
              </w:tc>
              <w:tc>
                <w:tcPr>
                  <w:tcW w:w="1262" w:type="pct"/>
                  <w:tcBorders>
                    <w:tl2br w:val="nil"/>
                    <w:tr2bl w:val="nil"/>
                  </w:tcBorders>
                  <w:vAlign w:val="center"/>
                </w:tcPr>
                <w:p w14:paraId="72F7FFCE">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常规化学试剂室</w:t>
                  </w:r>
                </w:p>
              </w:tc>
              <w:tc>
                <w:tcPr>
                  <w:tcW w:w="1100" w:type="pct"/>
                  <w:tcBorders>
                    <w:tl2br w:val="nil"/>
                    <w:tr2bl w:val="nil"/>
                  </w:tcBorders>
                  <w:vAlign w:val="center"/>
                </w:tcPr>
                <w:p w14:paraId="63479876">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0.001589</w:t>
                  </w:r>
                </w:p>
              </w:tc>
              <w:tc>
                <w:tcPr>
                  <w:tcW w:w="774" w:type="pct"/>
                  <w:tcBorders>
                    <w:tl2br w:val="nil"/>
                    <w:tr2bl w:val="nil"/>
                  </w:tcBorders>
                  <w:vAlign w:val="center"/>
                </w:tcPr>
                <w:p w14:paraId="3BD79F6F">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.5</w:t>
                  </w:r>
                </w:p>
              </w:tc>
              <w:tc>
                <w:tcPr>
                  <w:tcW w:w="733" w:type="pct"/>
                  <w:tcBorders>
                    <w:tl2br w:val="nil"/>
                    <w:tr2bl w:val="nil"/>
                  </w:tcBorders>
                  <w:vAlign w:val="center"/>
                </w:tcPr>
                <w:p w14:paraId="1CC9C059">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.000212</w:t>
                  </w:r>
                </w:p>
              </w:tc>
            </w:tr>
            <w:tr w14:paraId="46D5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12D278CE">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702" w:type="pct"/>
                  <w:tcBorders>
                    <w:tl2br w:val="nil"/>
                    <w:tr2bl w:val="nil"/>
                  </w:tcBorders>
                  <w:vAlign w:val="center"/>
                </w:tcPr>
                <w:p w14:paraId="148DD5F7">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甲醇</w:t>
                  </w:r>
                </w:p>
              </w:tc>
              <w:tc>
                <w:tcPr>
                  <w:tcW w:w="1262" w:type="pct"/>
                  <w:tcBorders>
                    <w:tl2br w:val="nil"/>
                    <w:tr2bl w:val="nil"/>
                  </w:tcBorders>
                  <w:vAlign w:val="center"/>
                </w:tcPr>
                <w:p w14:paraId="1EAA43C0">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常规化学试剂室</w:t>
                  </w:r>
                </w:p>
              </w:tc>
              <w:tc>
                <w:tcPr>
                  <w:tcW w:w="1100" w:type="pct"/>
                  <w:tcBorders>
                    <w:tl2br w:val="nil"/>
                    <w:tr2bl w:val="nil"/>
                  </w:tcBorders>
                  <w:vAlign w:val="center"/>
                </w:tcPr>
                <w:p w14:paraId="3E009487">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0.00079</w:t>
                  </w:r>
                </w:p>
              </w:tc>
              <w:tc>
                <w:tcPr>
                  <w:tcW w:w="774" w:type="pct"/>
                  <w:tcBorders>
                    <w:tl2br w:val="nil"/>
                    <w:tr2bl w:val="nil"/>
                  </w:tcBorders>
                  <w:vAlign w:val="center"/>
                </w:tcPr>
                <w:p w14:paraId="07E27AA1">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733" w:type="pct"/>
                  <w:tcBorders>
                    <w:tl2br w:val="nil"/>
                    <w:tr2bl w:val="nil"/>
                  </w:tcBorders>
                  <w:vAlign w:val="center"/>
                </w:tcPr>
                <w:p w14:paraId="194DA3F4">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.000079</w:t>
                  </w:r>
                </w:p>
              </w:tc>
            </w:tr>
            <w:tr w14:paraId="7722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4B73354D">
                  <w:pPr>
                    <w:pStyle w:val="19"/>
                    <w:numPr>
                      <w:ilvl w:val="0"/>
                      <w:numId w:val="0"/>
                    </w:num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702" w:type="pct"/>
                  <w:tcBorders>
                    <w:tl2br w:val="nil"/>
                    <w:tr2bl w:val="nil"/>
                  </w:tcBorders>
                  <w:vAlign w:val="center"/>
                </w:tcPr>
                <w:p w14:paraId="1F754FB7">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氨水</w:t>
                  </w:r>
                </w:p>
              </w:tc>
              <w:tc>
                <w:tcPr>
                  <w:tcW w:w="1262" w:type="pct"/>
                  <w:tcBorders>
                    <w:tl2br w:val="nil"/>
                    <w:tr2bl w:val="nil"/>
                  </w:tcBorders>
                  <w:vAlign w:val="center"/>
                </w:tcPr>
                <w:p w14:paraId="20E999FF">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常规化学试剂室</w:t>
                  </w:r>
                </w:p>
              </w:tc>
              <w:tc>
                <w:tcPr>
                  <w:tcW w:w="1100" w:type="pct"/>
                  <w:tcBorders>
                    <w:tl2br w:val="nil"/>
                    <w:tr2bl w:val="nil"/>
                  </w:tcBorders>
                  <w:vAlign w:val="center"/>
                </w:tcPr>
                <w:p w14:paraId="52CC1F16">
                  <w:pPr>
                    <w:pStyle w:val="19"/>
                    <w:numPr>
                      <w:ilvl w:val="0"/>
                      <w:numId w:val="0"/>
                    </w:num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0.00044</w:t>
                  </w:r>
                </w:p>
              </w:tc>
              <w:tc>
                <w:tcPr>
                  <w:tcW w:w="774" w:type="pct"/>
                  <w:tcBorders>
                    <w:tl2br w:val="nil"/>
                    <w:tr2bl w:val="nil"/>
                  </w:tcBorders>
                  <w:vAlign w:val="center"/>
                </w:tcPr>
                <w:p w14:paraId="7F14C82F">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733" w:type="pct"/>
                  <w:tcBorders>
                    <w:tl2br w:val="nil"/>
                    <w:tr2bl w:val="nil"/>
                  </w:tcBorders>
                  <w:vAlign w:val="center"/>
                </w:tcPr>
                <w:p w14:paraId="24E74AAB">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.000044</w:t>
                  </w:r>
                </w:p>
              </w:tc>
            </w:tr>
            <w:tr w14:paraId="445E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02DE4E13">
                  <w:pPr>
                    <w:pStyle w:val="19"/>
                    <w:numPr>
                      <w:ilvl w:val="0"/>
                      <w:numId w:val="0"/>
                    </w:num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702" w:type="pct"/>
                  <w:tcBorders>
                    <w:tl2br w:val="nil"/>
                    <w:tr2bl w:val="nil"/>
                  </w:tcBorders>
                  <w:vAlign w:val="center"/>
                </w:tcPr>
                <w:p w14:paraId="09AFAE35">
                  <w:pPr>
                    <w:pStyle w:val="19"/>
                    <w:numPr>
                      <w:ilvl w:val="0"/>
                      <w:numId w:val="0"/>
                    </w:num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硫化氢</w:t>
                  </w:r>
                </w:p>
              </w:tc>
              <w:tc>
                <w:tcPr>
                  <w:tcW w:w="1262" w:type="pct"/>
                  <w:tcBorders>
                    <w:tl2br w:val="nil"/>
                    <w:tr2bl w:val="nil"/>
                  </w:tcBorders>
                  <w:vAlign w:val="center"/>
                </w:tcPr>
                <w:p w14:paraId="5F82370D">
                  <w:pPr>
                    <w:pStyle w:val="19"/>
                    <w:numPr>
                      <w:ilvl w:val="0"/>
                      <w:numId w:val="0"/>
                    </w:num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气瓶气路</w:t>
                  </w:r>
                </w:p>
              </w:tc>
              <w:tc>
                <w:tcPr>
                  <w:tcW w:w="1100" w:type="pct"/>
                  <w:tcBorders>
                    <w:tl2br w:val="nil"/>
                    <w:tr2bl w:val="nil"/>
                  </w:tcBorders>
                  <w:vAlign w:val="center"/>
                </w:tcPr>
                <w:p w14:paraId="64EF9070">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0.015</w:t>
                  </w:r>
                </w:p>
              </w:tc>
              <w:tc>
                <w:tcPr>
                  <w:tcW w:w="774" w:type="pct"/>
                  <w:tcBorders>
                    <w:tl2br w:val="nil"/>
                    <w:tr2bl w:val="nil"/>
                  </w:tcBorders>
                  <w:vAlign w:val="center"/>
                </w:tcPr>
                <w:p w14:paraId="01640AAA">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733" w:type="pct"/>
                  <w:tcBorders>
                    <w:tl2br w:val="nil"/>
                    <w:tr2bl w:val="nil"/>
                  </w:tcBorders>
                  <w:vAlign w:val="center"/>
                </w:tcPr>
                <w:p w14:paraId="422128D5">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0.006</w:t>
                  </w:r>
                </w:p>
              </w:tc>
            </w:tr>
            <w:tr w14:paraId="1D04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pct"/>
                  <w:gridSpan w:val="5"/>
                  <w:tcBorders>
                    <w:tl2br w:val="nil"/>
                    <w:tr2bl w:val="nil"/>
                  </w:tcBorders>
                  <w:vAlign w:val="center"/>
                </w:tcPr>
                <w:p w14:paraId="2EDB0358">
                  <w:pPr>
                    <w:pStyle w:val="19"/>
                    <w:numPr>
                      <w:ilvl w:val="0"/>
                      <w:numId w:val="0"/>
                    </w:num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合计</w:t>
                  </w:r>
                </w:p>
              </w:tc>
              <w:tc>
                <w:tcPr>
                  <w:tcW w:w="733" w:type="pct"/>
                  <w:tcBorders>
                    <w:tl2br w:val="nil"/>
                    <w:tr2bl w:val="nil"/>
                  </w:tcBorders>
                  <w:vAlign w:val="center"/>
                </w:tcPr>
                <w:p w14:paraId="3BC221D8">
                  <w:pPr>
                    <w:pStyle w:val="19"/>
                    <w:numPr>
                      <w:ilvl w:val="0"/>
                      <w:numId w:val="0"/>
                    </w:numPr>
                    <w:spacing w:line="240" w:lineRule="auto"/>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0.00</w:t>
                  </w:r>
                  <w:r>
                    <w:rPr>
                      <w:rFonts w:hint="eastAsia"/>
                      <w:color w:val="000000" w:themeColor="text1"/>
                      <w:sz w:val="21"/>
                      <w:szCs w:val="21"/>
                      <w:lang w:val="en-US" w:eastAsia="zh-CN"/>
                      <w14:textFill>
                        <w14:solidFill>
                          <w14:schemeClr w14:val="tx1"/>
                        </w14:solidFill>
                      </w14:textFill>
                    </w:rPr>
                    <w:t>8837</w:t>
                  </w:r>
                </w:p>
              </w:tc>
            </w:tr>
          </w:tbl>
          <w:p w14:paraId="55FBDDCA">
            <w:pPr>
              <w:widowControl/>
              <w:ind w:firstLine="480"/>
              <w:jc w:val="both"/>
              <w:rPr>
                <w:color w:val="000000" w:themeColor="text1"/>
                <w14:textFill>
                  <w14:solidFill>
                    <w14:schemeClr w14:val="tx1"/>
                  </w14:solidFill>
                </w14:textFill>
              </w:rPr>
            </w:pPr>
            <w:r>
              <w:rPr>
                <w:color w:val="000000" w:themeColor="text1"/>
                <w:kern w:val="0"/>
                <w:lang w:bidi="ar"/>
                <w14:textFill>
                  <w14:solidFill>
                    <w14:schemeClr w14:val="tx1"/>
                  </w14:solidFill>
                </w14:textFill>
              </w:rPr>
              <w:t>从上表计算结果可知，本项目危险</w:t>
            </w:r>
            <w:r>
              <w:rPr>
                <w:rFonts w:hint="eastAsia"/>
                <w:color w:val="000000" w:themeColor="text1"/>
                <w:kern w:val="0"/>
                <w:lang w:eastAsia="zh-CN" w:bidi="ar"/>
                <w14:textFill>
                  <w14:solidFill>
                    <w14:schemeClr w14:val="tx1"/>
                  </w14:solidFill>
                </w14:textFill>
              </w:rPr>
              <w:t>物质的量</w:t>
            </w:r>
            <w:r>
              <w:rPr>
                <w:color w:val="000000" w:themeColor="text1"/>
                <w:kern w:val="0"/>
                <w:lang w:bidi="ar"/>
                <w14:textFill>
                  <w14:solidFill>
                    <w14:schemeClr w14:val="tx1"/>
                  </w14:solidFill>
                </w14:textFill>
              </w:rPr>
              <w:t>与临界量比值Q=</w:t>
            </w:r>
            <w:r>
              <w:rPr>
                <w:rFonts w:hint="eastAsia"/>
                <w:color w:val="000000" w:themeColor="text1"/>
                <w:kern w:val="0"/>
                <w:lang w:bidi="ar"/>
                <w14:textFill>
                  <w14:solidFill>
                    <w14:schemeClr w14:val="tx1"/>
                  </w14:solidFill>
                </w14:textFill>
              </w:rPr>
              <w:t>0.008837</w:t>
            </w:r>
            <w:r>
              <w:rPr>
                <w:color w:val="000000" w:themeColor="text1"/>
                <w:kern w:val="0"/>
                <w:lang w:bidi="ar"/>
                <w14:textFill>
                  <w14:solidFill>
                    <w14:schemeClr w14:val="tx1"/>
                  </w14:solidFill>
                </w14:textFill>
              </w:rPr>
              <w:t>&lt;1，则本项目环境风险潜势为Ⅰ，可开展简单分析。</w:t>
            </w:r>
          </w:p>
          <w:p w14:paraId="7E0B08B4">
            <w:pPr>
              <w:widowControl/>
              <w:ind w:firstLine="482"/>
              <w:jc w:val="left"/>
              <w:rPr>
                <w:color w:val="000000" w:themeColor="text1"/>
                <w14:textFill>
                  <w14:solidFill>
                    <w14:schemeClr w14:val="tx1"/>
                  </w14:solidFill>
                </w14:textFill>
              </w:rPr>
            </w:pPr>
            <w:r>
              <w:rPr>
                <w:b/>
                <w:bCs/>
                <w:color w:val="000000" w:themeColor="text1"/>
                <w:kern w:val="0"/>
                <w:lang w:bidi="ar"/>
                <w14:textFill>
                  <w14:solidFill>
                    <w14:schemeClr w14:val="tx1"/>
                  </w14:solidFill>
                </w14:textFill>
              </w:rPr>
              <w:t>7.2环境风险</w:t>
            </w:r>
            <w:r>
              <w:rPr>
                <w:rFonts w:hint="eastAsia"/>
                <w:b/>
                <w:bCs/>
                <w:color w:val="000000" w:themeColor="text1"/>
                <w:kern w:val="0"/>
                <w:lang w:bidi="ar"/>
                <w14:textFill>
                  <w14:solidFill>
                    <w14:schemeClr w14:val="tx1"/>
                  </w14:solidFill>
                </w14:textFill>
              </w:rPr>
              <w:t>分析</w:t>
            </w:r>
          </w:p>
          <w:p w14:paraId="6B52807C">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本项目的环境风险主要是危险化学药品在使用</w:t>
            </w:r>
            <w:r>
              <w:rPr>
                <w:color w:val="000000" w:themeColor="text1"/>
                <w:kern w:val="0"/>
                <w:lang w:bidi="ar"/>
                <w14:textFill>
                  <w14:solidFill>
                    <w14:schemeClr w14:val="tx1"/>
                  </w14:solidFill>
                </w14:textFill>
              </w:rPr>
              <w:t>、贮存、运输</w:t>
            </w:r>
            <w:r>
              <w:rPr>
                <w:rFonts w:hint="eastAsia"/>
                <w:color w:val="000000" w:themeColor="text1"/>
                <w:kern w:val="0"/>
                <w:lang w:bidi="ar"/>
                <w14:textFill>
                  <w14:solidFill>
                    <w14:schemeClr w14:val="tx1"/>
                  </w14:solidFill>
                </w14:textFill>
              </w:rPr>
              <w:t>过程的泄漏、流失可能造成的环境污染以及实验室意外</w:t>
            </w:r>
            <w:r>
              <w:rPr>
                <w:color w:val="000000" w:themeColor="text1"/>
                <w:kern w:val="0"/>
                <w:lang w:bidi="ar"/>
                <w14:textFill>
                  <w14:solidFill>
                    <w14:schemeClr w14:val="tx1"/>
                  </w14:solidFill>
                </w14:textFill>
              </w:rPr>
              <w:t>火灾和爆炸伴生/次生</w:t>
            </w:r>
            <w:r>
              <w:rPr>
                <w:rFonts w:hint="eastAsia"/>
                <w:color w:val="000000" w:themeColor="text1"/>
                <w:kern w:val="0"/>
                <w:lang w:bidi="ar"/>
                <w14:textFill>
                  <w14:solidFill>
                    <w14:schemeClr w14:val="tx1"/>
                  </w14:solidFill>
                </w14:textFill>
              </w:rPr>
              <w:t>的污染物的环境影响</w:t>
            </w:r>
            <w:r>
              <w:rPr>
                <w:color w:val="000000" w:themeColor="text1"/>
                <w:kern w:val="0"/>
                <w:lang w:bidi="ar"/>
                <w14:textFill>
                  <w14:solidFill>
                    <w14:schemeClr w14:val="tx1"/>
                  </w14:solidFill>
                </w14:textFill>
              </w:rPr>
              <w:t>等。本项目</w:t>
            </w:r>
            <w:r>
              <w:rPr>
                <w:rFonts w:hint="eastAsia"/>
                <w:color w:val="000000" w:themeColor="text1"/>
                <w:kern w:val="0"/>
                <w:lang w:bidi="ar"/>
                <w14:textFill>
                  <w14:solidFill>
                    <w14:schemeClr w14:val="tx1"/>
                  </w14:solidFill>
                </w14:textFill>
              </w:rPr>
              <w:t>周围都是开发区内的工业企业，没有临近的环境风险保护目标，危险化学药品存在量很小，发生环境风险事故的概率极小，项目的环境风险水平是可以接受的</w:t>
            </w:r>
            <w:r>
              <w:rPr>
                <w:color w:val="000000" w:themeColor="text1"/>
                <w:kern w:val="0"/>
                <w:lang w:bidi="ar"/>
                <w14:textFill>
                  <w14:solidFill>
                    <w14:schemeClr w14:val="tx1"/>
                  </w14:solidFill>
                </w14:textFill>
              </w:rPr>
              <w:t>。</w:t>
            </w:r>
          </w:p>
          <w:p w14:paraId="2A1C165E">
            <w:pPr>
              <w:widowControl/>
              <w:ind w:firstLine="482"/>
              <w:jc w:val="left"/>
              <w:rPr>
                <w:color w:val="000000" w:themeColor="text1"/>
                <w14:textFill>
                  <w14:solidFill>
                    <w14:schemeClr w14:val="tx1"/>
                  </w14:solidFill>
                </w14:textFill>
              </w:rPr>
            </w:pPr>
            <w:r>
              <w:rPr>
                <w:b/>
                <w:bCs/>
                <w:color w:val="000000" w:themeColor="text1"/>
                <w:kern w:val="0"/>
                <w:lang w:bidi="ar"/>
                <w14:textFill>
                  <w14:solidFill>
                    <w14:schemeClr w14:val="tx1"/>
                  </w14:solidFill>
                </w14:textFill>
              </w:rPr>
              <w:t>7.3风险防范措施</w:t>
            </w:r>
          </w:p>
          <w:p w14:paraId="5009779C">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（1）泄漏事故防范措施</w:t>
            </w:r>
          </w:p>
          <w:p w14:paraId="482DFB30">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遵循“源头控制，分区防渗”的原则，做好</w:t>
            </w:r>
            <w:r>
              <w:rPr>
                <w:rFonts w:hint="eastAsia"/>
                <w:color w:val="000000" w:themeColor="text1"/>
                <w:kern w:val="0"/>
                <w:lang w:val="en-US" w:eastAsia="zh-CN" w:bidi="ar"/>
                <w14:textFill>
                  <w14:solidFill>
                    <w14:schemeClr w14:val="tx1"/>
                  </w14:solidFill>
                </w14:textFill>
              </w:rPr>
              <w:t>危险品室</w:t>
            </w:r>
            <w:r>
              <w:rPr>
                <w:color w:val="000000" w:themeColor="text1"/>
                <w:kern w:val="0"/>
                <w:lang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化学试剂室、</w:t>
            </w:r>
            <w:r>
              <w:rPr>
                <w:color w:val="000000" w:themeColor="text1"/>
                <w:kern w:val="0"/>
                <w:lang w:bidi="ar"/>
                <w14:textFill>
                  <w14:solidFill>
                    <w14:schemeClr w14:val="tx1"/>
                  </w14:solidFill>
                </w14:textFill>
              </w:rPr>
              <w:t>危废暂存间的防渗措施，满足相应标准要求。危废暂存间内部地面硬化处理，</w:t>
            </w:r>
            <w:r>
              <w:rPr>
                <w:rFonts w:hint="eastAsia"/>
                <w:color w:val="000000" w:themeColor="text1"/>
                <w:kern w:val="0"/>
                <w:lang w:val="en-US" w:eastAsia="zh-CN" w:bidi="ar"/>
                <w14:textFill>
                  <w14:solidFill>
                    <w14:schemeClr w14:val="tx1"/>
                  </w14:solidFill>
                </w14:textFill>
              </w:rPr>
              <w:t>含酸废液等液态类危废</w:t>
            </w:r>
            <w:r>
              <w:rPr>
                <w:color w:val="000000" w:themeColor="text1"/>
                <w:kern w:val="0"/>
                <w:lang w:bidi="ar"/>
                <w14:textFill>
                  <w14:solidFill>
                    <w14:schemeClr w14:val="tx1"/>
                  </w14:solidFill>
                </w14:textFill>
              </w:rPr>
              <w:t>储存区周围设置围堰，做到防风、防雨、防晒、防渗透；及时办理转移手续，尽可能减少现场贮存量和缩短贮存周期。本项目</w:t>
            </w:r>
            <w:r>
              <w:rPr>
                <w:rFonts w:hint="eastAsia"/>
                <w:color w:val="000000" w:themeColor="text1"/>
                <w:kern w:val="0"/>
                <w:lang w:bidi="ar"/>
                <w14:textFill>
                  <w14:solidFill>
                    <w14:schemeClr w14:val="tx1"/>
                  </w14:solidFill>
                </w14:textFill>
              </w:rPr>
              <w:t>化学药品</w:t>
            </w:r>
            <w:r>
              <w:rPr>
                <w:color w:val="000000" w:themeColor="text1"/>
                <w:kern w:val="0"/>
                <w:lang w:bidi="ar"/>
                <w14:textFill>
                  <w14:solidFill>
                    <w14:schemeClr w14:val="tx1"/>
                  </w14:solidFill>
                </w14:textFill>
              </w:rPr>
              <w:t>储存量不大，不会造成大量泄漏。</w:t>
            </w:r>
          </w:p>
          <w:p w14:paraId="3908F515">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（2）危险废物贮存风险事故防范措施</w:t>
            </w:r>
          </w:p>
          <w:p w14:paraId="61089A69">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本项目会产生少量的</w:t>
            </w:r>
            <w:r>
              <w:rPr>
                <w:rFonts w:hint="eastAsia"/>
                <w:color w:val="000000" w:themeColor="text1"/>
                <w:kern w:val="0"/>
                <w:lang w:val="en-US" w:eastAsia="zh-CN" w:bidi="ar"/>
                <w14:textFill>
                  <w14:solidFill>
                    <w14:schemeClr w14:val="tx1"/>
                  </w14:solidFill>
                </w14:textFill>
              </w:rPr>
              <w:t>实验包装废物</w:t>
            </w:r>
            <w:r>
              <w:rPr>
                <w:color w:val="000000" w:themeColor="text1"/>
                <w:kern w:val="0"/>
                <w:lang w:bidi="ar"/>
                <w14:textFill>
                  <w14:solidFill>
                    <w14:schemeClr w14:val="tx1"/>
                  </w14:solidFill>
                </w14:textFill>
              </w:rPr>
              <w:t>、废活性炭等危险废物，为了最大限度减少项目对周围环境的风险，危险废物处置的管理应符合国家、地区或地方的相关要求。所有不再需要的样本应弃置于专门设计的、专用的和有标记的用于处置危险废弃物的容器内。废弃物容器的充满量不能超过其设计容量。应确保由经过适当培训的人员使用适当的个人防护装备和设备处理危险废弃物。</w:t>
            </w:r>
          </w:p>
          <w:p w14:paraId="19B1A5CA">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（3）废气事故排放风险防范措施</w:t>
            </w:r>
          </w:p>
          <w:p w14:paraId="021A22F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硫化氢是剧毒气体，若</w:t>
            </w:r>
            <w:r>
              <w:rPr>
                <w:color w:val="000000" w:themeColor="text1"/>
                <w:kern w:val="0"/>
                <w:lang w:bidi="ar"/>
                <w14:textFill>
                  <w14:solidFill>
                    <w14:schemeClr w14:val="tx1"/>
                  </w14:solidFill>
                </w14:textFill>
              </w:rPr>
              <w:t>事故排放对周边的大气环境</w:t>
            </w:r>
            <w:r>
              <w:rPr>
                <w:rFonts w:hint="eastAsia"/>
                <w:color w:val="000000" w:themeColor="text1"/>
                <w:kern w:val="0"/>
                <w:lang w:bidi="ar"/>
                <w14:textFill>
                  <w14:solidFill>
                    <w14:schemeClr w14:val="tx1"/>
                  </w14:solidFill>
                </w14:textFill>
              </w:rPr>
              <w:t>将造成严重的影响，</w:t>
            </w:r>
            <w:r>
              <w:rPr>
                <w:color w:val="000000" w:themeColor="text1"/>
                <w:kern w:val="0"/>
                <w:lang w:bidi="ar"/>
                <w14:textFill>
                  <w14:solidFill>
                    <w14:schemeClr w14:val="tx1"/>
                  </w14:solidFill>
                </w14:textFill>
              </w:rPr>
              <w:t>为避免出现事故排放，建设单位应建立健全环保管理机制和各项环保规章制度，落实岗位环保责任制，加强环境风险防范工作，防止事故排放导致环境问题，避免出现废气处理事故排放，防止废气处理设施事故性失效，要求加强对废气处理设施的日常运行管理，加强对操作人员的岗位培训，确保废气稳定达标排放，杜绝事故性排放。</w:t>
            </w:r>
          </w:p>
          <w:p w14:paraId="0EFA77AF">
            <w:pPr>
              <w:widowControl/>
              <w:ind w:firstLine="482"/>
              <w:jc w:val="left"/>
              <w:rPr>
                <w:color w:val="000000" w:themeColor="text1"/>
                <w14:textFill>
                  <w14:solidFill>
                    <w14:schemeClr w14:val="tx1"/>
                  </w14:solidFill>
                </w14:textFill>
              </w:rPr>
            </w:pPr>
            <w:r>
              <w:rPr>
                <w:b/>
                <w:bCs/>
                <w:color w:val="000000" w:themeColor="text1"/>
                <w:kern w:val="0"/>
                <w:lang w:bidi="ar"/>
                <w14:textFill>
                  <w14:solidFill>
                    <w14:schemeClr w14:val="tx1"/>
                  </w14:solidFill>
                </w14:textFill>
              </w:rPr>
              <w:t>7.4火灾、爆炸事故防范措施</w:t>
            </w:r>
          </w:p>
          <w:p w14:paraId="7A57CF40">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结合安监、消防等相关规范，以防范环境风险为目的，从总图布置和建筑安全方面进行风险防范。</w:t>
            </w:r>
            <w:r>
              <w:rPr>
                <w:rFonts w:hint="eastAsia"/>
                <w:color w:val="000000" w:themeColor="text1"/>
                <w:kern w:val="0"/>
                <w:lang w:bidi="ar"/>
                <w14:textFill>
                  <w14:solidFill>
                    <w14:schemeClr w14:val="tx1"/>
                  </w14:solidFill>
                </w14:textFill>
              </w:rPr>
              <w:t>实验楼</w:t>
            </w:r>
            <w:r>
              <w:rPr>
                <w:color w:val="000000" w:themeColor="text1"/>
                <w:kern w:val="0"/>
                <w:lang w:bidi="ar"/>
                <w14:textFill>
                  <w14:solidFill>
                    <w14:schemeClr w14:val="tx1"/>
                  </w14:solidFill>
                </w14:textFill>
              </w:rPr>
              <w:t>预留疏散通道和消防通道，区内</w:t>
            </w:r>
            <w:r>
              <w:rPr>
                <w:rFonts w:hint="eastAsia"/>
                <w:color w:val="000000" w:themeColor="text1"/>
                <w:kern w:val="0"/>
                <w:lang w:val="en-US" w:eastAsia="zh-CN" w:bidi="ar"/>
                <w14:textFill>
                  <w14:solidFill>
                    <w14:schemeClr w14:val="tx1"/>
                  </w14:solidFill>
                </w14:textFill>
              </w:rPr>
              <w:t>依托现有</w:t>
            </w:r>
            <w:r>
              <w:rPr>
                <w:color w:val="000000" w:themeColor="text1"/>
                <w:kern w:val="0"/>
                <w:lang w:bidi="ar"/>
                <w14:textFill>
                  <w14:solidFill>
                    <w14:schemeClr w14:val="tx1"/>
                  </w14:solidFill>
                </w14:textFill>
              </w:rPr>
              <w:t>消防器材、消防水池/泵房，室外消防给水系统，当发生火灾事故时，能在最短时间扑灭火灾，及时控制火灾和次生污染。</w:t>
            </w:r>
          </w:p>
          <w:p w14:paraId="5A59B0BD">
            <w:pPr>
              <w:widowControl/>
              <w:ind w:firstLine="482"/>
              <w:jc w:val="left"/>
              <w:rPr>
                <w:color w:val="000000" w:themeColor="text1"/>
                <w14:textFill>
                  <w14:solidFill>
                    <w14:schemeClr w14:val="tx1"/>
                  </w14:solidFill>
                </w14:textFill>
              </w:rPr>
            </w:pPr>
            <w:r>
              <w:rPr>
                <w:b/>
                <w:bCs/>
                <w:color w:val="000000" w:themeColor="text1"/>
                <w:kern w:val="0"/>
                <w:lang w:bidi="ar"/>
                <w14:textFill>
                  <w14:solidFill>
                    <w14:schemeClr w14:val="tx1"/>
                  </w14:solidFill>
                </w14:textFill>
              </w:rPr>
              <w:t>7.5风险分析结论</w:t>
            </w:r>
          </w:p>
          <w:p w14:paraId="0177FC5B">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outlineLvl w:val="0"/>
              <w:rPr>
                <w:b/>
                <w:color w:val="000000" w:themeColor="text1"/>
                <w:sz w:val="28"/>
                <w:szCs w:val="28"/>
                <w:vertAlign w:val="baseline"/>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在严格采取并实施上述提出的要求措施后，可有效防止项目产生的污染物进入环境，有效降低对周围环境存在的环境风险影响。并且通过上述措施，建设单位可将环境风险危害和环境污染风险降到最低，不会对人体、水体、大气、土壤等造成明显危害。项目环境风险潜势为</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I</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，控制措施有效，环境风险可防控。</w:t>
            </w:r>
          </w:p>
        </w:tc>
      </w:tr>
    </w:tbl>
    <w:p w14:paraId="1242D8AC">
      <w:pPr>
        <w:pStyle w:val="25"/>
        <w:spacing w:before="0" w:beforeAutospacing="0" w:after="0" w:afterAutospacing="0" w:line="240" w:lineRule="auto"/>
        <w:ind w:firstLine="562"/>
        <w:jc w:val="center"/>
        <w:outlineLvl w:val="0"/>
        <w:rPr>
          <w:rFonts w:eastAsia="黑体"/>
          <w:snapToGrid w:val="0"/>
          <w:color w:val="000000" w:themeColor="text1"/>
          <w:sz w:val="30"/>
          <w:szCs w:val="30"/>
          <w14:textFill>
            <w14:solidFill>
              <w14:schemeClr w14:val="tx1"/>
            </w14:solidFill>
          </w14:textFill>
        </w:rPr>
      </w:pPr>
      <w:r>
        <w:rPr>
          <w:b/>
          <w:color w:val="000000" w:themeColor="text1"/>
          <w:sz w:val="28"/>
          <w:szCs w:val="28"/>
          <w14:textFill>
            <w14:solidFill>
              <w14:schemeClr w14:val="tx1"/>
            </w14:solidFill>
          </w14:textFill>
        </w:rPr>
        <w:br w:type="page"/>
      </w:r>
      <w:bookmarkStart w:id="16" w:name="_Toc18795"/>
      <w:r>
        <w:rPr>
          <w:rFonts w:ascii="Times New Roman" w:hAnsi="Times New Roman" w:eastAsia="黑体"/>
          <w:snapToGrid w:val="0"/>
          <w:color w:val="000000" w:themeColor="text1"/>
          <w:sz w:val="30"/>
          <w:szCs w:val="30"/>
          <w14:textFill>
            <w14:solidFill>
              <w14:schemeClr w14:val="tx1"/>
            </w14:solidFill>
          </w14:textFill>
        </w:rPr>
        <w:t>五</w:t>
      </w:r>
      <w:bookmarkStart w:id="17" w:name="_Hlk54167917"/>
      <w:r>
        <w:rPr>
          <w:rFonts w:hint="eastAsia" w:ascii="Times New Roman" w:hAnsi="Times New Roman" w:eastAsia="黑体"/>
          <w:snapToGrid w:val="0"/>
          <w:color w:val="000000" w:themeColor="text1"/>
          <w:sz w:val="30"/>
          <w:szCs w:val="30"/>
          <w14:textFill>
            <w14:solidFill>
              <w14:schemeClr w14:val="tx1"/>
            </w14:solidFill>
          </w14:textFill>
        </w:rPr>
        <w:t>、</w:t>
      </w:r>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16"/>
      <w:bookmarkEnd w:id="17"/>
    </w:p>
    <w:tbl>
      <w:tblPr>
        <w:tblStyle w:val="29"/>
        <w:tblW w:w="88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12"/>
        <w:gridCol w:w="1500"/>
        <w:gridCol w:w="1132"/>
        <w:gridCol w:w="2209"/>
        <w:gridCol w:w="2647"/>
      </w:tblGrid>
      <w:tr w14:paraId="26FAD1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tcBorders>
              <w:tl2br w:val="nil"/>
              <w:tr2bl w:val="nil"/>
            </w:tcBorders>
          </w:tcPr>
          <w:p w14:paraId="242D194B">
            <w:pPr>
              <w:pStyle w:val="43"/>
              <w:jc w:val="righ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内容</w:t>
            </w:r>
          </w:p>
          <w:p w14:paraId="70EA025C">
            <w:pPr>
              <w:pStyle w:val="43"/>
              <w:jc w:val="right"/>
              <w:rPr>
                <w:rFonts w:hint="default" w:ascii="Times New Roman" w:hAnsi="Times New Roman" w:cs="Times New Roman"/>
                <w:color w:val="000000" w:themeColor="text1"/>
                <w14:textFill>
                  <w14:solidFill>
                    <w14:schemeClr w14:val="tx1"/>
                  </w14:solidFill>
                </w14:textFill>
              </w:rPr>
            </w:pPr>
          </w:p>
          <w:p w14:paraId="67A4EF59">
            <w:pPr>
              <w:pStyle w:val="43"/>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要素</w:t>
            </w:r>
          </w:p>
        </w:tc>
        <w:tc>
          <w:tcPr>
            <w:tcW w:w="1500" w:type="dxa"/>
            <w:tcBorders>
              <w:tl2br w:val="nil"/>
              <w:tr2bl w:val="nil"/>
            </w:tcBorders>
            <w:vAlign w:val="center"/>
          </w:tcPr>
          <w:p w14:paraId="0532F85B">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排放口（编号、名称）/污染源</w:t>
            </w:r>
          </w:p>
        </w:tc>
        <w:tc>
          <w:tcPr>
            <w:tcW w:w="1132" w:type="dxa"/>
            <w:tcBorders>
              <w:tl2br w:val="nil"/>
              <w:tr2bl w:val="nil"/>
            </w:tcBorders>
            <w:vAlign w:val="center"/>
          </w:tcPr>
          <w:p w14:paraId="0EB112EE">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污染物/成分</w:t>
            </w:r>
          </w:p>
        </w:tc>
        <w:tc>
          <w:tcPr>
            <w:tcW w:w="2209" w:type="dxa"/>
            <w:tcBorders>
              <w:tl2br w:val="nil"/>
              <w:tr2bl w:val="nil"/>
            </w:tcBorders>
            <w:vAlign w:val="center"/>
          </w:tcPr>
          <w:p w14:paraId="3A41F6AC">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环境保护措施</w:t>
            </w:r>
          </w:p>
        </w:tc>
        <w:tc>
          <w:tcPr>
            <w:tcW w:w="2647" w:type="dxa"/>
            <w:tcBorders>
              <w:tl2br w:val="nil"/>
              <w:tr2bl w:val="nil"/>
            </w:tcBorders>
            <w:vAlign w:val="center"/>
          </w:tcPr>
          <w:p w14:paraId="34FCD556">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执行标准</w:t>
            </w:r>
          </w:p>
        </w:tc>
      </w:tr>
      <w:tr w14:paraId="4970A3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3" w:hRule="atLeast"/>
          <w:jc w:val="center"/>
        </w:trPr>
        <w:tc>
          <w:tcPr>
            <w:tcW w:w="1312" w:type="dxa"/>
            <w:vMerge w:val="restart"/>
            <w:tcBorders>
              <w:tl2br w:val="nil"/>
              <w:tr2bl w:val="nil"/>
            </w:tcBorders>
            <w:vAlign w:val="center"/>
          </w:tcPr>
          <w:p w14:paraId="1E3E87A4">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w:t>
            </w:r>
          </w:p>
        </w:tc>
        <w:tc>
          <w:tcPr>
            <w:tcW w:w="1500" w:type="dxa"/>
            <w:tcBorders>
              <w:tl2br w:val="nil"/>
              <w:tr2bl w:val="nil"/>
            </w:tcBorders>
            <w:vAlign w:val="center"/>
          </w:tcPr>
          <w:p w14:paraId="2FD14A1B">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DA</w:t>
            </w:r>
            <w:r>
              <w:rPr>
                <w:rFonts w:hint="default" w:ascii="Times New Roman" w:hAnsi="Times New Roman" w:cs="Times New Roman"/>
                <w:color w:val="000000" w:themeColor="text1"/>
                <w:lang w:val="en-US" w:eastAsia="zh-CN"/>
                <w14:textFill>
                  <w14:solidFill>
                    <w14:schemeClr w14:val="tx1"/>
                  </w14:solidFill>
                </w14:textFill>
              </w:rPr>
              <w:t>00</w:t>
            </w:r>
            <w:r>
              <w:rPr>
                <w:rFonts w:hint="default" w:ascii="Times New Roman" w:hAnsi="Times New Roman" w:cs="Times New Roman"/>
                <w:color w:val="000000" w:themeColor="text1"/>
                <w14:textFill>
                  <w14:solidFill>
                    <w14:schemeClr w14:val="tx1"/>
                  </w14:solidFill>
                </w14:textFill>
              </w:rPr>
              <w:t>1</w:t>
            </w:r>
          </w:p>
        </w:tc>
        <w:tc>
          <w:tcPr>
            <w:tcW w:w="1132" w:type="dxa"/>
            <w:tcBorders>
              <w:tl2br w:val="nil"/>
              <w:tr2bl w:val="nil"/>
            </w:tcBorders>
            <w:vAlign w:val="center"/>
          </w:tcPr>
          <w:p w14:paraId="49881A33">
            <w:pPr>
              <w:pStyle w:val="43"/>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硫酸雾、HC</w:t>
            </w:r>
            <w:r>
              <w:rPr>
                <w:rFonts w:hint="default" w:ascii="Times New Roman" w:hAnsi="Times New Roman" w:cs="Times New Roman"/>
                <w:color w:val="000000" w:themeColor="text1"/>
                <w:lang w:val="en-US" w:eastAsia="zh-CN"/>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氮氧化物、</w:t>
            </w:r>
            <w:r>
              <w:rPr>
                <w:rFonts w:hint="default" w:ascii="Times New Roman" w:hAnsi="Times New Roman" w:cs="Times New Roman"/>
                <w:color w:val="000000" w:themeColor="text1"/>
                <w14:textFill>
                  <w14:solidFill>
                    <w14:schemeClr w14:val="tx1"/>
                  </w14:solidFill>
                </w14:textFill>
              </w:rPr>
              <w:t>NMHC</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S、臭气浓度</w:t>
            </w:r>
          </w:p>
        </w:tc>
        <w:tc>
          <w:tcPr>
            <w:tcW w:w="2209" w:type="dxa"/>
            <w:tcBorders>
              <w:tl2br w:val="nil"/>
              <w:tr2bl w:val="nil"/>
            </w:tcBorders>
            <w:vAlign w:val="center"/>
          </w:tcPr>
          <w:p w14:paraId="3444B17B">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通风橱</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密闭实验管路经“碱喷淋+活性炭吸附”</w:t>
            </w:r>
            <w:r>
              <w:rPr>
                <w:rFonts w:hint="default" w:ascii="Times New Roman" w:hAnsi="Times New Roman" w:cs="Times New Roman"/>
                <w:color w:val="000000" w:themeColor="text1"/>
                <w14:textFill>
                  <w14:solidFill>
                    <w14:schemeClr w14:val="tx1"/>
                  </w14:solidFill>
                </w14:textFill>
              </w:rPr>
              <w:t>15m排气筒排放</w:t>
            </w:r>
          </w:p>
        </w:tc>
        <w:tc>
          <w:tcPr>
            <w:tcW w:w="2647" w:type="dxa"/>
            <w:tcBorders>
              <w:tl2br w:val="nil"/>
              <w:tr2bl w:val="nil"/>
            </w:tcBorders>
            <w:vAlign w:val="center"/>
          </w:tcPr>
          <w:p w14:paraId="0FAA8695">
            <w:pPr>
              <w:pStyle w:val="43"/>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《大气污染物综合排放标准》（</w:t>
            </w:r>
            <w:r>
              <w:rPr>
                <w:rFonts w:hint="default" w:ascii="Times New Roman" w:hAnsi="Times New Roman" w:cs="Times New Roman"/>
                <w:color w:val="000000" w:themeColor="text1"/>
                <w:lang w:bidi="en-US"/>
                <w14:textFill>
                  <w14:solidFill>
                    <w14:schemeClr w14:val="tx1"/>
                  </w14:solidFill>
                </w14:textFill>
              </w:rPr>
              <w:t>GB</w:t>
            </w:r>
            <w:r>
              <w:rPr>
                <w:rFonts w:hint="default" w:ascii="Times New Roman" w:hAnsi="Times New Roman" w:cs="Times New Roman"/>
                <w:color w:val="000000" w:themeColor="text1"/>
                <w14:textFill>
                  <w14:solidFill>
                    <w14:schemeClr w14:val="tx1"/>
                  </w14:solidFill>
                </w14:textFill>
              </w:rPr>
              <w:t>1629749-96）</w:t>
            </w:r>
            <w:r>
              <w:rPr>
                <w:rFonts w:hint="eastAsia" w:ascii="Times New Roman" w:hAnsi="Times New Roman" w:cs="Times New Roman"/>
                <w:color w:val="000000" w:themeColor="text1"/>
                <w:lang w:eastAsia="zh-CN"/>
                <w14:textFill>
                  <w14:solidFill>
                    <w14:schemeClr w14:val="tx1"/>
                  </w14:solidFill>
                </w14:textFill>
              </w:rPr>
              <w:t>；</w:t>
            </w:r>
          </w:p>
          <w:p w14:paraId="62F5B2DC">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bidi="en-US"/>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恶臭污染物排放标准》（</w:t>
            </w:r>
            <w:r>
              <w:rPr>
                <w:rFonts w:hint="default" w:ascii="Times New Roman" w:hAnsi="Times New Roman" w:cs="Times New Roman"/>
                <w:color w:val="000000" w:themeColor="text1"/>
                <w:lang w:bidi="en-US"/>
                <w14:textFill>
                  <w14:solidFill>
                    <w14:schemeClr w14:val="tx1"/>
                  </w14:solidFill>
                </w14:textFill>
              </w:rPr>
              <w:t>GB</w:t>
            </w:r>
            <w:r>
              <w:rPr>
                <w:rFonts w:hint="default" w:ascii="Times New Roman" w:hAnsi="Times New Roman" w:cs="Times New Roman"/>
                <w:color w:val="000000" w:themeColor="text1"/>
                <w14:textFill>
                  <w14:solidFill>
                    <w14:schemeClr w14:val="tx1"/>
                  </w14:solidFill>
                </w14:textFill>
              </w:rPr>
              <w:t>1455193-93）</w:t>
            </w:r>
          </w:p>
        </w:tc>
      </w:tr>
      <w:tr w14:paraId="253CBD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0" w:hRule="atLeast"/>
          <w:jc w:val="center"/>
        </w:trPr>
        <w:tc>
          <w:tcPr>
            <w:tcW w:w="1312" w:type="dxa"/>
            <w:vMerge w:val="continue"/>
            <w:tcBorders>
              <w:tl2br w:val="nil"/>
              <w:tr2bl w:val="nil"/>
            </w:tcBorders>
            <w:vAlign w:val="center"/>
          </w:tcPr>
          <w:p w14:paraId="761F5115">
            <w:pPr>
              <w:pStyle w:val="43"/>
              <w:rPr>
                <w:rFonts w:hint="default" w:ascii="Times New Roman" w:hAnsi="Times New Roman" w:cs="Times New Roman"/>
                <w:color w:val="000000" w:themeColor="text1"/>
                <w14:textFill>
                  <w14:solidFill>
                    <w14:schemeClr w14:val="tx1"/>
                  </w14:solidFill>
                </w14:textFill>
              </w:rPr>
            </w:pPr>
          </w:p>
        </w:tc>
        <w:tc>
          <w:tcPr>
            <w:tcW w:w="1500" w:type="dxa"/>
            <w:vMerge w:val="restart"/>
            <w:tcBorders>
              <w:tl2br w:val="nil"/>
              <w:tr2bl w:val="nil"/>
            </w:tcBorders>
            <w:vAlign w:val="center"/>
          </w:tcPr>
          <w:p w14:paraId="0180211C">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w:t>
            </w:r>
          </w:p>
        </w:tc>
        <w:tc>
          <w:tcPr>
            <w:tcW w:w="1132" w:type="dxa"/>
            <w:tcBorders>
              <w:tl2br w:val="nil"/>
              <w:tr2bl w:val="nil"/>
            </w:tcBorders>
            <w:vAlign w:val="center"/>
          </w:tcPr>
          <w:p w14:paraId="358458B3">
            <w:pPr>
              <w:pStyle w:val="43"/>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硫酸雾、HC</w:t>
            </w:r>
            <w:r>
              <w:rPr>
                <w:rFonts w:hint="default" w:ascii="Times New Roman" w:hAnsi="Times New Roman" w:cs="Times New Roman"/>
                <w:color w:val="000000" w:themeColor="text1"/>
                <w:lang w:val="en-US" w:eastAsia="zh-CN"/>
                <w14:textFill>
                  <w14:solidFill>
                    <w14:schemeClr w14:val="tx1"/>
                  </w14:solidFill>
                </w14:textFill>
              </w:rPr>
              <w:t>L</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氮氧化物、</w:t>
            </w:r>
            <w:r>
              <w:rPr>
                <w:rFonts w:hint="default" w:ascii="Times New Roman" w:hAnsi="Times New Roman" w:cs="Times New Roman"/>
                <w:color w:val="000000" w:themeColor="text1"/>
                <w14:textFill>
                  <w14:solidFill>
                    <w14:schemeClr w14:val="tx1"/>
                  </w14:solidFill>
                </w14:textFill>
              </w:rPr>
              <w:t>NMHC</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S、颗粒物</w:t>
            </w:r>
          </w:p>
        </w:tc>
        <w:tc>
          <w:tcPr>
            <w:tcW w:w="2209" w:type="dxa"/>
            <w:tcBorders>
              <w:tl2br w:val="nil"/>
              <w:tr2bl w:val="nil"/>
            </w:tcBorders>
            <w:vAlign w:val="center"/>
          </w:tcPr>
          <w:p w14:paraId="07089034">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机械通风、密闭厂房+通风橱、硫化氢密闭</w:t>
            </w:r>
            <w:r>
              <w:rPr>
                <w:rFonts w:hint="eastAsia" w:ascii="Times New Roman" w:hAnsi="Times New Roman" w:cs="Times New Roman"/>
                <w:color w:val="000000" w:themeColor="text1"/>
                <w:lang w:val="en-US" w:eastAsia="zh-CN"/>
                <w14:textFill>
                  <w14:solidFill>
                    <w14:schemeClr w14:val="tx1"/>
                  </w14:solidFill>
                </w14:textFill>
              </w:rPr>
              <w:t>试验管路</w:t>
            </w:r>
          </w:p>
        </w:tc>
        <w:tc>
          <w:tcPr>
            <w:tcW w:w="2647" w:type="dxa"/>
            <w:tcBorders>
              <w:tl2br w:val="nil"/>
              <w:tr2bl w:val="nil"/>
            </w:tcBorders>
            <w:vAlign w:val="center"/>
          </w:tcPr>
          <w:p w14:paraId="3E2497A2">
            <w:pPr>
              <w:pStyle w:val="43"/>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《大气污染物综合排放标准》（</w:t>
            </w:r>
            <w:r>
              <w:rPr>
                <w:rFonts w:hint="default" w:ascii="Times New Roman" w:hAnsi="Times New Roman" w:cs="Times New Roman"/>
                <w:color w:val="000000" w:themeColor="text1"/>
                <w:lang w:bidi="en-US"/>
                <w14:textFill>
                  <w14:solidFill>
                    <w14:schemeClr w14:val="tx1"/>
                  </w14:solidFill>
                </w14:textFill>
              </w:rPr>
              <w:t>GB</w:t>
            </w:r>
            <w:r>
              <w:rPr>
                <w:rFonts w:hint="default" w:ascii="Times New Roman" w:hAnsi="Times New Roman" w:cs="Times New Roman"/>
                <w:color w:val="000000" w:themeColor="text1"/>
                <w14:textFill>
                  <w14:solidFill>
                    <w14:schemeClr w14:val="tx1"/>
                  </w14:solidFill>
                </w14:textFill>
              </w:rPr>
              <w:t>1629749-96）</w:t>
            </w:r>
            <w:r>
              <w:rPr>
                <w:rFonts w:hint="eastAsia" w:ascii="Times New Roman" w:hAnsi="Times New Roman" w:cs="Times New Roman"/>
                <w:color w:val="000000" w:themeColor="text1"/>
                <w:lang w:eastAsia="zh-CN"/>
                <w14:textFill>
                  <w14:solidFill>
                    <w14:schemeClr w14:val="tx1"/>
                  </w14:solidFill>
                </w14:textFill>
              </w:rPr>
              <w:t>；</w:t>
            </w:r>
          </w:p>
          <w:p w14:paraId="7B8093DC">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bidi="en-US"/>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恶臭污染物排放标准》（</w:t>
            </w:r>
            <w:r>
              <w:rPr>
                <w:rFonts w:hint="default" w:ascii="Times New Roman" w:hAnsi="Times New Roman" w:cs="Times New Roman"/>
                <w:color w:val="000000" w:themeColor="text1"/>
                <w:lang w:bidi="en-US"/>
                <w14:textFill>
                  <w14:solidFill>
                    <w14:schemeClr w14:val="tx1"/>
                  </w14:solidFill>
                </w14:textFill>
              </w:rPr>
              <w:t>GB</w:t>
            </w:r>
            <w:r>
              <w:rPr>
                <w:rFonts w:hint="default" w:ascii="Times New Roman" w:hAnsi="Times New Roman" w:cs="Times New Roman"/>
                <w:color w:val="000000" w:themeColor="text1"/>
                <w14:textFill>
                  <w14:solidFill>
                    <w14:schemeClr w14:val="tx1"/>
                  </w14:solidFill>
                </w14:textFill>
              </w:rPr>
              <w:t>1455193-93）</w:t>
            </w:r>
          </w:p>
        </w:tc>
      </w:tr>
      <w:tr w14:paraId="61612D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450D4A46">
            <w:pPr>
              <w:pStyle w:val="43"/>
              <w:rPr>
                <w:rFonts w:hint="default" w:ascii="Times New Roman" w:hAnsi="Times New Roman" w:cs="Times New Roman"/>
                <w:color w:val="000000" w:themeColor="text1"/>
                <w14:textFill>
                  <w14:solidFill>
                    <w14:schemeClr w14:val="tx1"/>
                  </w14:solidFill>
                </w14:textFill>
              </w:rPr>
            </w:pPr>
          </w:p>
        </w:tc>
        <w:tc>
          <w:tcPr>
            <w:tcW w:w="1500" w:type="dxa"/>
            <w:vMerge w:val="continue"/>
            <w:tcBorders>
              <w:tl2br w:val="nil"/>
              <w:tr2bl w:val="nil"/>
            </w:tcBorders>
            <w:vAlign w:val="center"/>
          </w:tcPr>
          <w:p w14:paraId="78F894DF">
            <w:pPr>
              <w:pStyle w:val="43"/>
              <w:rPr>
                <w:rFonts w:hint="default" w:ascii="Times New Roman" w:hAnsi="Times New Roman" w:cs="Times New Roman"/>
                <w:color w:val="000000" w:themeColor="text1"/>
                <w14:textFill>
                  <w14:solidFill>
                    <w14:schemeClr w14:val="tx1"/>
                  </w14:solidFill>
                </w14:textFill>
              </w:rPr>
            </w:pPr>
          </w:p>
        </w:tc>
        <w:tc>
          <w:tcPr>
            <w:tcW w:w="1132" w:type="dxa"/>
            <w:tcBorders>
              <w:tl2br w:val="nil"/>
              <w:tr2bl w:val="nil"/>
            </w:tcBorders>
            <w:vAlign w:val="center"/>
          </w:tcPr>
          <w:p w14:paraId="1DC70207">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臭气浓度</w:t>
            </w:r>
          </w:p>
        </w:tc>
        <w:tc>
          <w:tcPr>
            <w:tcW w:w="2209" w:type="dxa"/>
            <w:tcBorders>
              <w:tl2br w:val="nil"/>
              <w:tr2bl w:val="nil"/>
            </w:tcBorders>
            <w:vAlign w:val="center"/>
          </w:tcPr>
          <w:p w14:paraId="32E1B49B">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碱洗喷淋塔</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危废密闭收集、及时转运</w:t>
            </w:r>
          </w:p>
        </w:tc>
        <w:tc>
          <w:tcPr>
            <w:tcW w:w="2647" w:type="dxa"/>
            <w:tcBorders>
              <w:tl2br w:val="nil"/>
              <w:tr2bl w:val="nil"/>
            </w:tcBorders>
            <w:vAlign w:val="center"/>
          </w:tcPr>
          <w:p w14:paraId="4918185B">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《恶臭污染物排放标准》（GB14554-93）二级新改扩建</w:t>
            </w:r>
          </w:p>
        </w:tc>
      </w:tr>
      <w:tr w14:paraId="0337A9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005E793A">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6CF36BD9">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厂房外无组织监控点</w:t>
            </w:r>
          </w:p>
        </w:tc>
        <w:tc>
          <w:tcPr>
            <w:tcW w:w="1132" w:type="dxa"/>
            <w:tcBorders>
              <w:tl2br w:val="nil"/>
              <w:tr2bl w:val="nil"/>
            </w:tcBorders>
            <w:vAlign w:val="center"/>
          </w:tcPr>
          <w:p w14:paraId="71B7C8E2">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NMHC</w:t>
            </w:r>
          </w:p>
        </w:tc>
        <w:tc>
          <w:tcPr>
            <w:tcW w:w="2209" w:type="dxa"/>
            <w:tcBorders>
              <w:tl2br w:val="nil"/>
              <w:tr2bl w:val="nil"/>
            </w:tcBorders>
            <w:vAlign w:val="center"/>
          </w:tcPr>
          <w:p w14:paraId="09426BD8">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VOCs物料密闭收集，非甲烷总烃经活性炭处理后排放</w:t>
            </w:r>
          </w:p>
        </w:tc>
        <w:tc>
          <w:tcPr>
            <w:tcW w:w="2647" w:type="dxa"/>
            <w:tcBorders>
              <w:tl2br w:val="nil"/>
              <w:tr2bl w:val="nil"/>
            </w:tcBorders>
            <w:vAlign w:val="center"/>
          </w:tcPr>
          <w:p w14:paraId="0599F5B7">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《挥发性有机物无组织排放控制标准》（GB37822-2019）附录A</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特别排放限值</w:t>
            </w:r>
          </w:p>
        </w:tc>
      </w:tr>
      <w:tr w14:paraId="50A24D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tcBorders>
              <w:tl2br w:val="nil"/>
              <w:tr2bl w:val="nil"/>
            </w:tcBorders>
            <w:vAlign w:val="center"/>
          </w:tcPr>
          <w:p w14:paraId="64C56926">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w:t>
            </w:r>
          </w:p>
        </w:tc>
        <w:tc>
          <w:tcPr>
            <w:tcW w:w="1500" w:type="dxa"/>
            <w:tcBorders>
              <w:tl2br w:val="nil"/>
              <w:tr2bl w:val="nil"/>
            </w:tcBorders>
            <w:vAlign w:val="center"/>
          </w:tcPr>
          <w:p w14:paraId="649CD484">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总排口</w:t>
            </w:r>
          </w:p>
        </w:tc>
        <w:tc>
          <w:tcPr>
            <w:tcW w:w="1132" w:type="dxa"/>
            <w:tcBorders>
              <w:tl2br w:val="nil"/>
              <w:tr2bl w:val="nil"/>
            </w:tcBorders>
            <w:vAlign w:val="center"/>
          </w:tcPr>
          <w:p w14:paraId="56CD3974">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COD、氨氮、SS、BOD</w:t>
            </w:r>
            <w:r>
              <w:rPr>
                <w:rFonts w:hint="default" w:ascii="Times New Roman" w:hAnsi="Times New Roman" w:cs="Times New Roman"/>
                <w:color w:val="000000" w:themeColor="text1"/>
                <w:vertAlign w:val="subscript"/>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LAS</w:t>
            </w:r>
          </w:p>
        </w:tc>
        <w:tc>
          <w:tcPr>
            <w:tcW w:w="2209" w:type="dxa"/>
            <w:tcBorders>
              <w:tl2br w:val="nil"/>
              <w:tr2bl w:val="nil"/>
            </w:tcBorders>
            <w:vAlign w:val="center"/>
          </w:tcPr>
          <w:p w14:paraId="41CBA9FA">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生活废水、超声清洗废水与纯水制备废水</w:t>
            </w:r>
            <w:r>
              <w:rPr>
                <w:rFonts w:hint="default" w:ascii="Times New Roman" w:hAnsi="Times New Roman" w:cs="Times New Roman"/>
                <w:color w:val="000000" w:themeColor="text1"/>
                <w14:textFill>
                  <w14:solidFill>
                    <w14:schemeClr w14:val="tx1"/>
                  </w14:solidFill>
                </w14:textFill>
              </w:rPr>
              <w:t>库尔勒经济技术开发区工业废水处理回用厂</w:t>
            </w:r>
          </w:p>
        </w:tc>
        <w:tc>
          <w:tcPr>
            <w:tcW w:w="2647" w:type="dxa"/>
            <w:tcBorders>
              <w:tl2br w:val="nil"/>
              <w:tr2bl w:val="nil"/>
            </w:tcBorders>
            <w:vAlign w:val="center"/>
          </w:tcPr>
          <w:p w14:paraId="62766909">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《污水综合排放标准》（GB8978-1996）中三级标准；《污水排入城镇下水道水质标准》（GB31962-2015）</w:t>
            </w:r>
          </w:p>
        </w:tc>
      </w:tr>
      <w:tr w14:paraId="29A8C7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tcBorders>
              <w:tl2br w:val="nil"/>
              <w:tr2bl w:val="nil"/>
            </w:tcBorders>
            <w:vAlign w:val="center"/>
          </w:tcPr>
          <w:p w14:paraId="4367AA9C">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1500" w:type="dxa"/>
            <w:tcBorders>
              <w:tl2br w:val="nil"/>
              <w:tr2bl w:val="nil"/>
            </w:tcBorders>
            <w:vAlign w:val="center"/>
          </w:tcPr>
          <w:p w14:paraId="66FA96AF">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实验设备</w:t>
            </w:r>
          </w:p>
        </w:tc>
        <w:tc>
          <w:tcPr>
            <w:tcW w:w="1132" w:type="dxa"/>
            <w:tcBorders>
              <w:tl2br w:val="nil"/>
              <w:tr2bl w:val="nil"/>
            </w:tcBorders>
            <w:vAlign w:val="center"/>
          </w:tcPr>
          <w:p w14:paraId="52A502B5">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2209" w:type="dxa"/>
            <w:tcBorders>
              <w:tl2br w:val="nil"/>
              <w:tr2bl w:val="nil"/>
            </w:tcBorders>
            <w:vAlign w:val="center"/>
          </w:tcPr>
          <w:p w14:paraId="004E9F21">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隔音、消音、减振、合理布局、绿化等</w:t>
            </w:r>
          </w:p>
        </w:tc>
        <w:tc>
          <w:tcPr>
            <w:tcW w:w="2647" w:type="dxa"/>
            <w:tcBorders>
              <w:tl2br w:val="nil"/>
              <w:tr2bl w:val="nil"/>
            </w:tcBorders>
            <w:vAlign w:val="center"/>
          </w:tcPr>
          <w:p w14:paraId="4F0210FC">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《工业企业厂界环境噪声排放标准》（GB12348-2008）3类标准</w:t>
            </w:r>
          </w:p>
        </w:tc>
      </w:tr>
      <w:tr w14:paraId="38C73C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restart"/>
            <w:tcBorders>
              <w:tl2br w:val="nil"/>
              <w:tr2bl w:val="nil"/>
            </w:tcBorders>
            <w:vAlign w:val="center"/>
          </w:tcPr>
          <w:p w14:paraId="2E00CAEF">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w:t>
            </w:r>
          </w:p>
        </w:tc>
        <w:tc>
          <w:tcPr>
            <w:tcW w:w="1500" w:type="dxa"/>
            <w:tcBorders>
              <w:tl2br w:val="nil"/>
              <w:tr2bl w:val="nil"/>
            </w:tcBorders>
            <w:vAlign w:val="center"/>
          </w:tcPr>
          <w:p w14:paraId="5C1CDD95">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1132" w:type="dxa"/>
            <w:tcBorders>
              <w:tl2br w:val="nil"/>
              <w:tr2bl w:val="nil"/>
            </w:tcBorders>
            <w:vAlign w:val="center"/>
          </w:tcPr>
          <w:p w14:paraId="09E1DA0A">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209" w:type="dxa"/>
            <w:tcBorders>
              <w:tl2br w:val="nil"/>
              <w:tr2bl w:val="nil"/>
            </w:tcBorders>
            <w:vAlign w:val="center"/>
          </w:tcPr>
          <w:p w14:paraId="551C1129">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园区环卫处置</w:t>
            </w:r>
          </w:p>
        </w:tc>
        <w:tc>
          <w:tcPr>
            <w:tcW w:w="2647" w:type="dxa"/>
            <w:vMerge w:val="restart"/>
            <w:tcBorders>
              <w:tl2br w:val="nil"/>
              <w:tr2bl w:val="nil"/>
            </w:tcBorders>
            <w:vAlign w:val="center"/>
          </w:tcPr>
          <w:p w14:paraId="25E65418">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处置合理</w:t>
            </w:r>
          </w:p>
        </w:tc>
      </w:tr>
      <w:tr w14:paraId="5E2D7C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4AB07D20">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4B2BC981">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废包装材料</w:t>
            </w:r>
          </w:p>
        </w:tc>
        <w:tc>
          <w:tcPr>
            <w:tcW w:w="1132" w:type="dxa"/>
            <w:tcBorders>
              <w:tl2br w:val="nil"/>
              <w:tr2bl w:val="nil"/>
            </w:tcBorders>
            <w:vAlign w:val="center"/>
          </w:tcPr>
          <w:p w14:paraId="0E027A22">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塑料、纸</w:t>
            </w:r>
          </w:p>
        </w:tc>
        <w:tc>
          <w:tcPr>
            <w:tcW w:w="2209" w:type="dxa"/>
            <w:tcBorders>
              <w:tl2br w:val="nil"/>
              <w:tr2bl w:val="nil"/>
            </w:tcBorders>
            <w:vAlign w:val="center"/>
          </w:tcPr>
          <w:p w14:paraId="7A9F770C">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资源利用单位回收</w:t>
            </w:r>
          </w:p>
        </w:tc>
        <w:tc>
          <w:tcPr>
            <w:tcW w:w="2647" w:type="dxa"/>
            <w:vMerge w:val="continue"/>
            <w:tcBorders>
              <w:tl2br w:val="nil"/>
              <w:tr2bl w:val="nil"/>
            </w:tcBorders>
            <w:vAlign w:val="center"/>
          </w:tcPr>
          <w:p w14:paraId="7B0143A8">
            <w:pPr>
              <w:pStyle w:val="43"/>
              <w:rPr>
                <w:rFonts w:hint="default" w:ascii="Times New Roman" w:hAnsi="Times New Roman" w:cs="Times New Roman"/>
                <w:color w:val="000000" w:themeColor="text1"/>
                <w14:textFill>
                  <w14:solidFill>
                    <w14:schemeClr w14:val="tx1"/>
                  </w14:solidFill>
                </w14:textFill>
              </w:rPr>
            </w:pPr>
          </w:p>
        </w:tc>
      </w:tr>
      <w:tr w14:paraId="26D7ED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27F8BC94">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1986A6BE">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边角料</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报废样品</w:t>
            </w:r>
          </w:p>
        </w:tc>
        <w:tc>
          <w:tcPr>
            <w:tcW w:w="1132" w:type="dxa"/>
            <w:tcBorders>
              <w:tl2br w:val="nil"/>
              <w:tr2bl w:val="nil"/>
            </w:tcBorders>
            <w:vAlign w:val="center"/>
          </w:tcPr>
          <w:p w14:paraId="081050B3">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金属</w:t>
            </w:r>
          </w:p>
        </w:tc>
        <w:tc>
          <w:tcPr>
            <w:tcW w:w="2209" w:type="dxa"/>
            <w:tcBorders>
              <w:tl2br w:val="nil"/>
              <w:tr2bl w:val="nil"/>
            </w:tcBorders>
            <w:vAlign w:val="center"/>
          </w:tcPr>
          <w:p w14:paraId="46E9EAEF">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资源利用单位回收</w:t>
            </w:r>
          </w:p>
        </w:tc>
        <w:tc>
          <w:tcPr>
            <w:tcW w:w="2647" w:type="dxa"/>
            <w:vMerge w:val="continue"/>
            <w:tcBorders>
              <w:tl2br w:val="nil"/>
              <w:tr2bl w:val="nil"/>
            </w:tcBorders>
            <w:vAlign w:val="center"/>
          </w:tcPr>
          <w:p w14:paraId="2149E6B1">
            <w:pPr>
              <w:pStyle w:val="43"/>
              <w:rPr>
                <w:rFonts w:hint="default" w:ascii="Times New Roman" w:hAnsi="Times New Roman" w:cs="Times New Roman"/>
                <w:color w:val="000000" w:themeColor="text1"/>
                <w14:textFill>
                  <w14:solidFill>
                    <w14:schemeClr w14:val="tx1"/>
                  </w14:solidFill>
                </w14:textFill>
              </w:rPr>
            </w:pPr>
          </w:p>
        </w:tc>
      </w:tr>
      <w:tr w14:paraId="270D8A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10DE0044">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4C287168">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废气瓶</w:t>
            </w:r>
          </w:p>
        </w:tc>
        <w:tc>
          <w:tcPr>
            <w:tcW w:w="1132" w:type="dxa"/>
            <w:tcBorders>
              <w:tl2br w:val="nil"/>
              <w:tr2bl w:val="nil"/>
            </w:tcBorders>
            <w:vAlign w:val="center"/>
          </w:tcPr>
          <w:p w14:paraId="50998CD0">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金属</w:t>
            </w:r>
          </w:p>
        </w:tc>
        <w:tc>
          <w:tcPr>
            <w:tcW w:w="2209" w:type="dxa"/>
            <w:tcBorders>
              <w:tl2br w:val="nil"/>
              <w:tr2bl w:val="nil"/>
            </w:tcBorders>
            <w:vAlign w:val="center"/>
          </w:tcPr>
          <w:p w14:paraId="07343271">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供气单位回收</w:t>
            </w:r>
          </w:p>
        </w:tc>
        <w:tc>
          <w:tcPr>
            <w:tcW w:w="2647" w:type="dxa"/>
            <w:vMerge w:val="continue"/>
            <w:tcBorders>
              <w:tl2br w:val="nil"/>
              <w:tr2bl w:val="nil"/>
            </w:tcBorders>
            <w:vAlign w:val="center"/>
          </w:tcPr>
          <w:p w14:paraId="7DF29486">
            <w:pPr>
              <w:pStyle w:val="43"/>
              <w:rPr>
                <w:rFonts w:hint="default" w:ascii="Times New Roman" w:hAnsi="Times New Roman" w:cs="Times New Roman"/>
                <w:color w:val="000000" w:themeColor="text1"/>
                <w14:textFill>
                  <w14:solidFill>
                    <w14:schemeClr w14:val="tx1"/>
                  </w14:solidFill>
                </w14:textFill>
              </w:rPr>
            </w:pPr>
          </w:p>
        </w:tc>
      </w:tr>
      <w:tr w14:paraId="5911A0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6C26B60B">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7C0D2CB9">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废超滤膜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滤芯</w:t>
            </w:r>
          </w:p>
        </w:tc>
        <w:tc>
          <w:tcPr>
            <w:tcW w:w="1132" w:type="dxa"/>
            <w:tcBorders>
              <w:tl2br w:val="nil"/>
              <w:tr2bl w:val="nil"/>
            </w:tcBorders>
            <w:vAlign w:val="center"/>
          </w:tcPr>
          <w:p w14:paraId="2C4044B0">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纤维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活性炭</w:t>
            </w:r>
          </w:p>
        </w:tc>
        <w:tc>
          <w:tcPr>
            <w:tcW w:w="2209" w:type="dxa"/>
            <w:tcBorders>
              <w:tl2br w:val="nil"/>
              <w:tr2bl w:val="nil"/>
            </w:tcBorders>
            <w:vAlign w:val="center"/>
          </w:tcPr>
          <w:p w14:paraId="55C6EF5D">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资源利用单位回收</w:t>
            </w:r>
          </w:p>
        </w:tc>
        <w:tc>
          <w:tcPr>
            <w:tcW w:w="2647" w:type="dxa"/>
            <w:vMerge w:val="continue"/>
            <w:tcBorders>
              <w:tl2br w:val="nil"/>
              <w:tr2bl w:val="nil"/>
            </w:tcBorders>
            <w:vAlign w:val="center"/>
          </w:tcPr>
          <w:p w14:paraId="1E88BFE2">
            <w:pPr>
              <w:pStyle w:val="43"/>
              <w:rPr>
                <w:rFonts w:hint="default" w:ascii="Times New Roman" w:hAnsi="Times New Roman" w:cs="Times New Roman"/>
                <w:color w:val="000000" w:themeColor="text1"/>
                <w14:textFill>
                  <w14:solidFill>
                    <w14:schemeClr w14:val="tx1"/>
                  </w14:solidFill>
                </w14:textFill>
              </w:rPr>
            </w:pPr>
          </w:p>
        </w:tc>
      </w:tr>
      <w:tr w14:paraId="2A4AB7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2C3DA5B1">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15D013EE">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实验废液</w:t>
            </w:r>
          </w:p>
        </w:tc>
        <w:tc>
          <w:tcPr>
            <w:tcW w:w="1132" w:type="dxa"/>
            <w:vMerge w:val="restart"/>
            <w:tcBorders>
              <w:tl2br w:val="nil"/>
              <w:tr2bl w:val="nil"/>
            </w:tcBorders>
            <w:vAlign w:val="center"/>
          </w:tcPr>
          <w:p w14:paraId="2594DB7D">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2209" w:type="dxa"/>
            <w:vMerge w:val="restart"/>
            <w:tcBorders>
              <w:tl2br w:val="nil"/>
              <w:tr2bl w:val="nil"/>
            </w:tcBorders>
            <w:vAlign w:val="center"/>
          </w:tcPr>
          <w:p w14:paraId="413BDA32">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危废暂存间暂存后交由有危废处置资质单位处理</w:t>
            </w:r>
          </w:p>
        </w:tc>
        <w:tc>
          <w:tcPr>
            <w:tcW w:w="2647" w:type="dxa"/>
            <w:vMerge w:val="continue"/>
            <w:tcBorders>
              <w:tl2br w:val="nil"/>
              <w:tr2bl w:val="nil"/>
            </w:tcBorders>
            <w:vAlign w:val="center"/>
          </w:tcPr>
          <w:p w14:paraId="7B2F5F61">
            <w:pPr>
              <w:pStyle w:val="43"/>
              <w:rPr>
                <w:rFonts w:hint="default" w:ascii="Times New Roman" w:hAnsi="Times New Roman" w:cs="Times New Roman"/>
                <w:b/>
                <w:bCs w:val="0"/>
                <w:color w:val="000000" w:themeColor="text1"/>
                <w14:textFill>
                  <w14:solidFill>
                    <w14:schemeClr w14:val="tx1"/>
                  </w14:solidFill>
                </w14:textFill>
              </w:rPr>
            </w:pPr>
          </w:p>
        </w:tc>
      </w:tr>
      <w:tr w14:paraId="095AE9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120E19FE">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4A1D0E87">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废药品瓶</w:t>
            </w:r>
          </w:p>
        </w:tc>
        <w:tc>
          <w:tcPr>
            <w:tcW w:w="1132" w:type="dxa"/>
            <w:vMerge w:val="continue"/>
            <w:tcBorders>
              <w:tl2br w:val="nil"/>
              <w:tr2bl w:val="nil"/>
            </w:tcBorders>
            <w:vAlign w:val="center"/>
          </w:tcPr>
          <w:p w14:paraId="5DA019EF">
            <w:pPr>
              <w:pStyle w:val="43"/>
              <w:rPr>
                <w:rFonts w:hint="default" w:ascii="Times New Roman" w:hAnsi="Times New Roman" w:cs="Times New Roman"/>
                <w:color w:val="000000" w:themeColor="text1"/>
                <w14:textFill>
                  <w14:solidFill>
                    <w14:schemeClr w14:val="tx1"/>
                  </w14:solidFill>
                </w14:textFill>
              </w:rPr>
            </w:pPr>
          </w:p>
        </w:tc>
        <w:tc>
          <w:tcPr>
            <w:tcW w:w="2209" w:type="dxa"/>
            <w:vMerge w:val="continue"/>
            <w:tcBorders>
              <w:tl2br w:val="nil"/>
              <w:tr2bl w:val="nil"/>
            </w:tcBorders>
            <w:vAlign w:val="center"/>
          </w:tcPr>
          <w:p w14:paraId="781FE603">
            <w:pPr>
              <w:pStyle w:val="43"/>
              <w:rPr>
                <w:rFonts w:hint="default" w:ascii="Times New Roman" w:hAnsi="Times New Roman" w:cs="Times New Roman"/>
                <w:color w:val="000000" w:themeColor="text1"/>
                <w14:textFill>
                  <w14:solidFill>
                    <w14:schemeClr w14:val="tx1"/>
                  </w14:solidFill>
                </w14:textFill>
              </w:rPr>
            </w:pPr>
          </w:p>
        </w:tc>
        <w:tc>
          <w:tcPr>
            <w:tcW w:w="2647" w:type="dxa"/>
            <w:vMerge w:val="continue"/>
            <w:tcBorders>
              <w:tl2br w:val="nil"/>
              <w:tr2bl w:val="nil"/>
            </w:tcBorders>
            <w:vAlign w:val="center"/>
          </w:tcPr>
          <w:p w14:paraId="1FE35257">
            <w:pPr>
              <w:pStyle w:val="43"/>
              <w:rPr>
                <w:rFonts w:hint="default" w:ascii="Times New Roman" w:hAnsi="Times New Roman" w:cs="Times New Roman"/>
                <w:b/>
                <w:bCs w:val="0"/>
                <w:color w:val="000000" w:themeColor="text1"/>
                <w14:textFill>
                  <w14:solidFill>
                    <w14:schemeClr w14:val="tx1"/>
                  </w14:solidFill>
                </w14:textFill>
              </w:rPr>
            </w:pPr>
          </w:p>
        </w:tc>
      </w:tr>
      <w:tr w14:paraId="51A038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2EF2F817">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3A16AA0C">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w:t>
            </w:r>
            <w:r>
              <w:rPr>
                <w:rFonts w:hint="default" w:ascii="Times New Roman" w:hAnsi="Times New Roman" w:cs="Times New Roman"/>
                <w:color w:val="000000" w:themeColor="text1"/>
                <w14:textFill>
                  <w14:solidFill>
                    <w14:schemeClr w14:val="tx1"/>
                  </w14:solidFill>
                </w14:textFill>
              </w:rPr>
              <w:t>过滤式消防面具</w:t>
            </w:r>
          </w:p>
        </w:tc>
        <w:tc>
          <w:tcPr>
            <w:tcW w:w="1132" w:type="dxa"/>
            <w:vMerge w:val="continue"/>
            <w:tcBorders>
              <w:tl2br w:val="nil"/>
              <w:tr2bl w:val="nil"/>
            </w:tcBorders>
            <w:vAlign w:val="center"/>
          </w:tcPr>
          <w:p w14:paraId="3D07DA3A">
            <w:pPr>
              <w:pStyle w:val="43"/>
              <w:rPr>
                <w:rFonts w:hint="default" w:ascii="Times New Roman" w:hAnsi="Times New Roman" w:cs="Times New Roman"/>
                <w:color w:val="000000" w:themeColor="text1"/>
                <w14:textFill>
                  <w14:solidFill>
                    <w14:schemeClr w14:val="tx1"/>
                  </w14:solidFill>
                </w14:textFill>
              </w:rPr>
            </w:pPr>
          </w:p>
        </w:tc>
        <w:tc>
          <w:tcPr>
            <w:tcW w:w="2209" w:type="dxa"/>
            <w:vMerge w:val="continue"/>
            <w:tcBorders>
              <w:tl2br w:val="nil"/>
              <w:tr2bl w:val="nil"/>
            </w:tcBorders>
            <w:vAlign w:val="center"/>
          </w:tcPr>
          <w:p w14:paraId="3E43BA72">
            <w:pPr>
              <w:pStyle w:val="43"/>
              <w:rPr>
                <w:rFonts w:hint="default" w:ascii="Times New Roman" w:hAnsi="Times New Roman" w:cs="Times New Roman"/>
                <w:color w:val="000000" w:themeColor="text1"/>
                <w14:textFill>
                  <w14:solidFill>
                    <w14:schemeClr w14:val="tx1"/>
                  </w14:solidFill>
                </w14:textFill>
              </w:rPr>
            </w:pPr>
          </w:p>
        </w:tc>
        <w:tc>
          <w:tcPr>
            <w:tcW w:w="2647" w:type="dxa"/>
            <w:vMerge w:val="continue"/>
            <w:tcBorders>
              <w:tl2br w:val="nil"/>
              <w:tr2bl w:val="nil"/>
            </w:tcBorders>
            <w:vAlign w:val="center"/>
          </w:tcPr>
          <w:p w14:paraId="48B9EFCF">
            <w:pPr>
              <w:pStyle w:val="43"/>
              <w:rPr>
                <w:rFonts w:hint="default" w:ascii="Times New Roman" w:hAnsi="Times New Roman" w:cs="Times New Roman"/>
                <w:b/>
                <w:bCs w:val="0"/>
                <w:color w:val="000000" w:themeColor="text1"/>
                <w14:textFill>
                  <w14:solidFill>
                    <w14:schemeClr w14:val="tx1"/>
                  </w14:solidFill>
                </w14:textFill>
              </w:rPr>
            </w:pPr>
          </w:p>
        </w:tc>
      </w:tr>
      <w:tr w14:paraId="0408FF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306211B4">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4E523504">
            <w:pPr>
              <w:pStyle w:val="43"/>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废碱喷淋液</w:t>
            </w:r>
          </w:p>
        </w:tc>
        <w:tc>
          <w:tcPr>
            <w:tcW w:w="1132" w:type="dxa"/>
            <w:vMerge w:val="continue"/>
            <w:tcBorders>
              <w:tl2br w:val="nil"/>
              <w:tr2bl w:val="nil"/>
            </w:tcBorders>
            <w:vAlign w:val="center"/>
          </w:tcPr>
          <w:p w14:paraId="0608B4B3">
            <w:pPr>
              <w:pStyle w:val="43"/>
              <w:rPr>
                <w:rFonts w:hint="default" w:ascii="Times New Roman" w:hAnsi="Times New Roman" w:cs="Times New Roman"/>
                <w:color w:val="000000" w:themeColor="text1"/>
                <w14:textFill>
                  <w14:solidFill>
                    <w14:schemeClr w14:val="tx1"/>
                  </w14:solidFill>
                </w14:textFill>
              </w:rPr>
            </w:pPr>
          </w:p>
        </w:tc>
        <w:tc>
          <w:tcPr>
            <w:tcW w:w="2209" w:type="dxa"/>
            <w:vMerge w:val="continue"/>
            <w:tcBorders>
              <w:tl2br w:val="nil"/>
              <w:tr2bl w:val="nil"/>
            </w:tcBorders>
            <w:vAlign w:val="center"/>
          </w:tcPr>
          <w:p w14:paraId="24668031">
            <w:pPr>
              <w:pStyle w:val="43"/>
              <w:rPr>
                <w:rFonts w:hint="default" w:ascii="Times New Roman" w:hAnsi="Times New Roman" w:cs="Times New Roman"/>
                <w:color w:val="000000" w:themeColor="text1"/>
                <w14:textFill>
                  <w14:solidFill>
                    <w14:schemeClr w14:val="tx1"/>
                  </w14:solidFill>
                </w14:textFill>
              </w:rPr>
            </w:pPr>
          </w:p>
        </w:tc>
        <w:tc>
          <w:tcPr>
            <w:tcW w:w="2647" w:type="dxa"/>
            <w:vMerge w:val="continue"/>
            <w:tcBorders>
              <w:tl2br w:val="nil"/>
              <w:tr2bl w:val="nil"/>
            </w:tcBorders>
            <w:vAlign w:val="center"/>
          </w:tcPr>
          <w:p w14:paraId="1EE12212">
            <w:pPr>
              <w:pStyle w:val="43"/>
              <w:rPr>
                <w:rFonts w:hint="default" w:ascii="Times New Roman" w:hAnsi="Times New Roman" w:cs="Times New Roman"/>
                <w:color w:val="000000" w:themeColor="text1"/>
                <w14:textFill>
                  <w14:solidFill>
                    <w14:schemeClr w14:val="tx1"/>
                  </w14:solidFill>
                </w14:textFill>
              </w:rPr>
            </w:pPr>
          </w:p>
        </w:tc>
      </w:tr>
      <w:tr w14:paraId="03EB9A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vAlign w:val="center"/>
          </w:tcPr>
          <w:p w14:paraId="424ADBC7">
            <w:pPr>
              <w:pStyle w:val="43"/>
              <w:rPr>
                <w:rFonts w:hint="default" w:ascii="Times New Roman" w:hAnsi="Times New Roman" w:cs="Times New Roman"/>
                <w:color w:val="000000" w:themeColor="text1"/>
                <w14:textFill>
                  <w14:solidFill>
                    <w14:schemeClr w14:val="tx1"/>
                  </w14:solidFill>
                </w14:textFill>
              </w:rPr>
            </w:pPr>
          </w:p>
        </w:tc>
        <w:tc>
          <w:tcPr>
            <w:tcW w:w="1500" w:type="dxa"/>
            <w:tcBorders>
              <w:tl2br w:val="nil"/>
              <w:tr2bl w:val="nil"/>
            </w:tcBorders>
            <w:vAlign w:val="center"/>
          </w:tcPr>
          <w:p w14:paraId="6F45747D">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废活性炭</w:t>
            </w:r>
          </w:p>
        </w:tc>
        <w:tc>
          <w:tcPr>
            <w:tcW w:w="1132" w:type="dxa"/>
            <w:vMerge w:val="continue"/>
            <w:tcBorders>
              <w:tl2br w:val="nil"/>
              <w:tr2bl w:val="nil"/>
            </w:tcBorders>
            <w:vAlign w:val="center"/>
          </w:tcPr>
          <w:p w14:paraId="7DE874DE">
            <w:pPr>
              <w:pStyle w:val="43"/>
              <w:rPr>
                <w:rFonts w:hint="default" w:ascii="Times New Roman" w:hAnsi="Times New Roman" w:cs="Times New Roman"/>
                <w:color w:val="000000" w:themeColor="text1"/>
                <w14:textFill>
                  <w14:solidFill>
                    <w14:schemeClr w14:val="tx1"/>
                  </w14:solidFill>
                </w14:textFill>
              </w:rPr>
            </w:pPr>
          </w:p>
        </w:tc>
        <w:tc>
          <w:tcPr>
            <w:tcW w:w="2209" w:type="dxa"/>
            <w:vMerge w:val="continue"/>
            <w:tcBorders>
              <w:tl2br w:val="nil"/>
              <w:tr2bl w:val="nil"/>
            </w:tcBorders>
            <w:vAlign w:val="center"/>
          </w:tcPr>
          <w:p w14:paraId="668DF483">
            <w:pPr>
              <w:pStyle w:val="43"/>
              <w:rPr>
                <w:rFonts w:hint="default" w:ascii="Times New Roman" w:hAnsi="Times New Roman" w:cs="Times New Roman"/>
                <w:color w:val="000000" w:themeColor="text1"/>
                <w14:textFill>
                  <w14:solidFill>
                    <w14:schemeClr w14:val="tx1"/>
                  </w14:solidFill>
                </w14:textFill>
              </w:rPr>
            </w:pPr>
          </w:p>
        </w:tc>
        <w:tc>
          <w:tcPr>
            <w:tcW w:w="2647" w:type="dxa"/>
            <w:vMerge w:val="continue"/>
            <w:tcBorders>
              <w:tl2br w:val="nil"/>
              <w:tr2bl w:val="nil"/>
            </w:tcBorders>
            <w:vAlign w:val="center"/>
          </w:tcPr>
          <w:p w14:paraId="3355FA3B">
            <w:pPr>
              <w:pStyle w:val="43"/>
              <w:rPr>
                <w:rFonts w:hint="default" w:ascii="Times New Roman" w:hAnsi="Times New Roman" w:cs="Times New Roman"/>
                <w:color w:val="000000" w:themeColor="text1"/>
                <w14:textFill>
                  <w14:solidFill>
                    <w14:schemeClr w14:val="tx1"/>
                  </w14:solidFill>
                </w14:textFill>
              </w:rPr>
            </w:pPr>
          </w:p>
        </w:tc>
      </w:tr>
      <w:tr w14:paraId="4C2111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6" w:hRule="atLeast"/>
          <w:jc w:val="center"/>
        </w:trPr>
        <w:tc>
          <w:tcPr>
            <w:tcW w:w="1312" w:type="dxa"/>
            <w:tcBorders>
              <w:tl2br w:val="nil"/>
              <w:tr2bl w:val="nil"/>
            </w:tcBorders>
            <w:vAlign w:val="center"/>
          </w:tcPr>
          <w:p w14:paraId="547310E1">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土壤及地下水污染防治措施</w:t>
            </w:r>
          </w:p>
        </w:tc>
        <w:tc>
          <w:tcPr>
            <w:tcW w:w="7488" w:type="dxa"/>
            <w:gridSpan w:val="4"/>
            <w:tcBorders>
              <w:tl2br w:val="nil"/>
              <w:tr2bl w:val="nil"/>
            </w:tcBorders>
            <w:vAlign w:val="center"/>
          </w:tcPr>
          <w:p w14:paraId="31912F64">
            <w:pPr>
              <w:pStyle w:val="47"/>
              <w:ind w:firstLine="42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做好设备的维护、检修，杜绝跑、冒、滴、漏现象。合理进行防渗区域划分，危险暂存间四周设置导流沟，地面采取防渗，按重点污染区防渗要求进行建设，地面与裙角所围建的容积不低于堵截最大容器的最大储量或总储量的五分之一。</w:t>
            </w:r>
            <w:r>
              <w:rPr>
                <w:rFonts w:hint="default" w:ascii="Times New Roman" w:hAnsi="Times New Roman" w:cs="Times New Roman"/>
                <w:color w:val="000000" w:themeColor="text1"/>
                <w:sz w:val="24"/>
                <w:szCs w:val="24"/>
                <w:lang w:val="en-US" w:eastAsia="zh-CN"/>
                <w14:textFill>
                  <w14:solidFill>
                    <w14:schemeClr w14:val="tx1"/>
                  </w14:solidFill>
                </w14:textFill>
              </w:rPr>
              <w:t>化学试剂室、易制毒易制爆室</w:t>
            </w:r>
            <w:r>
              <w:rPr>
                <w:rFonts w:hint="default" w:ascii="Times New Roman" w:hAnsi="Times New Roman" w:cs="Times New Roman"/>
                <w:color w:val="000000" w:themeColor="text1"/>
                <w:sz w:val="24"/>
                <w:szCs w:val="24"/>
                <w14:textFill>
                  <w14:solidFill>
                    <w14:schemeClr w14:val="tx1"/>
                  </w14:solidFill>
                </w14:textFill>
              </w:rPr>
              <w:t>按一般污染区防渗要求进行建设，危废间必须有耐腐蚀的硬化地面，办公室、其他厂区地面等为简单防渗区。</w:t>
            </w:r>
          </w:p>
        </w:tc>
      </w:tr>
      <w:tr w14:paraId="65D307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1312" w:type="dxa"/>
            <w:tcBorders>
              <w:tl2br w:val="nil"/>
              <w:tr2bl w:val="nil"/>
            </w:tcBorders>
            <w:vAlign w:val="center"/>
          </w:tcPr>
          <w:p w14:paraId="04F0A948">
            <w:pPr>
              <w:pStyle w:val="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生态保护措施</w:t>
            </w:r>
          </w:p>
        </w:tc>
        <w:tc>
          <w:tcPr>
            <w:tcW w:w="7488" w:type="dxa"/>
            <w:gridSpan w:val="4"/>
            <w:tcBorders>
              <w:tl2br w:val="nil"/>
              <w:tr2bl w:val="nil"/>
            </w:tcBorders>
            <w:vAlign w:val="center"/>
          </w:tcPr>
          <w:p w14:paraId="122BC235">
            <w:pPr>
              <w:pStyle w:val="43"/>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本项目租赁已建成的厂房作为实验分析室及办公室，且周边无生态环境保护目标，营运期污染物达标排放、去向合理基本不会对项目所在地生态环境造成较大影响。</w:t>
            </w:r>
          </w:p>
        </w:tc>
      </w:tr>
      <w:tr w14:paraId="2D80CB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1312" w:type="dxa"/>
            <w:tcBorders>
              <w:tl2br w:val="nil"/>
              <w:tr2bl w:val="nil"/>
            </w:tcBorders>
            <w:vAlign w:val="center"/>
          </w:tcPr>
          <w:p w14:paraId="1DF042EF">
            <w:pPr>
              <w:pStyle w:val="43"/>
              <w:rPr>
                <w:rFonts w:hint="default" w:ascii="Times New Roman" w:hAnsi="Times New Roman" w:cs="Times New Roman"/>
                <w:color w:val="000000" w:themeColor="text1"/>
                <w:spacing w:val="-8"/>
                <w14:textFill>
                  <w14:solidFill>
                    <w14:schemeClr w14:val="tx1"/>
                  </w14:solidFill>
                </w14:textFill>
              </w:rPr>
            </w:pPr>
            <w:r>
              <w:rPr>
                <w:rFonts w:hint="default" w:ascii="Times New Roman" w:hAnsi="Times New Roman" w:cs="Times New Roman"/>
                <w:color w:val="000000" w:themeColor="text1"/>
                <w:spacing w:val="-8"/>
                <w14:textFill>
                  <w14:solidFill>
                    <w14:schemeClr w14:val="tx1"/>
                  </w14:solidFill>
                </w14:textFill>
              </w:rPr>
              <w:t>环境风险</w:t>
            </w:r>
          </w:p>
          <w:p w14:paraId="78462AAC">
            <w:pPr>
              <w:pStyle w:val="43"/>
              <w:rPr>
                <w:rFonts w:hint="default" w:ascii="Times New Roman" w:hAnsi="Times New Roman" w:cs="Times New Roman"/>
                <w:color w:val="000000" w:themeColor="text1"/>
                <w:spacing w:val="-8"/>
                <w14:textFill>
                  <w14:solidFill>
                    <w14:schemeClr w14:val="tx1"/>
                  </w14:solidFill>
                </w14:textFill>
              </w:rPr>
            </w:pPr>
            <w:r>
              <w:rPr>
                <w:rFonts w:hint="default" w:ascii="Times New Roman" w:hAnsi="Times New Roman" w:cs="Times New Roman"/>
                <w:color w:val="000000" w:themeColor="text1"/>
                <w:spacing w:val="-8"/>
                <w14:textFill>
                  <w14:solidFill>
                    <w14:schemeClr w14:val="tx1"/>
                  </w14:solidFill>
                </w14:textFill>
              </w:rPr>
              <w:t>防范措施</w:t>
            </w:r>
          </w:p>
        </w:tc>
        <w:tc>
          <w:tcPr>
            <w:tcW w:w="7488" w:type="dxa"/>
            <w:gridSpan w:val="4"/>
            <w:tcBorders>
              <w:tl2br w:val="nil"/>
              <w:tr2bl w:val="nil"/>
            </w:tcBorders>
            <w:vAlign w:val="center"/>
          </w:tcPr>
          <w:p w14:paraId="2CF8F285">
            <w:pPr>
              <w:pStyle w:val="43"/>
              <w:numPr>
                <w:ilvl w:val="0"/>
                <w:numId w:val="4"/>
              </w:numPr>
              <w:spacing w:line="360" w:lineRule="auto"/>
              <w:ind w:firstLine="50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设立安全环保管理机构，保证风险防范措施的落实到位，负责日常的安全环保管理工作，确保各项安全、环保措施的执行与落实，做好事故的预防工作。安全环保机构制定环境风险防范培训管理制度，对操作人员进行专业技术培训。事故期间，安全环保机构负责落实风险救援计划各项措施，确保应急救援工作及时顺利展开。</w:t>
            </w:r>
          </w:p>
          <w:p w14:paraId="40028F78">
            <w:pPr>
              <w:pStyle w:val="43"/>
              <w:numPr>
                <w:ilvl w:val="0"/>
                <w:numId w:val="4"/>
              </w:numPr>
              <w:spacing w:line="360" w:lineRule="auto"/>
              <w:ind w:firstLine="50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管理危险品，杜绝危险品泄漏</w:t>
            </w:r>
          </w:p>
          <w:p w14:paraId="76D32C33">
            <w:pPr>
              <w:pStyle w:val="43"/>
              <w:spacing w:line="360" w:lineRule="auto"/>
              <w:ind w:firstLine="50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防止泄漏。经常对危废暂存间、</w:t>
            </w:r>
            <w:r>
              <w:rPr>
                <w:rFonts w:hint="default" w:ascii="Times New Roman" w:hAnsi="Times New Roman" w:cs="Times New Roman"/>
                <w:color w:val="000000" w:themeColor="text1"/>
                <w:sz w:val="24"/>
                <w:szCs w:val="24"/>
                <w:lang w:val="en-US" w:eastAsia="zh-CN"/>
                <w14:textFill>
                  <w14:solidFill>
                    <w14:schemeClr w14:val="tx1"/>
                  </w14:solidFill>
                </w14:textFill>
              </w:rPr>
              <w:t>一般化学试剂库</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危险化学品室</w:t>
            </w:r>
            <w:r>
              <w:rPr>
                <w:rFonts w:hint="default" w:ascii="Times New Roman" w:hAnsi="Times New Roman" w:cs="Times New Roman"/>
                <w:color w:val="000000" w:themeColor="text1"/>
                <w:sz w:val="24"/>
                <w:szCs w:val="24"/>
                <w14:textFill>
                  <w14:solidFill>
                    <w14:schemeClr w14:val="tx1"/>
                  </w14:solidFill>
                </w14:textFill>
              </w:rPr>
              <w:t>进行检查，发现问题立即停止工作，进行检修，禁止跑、冒、滴、漏。发生泄漏后，建设单位要积极主动采取果断措施，如严格控制电、火源，及时报警，特别要配合消防部门，提供相关物料的理化性质等，</w:t>
            </w:r>
            <w:r>
              <w:rPr>
                <w:rFonts w:hint="eastAsia" w:ascii="Times New Roman" w:hAnsi="Times New Roman" w:cs="Times New Roman"/>
                <w:color w:val="000000" w:themeColor="text1"/>
                <w:sz w:val="24"/>
                <w:szCs w:val="24"/>
                <w:lang w:eastAsia="zh-CN"/>
                <w14:textFill>
                  <w14:solidFill>
                    <w14:schemeClr w14:val="tx1"/>
                  </w14:solidFill>
                </w14:textFill>
              </w:rPr>
              <w:t>做好</w:t>
            </w:r>
            <w:r>
              <w:rPr>
                <w:rFonts w:hint="default" w:ascii="Times New Roman" w:hAnsi="Times New Roman" w:cs="Times New Roman"/>
                <w:color w:val="000000" w:themeColor="text1"/>
                <w:sz w:val="24"/>
                <w:szCs w:val="24"/>
                <w14:textFill>
                  <w14:solidFill>
                    <w14:schemeClr w14:val="tx1"/>
                  </w14:solidFill>
                </w14:textFill>
              </w:rPr>
              <w:t>协助工作。</w:t>
            </w:r>
          </w:p>
          <w:p w14:paraId="3CC7D070">
            <w:pPr>
              <w:pStyle w:val="43"/>
              <w:spacing w:line="360" w:lineRule="auto"/>
              <w:ind w:firstLine="50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制定岗位责任制，杜绝污染事故的发生。加强对干部职工的安全教育培训，增加操作人员的安全意识。对实验室、仓库、危废间等区域设置警示牌。</w:t>
            </w:r>
          </w:p>
          <w:p w14:paraId="75C5B7CE">
            <w:pPr>
              <w:pStyle w:val="43"/>
              <w:numPr>
                <w:ilvl w:val="0"/>
                <w:numId w:val="4"/>
              </w:numPr>
              <w:spacing w:line="360" w:lineRule="auto"/>
              <w:ind w:firstLine="50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危废暂存间做符合防渗要求的防渗措施，危废暂存间的地面采用环氧树脂进行防渗处理，厚度不小于2mm。</w:t>
            </w:r>
          </w:p>
          <w:p w14:paraId="259B0C46">
            <w:pPr>
              <w:pStyle w:val="43"/>
              <w:numPr>
                <w:ilvl w:val="0"/>
                <w:numId w:val="4"/>
              </w:numPr>
              <w:spacing w:line="360" w:lineRule="auto"/>
              <w:ind w:firstLine="50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组织编制突发环境事件应急预案，并适时进行演练。</w:t>
            </w:r>
          </w:p>
        </w:tc>
      </w:tr>
      <w:tr w14:paraId="381D7C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32" w:hRule="atLeast"/>
          <w:jc w:val="center"/>
        </w:trPr>
        <w:tc>
          <w:tcPr>
            <w:tcW w:w="1312" w:type="dxa"/>
            <w:tcBorders>
              <w:tl2br w:val="nil"/>
              <w:tr2bl w:val="nil"/>
            </w:tcBorders>
            <w:vAlign w:val="center"/>
          </w:tcPr>
          <w:p w14:paraId="5A2B8122">
            <w:pPr>
              <w:pStyle w:val="43"/>
              <w:rPr>
                <w:rFonts w:hint="default" w:ascii="Times New Roman" w:hAnsi="Times New Roman" w:cs="Times New Roman"/>
                <w:color w:val="000000" w:themeColor="text1"/>
                <w:spacing w:val="-8"/>
                <w14:textFill>
                  <w14:solidFill>
                    <w14:schemeClr w14:val="tx1"/>
                  </w14:solidFill>
                </w14:textFill>
              </w:rPr>
            </w:pPr>
            <w:r>
              <w:rPr>
                <w:rFonts w:hint="default" w:ascii="Times New Roman" w:hAnsi="Times New Roman" w:cs="Times New Roman"/>
                <w:color w:val="000000" w:themeColor="text1"/>
                <w:spacing w:val="-8"/>
                <w14:textFill>
                  <w14:solidFill>
                    <w14:schemeClr w14:val="tx1"/>
                  </w14:solidFill>
                </w14:textFill>
              </w:rPr>
              <w:t>其他环境</w:t>
            </w:r>
          </w:p>
          <w:p w14:paraId="020CE399">
            <w:pPr>
              <w:pStyle w:val="43"/>
              <w:rPr>
                <w:rFonts w:hint="default" w:ascii="Times New Roman" w:hAnsi="Times New Roman" w:cs="Times New Roman"/>
                <w:color w:val="000000" w:themeColor="text1"/>
                <w:spacing w:val="-8"/>
                <w14:textFill>
                  <w14:solidFill>
                    <w14:schemeClr w14:val="tx1"/>
                  </w14:solidFill>
                </w14:textFill>
              </w:rPr>
            </w:pPr>
            <w:r>
              <w:rPr>
                <w:rFonts w:hint="default" w:ascii="Times New Roman" w:hAnsi="Times New Roman" w:cs="Times New Roman"/>
                <w:color w:val="000000" w:themeColor="text1"/>
                <w:spacing w:val="-8"/>
                <w14:textFill>
                  <w14:solidFill>
                    <w14:schemeClr w14:val="tx1"/>
                  </w14:solidFill>
                </w14:textFill>
              </w:rPr>
              <w:t>管理要求</w:t>
            </w:r>
          </w:p>
        </w:tc>
        <w:tc>
          <w:tcPr>
            <w:tcW w:w="7488" w:type="dxa"/>
            <w:gridSpan w:val="4"/>
            <w:tcBorders>
              <w:tl2br w:val="nil"/>
              <w:tr2bl w:val="nil"/>
            </w:tcBorders>
            <w:vAlign w:val="center"/>
          </w:tcPr>
          <w:p w14:paraId="217CB5FA">
            <w:pPr>
              <w:pStyle w:val="43"/>
              <w:keepNext w:val="0"/>
              <w:keepLines w:val="0"/>
              <w:pageBreakBefore w:val="0"/>
              <w:suppressLineNumbers w:val="0"/>
              <w:kinsoku/>
              <w:wordWrap/>
              <w:overflowPunct/>
              <w:topLinePunct w:val="0"/>
              <w:autoSpaceDE/>
              <w:autoSpaceDN/>
              <w:bidi w:val="0"/>
              <w:snapToGrid/>
              <w:spacing w:beforeAutospacing="0" w:after="0" w:afterAutospacing="0" w:line="360" w:lineRule="auto"/>
              <w:ind w:left="480" w:leftChars="200" w:right="0" w:firstLine="0" w:firstLineChars="0"/>
              <w:jc w:val="left"/>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
                <w:bCs/>
                <w:color w:val="000000" w:themeColor="text1"/>
                <w:spacing w:val="0"/>
                <w:kern w:val="2"/>
                <w:sz w:val="24"/>
                <w:szCs w:val="24"/>
                <w:lang w:val="en-US" w:eastAsia="zh-CN" w:bidi="ar-SA"/>
                <w14:textFill>
                  <w14:solidFill>
                    <w14:schemeClr w14:val="tx1"/>
                  </w14:solidFill>
                </w14:textFill>
              </w:rPr>
              <w:t>1、排污口规范化管理要求</w:t>
            </w:r>
          </w:p>
          <w:p w14:paraId="6D8E70D4">
            <w:pPr>
              <w:pStyle w:val="43"/>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（1）向环境排放的污染物的排气筒必须规范化。</w:t>
            </w:r>
          </w:p>
          <w:p w14:paraId="74358972">
            <w:pPr>
              <w:pStyle w:val="43"/>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（2）列入总量控制的污染物、排污口列为管理的重点。</w:t>
            </w:r>
          </w:p>
          <w:p w14:paraId="54914129">
            <w:pPr>
              <w:pStyle w:val="43"/>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（3）排污口应便于采样与计量监测，便于日常现场监督检查。</w:t>
            </w:r>
          </w:p>
          <w:p w14:paraId="07E107F9">
            <w:pPr>
              <w:pStyle w:val="43"/>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（4）如实向环保管理部门申报排污口数量、位置及所排放的主要污染物种类、数量、浓度、排放去向等情况。</w:t>
            </w:r>
          </w:p>
          <w:p w14:paraId="3B09260C">
            <w:pPr>
              <w:pStyle w:val="43"/>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（5）废气排气装置应设置便于采样、监测的采样孔和采样平台，设置应符合《污染源监测技术规范》。</w:t>
            </w:r>
          </w:p>
          <w:p w14:paraId="582E4DCB">
            <w:pPr>
              <w:pStyle w:val="43"/>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拟建项目需要规范的排污口是废水总排放口、废气排放口、设备噪声源、固体废物贮放场所等。各污染源排放口应设置专项图标，执行《环境图形标准排污口（源）》（GB15563.1-1995）、《危险废物识别标志设置技术规范》（HJ1276-2022）相关要求各排污口标志牌设置示意图见下表。要求各排污口（源）提示标志形状采用正方形边框，背景颜色采用绿色，图形颜色采用白色。标志牌应设在与之功能相应的醒目处，并保持清晰完整。</w:t>
            </w:r>
          </w:p>
          <w:p w14:paraId="7E96295F">
            <w:pPr>
              <w:pStyle w:val="43"/>
              <w:keepNext w:val="0"/>
              <w:keepLines w:val="0"/>
              <w:pageBreakBefore w:val="0"/>
              <w:suppressLineNumbers w:val="0"/>
              <w:kinsoku/>
              <w:wordWrap/>
              <w:overflowPunct/>
              <w:topLinePunct w:val="0"/>
              <w:autoSpaceDE/>
              <w:autoSpaceDN/>
              <w:bidi w:val="0"/>
              <w:snapToGrid/>
              <w:spacing w:beforeAutospacing="0" w:after="0" w:afterAutospacing="0" w:line="360" w:lineRule="auto"/>
              <w:ind w:left="0" w:right="0"/>
              <w:jc w:val="left"/>
              <w:textAlignment w:val="auto"/>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drawing>
                <wp:inline distT="0" distB="0" distL="114300" distR="114300">
                  <wp:extent cx="4432300" cy="2299970"/>
                  <wp:effectExtent l="0" t="0" r="635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4432300" cy="2299970"/>
                          </a:xfrm>
                          <a:prstGeom prst="rect">
                            <a:avLst/>
                          </a:prstGeom>
                          <a:noFill/>
                          <a:ln>
                            <a:noFill/>
                          </a:ln>
                        </pic:spPr>
                      </pic:pic>
                    </a:graphicData>
                  </a:graphic>
                </wp:inline>
              </w:drawing>
            </w:r>
          </w:p>
          <w:p w14:paraId="383E7ED6">
            <w:pPr>
              <w:pStyle w:val="43"/>
              <w:keepNext w:val="0"/>
              <w:keepLines w:val="0"/>
              <w:pageBreakBefore w:val="0"/>
              <w:suppressLineNumbers w:val="0"/>
              <w:kinsoku/>
              <w:wordWrap/>
              <w:overflowPunct/>
              <w:topLinePunct w:val="0"/>
              <w:autoSpaceDE/>
              <w:autoSpaceDN/>
              <w:bidi w:val="0"/>
              <w:snapToGrid/>
              <w:spacing w:beforeAutospacing="0" w:after="0" w:afterAutospacing="0" w:line="360" w:lineRule="auto"/>
              <w:ind w:left="480" w:leftChars="200" w:right="0" w:firstLine="0" w:firstLineChars="0"/>
              <w:jc w:val="left"/>
              <w:textAlignment w:val="auto"/>
              <w:rPr>
                <w:rFonts w:hint="default" w:ascii="Times New Roman" w:hAnsi="Times New Roman" w:eastAsia="新宋体" w:cs="Times New Roman"/>
                <w:b/>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
                <w:bCs/>
                <w:color w:val="000000" w:themeColor="text1"/>
                <w:spacing w:val="0"/>
                <w:kern w:val="2"/>
                <w:sz w:val="24"/>
                <w:szCs w:val="24"/>
                <w:lang w:val="en-US" w:eastAsia="zh-CN" w:bidi="ar-SA"/>
                <w14:textFill>
                  <w14:solidFill>
                    <w14:schemeClr w14:val="tx1"/>
                  </w14:solidFill>
                </w14:textFill>
              </w:rPr>
              <w:t>2、环境台账管理要求</w:t>
            </w:r>
          </w:p>
          <w:p w14:paraId="53DA8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对照</w:t>
            </w: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《排污许可证申请与核发技术规范总则》（HJ942-2018），台账记录管理要求如下：</w:t>
            </w:r>
          </w:p>
          <w:p w14:paraId="47B070AA">
            <w:pPr>
              <w:keepNext w:val="0"/>
              <w:keepLines w:val="0"/>
              <w:widowControl/>
              <w:suppressLineNumbers w:val="0"/>
              <w:jc w:val="left"/>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（1）环境管理台账及排污许可证执行报告编制按照《排污单位环境管理台账及排污许可证执行报告技术规范总则（试行）》执行。</w:t>
            </w:r>
          </w:p>
          <w:p w14:paraId="11ED492B">
            <w:pPr>
              <w:keepNext w:val="0"/>
              <w:keepLines w:val="0"/>
              <w:widowControl/>
              <w:suppressLineNumbers w:val="0"/>
              <w:jc w:val="left"/>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（2）环境管理要求合规是指排污单位按排污许可证规定落实自行监测、台账记录、执行报告、信息公开等环境管理要求。</w:t>
            </w:r>
          </w:p>
          <w:p w14:paraId="26DC0953">
            <w:pPr>
              <w:keepNext w:val="0"/>
              <w:keepLines w:val="0"/>
              <w:widowControl/>
              <w:suppressLineNumbers w:val="0"/>
              <w:jc w:val="left"/>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（3）排污单位可通过台账记录、按时上报执行报告和开展自行监测、信息公开，自证其依证排污，满足排污许可证要求。</w:t>
            </w:r>
          </w:p>
          <w:p w14:paraId="36EFD99B">
            <w:pPr>
              <w:keepNext w:val="0"/>
              <w:keepLines w:val="0"/>
              <w:widowControl/>
              <w:suppressLineNumbers w:val="0"/>
              <w:jc w:val="left"/>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（4）核发环保部门可依据执法监测数据，排污单位环境管理台账、执行报告、自行监测记录中的内容，判断其污染物排放浓度和排放量是否满足许可排放限值要求。</w:t>
            </w:r>
          </w:p>
          <w:p w14:paraId="4022D507">
            <w:pPr>
              <w:pStyle w:val="43"/>
              <w:spacing w:line="360" w:lineRule="auto"/>
              <w:ind w:left="480" w:leftChars="200"/>
              <w:jc w:val="left"/>
              <w:rPr>
                <w:rFonts w:hint="default" w:ascii="Times New Roman" w:hAnsi="Times New Roman" w:cs="Times New Roman"/>
                <w:b/>
                <w:bCs w:val="0"/>
                <w:color w:val="000000" w:themeColor="text1"/>
                <w:sz w:val="24"/>
                <w:szCs w:val="24"/>
                <w14:textFill>
                  <w14:solidFill>
                    <w14:schemeClr w14:val="tx1"/>
                  </w14:solidFill>
                </w14:textFill>
              </w:rPr>
            </w:pPr>
            <w:r>
              <w:rPr>
                <w:rFonts w:hint="default" w:ascii="Times New Roman" w:hAnsi="Times New Roman" w:cs="Times New Roman"/>
                <w:b/>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b/>
                <w:bCs w:val="0"/>
                <w:color w:val="000000" w:themeColor="text1"/>
                <w:sz w:val="24"/>
                <w:szCs w:val="24"/>
                <w14:textFill>
                  <w14:solidFill>
                    <w14:schemeClr w14:val="tx1"/>
                  </w14:solidFill>
                </w14:textFill>
              </w:rPr>
              <w:t>、与排污许可证衔接</w:t>
            </w:r>
          </w:p>
          <w:p w14:paraId="1D777C7C">
            <w:pPr>
              <w:pStyle w:val="38"/>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关于做好环境影响评价制度与排污许可制衔接相关工作的通知》中要求：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p w14:paraId="37B4E60A">
            <w:pPr>
              <w:pStyle w:val="38"/>
              <w:ind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对照</w:t>
            </w:r>
            <w:r>
              <w:rPr>
                <w:rFonts w:hint="default" w:ascii="Times New Roman" w:hAnsi="Times New Roman" w:cs="Times New Roman"/>
                <w:color w:val="000000" w:themeColor="text1"/>
                <w:sz w:val="24"/>
                <w:szCs w:val="24"/>
                <w14:textFill>
                  <w14:solidFill>
                    <w14:schemeClr w14:val="tx1"/>
                  </w14:solidFill>
                </w14:textFill>
              </w:rPr>
              <w:t>《固定污染源排污许可分类管理名录（2019年版）》项目属于M7452检测服务，不设喷漆、电镀等工艺，不设工业炉窑、不涉及水处理，故不实施排污许可管理。</w:t>
            </w:r>
          </w:p>
          <w:p w14:paraId="79495774">
            <w:pPr>
              <w:pStyle w:val="43"/>
              <w:spacing w:line="360" w:lineRule="auto"/>
              <w:ind w:left="480" w:leftChars="200"/>
              <w:jc w:val="left"/>
              <w:rPr>
                <w:rFonts w:hint="default" w:ascii="Times New Roman" w:hAnsi="Times New Roman" w:cs="Times New Roman"/>
                <w:b/>
                <w:bCs w:val="0"/>
                <w:color w:val="000000" w:themeColor="text1"/>
                <w:sz w:val="24"/>
                <w:szCs w:val="24"/>
                <w14:textFill>
                  <w14:solidFill>
                    <w14:schemeClr w14:val="tx1"/>
                  </w14:solidFill>
                </w14:textFill>
              </w:rPr>
            </w:pPr>
            <w:r>
              <w:rPr>
                <w:rFonts w:hint="default" w:ascii="Times New Roman" w:hAnsi="Times New Roman" w:cs="Times New Roman"/>
                <w:b/>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b/>
                <w:bCs w:val="0"/>
                <w:color w:val="000000" w:themeColor="text1"/>
                <w:sz w:val="24"/>
                <w:szCs w:val="24"/>
                <w14:textFill>
                  <w14:solidFill>
                    <w14:schemeClr w14:val="tx1"/>
                  </w14:solidFill>
                </w14:textFill>
              </w:rPr>
              <w:t>、“三同时”竣工验收</w:t>
            </w:r>
          </w:p>
          <w:p w14:paraId="30AC47C1">
            <w:pPr>
              <w:pStyle w:val="43"/>
              <w:spacing w:line="360" w:lineRule="auto"/>
              <w:ind w:firstLine="50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根据《建设项目竣工环境保护验收暂行办法》的规定，建设项目竣工后，建设单位应当如实查验、监测、记载建设项目环境保护设施的建设和调试情况，编制验收监测报告表。</w:t>
            </w:r>
          </w:p>
          <w:p w14:paraId="5C512CAF">
            <w:pPr>
              <w:snapToGrid w:val="0"/>
              <w:spacing w:line="240" w:lineRule="auto"/>
              <w:ind w:firstLine="42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表5-1项目“三同时”竣工验收检查表</w:t>
            </w:r>
          </w:p>
          <w:tbl>
            <w:tblPr>
              <w:tblStyle w:val="29"/>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681"/>
              <w:gridCol w:w="1292"/>
              <w:gridCol w:w="1635"/>
              <w:gridCol w:w="3009"/>
            </w:tblGrid>
            <w:tr w14:paraId="6E57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tcBorders>
                    <w:tl2br w:val="nil"/>
                    <w:tr2bl w:val="nil"/>
                  </w:tcBorders>
                  <w:vAlign w:val="center"/>
                </w:tcPr>
                <w:p w14:paraId="323F7B96">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469" w:type="pct"/>
                  <w:tcBorders>
                    <w:tl2br w:val="nil"/>
                    <w:tr2bl w:val="nil"/>
                  </w:tcBorders>
                  <w:vAlign w:val="center"/>
                </w:tcPr>
                <w:p w14:paraId="1AFC0DB6">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类别</w:t>
                  </w:r>
                </w:p>
              </w:tc>
              <w:tc>
                <w:tcPr>
                  <w:tcW w:w="890" w:type="pct"/>
                  <w:tcBorders>
                    <w:tl2br w:val="nil"/>
                    <w:tr2bl w:val="nil"/>
                  </w:tcBorders>
                  <w:vAlign w:val="center"/>
                </w:tcPr>
                <w:p w14:paraId="2D8EDADF">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污染物种类</w:t>
                  </w:r>
                </w:p>
              </w:tc>
              <w:tc>
                <w:tcPr>
                  <w:tcW w:w="1126" w:type="pct"/>
                  <w:tcBorders>
                    <w:tl2br w:val="nil"/>
                    <w:tr2bl w:val="nil"/>
                  </w:tcBorders>
                  <w:vAlign w:val="center"/>
                </w:tcPr>
                <w:p w14:paraId="3CFA2131">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环保设施及监测点位</w:t>
                  </w:r>
                </w:p>
              </w:tc>
              <w:tc>
                <w:tcPr>
                  <w:tcW w:w="2072" w:type="pct"/>
                  <w:tcBorders>
                    <w:tl2br w:val="nil"/>
                    <w:tr2bl w:val="nil"/>
                  </w:tcBorders>
                  <w:vAlign w:val="center"/>
                </w:tcPr>
                <w:p w14:paraId="3295A82B">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验收内容及标准</w:t>
                  </w:r>
                </w:p>
              </w:tc>
            </w:tr>
            <w:tr w14:paraId="7B3E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vMerge w:val="restart"/>
                  <w:tcBorders>
                    <w:tl2br w:val="nil"/>
                    <w:tr2bl w:val="nil"/>
                  </w:tcBorders>
                  <w:vAlign w:val="center"/>
                </w:tcPr>
                <w:p w14:paraId="53DE389A">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69" w:type="pct"/>
                  <w:tcBorders>
                    <w:tl2br w:val="nil"/>
                    <w:tr2bl w:val="nil"/>
                  </w:tcBorders>
                  <w:vAlign w:val="center"/>
                </w:tcPr>
                <w:p w14:paraId="2E05B594">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有组织废气</w:t>
                  </w:r>
                </w:p>
              </w:tc>
              <w:tc>
                <w:tcPr>
                  <w:tcW w:w="890" w:type="pct"/>
                  <w:tcBorders>
                    <w:tl2br w:val="nil"/>
                    <w:tr2bl w:val="nil"/>
                  </w:tcBorders>
                  <w:vAlign w:val="center"/>
                </w:tcPr>
                <w:p w14:paraId="55518398">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pacing w:val="5"/>
                      <w:sz w:val="21"/>
                      <w:szCs w:val="21"/>
                      <w14:textFill>
                        <w14:solidFill>
                          <w14:schemeClr w14:val="tx1"/>
                        </w14:solidFill>
                      </w14:textFill>
                    </w:rPr>
                    <w:t>硫酸雾、HCl、NOx</w:t>
                  </w:r>
                  <w:r>
                    <w:rPr>
                      <w:rFonts w:hint="default" w:ascii="Times New Roman" w:hAnsi="Times New Roman" w:cs="Times New Roman"/>
                      <w:bCs/>
                      <w:color w:val="000000" w:themeColor="text1"/>
                      <w:spacing w:val="5"/>
                      <w:sz w:val="21"/>
                      <w:szCs w:val="21"/>
                      <w:lang w:eastAsia="zh-CN"/>
                      <w14:textFill>
                        <w14:solidFill>
                          <w14:schemeClr w14:val="tx1"/>
                        </w14:solidFill>
                      </w14:textFill>
                    </w:rPr>
                    <w:t>、</w:t>
                  </w:r>
                  <w:r>
                    <w:rPr>
                      <w:rFonts w:hint="default" w:ascii="Times New Roman" w:hAnsi="Times New Roman" w:cs="Times New Roman"/>
                      <w:bCs/>
                      <w:color w:val="000000" w:themeColor="text1"/>
                      <w:spacing w:val="5"/>
                      <w:sz w:val="21"/>
                      <w:szCs w:val="21"/>
                      <w14:textFill>
                        <w14:solidFill>
                          <w14:schemeClr w14:val="tx1"/>
                        </w14:solidFill>
                      </w14:textFill>
                    </w:rPr>
                    <w:t>NMHC</w:t>
                  </w:r>
                  <w:r>
                    <w:rPr>
                      <w:rFonts w:hint="default" w:ascii="Times New Roman" w:hAnsi="Times New Roman" w:cs="Times New Roman"/>
                      <w:bCs/>
                      <w:color w:val="000000" w:themeColor="text1"/>
                      <w:spacing w:val="5"/>
                      <w:sz w:val="21"/>
                      <w:szCs w:val="21"/>
                      <w:lang w:eastAsia="zh-CN"/>
                      <w14:textFill>
                        <w14:solidFill>
                          <w14:schemeClr w14:val="tx1"/>
                        </w14:solidFill>
                      </w14:textFill>
                    </w:rPr>
                    <w:t>、</w:t>
                  </w:r>
                  <w:r>
                    <w:rPr>
                      <w:rFonts w:hint="default" w:ascii="Times New Roman" w:hAnsi="Times New Roman" w:cs="Times New Roman"/>
                      <w:bCs/>
                      <w:color w:val="000000" w:themeColor="text1"/>
                      <w:spacing w:val="5"/>
                      <w:sz w:val="21"/>
                      <w:szCs w:val="21"/>
                      <w:lang w:val="en-US" w:eastAsia="zh-CN"/>
                      <w14:textFill>
                        <w14:solidFill>
                          <w14:schemeClr w14:val="tx1"/>
                        </w14:solidFill>
                      </w14:textFill>
                    </w:rPr>
                    <w:t>硫化氢、臭气浓度</w:t>
                  </w:r>
                </w:p>
              </w:tc>
              <w:tc>
                <w:tcPr>
                  <w:tcW w:w="1126" w:type="pct"/>
                  <w:tcBorders>
                    <w:tl2br w:val="nil"/>
                    <w:tr2bl w:val="nil"/>
                  </w:tcBorders>
                  <w:vAlign w:val="center"/>
                </w:tcPr>
                <w:p w14:paraId="2266D5A7">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通风橱</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密闭实验管路</w:t>
                  </w:r>
                  <w:r>
                    <w:rPr>
                      <w:rFonts w:hint="default" w:ascii="Times New Roman" w:hAnsi="Times New Roman" w:cs="Times New Roman"/>
                      <w:bCs/>
                      <w:color w:val="000000" w:themeColor="text1"/>
                      <w:sz w:val="21"/>
                      <w:szCs w:val="21"/>
                      <w14:textFill>
                        <w14:solidFill>
                          <w14:schemeClr w14:val="tx1"/>
                        </w14:solidFill>
                      </w14:textFill>
                    </w:rPr>
                    <w:t>+</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碱喷淋+活性炭吸附</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15m排气筒排放</w:t>
                  </w:r>
                  <w:r>
                    <w:rPr>
                      <w:rFonts w:hint="default" w:ascii="Times New Roman" w:hAnsi="Times New Roman" w:cs="Times New Roman"/>
                      <w:color w:val="000000" w:themeColor="text1"/>
                      <w:sz w:val="21"/>
                      <w:szCs w:val="21"/>
                      <w14:textFill>
                        <w14:solidFill>
                          <w14:schemeClr w14:val="tx1"/>
                        </w14:solidFill>
                      </w14:textFill>
                    </w:rPr>
                    <w:t>（DA</w:t>
                  </w:r>
                  <w:r>
                    <w:rPr>
                      <w:rFonts w:hint="default" w:ascii="Times New Roman" w:hAnsi="Times New Roman" w:cs="Times New Roman"/>
                      <w:color w:val="000000" w:themeColor="text1"/>
                      <w:sz w:val="21"/>
                      <w:szCs w:val="21"/>
                      <w:lang w:val="en-US" w:eastAsia="zh-CN"/>
                      <w14:textFill>
                        <w14:solidFill>
                          <w14:schemeClr w14:val="tx1"/>
                        </w14:solidFill>
                      </w14:textFill>
                    </w:rPr>
                    <w:t>00</w:t>
                  </w:r>
                  <w:r>
                    <w:rPr>
                      <w:rFonts w:hint="default" w:ascii="Times New Roman" w:hAnsi="Times New Roman" w:cs="Times New Roman"/>
                      <w:color w:val="000000" w:themeColor="text1"/>
                      <w:sz w:val="21"/>
                      <w:szCs w:val="21"/>
                      <w14:textFill>
                        <w14:solidFill>
                          <w14:schemeClr w14:val="tx1"/>
                        </w14:solidFill>
                      </w14:textFill>
                    </w:rPr>
                    <w:t>1）</w:t>
                  </w:r>
                </w:p>
              </w:tc>
              <w:tc>
                <w:tcPr>
                  <w:tcW w:w="2072" w:type="pct"/>
                  <w:tcBorders>
                    <w:tl2br w:val="nil"/>
                    <w:tr2bl w:val="nil"/>
                  </w:tcBorders>
                  <w:vAlign w:val="center"/>
                </w:tcPr>
                <w:p w14:paraId="1ADCF704">
                  <w:pPr>
                    <w:pStyle w:val="80"/>
                    <w:keepNext w:val="0"/>
                    <w:keepLines w:val="0"/>
                    <w:pageBreakBefore w:val="0"/>
                    <w:widowControl w:val="0"/>
                    <w:kinsoku/>
                    <w:wordWrap/>
                    <w:overflowPunct/>
                    <w:topLinePunct w:val="0"/>
                    <w:autoSpaceDE w:val="0"/>
                    <w:autoSpaceDN w:val="0"/>
                    <w:bidi w:val="0"/>
                    <w:snapToGrid w:val="0"/>
                    <w:spacing w:line="240" w:lineRule="auto"/>
                    <w:textAlignment w:val="bottom"/>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《大气污染物综合排放标准》（</w:t>
                  </w:r>
                  <w:r>
                    <w:rPr>
                      <w:rFonts w:hint="default" w:ascii="Times New Roman" w:hAnsi="Times New Roman" w:cs="Times New Roman"/>
                      <w:bCs/>
                      <w:color w:val="000000" w:themeColor="text1"/>
                      <w:sz w:val="21"/>
                      <w:szCs w:val="21"/>
                      <w:lang w:bidi="en-US"/>
                      <w14:textFill>
                        <w14:solidFill>
                          <w14:schemeClr w14:val="tx1"/>
                        </w14:solidFill>
                      </w14:textFill>
                    </w:rPr>
                    <w:t>GB</w:t>
                  </w:r>
                  <w:r>
                    <w:rPr>
                      <w:rFonts w:hint="default" w:ascii="Times New Roman" w:hAnsi="Times New Roman" w:cs="Times New Roman"/>
                      <w:bCs/>
                      <w:color w:val="000000" w:themeColor="text1"/>
                      <w:sz w:val="21"/>
                      <w:szCs w:val="21"/>
                      <w14:textFill>
                        <w14:solidFill>
                          <w14:schemeClr w14:val="tx1"/>
                        </w14:solidFill>
                      </w14:textFill>
                    </w:rPr>
                    <w:t>1629749-96）</w:t>
                  </w:r>
                </w:p>
                <w:p w14:paraId="42929176">
                  <w:pPr>
                    <w:pStyle w:val="80"/>
                    <w:keepNext w:val="0"/>
                    <w:keepLines w:val="0"/>
                    <w:pageBreakBefore w:val="0"/>
                    <w:widowControl w:val="0"/>
                    <w:kinsoku/>
                    <w:wordWrap/>
                    <w:overflowPunct/>
                    <w:topLinePunct w:val="0"/>
                    <w:autoSpaceDE w:val="0"/>
                    <w:autoSpaceDN w:val="0"/>
                    <w:bidi w:val="0"/>
                    <w:snapToGrid w:val="0"/>
                    <w:spacing w:line="240" w:lineRule="auto"/>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bidi="en-US"/>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恶臭污染物排放标准》（</w:t>
                  </w:r>
                  <w:r>
                    <w:rPr>
                      <w:rFonts w:hint="default" w:ascii="Times New Roman" w:hAnsi="Times New Roman" w:cs="Times New Roman"/>
                      <w:bCs/>
                      <w:color w:val="000000" w:themeColor="text1"/>
                      <w:sz w:val="21"/>
                      <w:szCs w:val="21"/>
                      <w:lang w:bidi="en-US"/>
                      <w14:textFill>
                        <w14:solidFill>
                          <w14:schemeClr w14:val="tx1"/>
                        </w14:solidFill>
                      </w14:textFill>
                    </w:rPr>
                    <w:t>GB</w:t>
                  </w:r>
                  <w:r>
                    <w:rPr>
                      <w:rFonts w:hint="default" w:ascii="Times New Roman" w:hAnsi="Times New Roman" w:cs="Times New Roman"/>
                      <w:bCs/>
                      <w:color w:val="000000" w:themeColor="text1"/>
                      <w:sz w:val="21"/>
                      <w:szCs w:val="21"/>
                      <w14:textFill>
                        <w14:solidFill>
                          <w14:schemeClr w14:val="tx1"/>
                        </w14:solidFill>
                      </w14:textFill>
                    </w:rPr>
                    <w:t>1455193-93）</w:t>
                  </w:r>
                </w:p>
              </w:tc>
            </w:tr>
            <w:tr w14:paraId="775F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vMerge w:val="continue"/>
                  <w:tcBorders>
                    <w:tl2br w:val="nil"/>
                    <w:tr2bl w:val="nil"/>
                  </w:tcBorders>
                  <w:vAlign w:val="center"/>
                </w:tcPr>
                <w:p w14:paraId="72F7E425">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469" w:type="pct"/>
                  <w:tcBorders>
                    <w:tl2br w:val="nil"/>
                    <w:tr2bl w:val="nil"/>
                  </w:tcBorders>
                  <w:vAlign w:val="center"/>
                </w:tcPr>
                <w:p w14:paraId="22D2233F">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无组织废气</w:t>
                  </w:r>
                </w:p>
              </w:tc>
              <w:tc>
                <w:tcPr>
                  <w:tcW w:w="890" w:type="pct"/>
                  <w:tcBorders>
                    <w:tl2br w:val="nil"/>
                    <w:tr2bl w:val="nil"/>
                  </w:tcBorders>
                  <w:vAlign w:val="center"/>
                </w:tcPr>
                <w:p w14:paraId="38B2C35B">
                  <w:pPr>
                    <w:keepNext w:val="0"/>
                    <w:keepLines w:val="0"/>
                    <w:pageBreakBefore w:val="0"/>
                    <w:widowControl w:val="0"/>
                    <w:tabs>
                      <w:tab w:val="left" w:pos="277"/>
                      <w:tab w:val="left" w:pos="600"/>
                      <w:tab w:val="left" w:pos="780"/>
                      <w:tab w:val="left" w:pos="2517"/>
                    </w:tabs>
                    <w:kinsoku/>
                    <w:wordWrap/>
                    <w:overflowPunct/>
                    <w:topLinePunct w:val="0"/>
                    <w:bidi w:val="0"/>
                    <w:adjustRightInd w:val="0"/>
                    <w:spacing w:line="240" w:lineRule="auto"/>
                    <w:ind w:firstLine="0" w:firstLineChars="0"/>
                    <w:rPr>
                      <w:rFonts w:hint="default" w:ascii="Times New Roman" w:hAnsi="Times New Roman" w:cs="Times New Roman"/>
                      <w:bCs/>
                      <w:color w:val="000000" w:themeColor="text1"/>
                      <w:spacing w:val="5"/>
                      <w:kern w:val="0"/>
                      <w:sz w:val="21"/>
                      <w:szCs w:val="21"/>
                      <w14:textFill>
                        <w14:solidFill>
                          <w14:schemeClr w14:val="tx1"/>
                        </w14:solidFill>
                      </w14:textFill>
                    </w:rPr>
                  </w:pPr>
                  <w:r>
                    <w:rPr>
                      <w:rFonts w:hint="default" w:ascii="Times New Roman" w:hAnsi="Times New Roman" w:cs="Times New Roman"/>
                      <w:bCs/>
                      <w:color w:val="000000" w:themeColor="text1"/>
                      <w:spacing w:val="5"/>
                      <w:kern w:val="0"/>
                      <w:sz w:val="21"/>
                      <w:szCs w:val="21"/>
                      <w14:textFill>
                        <w14:solidFill>
                          <w14:schemeClr w14:val="tx1"/>
                        </w14:solidFill>
                      </w14:textFill>
                    </w:rPr>
                    <w:t>硫酸雾、HCl、NOx</w:t>
                  </w:r>
                  <w:r>
                    <w:rPr>
                      <w:rFonts w:hint="default" w:ascii="Times New Roman" w:hAnsi="Times New Roman" w:cs="Times New Roman"/>
                      <w:bCs/>
                      <w:color w:val="000000" w:themeColor="text1"/>
                      <w:spacing w:val="5"/>
                      <w:kern w:val="0"/>
                      <w:sz w:val="21"/>
                      <w:szCs w:val="21"/>
                      <w:lang w:eastAsia="zh-CN"/>
                      <w14:textFill>
                        <w14:solidFill>
                          <w14:schemeClr w14:val="tx1"/>
                        </w14:solidFill>
                      </w14:textFill>
                    </w:rPr>
                    <w:t>、</w:t>
                  </w:r>
                  <w:r>
                    <w:rPr>
                      <w:rFonts w:hint="default" w:ascii="Times New Roman" w:hAnsi="Times New Roman" w:cs="Times New Roman"/>
                      <w:bCs/>
                      <w:color w:val="000000" w:themeColor="text1"/>
                      <w:spacing w:val="5"/>
                      <w:kern w:val="0"/>
                      <w:sz w:val="21"/>
                      <w:szCs w:val="21"/>
                      <w14:textFill>
                        <w14:solidFill>
                          <w14:schemeClr w14:val="tx1"/>
                        </w14:solidFill>
                      </w14:textFill>
                    </w:rPr>
                    <w:t>NMHC</w:t>
                  </w:r>
                </w:p>
                <w:p w14:paraId="281F4B9E">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pacing w:val="5"/>
                      <w:sz w:val="21"/>
                      <w:szCs w:val="21"/>
                      <w14:textFill>
                        <w14:solidFill>
                          <w14:schemeClr w14:val="tx1"/>
                        </w14:solidFill>
                      </w14:textFill>
                    </w:rPr>
                    <w:t>硫化氢、臭气浓度</w:t>
                  </w:r>
                  <w:r>
                    <w:rPr>
                      <w:rFonts w:hint="default" w:ascii="Times New Roman" w:hAnsi="Times New Roman" w:cs="Times New Roman"/>
                      <w:bCs/>
                      <w:color w:val="000000" w:themeColor="text1"/>
                      <w:spacing w:val="5"/>
                      <w:sz w:val="21"/>
                      <w:szCs w:val="21"/>
                      <w:lang w:eastAsia="zh-CN"/>
                      <w14:textFill>
                        <w14:solidFill>
                          <w14:schemeClr w14:val="tx1"/>
                        </w14:solidFill>
                      </w14:textFill>
                    </w:rPr>
                    <w:t>、</w:t>
                  </w:r>
                  <w:r>
                    <w:rPr>
                      <w:rFonts w:hint="default" w:ascii="Times New Roman" w:hAnsi="Times New Roman" w:cs="Times New Roman"/>
                      <w:bCs/>
                      <w:color w:val="000000" w:themeColor="text1"/>
                      <w:spacing w:val="5"/>
                      <w:sz w:val="21"/>
                      <w:szCs w:val="21"/>
                      <w:lang w:val="en-US" w:eastAsia="zh-CN"/>
                      <w14:textFill>
                        <w14:solidFill>
                          <w14:schemeClr w14:val="tx1"/>
                        </w14:solidFill>
                      </w14:textFill>
                    </w:rPr>
                    <w:t>颗粒物</w:t>
                  </w:r>
                </w:p>
              </w:tc>
              <w:tc>
                <w:tcPr>
                  <w:tcW w:w="1126" w:type="pct"/>
                  <w:tcBorders>
                    <w:tl2br w:val="nil"/>
                    <w:tr2bl w:val="nil"/>
                  </w:tcBorders>
                  <w:vAlign w:val="center"/>
                </w:tcPr>
                <w:p w14:paraId="7C5A7789">
                  <w:pPr>
                    <w:pStyle w:val="80"/>
                    <w:keepNext w:val="0"/>
                    <w:keepLines w:val="0"/>
                    <w:pageBreakBefore w:val="0"/>
                    <w:widowControl w:val="0"/>
                    <w:kinsoku/>
                    <w:wordWrap/>
                    <w:overflowPunct/>
                    <w:topLinePunct w:val="0"/>
                    <w:autoSpaceDE w:val="0"/>
                    <w:autoSpaceDN w:val="0"/>
                    <w:bidi w:val="0"/>
                    <w:snapToGrid w:val="0"/>
                    <w:spacing w:line="240" w:lineRule="auto"/>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密闭厂房、机械通风。上风向1个对照点，下风向3个点位</w:t>
                  </w:r>
                </w:p>
              </w:tc>
              <w:tc>
                <w:tcPr>
                  <w:tcW w:w="2072" w:type="pct"/>
                  <w:tcBorders>
                    <w:tl2br w:val="nil"/>
                    <w:tr2bl w:val="nil"/>
                  </w:tcBorders>
                  <w:vAlign w:val="center"/>
                </w:tcPr>
                <w:p w14:paraId="0F4A527D">
                  <w:pPr>
                    <w:keepNext w:val="0"/>
                    <w:keepLines w:val="0"/>
                    <w:pageBreakBefore w:val="0"/>
                    <w:widowControl w:val="0"/>
                    <w:tabs>
                      <w:tab w:val="left" w:pos="277"/>
                      <w:tab w:val="left" w:pos="600"/>
                      <w:tab w:val="left" w:pos="780"/>
                      <w:tab w:val="left" w:pos="2517"/>
                    </w:tabs>
                    <w:kinsoku/>
                    <w:wordWrap/>
                    <w:overflowPunct/>
                    <w:topLinePunct w:val="0"/>
                    <w:bidi w:val="0"/>
                    <w:adjustRightInd w:val="0"/>
                    <w:spacing w:line="240" w:lineRule="auto"/>
                    <w:ind w:firstLine="0" w:firstLineChars="0"/>
                    <w:rPr>
                      <w:rFonts w:hint="default" w:ascii="Times New Roman" w:hAnsi="Times New Roman" w:cs="Times New Roman"/>
                      <w:bCs/>
                      <w:color w:val="000000" w:themeColor="text1"/>
                      <w:spacing w:val="5"/>
                      <w:kern w:val="0"/>
                      <w:sz w:val="21"/>
                      <w:szCs w:val="21"/>
                      <w14:textFill>
                        <w14:solidFill>
                          <w14:schemeClr w14:val="tx1"/>
                        </w14:solidFill>
                      </w14:textFill>
                    </w:rPr>
                  </w:pPr>
                  <w:r>
                    <w:rPr>
                      <w:rFonts w:hint="default" w:ascii="Times New Roman" w:hAnsi="Times New Roman" w:cs="Times New Roman"/>
                      <w:bCs/>
                      <w:color w:val="000000" w:themeColor="text1"/>
                      <w:spacing w:val="5"/>
                      <w:kern w:val="0"/>
                      <w:sz w:val="21"/>
                      <w:szCs w:val="21"/>
                      <w14:textFill>
                        <w14:solidFill>
                          <w14:schemeClr w14:val="tx1"/>
                        </w14:solidFill>
                      </w14:textFill>
                    </w:rPr>
                    <w:t>《大气污染物综合排放标准》（</w:t>
                  </w:r>
                  <w:r>
                    <w:rPr>
                      <w:rFonts w:hint="default" w:ascii="Times New Roman" w:hAnsi="Times New Roman" w:cs="Times New Roman"/>
                      <w:bCs/>
                      <w:color w:val="000000" w:themeColor="text1"/>
                      <w:spacing w:val="5"/>
                      <w:kern w:val="0"/>
                      <w:sz w:val="21"/>
                      <w:szCs w:val="21"/>
                      <w:lang w:bidi="en-US"/>
                      <w14:textFill>
                        <w14:solidFill>
                          <w14:schemeClr w14:val="tx1"/>
                        </w14:solidFill>
                      </w14:textFill>
                    </w:rPr>
                    <w:t>GB</w:t>
                  </w:r>
                  <w:r>
                    <w:rPr>
                      <w:rFonts w:hint="default" w:ascii="Times New Roman" w:hAnsi="Times New Roman" w:cs="Times New Roman"/>
                      <w:bCs/>
                      <w:color w:val="000000" w:themeColor="text1"/>
                      <w:spacing w:val="5"/>
                      <w:kern w:val="0"/>
                      <w:sz w:val="21"/>
                      <w:szCs w:val="21"/>
                      <w14:textFill>
                        <w14:solidFill>
                          <w14:schemeClr w14:val="tx1"/>
                        </w14:solidFill>
                      </w14:textFill>
                    </w:rPr>
                    <w:t>1629749-96）</w:t>
                  </w:r>
                </w:p>
                <w:p w14:paraId="3FA9F940">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pacing w:val="5"/>
                      <w:kern w:val="0"/>
                      <w:sz w:val="21"/>
                      <w:szCs w:val="21"/>
                      <w:lang w:bidi="en-US"/>
                      <w14:textFill>
                        <w14:solidFill>
                          <w14:schemeClr w14:val="tx1"/>
                        </w14:solidFill>
                      </w14:textFill>
                    </w:rPr>
                    <w:t>《</w:t>
                  </w:r>
                  <w:r>
                    <w:rPr>
                      <w:rFonts w:hint="default" w:ascii="Times New Roman" w:hAnsi="Times New Roman" w:cs="Times New Roman"/>
                      <w:bCs/>
                      <w:color w:val="000000" w:themeColor="text1"/>
                      <w:spacing w:val="5"/>
                      <w:kern w:val="0"/>
                      <w:sz w:val="21"/>
                      <w:szCs w:val="21"/>
                      <w14:textFill>
                        <w14:solidFill>
                          <w14:schemeClr w14:val="tx1"/>
                        </w14:solidFill>
                      </w14:textFill>
                    </w:rPr>
                    <w:t>恶臭污染物排放标准》（</w:t>
                  </w:r>
                  <w:r>
                    <w:rPr>
                      <w:rFonts w:hint="default" w:ascii="Times New Roman" w:hAnsi="Times New Roman" w:cs="Times New Roman"/>
                      <w:bCs/>
                      <w:color w:val="000000" w:themeColor="text1"/>
                      <w:spacing w:val="5"/>
                      <w:kern w:val="0"/>
                      <w:sz w:val="21"/>
                      <w:szCs w:val="21"/>
                      <w:lang w:bidi="en-US"/>
                      <w14:textFill>
                        <w14:solidFill>
                          <w14:schemeClr w14:val="tx1"/>
                        </w14:solidFill>
                      </w14:textFill>
                    </w:rPr>
                    <w:t>GB</w:t>
                  </w:r>
                  <w:r>
                    <w:rPr>
                      <w:rFonts w:hint="default" w:ascii="Times New Roman" w:hAnsi="Times New Roman" w:cs="Times New Roman"/>
                      <w:bCs/>
                      <w:color w:val="000000" w:themeColor="text1"/>
                      <w:spacing w:val="5"/>
                      <w:kern w:val="0"/>
                      <w:sz w:val="21"/>
                      <w:szCs w:val="21"/>
                      <w14:textFill>
                        <w14:solidFill>
                          <w14:schemeClr w14:val="tx1"/>
                        </w14:solidFill>
                      </w14:textFill>
                    </w:rPr>
                    <w:t>1455193-93）</w:t>
                  </w:r>
                </w:p>
              </w:tc>
            </w:tr>
            <w:tr w14:paraId="20E4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vMerge w:val="continue"/>
                  <w:tcBorders>
                    <w:tl2br w:val="nil"/>
                    <w:tr2bl w:val="nil"/>
                  </w:tcBorders>
                  <w:vAlign w:val="center"/>
                </w:tcPr>
                <w:p w14:paraId="220C55E1">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469" w:type="pct"/>
                  <w:tcBorders>
                    <w:tl2br w:val="nil"/>
                    <w:tr2bl w:val="nil"/>
                  </w:tcBorders>
                  <w:vAlign w:val="center"/>
                </w:tcPr>
                <w:p w14:paraId="361851D5">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无组织废气</w:t>
                  </w:r>
                </w:p>
              </w:tc>
              <w:tc>
                <w:tcPr>
                  <w:tcW w:w="890" w:type="pct"/>
                  <w:tcBorders>
                    <w:tl2br w:val="nil"/>
                    <w:tr2bl w:val="nil"/>
                  </w:tcBorders>
                  <w:vAlign w:val="center"/>
                </w:tcPr>
                <w:p w14:paraId="4F08D7A2">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eastAsia="宋体" w:cs="Times New Roman"/>
                      <w:bCs/>
                      <w:color w:val="000000" w:themeColor="text1"/>
                      <w:spacing w:val="5"/>
                      <w:sz w:val="21"/>
                      <w:szCs w:val="21"/>
                      <w:lang w:val="en-US" w:eastAsia="zh-CN"/>
                      <w14:textFill>
                        <w14:solidFill>
                          <w14:schemeClr w14:val="tx1"/>
                        </w14:solidFill>
                      </w14:textFill>
                    </w:rPr>
                  </w:pPr>
                  <w:r>
                    <w:rPr>
                      <w:rFonts w:hint="default" w:ascii="Times New Roman" w:hAnsi="Times New Roman" w:cs="Times New Roman"/>
                      <w:bCs/>
                      <w:color w:val="000000" w:themeColor="text1"/>
                      <w:spacing w:val="5"/>
                      <w:sz w:val="21"/>
                      <w:szCs w:val="21"/>
                      <w:lang w:val="en-US" w:eastAsia="zh-CN"/>
                      <w14:textFill>
                        <w14:solidFill>
                          <w14:schemeClr w14:val="tx1"/>
                        </w14:solidFill>
                      </w14:textFill>
                    </w:rPr>
                    <w:t>非甲烷总烃</w:t>
                  </w:r>
                </w:p>
              </w:tc>
              <w:tc>
                <w:tcPr>
                  <w:tcW w:w="1126" w:type="pct"/>
                  <w:tcBorders>
                    <w:tl2br w:val="nil"/>
                    <w:tr2bl w:val="nil"/>
                  </w:tcBorders>
                  <w:vAlign w:val="center"/>
                </w:tcPr>
                <w:p w14:paraId="04C978D5">
                  <w:pPr>
                    <w:pStyle w:val="80"/>
                    <w:keepNext w:val="0"/>
                    <w:keepLines w:val="0"/>
                    <w:pageBreakBefore w:val="0"/>
                    <w:widowControl w:val="0"/>
                    <w:kinsoku/>
                    <w:wordWrap/>
                    <w:overflowPunct/>
                    <w:topLinePunct w:val="0"/>
                    <w:autoSpaceDE w:val="0"/>
                    <w:autoSpaceDN w:val="0"/>
                    <w:bidi w:val="0"/>
                    <w:snapToGrid w:val="0"/>
                    <w:spacing w:line="240" w:lineRule="auto"/>
                    <w:textAlignment w:val="bottom"/>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厂房</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门窗外1m处设置无组织监控点</w:t>
                  </w:r>
                </w:p>
              </w:tc>
              <w:tc>
                <w:tcPr>
                  <w:tcW w:w="2072" w:type="pct"/>
                  <w:tcBorders>
                    <w:tl2br w:val="nil"/>
                    <w:tr2bl w:val="nil"/>
                  </w:tcBorders>
                  <w:vAlign w:val="center"/>
                </w:tcPr>
                <w:p w14:paraId="705F437E">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Cs/>
                      <w:color w:val="000000" w:themeColor="text1"/>
                      <w:spacing w:val="5"/>
                      <w:kern w:val="0"/>
                      <w:sz w:val="21"/>
                      <w:szCs w:val="21"/>
                      <w:lang w:bidi="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《挥发性有机物无组织排放控制标准》（GB37822-2019）附录A</w:t>
                  </w:r>
                  <w:r>
                    <w:rPr>
                      <w:rFonts w:hint="eastAsia" w:ascii="Times New Roman" w:hAnsi="Times New Roman"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color w:val="000000" w:themeColor="text1"/>
                      <w:kern w:val="0"/>
                      <w:sz w:val="21"/>
                      <w:szCs w:val="21"/>
                      <w:lang w:val="en-US" w:eastAsia="zh-CN"/>
                      <w14:textFill>
                        <w14:solidFill>
                          <w14:schemeClr w14:val="tx1"/>
                        </w14:solidFill>
                      </w14:textFill>
                    </w:rPr>
                    <w:t>特别排放限值</w:t>
                  </w:r>
                </w:p>
              </w:tc>
            </w:tr>
            <w:tr w14:paraId="3B29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tcBorders>
                    <w:tl2br w:val="nil"/>
                    <w:tr2bl w:val="nil"/>
                  </w:tcBorders>
                  <w:vAlign w:val="center"/>
                </w:tcPr>
                <w:p w14:paraId="634E2D67">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469" w:type="pct"/>
                  <w:tcBorders>
                    <w:tl2br w:val="nil"/>
                    <w:tr2bl w:val="nil"/>
                  </w:tcBorders>
                  <w:vAlign w:val="center"/>
                </w:tcPr>
                <w:p w14:paraId="0A2E4F3C">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890" w:type="pct"/>
                  <w:tcBorders>
                    <w:tl2br w:val="nil"/>
                    <w:tr2bl w:val="nil"/>
                  </w:tcBorders>
                  <w:vAlign w:val="center"/>
                </w:tcPr>
                <w:p w14:paraId="370308F0">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设备噪声</w:t>
                  </w:r>
                </w:p>
              </w:tc>
              <w:tc>
                <w:tcPr>
                  <w:tcW w:w="1126" w:type="pct"/>
                  <w:tcBorders>
                    <w:tl2br w:val="nil"/>
                    <w:tr2bl w:val="nil"/>
                  </w:tcBorders>
                  <w:vAlign w:val="center"/>
                </w:tcPr>
                <w:p w14:paraId="005DC7FB">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低噪声设备，基础减振</w:t>
                  </w:r>
                </w:p>
              </w:tc>
              <w:tc>
                <w:tcPr>
                  <w:tcW w:w="2072" w:type="pct"/>
                  <w:tcBorders>
                    <w:tl2br w:val="nil"/>
                    <w:tr2bl w:val="nil"/>
                  </w:tcBorders>
                  <w:vAlign w:val="center"/>
                </w:tcPr>
                <w:p w14:paraId="6EE631F5">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《工业企业厂界环境噪声排放标准》（GB12348-2008）3类标准</w:t>
                  </w:r>
                </w:p>
              </w:tc>
            </w:tr>
            <w:tr w14:paraId="2CEE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tcBorders>
                    <w:tl2br w:val="nil"/>
                    <w:tr2bl w:val="nil"/>
                  </w:tcBorders>
                  <w:vAlign w:val="center"/>
                </w:tcPr>
                <w:p w14:paraId="4025C358">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469" w:type="pct"/>
                  <w:tcBorders>
                    <w:tl2br w:val="nil"/>
                    <w:tr2bl w:val="nil"/>
                  </w:tcBorders>
                  <w:vAlign w:val="center"/>
                </w:tcPr>
                <w:p w14:paraId="0A2A7148">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890" w:type="pct"/>
                  <w:tcBorders>
                    <w:tl2br w:val="nil"/>
                    <w:tr2bl w:val="nil"/>
                  </w:tcBorders>
                  <w:vAlign w:val="center"/>
                </w:tcPr>
                <w:p w14:paraId="2B0B7866">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一般工业固体废物、生活垃圾、危险废物</w:t>
                  </w:r>
                </w:p>
              </w:tc>
              <w:tc>
                <w:tcPr>
                  <w:tcW w:w="1126" w:type="pct"/>
                  <w:tcBorders>
                    <w:tl2br w:val="nil"/>
                    <w:tr2bl w:val="nil"/>
                  </w:tcBorders>
                  <w:vAlign w:val="center"/>
                </w:tcPr>
                <w:p w14:paraId="6F309BAC">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一般固体废物堆场、垃圾箱、危废暂存间</w:t>
                  </w:r>
                </w:p>
              </w:tc>
              <w:tc>
                <w:tcPr>
                  <w:tcW w:w="2072" w:type="pct"/>
                  <w:tcBorders>
                    <w:tl2br w:val="nil"/>
                    <w:tr2bl w:val="nil"/>
                  </w:tcBorders>
                  <w:vAlign w:val="center"/>
                </w:tcPr>
                <w:p w14:paraId="1A34B24F">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《一般工业固体废物贮存和填埋污染控制标准》（GB18599-2020）；《危险废物贮存污染控制标准》（GB18597-2023）</w:t>
                  </w:r>
                </w:p>
              </w:tc>
            </w:tr>
            <w:tr w14:paraId="6EC9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vMerge w:val="restart"/>
                  <w:tcBorders>
                    <w:tl2br w:val="nil"/>
                    <w:tr2bl w:val="nil"/>
                  </w:tcBorders>
                  <w:vAlign w:val="center"/>
                </w:tcPr>
                <w:p w14:paraId="14F69B5E">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469" w:type="pct"/>
                  <w:vMerge w:val="restart"/>
                  <w:tcBorders>
                    <w:tl2br w:val="nil"/>
                    <w:tr2bl w:val="nil"/>
                  </w:tcBorders>
                  <w:vAlign w:val="center"/>
                </w:tcPr>
                <w:p w14:paraId="757589D6">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890" w:type="pct"/>
                  <w:tcBorders>
                    <w:tl2br w:val="nil"/>
                    <w:tr2bl w:val="nil"/>
                  </w:tcBorders>
                  <w:vAlign w:val="center"/>
                </w:tcPr>
                <w:p w14:paraId="47751839">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纯水制备废水、超声清洗废水</w:t>
                  </w:r>
                </w:p>
              </w:tc>
              <w:tc>
                <w:tcPr>
                  <w:tcW w:w="1126" w:type="pct"/>
                  <w:tcBorders>
                    <w:tl2br w:val="nil"/>
                    <w:tr2bl w:val="nil"/>
                  </w:tcBorders>
                  <w:vAlign w:val="center"/>
                </w:tcPr>
                <w:p w14:paraId="09E7F0EE">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管网</w:t>
                  </w:r>
                </w:p>
              </w:tc>
              <w:tc>
                <w:tcPr>
                  <w:tcW w:w="2072" w:type="pct"/>
                  <w:tcBorders>
                    <w:tl2br w:val="nil"/>
                    <w:tr2bl w:val="nil"/>
                  </w:tcBorders>
                  <w:vAlign w:val="center"/>
                </w:tcPr>
                <w:p w14:paraId="094FFF13">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《污水综合排放标准》（GB8978-1996）三级，氨氮满足《污水排入城镇下水道水质标准》（GB31962-2015）</w:t>
                  </w:r>
                </w:p>
              </w:tc>
            </w:tr>
            <w:tr w14:paraId="3524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vMerge w:val="continue"/>
                  <w:tcBorders>
                    <w:tl2br w:val="nil"/>
                    <w:tr2bl w:val="nil"/>
                  </w:tcBorders>
                  <w:vAlign w:val="center"/>
                </w:tcPr>
                <w:p w14:paraId="03D816E3">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469" w:type="pct"/>
                  <w:vMerge w:val="continue"/>
                  <w:tcBorders>
                    <w:tl2br w:val="nil"/>
                    <w:tr2bl w:val="nil"/>
                  </w:tcBorders>
                  <w:vAlign w:val="center"/>
                </w:tcPr>
                <w:p w14:paraId="1E5B96B7">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90" w:type="pct"/>
                  <w:tcBorders>
                    <w:tl2br w:val="nil"/>
                    <w:tr2bl w:val="nil"/>
                  </w:tcBorders>
                  <w:vAlign w:val="center"/>
                </w:tcPr>
                <w:p w14:paraId="2A4FB802">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清洗废水、实验废液、废碱液</w:t>
                  </w:r>
                </w:p>
              </w:tc>
              <w:tc>
                <w:tcPr>
                  <w:tcW w:w="1126" w:type="pct"/>
                  <w:tcBorders>
                    <w:tl2br w:val="nil"/>
                    <w:tr2bl w:val="nil"/>
                  </w:tcBorders>
                  <w:vAlign w:val="center"/>
                </w:tcPr>
                <w:p w14:paraId="227E69F1">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高密度聚乙烯密封桶收集委托处置</w:t>
                  </w:r>
                </w:p>
              </w:tc>
              <w:tc>
                <w:tcPr>
                  <w:tcW w:w="2072" w:type="pct"/>
                  <w:tcBorders>
                    <w:tl2br w:val="nil"/>
                    <w:tr2bl w:val="nil"/>
                  </w:tcBorders>
                  <w:vAlign w:val="center"/>
                </w:tcPr>
                <w:p w14:paraId="64B5ADFC">
                  <w:pPr>
                    <w:pStyle w:val="80"/>
                    <w:keepNext w:val="0"/>
                    <w:keepLines w:val="0"/>
                    <w:pageBreakBefore w:val="0"/>
                    <w:widowControl w:val="0"/>
                    <w:kinsoku/>
                    <w:wordWrap/>
                    <w:overflowPunct/>
                    <w:topLinePunct w:val="0"/>
                    <w:autoSpaceDE w:val="0"/>
                    <w:autoSpaceDN w:val="0"/>
                    <w:bidi w:val="0"/>
                    <w:snapToGrid w:val="0"/>
                    <w:spacing w:line="240" w:lineRule="auto"/>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《危险废物贮存污染控制标准》（GB18597-2023）</w:t>
                  </w:r>
                </w:p>
              </w:tc>
            </w:tr>
          </w:tbl>
          <w:p w14:paraId="1392C313">
            <w:pPr>
              <w:pStyle w:val="43"/>
              <w:spacing w:line="360" w:lineRule="auto"/>
              <w:jc w:val="left"/>
              <w:rPr>
                <w:rFonts w:hint="default" w:ascii="Times New Roman" w:hAnsi="Times New Roman" w:cs="Times New Roman"/>
                <w:color w:val="000000" w:themeColor="text1"/>
                <w14:textFill>
                  <w14:solidFill>
                    <w14:schemeClr w14:val="tx1"/>
                  </w14:solidFill>
                </w14:textFill>
              </w:rPr>
            </w:pPr>
          </w:p>
        </w:tc>
      </w:tr>
    </w:tbl>
    <w:p w14:paraId="3E3DEB72">
      <w:pPr>
        <w:pStyle w:val="25"/>
        <w:spacing w:before="0" w:beforeAutospacing="0" w:after="0" w:afterAutospacing="0" w:line="240" w:lineRule="auto"/>
        <w:ind w:firstLine="600"/>
        <w:jc w:val="center"/>
        <w:outlineLvl w:val="0"/>
        <w:rPr>
          <w:rFonts w:eastAsia="黑体"/>
          <w:snapToGrid w:val="0"/>
          <w:color w:val="000000" w:themeColor="text1"/>
          <w:sz w:val="30"/>
          <w:szCs w:val="30"/>
          <w14:textFill>
            <w14:solidFill>
              <w14:schemeClr w14:val="tx1"/>
            </w14:solidFill>
          </w14:textFill>
        </w:rPr>
      </w:pPr>
      <w:r>
        <w:rPr>
          <w:rFonts w:eastAsia="黑体"/>
          <w:snapToGrid w:val="0"/>
          <w:color w:val="000000" w:themeColor="text1"/>
          <w:sz w:val="30"/>
          <w:szCs w:val="30"/>
          <w14:textFill>
            <w14:solidFill>
              <w14:schemeClr w14:val="tx1"/>
            </w14:solidFill>
          </w14:textFill>
        </w:rPr>
        <w:br w:type="page"/>
      </w:r>
      <w:bookmarkStart w:id="18" w:name="_Toc27063"/>
      <w:r>
        <w:rPr>
          <w:rFonts w:ascii="Times New Roman" w:hAnsi="Times New Roman" w:eastAsia="黑体"/>
          <w:snapToGrid w:val="0"/>
          <w:color w:val="000000" w:themeColor="text1"/>
          <w:sz w:val="30"/>
          <w:szCs w:val="30"/>
          <w14:textFill>
            <w14:solidFill>
              <w14:schemeClr w14:val="tx1"/>
            </w14:solidFill>
          </w14:textFill>
        </w:rPr>
        <w:t>六、结论</w:t>
      </w:r>
      <w:bookmarkEnd w:id="18"/>
    </w:p>
    <w:tbl>
      <w:tblPr>
        <w:tblStyle w:val="29"/>
        <w:tblW w:w="886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65"/>
      </w:tblGrid>
      <w:tr w14:paraId="661810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006" w:hRule="atLeast"/>
          <w:jc w:val="center"/>
        </w:trPr>
        <w:tc>
          <w:tcPr>
            <w:tcW w:w="8865" w:type="dxa"/>
            <w:tcBorders>
              <w:tl2br w:val="nil"/>
              <w:tr2bl w:val="nil"/>
            </w:tcBorders>
            <w:vAlign w:val="center"/>
          </w:tcPr>
          <w:p w14:paraId="7964A2FE">
            <w:pPr>
              <w:pStyle w:val="4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巴州谱瑞乐产品质量检测有限公司《超深油井装备动态模拟实验基地建设项目》符合国家产业政策、符合巴州“三线一单”相关要求和污染防治相关政策要求，且项目选址合理符合</w:t>
            </w:r>
            <w:r>
              <w:rPr>
                <w:rFonts w:hint="eastAsia"/>
                <w:color w:val="000000" w:themeColor="text1"/>
                <w:lang w:val="en-US" w:eastAsia="zh-CN"/>
                <w14:textFill>
                  <w14:solidFill>
                    <w14:schemeClr w14:val="tx1"/>
                  </w14:solidFill>
                </w14:textFill>
              </w:rPr>
              <w:t>库尔勒经济技术开发区总体</w:t>
            </w:r>
            <w:r>
              <w:rPr>
                <w:rFonts w:hint="eastAsia"/>
                <w:color w:val="000000" w:themeColor="text1"/>
                <w14:textFill>
                  <w14:solidFill>
                    <w14:schemeClr w14:val="tx1"/>
                  </w14:solidFill>
                </w14:textFill>
              </w:rPr>
              <w:t>规划</w:t>
            </w:r>
            <w:r>
              <w:rPr>
                <w:rFonts w:hint="eastAsia"/>
                <w:color w:val="000000" w:themeColor="text1"/>
                <w:lang w:val="en-US" w:eastAsia="zh-CN"/>
                <w14:textFill>
                  <w14:solidFill>
                    <w14:schemeClr w14:val="tx1"/>
                  </w14:solidFill>
                </w14:textFill>
              </w:rPr>
              <w:t>及规划环评要求</w:t>
            </w:r>
            <w:r>
              <w:rPr>
                <w:rFonts w:hint="eastAsia"/>
                <w:color w:val="000000" w:themeColor="text1"/>
                <w14:textFill>
                  <w14:solidFill>
                    <w14:schemeClr w14:val="tx1"/>
                  </w14:solidFill>
                </w14:textFill>
              </w:rPr>
              <w:t>。项目采取的各项污染防治措施技术经济可行，污染物得到有效控制，产生的废气、废水、噪声、固废等均达标排放或合理处置，项目自身对环境的影响可降低到当地环境能够容许的程度，满足当地环境功能要求。从环境保护角度而言，本项目建设可行。</w:t>
            </w:r>
          </w:p>
          <w:p w14:paraId="67CF3A07">
            <w:pPr>
              <w:pStyle w:val="38"/>
              <w:ind w:firstLine="480"/>
              <w:rPr>
                <w:rFonts w:ascii="Times New Roman" w:hAnsi="Times New Roman" w:cs="Times New Roman"/>
                <w:color w:val="000000" w:themeColor="text1"/>
                <w14:textFill>
                  <w14:solidFill>
                    <w14:schemeClr w14:val="tx1"/>
                  </w14:solidFill>
                </w14:textFill>
              </w:rPr>
            </w:pPr>
          </w:p>
        </w:tc>
      </w:tr>
    </w:tbl>
    <w:p w14:paraId="0022C43F">
      <w:pPr>
        <w:pStyle w:val="19"/>
        <w:numPr>
          <w:ilvl w:val="0"/>
          <w:numId w:val="0"/>
        </w:numPr>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630336A">
      <w:pPr>
        <w:pStyle w:val="25"/>
        <w:adjustRightInd w:val="0"/>
        <w:snapToGrid w:val="0"/>
        <w:spacing w:before="0" w:beforeAutospacing="0" w:after="0" w:afterAutospacing="0" w:line="240" w:lineRule="auto"/>
        <w:ind w:firstLine="480"/>
        <w:outlineLvl w:val="0"/>
        <w:rPr>
          <w:rFonts w:ascii="黑体" w:hAnsi="黑体" w:eastAsia="黑体"/>
          <w:snapToGrid w:val="0"/>
          <w:color w:val="000000" w:themeColor="text1"/>
          <w:szCs w:val="24"/>
          <w14:textFill>
            <w14:solidFill>
              <w14:schemeClr w14:val="tx1"/>
            </w14:solidFill>
          </w14:textFill>
        </w:rPr>
      </w:pPr>
      <w:bookmarkStart w:id="19" w:name="_Toc2505"/>
      <w:r>
        <w:rPr>
          <w:rFonts w:hint="eastAsia" w:ascii="黑体" w:hAnsi="黑体" w:eastAsia="黑体"/>
          <w:snapToGrid w:val="0"/>
          <w:color w:val="000000" w:themeColor="text1"/>
          <w:szCs w:val="24"/>
          <w14:textFill>
            <w14:solidFill>
              <w14:schemeClr w14:val="tx1"/>
            </w14:solidFill>
          </w14:textFill>
        </w:rPr>
        <w:t>附表</w:t>
      </w:r>
      <w:bookmarkEnd w:id="19"/>
    </w:p>
    <w:p w14:paraId="2F5DBE22">
      <w:pPr>
        <w:pStyle w:val="25"/>
        <w:adjustRightInd w:val="0"/>
        <w:snapToGrid w:val="0"/>
        <w:spacing w:before="0" w:beforeAutospacing="0" w:after="0" w:afterAutospacing="0" w:line="240" w:lineRule="auto"/>
        <w:ind w:firstLine="640"/>
        <w:jc w:val="center"/>
        <w:outlineLvl w:val="0"/>
        <w:rPr>
          <w:rFonts w:ascii="方正小标宋_GBK" w:hAnsi="黑体" w:eastAsia="方正小标宋_GBK"/>
          <w:snapToGrid w:val="0"/>
          <w:color w:val="000000" w:themeColor="text1"/>
          <w:sz w:val="28"/>
          <w:szCs w:val="28"/>
          <w14:textFill>
            <w14:solidFill>
              <w14:schemeClr w14:val="tx1"/>
            </w14:solidFill>
          </w14:textFill>
        </w:rPr>
      </w:pPr>
      <w:bookmarkStart w:id="20" w:name="_Toc27047"/>
      <w:r>
        <w:rPr>
          <w:rFonts w:hint="eastAsia" w:ascii="方正小标宋_GBK" w:hAnsi="黑体" w:eastAsia="方正小标宋_GBK"/>
          <w:snapToGrid w:val="0"/>
          <w:color w:val="000000" w:themeColor="text1"/>
          <w:sz w:val="32"/>
          <w:szCs w:val="32"/>
          <w14:textFill>
            <w14:solidFill>
              <w14:schemeClr w14:val="tx1"/>
            </w14:solidFill>
          </w14:textFill>
        </w:rPr>
        <w:t>建设项目污染物排放量汇总表</w:t>
      </w:r>
      <w:bookmarkEnd w:id="20"/>
    </w:p>
    <w:tbl>
      <w:tblPr>
        <w:tblStyle w:val="29"/>
        <w:tblW w:w="1378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04"/>
        <w:gridCol w:w="1559"/>
        <w:gridCol w:w="1560"/>
        <w:gridCol w:w="1134"/>
        <w:gridCol w:w="1559"/>
        <w:gridCol w:w="1559"/>
        <w:gridCol w:w="1701"/>
        <w:gridCol w:w="1843"/>
        <w:gridCol w:w="1569"/>
      </w:tblGrid>
      <w:tr w14:paraId="72770C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atLeast"/>
        </w:trPr>
        <w:tc>
          <w:tcPr>
            <w:tcW w:w="1304" w:type="dxa"/>
            <w:tcMar>
              <w:left w:w="28" w:type="dxa"/>
              <w:right w:w="28" w:type="dxa"/>
            </w:tcMar>
            <w:vAlign w:val="center"/>
          </w:tcPr>
          <w:p w14:paraId="1F8FA9DC">
            <w:pPr>
              <w:pStyle w:val="52"/>
              <w:spacing w:beforeLines="0" w:afterLines="0" w:line="240" w:lineRule="auto"/>
              <w:ind w:firstLine="0" w:firstLineChars="0"/>
              <w:jc w:val="right"/>
              <w:rPr>
                <w:rFonts w:ascii="黑体" w:hAnsi="黑体" w:eastAsia="黑体" w:cs="宋体"/>
                <w:snapToGrid w:val="0"/>
                <w:color w:val="000000" w:themeColor="text1"/>
                <w:spacing w:val="-6"/>
                <w:kern w:val="21"/>
                <w:sz w:val="21"/>
                <w:szCs w:val="21"/>
                <w14:textFill>
                  <w14:solidFill>
                    <w14:schemeClr w14:val="tx1"/>
                  </w14:solidFill>
                </w14:textFill>
              </w:rPr>
            </w:pPr>
            <w:r>
              <w:rPr>
                <w:rFonts w:hint="eastAsia" w:ascii="黑体" w:hAnsi="黑体" w:eastAsia="黑体" w:cs="宋体"/>
                <w:snapToGrid w:val="0"/>
                <w:color w:val="000000" w:themeColor="text1"/>
                <w:spacing w:val="-6"/>
                <w:kern w:val="21"/>
                <w:sz w:val="21"/>
                <w:szCs w:val="21"/>
                <w14:textFill>
                  <w14:solidFill>
                    <w14:schemeClr w14:val="tx1"/>
                  </w14:solidFill>
                </w14:textFill>
              </w:rPr>
              <w:t>项目</w:t>
            </w:r>
          </w:p>
          <w:p w14:paraId="2D8877B6">
            <w:pPr>
              <w:pStyle w:val="52"/>
              <w:spacing w:beforeLines="0" w:afterLines="0" w:line="240" w:lineRule="auto"/>
              <w:ind w:firstLine="0" w:firstLineChars="0"/>
              <w:jc w:val="left"/>
              <w:rPr>
                <w:rFonts w:ascii="黑体" w:hAnsi="黑体" w:eastAsia="黑体" w:cs="宋体"/>
                <w:snapToGrid w:val="0"/>
                <w:color w:val="000000" w:themeColor="text1"/>
                <w:spacing w:val="-6"/>
                <w:kern w:val="21"/>
                <w:sz w:val="21"/>
                <w:szCs w:val="21"/>
                <w14:textFill>
                  <w14:solidFill>
                    <w14:schemeClr w14:val="tx1"/>
                  </w14:solidFill>
                </w14:textFill>
              </w:rPr>
            </w:pPr>
            <w:r>
              <w:rPr>
                <w:rFonts w:hint="eastAsia" w:ascii="黑体" w:hAnsi="黑体" w:eastAsia="黑体" w:cs="宋体"/>
                <w:snapToGrid w:val="0"/>
                <w:color w:val="000000" w:themeColor="text1"/>
                <w:spacing w:val="-6"/>
                <w:kern w:val="21"/>
                <w:sz w:val="21"/>
                <w:szCs w:val="21"/>
                <w14:textFill>
                  <w14:solidFill>
                    <w14:schemeClr w14:val="tx1"/>
                  </w14:solidFill>
                </w14:textFill>
              </w:rPr>
              <w:t>分类</w:t>
            </w:r>
          </w:p>
        </w:tc>
        <w:tc>
          <w:tcPr>
            <w:tcW w:w="1559" w:type="dxa"/>
            <w:tcMar>
              <w:left w:w="28" w:type="dxa"/>
              <w:right w:w="28" w:type="dxa"/>
            </w:tcMar>
            <w:vAlign w:val="center"/>
          </w:tcPr>
          <w:p w14:paraId="15219D7B">
            <w:pPr>
              <w:pStyle w:val="52"/>
              <w:spacing w:beforeLines="0" w:afterLines="0" w:line="240" w:lineRule="auto"/>
              <w:ind w:firstLine="0" w:firstLineChars="0"/>
              <w:rPr>
                <w:rFonts w:ascii="黑体" w:hAnsi="黑体" w:eastAsia="黑体" w:cs="宋体"/>
                <w:snapToGrid w:val="0"/>
                <w:color w:val="000000" w:themeColor="text1"/>
                <w:spacing w:val="-6"/>
                <w:kern w:val="21"/>
                <w:sz w:val="21"/>
                <w:szCs w:val="21"/>
                <w14:textFill>
                  <w14:solidFill>
                    <w14:schemeClr w14:val="tx1"/>
                  </w14:solidFill>
                </w14:textFill>
              </w:rPr>
            </w:pPr>
            <w:r>
              <w:rPr>
                <w:rFonts w:hint="eastAsia" w:ascii="黑体" w:hAnsi="黑体" w:eastAsia="黑体" w:cs="宋体"/>
                <w:snapToGrid w:val="0"/>
                <w:color w:val="000000" w:themeColor="text1"/>
                <w:spacing w:val="-6"/>
                <w:kern w:val="21"/>
                <w:sz w:val="21"/>
                <w:szCs w:val="21"/>
                <w14:textFill>
                  <w14:solidFill>
                    <w14:schemeClr w14:val="tx1"/>
                  </w14:solidFill>
                </w14:textFill>
              </w:rPr>
              <w:t>污染物名称</w:t>
            </w:r>
          </w:p>
        </w:tc>
        <w:tc>
          <w:tcPr>
            <w:tcW w:w="1560" w:type="dxa"/>
            <w:tcMar>
              <w:left w:w="28" w:type="dxa"/>
              <w:right w:w="28" w:type="dxa"/>
            </w:tcMar>
            <w:vAlign w:val="center"/>
          </w:tcPr>
          <w:p w14:paraId="7015C147">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t>现有工程</w:t>
            </w:r>
          </w:p>
          <w:p w14:paraId="6D383B6F">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t>排放量（固</w:t>
            </w:r>
            <w:r>
              <w:rPr>
                <w:rFonts w:hint="eastAsia" w:ascii="黑体" w:hAnsi="黑体" w:eastAsia="黑体"/>
                <w:snapToGrid w:val="0"/>
                <w:color w:val="000000" w:themeColor="text1"/>
                <w:spacing w:val="-6"/>
                <w:kern w:val="21"/>
                <w:sz w:val="21"/>
                <w:szCs w:val="21"/>
                <w14:textFill>
                  <w14:solidFill>
                    <w14:schemeClr w14:val="tx1"/>
                  </w14:solidFill>
                </w14:textFill>
              </w:rPr>
              <w:t>体</w:t>
            </w:r>
            <w:r>
              <w:rPr>
                <w:rFonts w:ascii="黑体" w:hAnsi="黑体" w:eastAsia="黑体"/>
                <w:snapToGrid w:val="0"/>
                <w:color w:val="000000" w:themeColor="text1"/>
                <w:spacing w:val="-6"/>
                <w:kern w:val="21"/>
                <w:sz w:val="21"/>
                <w:szCs w:val="21"/>
                <w14:textFill>
                  <w14:solidFill>
                    <w14:schemeClr w14:val="tx1"/>
                  </w14:solidFill>
                </w14:textFill>
              </w:rPr>
              <w:t>废</w:t>
            </w:r>
            <w:r>
              <w:rPr>
                <w:rFonts w:hint="eastAsia" w:ascii="黑体" w:hAnsi="黑体" w:eastAsia="黑体"/>
                <w:snapToGrid w:val="0"/>
                <w:color w:val="000000" w:themeColor="text1"/>
                <w:spacing w:val="-6"/>
                <w:kern w:val="21"/>
                <w:sz w:val="21"/>
                <w:szCs w:val="21"/>
                <w14:textFill>
                  <w14:solidFill>
                    <w14:schemeClr w14:val="tx1"/>
                  </w14:solidFill>
                </w14:textFill>
              </w:rPr>
              <w:t>物</w:t>
            </w:r>
            <w:r>
              <w:rPr>
                <w:rFonts w:ascii="黑体" w:hAnsi="黑体" w:eastAsia="黑体"/>
                <w:snapToGrid w:val="0"/>
                <w:color w:val="000000" w:themeColor="text1"/>
                <w:spacing w:val="-6"/>
                <w:kern w:val="21"/>
                <w:sz w:val="21"/>
                <w:szCs w:val="21"/>
                <w14:textFill>
                  <w14:solidFill>
                    <w14:schemeClr w14:val="tx1"/>
                  </w14:solidFill>
                </w14:textFill>
              </w:rPr>
              <w:t>产生量）</w:t>
            </w:r>
            <w:r>
              <w:rPr>
                <w:rFonts w:ascii="黑体" w:hAnsi="黑体" w:eastAsia="黑体"/>
                <w:snapToGrid w:val="0"/>
                <w:color w:val="000000" w:themeColor="text1"/>
                <w:spacing w:val="-6"/>
                <w:kern w:val="21"/>
                <w:sz w:val="21"/>
                <w:szCs w:val="21"/>
                <w14:textFill>
                  <w14:solidFill>
                    <w14:schemeClr w14:val="tx1"/>
                  </w14:solidFill>
                </w14:textFill>
              </w:rPr>
              <w:fldChar w:fldCharType="begin"/>
            </w:r>
            <w:r>
              <w:rPr>
                <w:rFonts w:ascii="黑体" w:hAnsi="黑体" w:eastAsia="黑体"/>
                <w:snapToGrid w:val="0"/>
                <w:color w:val="000000" w:themeColor="text1"/>
                <w:spacing w:val="-6"/>
                <w:kern w:val="21"/>
                <w:sz w:val="21"/>
                <w:szCs w:val="21"/>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 w:val="21"/>
                <w:szCs w:val="21"/>
                <w14:textFill>
                  <w14:solidFill>
                    <w14:schemeClr w14:val="tx1"/>
                  </w14:solidFill>
                </w14:textFill>
              </w:rPr>
              <w:fldChar w:fldCharType="separate"/>
            </w:r>
            <w:r>
              <w:rPr>
                <w:rFonts w:hint="eastAsia" w:ascii="黑体" w:hAnsi="黑体" w:eastAsia="黑体" w:cs="宋体"/>
                <w:color w:val="000000" w:themeColor="text1"/>
                <w:kern w:val="2"/>
                <w:sz w:val="21"/>
                <w:szCs w:val="21"/>
                <w14:textFill>
                  <w14:solidFill>
                    <w14:schemeClr w14:val="tx1"/>
                  </w14:solidFill>
                </w14:textFill>
              </w:rPr>
              <w:t>①</w:t>
            </w:r>
            <w:r>
              <w:rPr>
                <w:rFonts w:ascii="黑体" w:hAnsi="黑体" w:eastAsia="黑体"/>
                <w:snapToGrid w:val="0"/>
                <w:color w:val="000000" w:themeColor="text1"/>
                <w:spacing w:val="-6"/>
                <w:kern w:val="21"/>
                <w:sz w:val="21"/>
                <w:szCs w:val="21"/>
                <w14:textFill>
                  <w14:solidFill>
                    <w14:schemeClr w14:val="tx1"/>
                  </w14:solidFill>
                </w14:textFill>
              </w:rPr>
              <w:fldChar w:fldCharType="end"/>
            </w:r>
          </w:p>
        </w:tc>
        <w:tc>
          <w:tcPr>
            <w:tcW w:w="1134" w:type="dxa"/>
            <w:tcMar>
              <w:left w:w="28" w:type="dxa"/>
              <w:right w:w="28" w:type="dxa"/>
            </w:tcMar>
            <w:vAlign w:val="center"/>
          </w:tcPr>
          <w:p w14:paraId="41CE349B">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t>现有工程</w:t>
            </w:r>
          </w:p>
          <w:p w14:paraId="7EA49013">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t>许可排放量</w:t>
            </w:r>
          </w:p>
          <w:p w14:paraId="680E2A2F">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fldChar w:fldCharType="begin"/>
            </w:r>
            <w:r>
              <w:rPr>
                <w:rFonts w:ascii="黑体" w:hAnsi="黑体" w:eastAsia="黑体"/>
                <w:snapToGrid w:val="0"/>
                <w:color w:val="000000" w:themeColor="text1"/>
                <w:spacing w:val="-6"/>
                <w:kern w:val="21"/>
                <w:sz w:val="21"/>
                <w:szCs w:val="21"/>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 w:val="21"/>
                <w:szCs w:val="21"/>
                <w14:textFill>
                  <w14:solidFill>
                    <w14:schemeClr w14:val="tx1"/>
                  </w14:solidFill>
                </w14:textFill>
              </w:rPr>
              <w:fldChar w:fldCharType="separate"/>
            </w:r>
            <w:r>
              <w:rPr>
                <w:rFonts w:hint="eastAsia" w:ascii="黑体" w:hAnsi="黑体" w:eastAsia="黑体" w:cs="宋体"/>
                <w:snapToGrid w:val="0"/>
                <w:color w:val="000000" w:themeColor="text1"/>
                <w:spacing w:val="-6"/>
                <w:kern w:val="21"/>
                <w:sz w:val="21"/>
                <w:szCs w:val="21"/>
                <w14:textFill>
                  <w14:solidFill>
                    <w14:schemeClr w14:val="tx1"/>
                  </w14:solidFill>
                </w14:textFill>
              </w:rPr>
              <w:t>②</w:t>
            </w:r>
            <w:r>
              <w:rPr>
                <w:rFonts w:ascii="黑体" w:hAnsi="黑体" w:eastAsia="黑体"/>
                <w:snapToGrid w:val="0"/>
                <w:color w:val="000000" w:themeColor="text1"/>
                <w:spacing w:val="-6"/>
                <w:kern w:val="21"/>
                <w:sz w:val="21"/>
                <w:szCs w:val="21"/>
                <w14:textFill>
                  <w14:solidFill>
                    <w14:schemeClr w14:val="tx1"/>
                  </w14:solidFill>
                </w14:textFill>
              </w:rPr>
              <w:fldChar w:fldCharType="end"/>
            </w:r>
          </w:p>
        </w:tc>
        <w:tc>
          <w:tcPr>
            <w:tcW w:w="1559" w:type="dxa"/>
            <w:tcMar>
              <w:left w:w="28" w:type="dxa"/>
              <w:right w:w="28" w:type="dxa"/>
            </w:tcMar>
            <w:vAlign w:val="center"/>
          </w:tcPr>
          <w:p w14:paraId="36E02440">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t>在建工程</w:t>
            </w:r>
          </w:p>
          <w:p w14:paraId="790DF11E">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t>排放量（固</w:t>
            </w:r>
            <w:r>
              <w:rPr>
                <w:rFonts w:hint="eastAsia" w:ascii="黑体" w:hAnsi="黑体" w:eastAsia="黑体"/>
                <w:snapToGrid w:val="0"/>
                <w:color w:val="000000" w:themeColor="text1"/>
                <w:spacing w:val="-6"/>
                <w:kern w:val="21"/>
                <w:sz w:val="21"/>
                <w:szCs w:val="21"/>
                <w14:textFill>
                  <w14:solidFill>
                    <w14:schemeClr w14:val="tx1"/>
                  </w14:solidFill>
                </w14:textFill>
              </w:rPr>
              <w:t>体</w:t>
            </w:r>
            <w:r>
              <w:rPr>
                <w:rFonts w:ascii="黑体" w:hAnsi="黑体" w:eastAsia="黑体"/>
                <w:snapToGrid w:val="0"/>
                <w:color w:val="000000" w:themeColor="text1"/>
                <w:spacing w:val="-6"/>
                <w:kern w:val="21"/>
                <w:sz w:val="21"/>
                <w:szCs w:val="21"/>
                <w14:textFill>
                  <w14:solidFill>
                    <w14:schemeClr w14:val="tx1"/>
                  </w14:solidFill>
                </w14:textFill>
              </w:rPr>
              <w:t>废</w:t>
            </w:r>
            <w:r>
              <w:rPr>
                <w:rFonts w:hint="eastAsia" w:ascii="黑体" w:hAnsi="黑体" w:eastAsia="黑体"/>
                <w:snapToGrid w:val="0"/>
                <w:color w:val="000000" w:themeColor="text1"/>
                <w:spacing w:val="-6"/>
                <w:kern w:val="21"/>
                <w:sz w:val="21"/>
                <w:szCs w:val="21"/>
                <w14:textFill>
                  <w14:solidFill>
                    <w14:schemeClr w14:val="tx1"/>
                  </w14:solidFill>
                </w14:textFill>
              </w:rPr>
              <w:t>物</w:t>
            </w:r>
            <w:r>
              <w:rPr>
                <w:rFonts w:ascii="黑体" w:hAnsi="黑体" w:eastAsia="黑体"/>
                <w:snapToGrid w:val="0"/>
                <w:color w:val="000000" w:themeColor="text1"/>
                <w:spacing w:val="-6"/>
                <w:kern w:val="21"/>
                <w:sz w:val="21"/>
                <w:szCs w:val="21"/>
                <w14:textFill>
                  <w14:solidFill>
                    <w14:schemeClr w14:val="tx1"/>
                  </w14:solidFill>
                </w14:textFill>
              </w:rPr>
              <w:t>产生量）</w:t>
            </w:r>
            <w:r>
              <w:rPr>
                <w:rFonts w:ascii="黑体" w:hAnsi="黑体" w:eastAsia="黑体"/>
                <w:snapToGrid w:val="0"/>
                <w:color w:val="000000" w:themeColor="text1"/>
                <w:spacing w:val="-6"/>
                <w:kern w:val="21"/>
                <w:sz w:val="21"/>
                <w:szCs w:val="21"/>
                <w14:textFill>
                  <w14:solidFill>
                    <w14:schemeClr w14:val="tx1"/>
                  </w14:solidFill>
                </w14:textFill>
              </w:rPr>
              <w:fldChar w:fldCharType="begin"/>
            </w:r>
            <w:r>
              <w:rPr>
                <w:rFonts w:ascii="黑体" w:hAnsi="黑体" w:eastAsia="黑体"/>
                <w:snapToGrid w:val="0"/>
                <w:color w:val="000000" w:themeColor="text1"/>
                <w:spacing w:val="-6"/>
                <w:kern w:val="21"/>
                <w:sz w:val="21"/>
                <w:szCs w:val="21"/>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 w:val="21"/>
                <w:szCs w:val="21"/>
                <w14:textFill>
                  <w14:solidFill>
                    <w14:schemeClr w14:val="tx1"/>
                  </w14:solidFill>
                </w14:textFill>
              </w:rPr>
              <w:fldChar w:fldCharType="separate"/>
            </w:r>
            <w:r>
              <w:rPr>
                <w:rFonts w:hint="eastAsia" w:ascii="黑体" w:hAnsi="黑体" w:eastAsia="黑体" w:cs="宋体"/>
                <w:color w:val="000000" w:themeColor="text1"/>
                <w:kern w:val="2"/>
                <w:sz w:val="21"/>
                <w:szCs w:val="21"/>
                <w14:textFill>
                  <w14:solidFill>
                    <w14:schemeClr w14:val="tx1"/>
                  </w14:solidFill>
                </w14:textFill>
              </w:rPr>
              <w:t>③</w:t>
            </w:r>
            <w:r>
              <w:rPr>
                <w:rFonts w:ascii="黑体" w:hAnsi="黑体" w:eastAsia="黑体"/>
                <w:snapToGrid w:val="0"/>
                <w:color w:val="000000" w:themeColor="text1"/>
                <w:spacing w:val="-6"/>
                <w:kern w:val="21"/>
                <w:sz w:val="21"/>
                <w:szCs w:val="21"/>
                <w14:textFill>
                  <w14:solidFill>
                    <w14:schemeClr w14:val="tx1"/>
                  </w14:solidFill>
                </w14:textFill>
              </w:rPr>
              <w:fldChar w:fldCharType="end"/>
            </w:r>
          </w:p>
        </w:tc>
        <w:tc>
          <w:tcPr>
            <w:tcW w:w="1559" w:type="dxa"/>
            <w:tcMar>
              <w:left w:w="28" w:type="dxa"/>
              <w:right w:w="28" w:type="dxa"/>
            </w:tcMar>
            <w:vAlign w:val="center"/>
          </w:tcPr>
          <w:p w14:paraId="09D42E22">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t>本项目</w:t>
            </w:r>
          </w:p>
          <w:p w14:paraId="7EAD2182">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t>排放量（固</w:t>
            </w:r>
            <w:r>
              <w:rPr>
                <w:rFonts w:hint="eastAsia" w:ascii="黑体" w:hAnsi="黑体" w:eastAsia="黑体"/>
                <w:snapToGrid w:val="0"/>
                <w:color w:val="000000" w:themeColor="text1"/>
                <w:spacing w:val="-6"/>
                <w:kern w:val="21"/>
                <w:sz w:val="21"/>
                <w:szCs w:val="21"/>
                <w14:textFill>
                  <w14:solidFill>
                    <w14:schemeClr w14:val="tx1"/>
                  </w14:solidFill>
                </w14:textFill>
              </w:rPr>
              <w:t>体</w:t>
            </w:r>
            <w:r>
              <w:rPr>
                <w:rFonts w:ascii="黑体" w:hAnsi="黑体" w:eastAsia="黑体"/>
                <w:snapToGrid w:val="0"/>
                <w:color w:val="000000" w:themeColor="text1"/>
                <w:spacing w:val="-6"/>
                <w:kern w:val="21"/>
                <w:sz w:val="21"/>
                <w:szCs w:val="21"/>
                <w14:textFill>
                  <w14:solidFill>
                    <w14:schemeClr w14:val="tx1"/>
                  </w14:solidFill>
                </w14:textFill>
              </w:rPr>
              <w:t>废</w:t>
            </w:r>
            <w:r>
              <w:rPr>
                <w:rFonts w:hint="eastAsia" w:ascii="黑体" w:hAnsi="黑体" w:eastAsia="黑体"/>
                <w:snapToGrid w:val="0"/>
                <w:color w:val="000000" w:themeColor="text1"/>
                <w:spacing w:val="-6"/>
                <w:kern w:val="21"/>
                <w:sz w:val="21"/>
                <w:szCs w:val="21"/>
                <w14:textFill>
                  <w14:solidFill>
                    <w14:schemeClr w14:val="tx1"/>
                  </w14:solidFill>
                </w14:textFill>
              </w:rPr>
              <w:t>物</w:t>
            </w:r>
            <w:r>
              <w:rPr>
                <w:rFonts w:ascii="黑体" w:hAnsi="黑体" w:eastAsia="黑体"/>
                <w:snapToGrid w:val="0"/>
                <w:color w:val="000000" w:themeColor="text1"/>
                <w:spacing w:val="-6"/>
                <w:kern w:val="21"/>
                <w:sz w:val="21"/>
                <w:szCs w:val="21"/>
                <w14:textFill>
                  <w14:solidFill>
                    <w14:schemeClr w14:val="tx1"/>
                  </w14:solidFill>
                </w14:textFill>
              </w:rPr>
              <w:t>产生量）</w:t>
            </w:r>
            <w:r>
              <w:rPr>
                <w:rFonts w:ascii="黑体" w:hAnsi="黑体" w:eastAsia="黑体"/>
                <w:snapToGrid w:val="0"/>
                <w:color w:val="000000" w:themeColor="text1"/>
                <w:spacing w:val="-6"/>
                <w:kern w:val="21"/>
                <w:sz w:val="21"/>
                <w:szCs w:val="21"/>
                <w14:textFill>
                  <w14:solidFill>
                    <w14:schemeClr w14:val="tx1"/>
                  </w14:solidFill>
                </w14:textFill>
              </w:rPr>
              <w:fldChar w:fldCharType="begin"/>
            </w:r>
            <w:r>
              <w:rPr>
                <w:rFonts w:ascii="黑体" w:hAnsi="黑体" w:eastAsia="黑体"/>
                <w:snapToGrid w:val="0"/>
                <w:color w:val="000000" w:themeColor="text1"/>
                <w:spacing w:val="-6"/>
                <w:kern w:val="21"/>
                <w:sz w:val="21"/>
                <w:szCs w:val="21"/>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 w:val="21"/>
                <w:szCs w:val="21"/>
                <w14:textFill>
                  <w14:solidFill>
                    <w14:schemeClr w14:val="tx1"/>
                  </w14:solidFill>
                </w14:textFill>
              </w:rPr>
              <w:fldChar w:fldCharType="separate"/>
            </w:r>
            <w:r>
              <w:rPr>
                <w:rFonts w:hint="eastAsia" w:ascii="黑体" w:hAnsi="黑体" w:eastAsia="黑体" w:cs="宋体"/>
                <w:color w:val="000000" w:themeColor="text1"/>
                <w:kern w:val="2"/>
                <w:sz w:val="21"/>
                <w:szCs w:val="21"/>
                <w14:textFill>
                  <w14:solidFill>
                    <w14:schemeClr w14:val="tx1"/>
                  </w14:solidFill>
                </w14:textFill>
              </w:rPr>
              <w:t>④</w:t>
            </w:r>
            <w:r>
              <w:rPr>
                <w:rFonts w:ascii="黑体" w:hAnsi="黑体" w:eastAsia="黑体"/>
                <w:snapToGrid w:val="0"/>
                <w:color w:val="000000" w:themeColor="text1"/>
                <w:spacing w:val="-6"/>
                <w:kern w:val="21"/>
                <w:sz w:val="21"/>
                <w:szCs w:val="21"/>
                <w14:textFill>
                  <w14:solidFill>
                    <w14:schemeClr w14:val="tx1"/>
                  </w14:solidFill>
                </w14:textFill>
              </w:rPr>
              <w:fldChar w:fldCharType="end"/>
            </w:r>
          </w:p>
        </w:tc>
        <w:tc>
          <w:tcPr>
            <w:tcW w:w="1701" w:type="dxa"/>
            <w:tcMar>
              <w:left w:w="28" w:type="dxa"/>
              <w:right w:w="28" w:type="dxa"/>
            </w:tcMar>
            <w:vAlign w:val="center"/>
          </w:tcPr>
          <w:p w14:paraId="06986E87">
            <w:pPr>
              <w:pStyle w:val="52"/>
              <w:spacing w:beforeLines="0" w:afterLines="0" w:line="240" w:lineRule="auto"/>
              <w:ind w:firstLine="0" w:firstLineChars="0"/>
              <w:rPr>
                <w:rFonts w:ascii="黑体" w:hAnsi="黑体" w:eastAsia="黑体"/>
                <w:snapToGrid w:val="0"/>
                <w:color w:val="000000" w:themeColor="text1"/>
                <w:spacing w:val="-16"/>
                <w:kern w:val="21"/>
                <w:sz w:val="21"/>
                <w:szCs w:val="21"/>
                <w14:textFill>
                  <w14:solidFill>
                    <w14:schemeClr w14:val="tx1"/>
                  </w14:solidFill>
                </w14:textFill>
              </w:rPr>
            </w:pPr>
            <w:r>
              <w:rPr>
                <w:rFonts w:ascii="黑体" w:hAnsi="黑体" w:eastAsia="黑体"/>
                <w:snapToGrid w:val="0"/>
                <w:color w:val="000000" w:themeColor="text1"/>
                <w:spacing w:val="-16"/>
                <w:kern w:val="21"/>
                <w:sz w:val="21"/>
                <w:szCs w:val="21"/>
                <w14:textFill>
                  <w14:solidFill>
                    <w14:schemeClr w14:val="tx1"/>
                  </w14:solidFill>
                </w14:textFill>
              </w:rPr>
              <w:t>以新带老削减量</w:t>
            </w:r>
          </w:p>
          <w:p w14:paraId="4A94698D">
            <w:pPr>
              <w:pStyle w:val="52"/>
              <w:spacing w:beforeLines="0" w:afterLines="0" w:line="240" w:lineRule="auto"/>
              <w:ind w:firstLine="0" w:firstLineChars="0"/>
              <w:rPr>
                <w:rFonts w:ascii="黑体" w:hAnsi="黑体" w:eastAsia="黑体"/>
                <w:snapToGrid w:val="0"/>
                <w:color w:val="000000" w:themeColor="text1"/>
                <w:spacing w:val="-16"/>
                <w:kern w:val="21"/>
                <w:sz w:val="21"/>
                <w:szCs w:val="21"/>
                <w14:textFill>
                  <w14:solidFill>
                    <w14:schemeClr w14:val="tx1"/>
                  </w14:solidFill>
                </w14:textFill>
              </w:rPr>
            </w:pPr>
            <w:r>
              <w:rPr>
                <w:rFonts w:ascii="黑体" w:hAnsi="黑体" w:eastAsia="黑体"/>
                <w:snapToGrid w:val="0"/>
                <w:color w:val="000000" w:themeColor="text1"/>
                <w:spacing w:val="-16"/>
                <w:kern w:val="21"/>
                <w:sz w:val="21"/>
                <w:szCs w:val="21"/>
                <w14:textFill>
                  <w14:solidFill>
                    <w14:schemeClr w14:val="tx1"/>
                  </w14:solidFill>
                </w14:textFill>
              </w:rPr>
              <w:t>（新建项目不填）</w:t>
            </w:r>
            <w:r>
              <w:rPr>
                <w:rFonts w:ascii="黑体" w:hAnsi="黑体" w:eastAsia="黑体"/>
                <w:snapToGrid w:val="0"/>
                <w:color w:val="000000" w:themeColor="text1"/>
                <w:spacing w:val="-16"/>
                <w:kern w:val="21"/>
                <w:sz w:val="21"/>
                <w:szCs w:val="21"/>
                <w14:textFill>
                  <w14:solidFill>
                    <w14:schemeClr w14:val="tx1"/>
                  </w14:solidFill>
                </w14:textFill>
              </w:rPr>
              <w:fldChar w:fldCharType="begin"/>
            </w:r>
            <w:r>
              <w:rPr>
                <w:rFonts w:ascii="黑体" w:hAnsi="黑体" w:eastAsia="黑体"/>
                <w:snapToGrid w:val="0"/>
                <w:color w:val="000000" w:themeColor="text1"/>
                <w:spacing w:val="-16"/>
                <w:kern w:val="21"/>
                <w:sz w:val="21"/>
                <w:szCs w:val="21"/>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 w:val="21"/>
                <w:szCs w:val="21"/>
                <w14:textFill>
                  <w14:solidFill>
                    <w14:schemeClr w14:val="tx1"/>
                  </w14:solidFill>
                </w14:textFill>
              </w:rPr>
              <w:fldChar w:fldCharType="separate"/>
            </w:r>
            <w:r>
              <w:rPr>
                <w:rFonts w:hint="eastAsia" w:ascii="黑体" w:hAnsi="黑体" w:eastAsia="黑体" w:cs="宋体"/>
                <w:color w:val="000000" w:themeColor="text1"/>
                <w:kern w:val="2"/>
                <w:sz w:val="21"/>
                <w:szCs w:val="21"/>
                <w14:textFill>
                  <w14:solidFill>
                    <w14:schemeClr w14:val="tx1"/>
                  </w14:solidFill>
                </w14:textFill>
              </w:rPr>
              <w:t>⑤</w:t>
            </w:r>
            <w:r>
              <w:rPr>
                <w:rFonts w:ascii="黑体" w:hAnsi="黑体" w:eastAsia="黑体"/>
                <w:snapToGrid w:val="0"/>
                <w:color w:val="000000" w:themeColor="text1"/>
                <w:spacing w:val="-16"/>
                <w:kern w:val="21"/>
                <w:sz w:val="21"/>
                <w:szCs w:val="21"/>
                <w14:textFill>
                  <w14:solidFill>
                    <w14:schemeClr w14:val="tx1"/>
                  </w14:solidFill>
                </w14:textFill>
              </w:rPr>
              <w:fldChar w:fldCharType="end"/>
            </w:r>
          </w:p>
        </w:tc>
        <w:tc>
          <w:tcPr>
            <w:tcW w:w="1843" w:type="dxa"/>
            <w:tcMar>
              <w:left w:w="28" w:type="dxa"/>
              <w:right w:w="28" w:type="dxa"/>
            </w:tcMar>
            <w:vAlign w:val="center"/>
          </w:tcPr>
          <w:p w14:paraId="390FE19D">
            <w:pPr>
              <w:pStyle w:val="52"/>
              <w:spacing w:beforeLines="0" w:afterLines="0" w:line="240" w:lineRule="auto"/>
              <w:ind w:firstLine="0" w:firstLineChars="0"/>
              <w:rPr>
                <w:rFonts w:ascii="黑体" w:hAnsi="黑体" w:eastAsia="黑体"/>
                <w:snapToGrid w:val="0"/>
                <w:color w:val="000000" w:themeColor="text1"/>
                <w:spacing w:val="-16"/>
                <w:kern w:val="21"/>
                <w:sz w:val="21"/>
                <w:szCs w:val="21"/>
                <w14:textFill>
                  <w14:solidFill>
                    <w14:schemeClr w14:val="tx1"/>
                  </w14:solidFill>
                </w14:textFill>
              </w:rPr>
            </w:pPr>
            <w:r>
              <w:rPr>
                <w:rFonts w:ascii="黑体" w:hAnsi="黑体" w:eastAsia="黑体"/>
                <w:snapToGrid w:val="0"/>
                <w:color w:val="000000" w:themeColor="text1"/>
                <w:spacing w:val="-16"/>
                <w:kern w:val="21"/>
                <w:sz w:val="21"/>
                <w:szCs w:val="21"/>
                <w14:textFill>
                  <w14:solidFill>
                    <w14:schemeClr w14:val="tx1"/>
                  </w14:solidFill>
                </w14:textFill>
              </w:rPr>
              <w:t>本项目建成后</w:t>
            </w:r>
          </w:p>
          <w:p w14:paraId="43596B8B">
            <w:pPr>
              <w:pStyle w:val="52"/>
              <w:spacing w:beforeLines="0" w:afterLines="0" w:line="240" w:lineRule="auto"/>
              <w:ind w:firstLine="0" w:firstLineChars="0"/>
              <w:rPr>
                <w:rFonts w:ascii="黑体" w:hAnsi="黑体" w:eastAsia="黑体"/>
                <w:snapToGrid w:val="0"/>
                <w:color w:val="000000" w:themeColor="text1"/>
                <w:spacing w:val="-16"/>
                <w:kern w:val="21"/>
                <w:sz w:val="21"/>
                <w:szCs w:val="21"/>
                <w14:textFill>
                  <w14:solidFill>
                    <w14:schemeClr w14:val="tx1"/>
                  </w14:solidFill>
                </w14:textFill>
              </w:rPr>
            </w:pPr>
            <w:r>
              <w:rPr>
                <w:rFonts w:hint="eastAsia" w:ascii="黑体" w:hAnsi="黑体" w:eastAsia="黑体"/>
                <w:snapToGrid w:val="0"/>
                <w:color w:val="000000" w:themeColor="text1"/>
                <w:spacing w:val="-16"/>
                <w:kern w:val="21"/>
                <w:sz w:val="21"/>
                <w:szCs w:val="21"/>
                <w14:textFill>
                  <w14:solidFill>
                    <w14:schemeClr w14:val="tx1"/>
                  </w14:solidFill>
                </w14:textFill>
              </w:rPr>
              <w:t>全厂</w:t>
            </w:r>
            <w:r>
              <w:rPr>
                <w:rFonts w:ascii="黑体" w:hAnsi="黑体" w:eastAsia="黑体"/>
                <w:snapToGrid w:val="0"/>
                <w:color w:val="000000" w:themeColor="text1"/>
                <w:spacing w:val="-16"/>
                <w:kern w:val="21"/>
                <w:sz w:val="21"/>
                <w:szCs w:val="21"/>
                <w14:textFill>
                  <w14:solidFill>
                    <w14:schemeClr w14:val="tx1"/>
                  </w14:solidFill>
                </w14:textFill>
              </w:rPr>
              <w:t>排放量（固</w:t>
            </w:r>
            <w:r>
              <w:rPr>
                <w:rFonts w:hint="eastAsia" w:ascii="黑体" w:hAnsi="黑体" w:eastAsia="黑体"/>
                <w:snapToGrid w:val="0"/>
                <w:color w:val="000000" w:themeColor="text1"/>
                <w:spacing w:val="-16"/>
                <w:kern w:val="21"/>
                <w:sz w:val="21"/>
                <w:szCs w:val="21"/>
                <w14:textFill>
                  <w14:solidFill>
                    <w14:schemeClr w14:val="tx1"/>
                  </w14:solidFill>
                </w14:textFill>
              </w:rPr>
              <w:t>体</w:t>
            </w:r>
            <w:r>
              <w:rPr>
                <w:rFonts w:ascii="黑体" w:hAnsi="黑体" w:eastAsia="黑体"/>
                <w:snapToGrid w:val="0"/>
                <w:color w:val="000000" w:themeColor="text1"/>
                <w:spacing w:val="-16"/>
                <w:kern w:val="21"/>
                <w:sz w:val="21"/>
                <w:szCs w:val="21"/>
                <w14:textFill>
                  <w14:solidFill>
                    <w14:schemeClr w14:val="tx1"/>
                  </w14:solidFill>
                </w14:textFill>
              </w:rPr>
              <w:t>废</w:t>
            </w:r>
            <w:r>
              <w:rPr>
                <w:rFonts w:hint="eastAsia" w:ascii="黑体" w:hAnsi="黑体" w:eastAsia="黑体"/>
                <w:snapToGrid w:val="0"/>
                <w:color w:val="000000" w:themeColor="text1"/>
                <w:spacing w:val="-16"/>
                <w:kern w:val="21"/>
                <w:sz w:val="21"/>
                <w:szCs w:val="21"/>
                <w14:textFill>
                  <w14:solidFill>
                    <w14:schemeClr w14:val="tx1"/>
                  </w14:solidFill>
                </w14:textFill>
              </w:rPr>
              <w:t>物</w:t>
            </w:r>
            <w:r>
              <w:rPr>
                <w:rFonts w:ascii="黑体" w:hAnsi="黑体" w:eastAsia="黑体"/>
                <w:snapToGrid w:val="0"/>
                <w:color w:val="000000" w:themeColor="text1"/>
                <w:spacing w:val="-16"/>
                <w:kern w:val="21"/>
                <w:sz w:val="21"/>
                <w:szCs w:val="21"/>
                <w14:textFill>
                  <w14:solidFill>
                    <w14:schemeClr w14:val="tx1"/>
                  </w14:solidFill>
                </w14:textFill>
              </w:rPr>
              <w:t>产生量）</w:t>
            </w:r>
            <w:r>
              <w:rPr>
                <w:rFonts w:ascii="黑体" w:hAnsi="黑体" w:eastAsia="黑体"/>
                <w:snapToGrid w:val="0"/>
                <w:color w:val="000000" w:themeColor="text1"/>
                <w:spacing w:val="-16"/>
                <w:kern w:val="21"/>
                <w:sz w:val="21"/>
                <w:szCs w:val="21"/>
                <w14:textFill>
                  <w14:solidFill>
                    <w14:schemeClr w14:val="tx1"/>
                  </w14:solidFill>
                </w14:textFill>
              </w:rPr>
              <w:fldChar w:fldCharType="begin"/>
            </w:r>
            <w:r>
              <w:rPr>
                <w:rFonts w:ascii="黑体" w:hAnsi="黑体" w:eastAsia="黑体"/>
                <w:snapToGrid w:val="0"/>
                <w:color w:val="000000" w:themeColor="text1"/>
                <w:spacing w:val="-16"/>
                <w:kern w:val="21"/>
                <w:sz w:val="21"/>
                <w:szCs w:val="21"/>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 w:val="21"/>
                <w:szCs w:val="21"/>
                <w14:textFill>
                  <w14:solidFill>
                    <w14:schemeClr w14:val="tx1"/>
                  </w14:solidFill>
                </w14:textFill>
              </w:rPr>
              <w:fldChar w:fldCharType="separate"/>
            </w:r>
            <w:r>
              <w:rPr>
                <w:rFonts w:hint="eastAsia" w:ascii="黑体" w:hAnsi="黑体" w:eastAsia="黑体" w:cs="宋体"/>
                <w:color w:val="000000" w:themeColor="text1"/>
                <w:kern w:val="2"/>
                <w:sz w:val="21"/>
                <w:szCs w:val="21"/>
                <w14:textFill>
                  <w14:solidFill>
                    <w14:schemeClr w14:val="tx1"/>
                  </w14:solidFill>
                </w14:textFill>
              </w:rPr>
              <w:t>⑥</w:t>
            </w:r>
            <w:r>
              <w:rPr>
                <w:rFonts w:ascii="黑体" w:hAnsi="黑体" w:eastAsia="黑体"/>
                <w:snapToGrid w:val="0"/>
                <w:color w:val="000000" w:themeColor="text1"/>
                <w:spacing w:val="-16"/>
                <w:kern w:val="21"/>
                <w:sz w:val="21"/>
                <w:szCs w:val="21"/>
                <w14:textFill>
                  <w14:solidFill>
                    <w14:schemeClr w14:val="tx1"/>
                  </w14:solidFill>
                </w14:textFill>
              </w:rPr>
              <w:fldChar w:fldCharType="end"/>
            </w:r>
          </w:p>
        </w:tc>
        <w:tc>
          <w:tcPr>
            <w:tcW w:w="1569" w:type="dxa"/>
            <w:tcMar>
              <w:left w:w="28" w:type="dxa"/>
              <w:right w:w="28" w:type="dxa"/>
            </w:tcMar>
            <w:vAlign w:val="center"/>
          </w:tcPr>
          <w:p w14:paraId="312705A3">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t>变化量</w:t>
            </w:r>
          </w:p>
          <w:p w14:paraId="3F72818D">
            <w:pPr>
              <w:pStyle w:val="52"/>
              <w:spacing w:beforeLines="0" w:afterLines="0" w:line="240" w:lineRule="auto"/>
              <w:ind w:firstLine="0" w:firstLineChars="0"/>
              <w:rPr>
                <w:rFonts w:ascii="黑体" w:hAnsi="黑体" w:eastAsia="黑体"/>
                <w:snapToGrid w:val="0"/>
                <w:color w:val="000000" w:themeColor="text1"/>
                <w:spacing w:val="-6"/>
                <w:kern w:val="21"/>
                <w:sz w:val="21"/>
                <w:szCs w:val="21"/>
                <w14:textFill>
                  <w14:solidFill>
                    <w14:schemeClr w14:val="tx1"/>
                  </w14:solidFill>
                </w14:textFill>
              </w:rPr>
            </w:pPr>
            <w:r>
              <w:rPr>
                <w:rFonts w:ascii="黑体" w:hAnsi="黑体" w:eastAsia="黑体"/>
                <w:snapToGrid w:val="0"/>
                <w:color w:val="000000" w:themeColor="text1"/>
                <w:spacing w:val="-6"/>
                <w:kern w:val="21"/>
                <w:sz w:val="21"/>
                <w:szCs w:val="21"/>
                <w14:textFill>
                  <w14:solidFill>
                    <w14:schemeClr w14:val="tx1"/>
                  </w14:solidFill>
                </w14:textFill>
              </w:rPr>
              <w:fldChar w:fldCharType="begin"/>
            </w:r>
            <w:r>
              <w:rPr>
                <w:rFonts w:ascii="黑体" w:hAnsi="黑体" w:eastAsia="黑体"/>
                <w:snapToGrid w:val="0"/>
                <w:color w:val="000000" w:themeColor="text1"/>
                <w:spacing w:val="-6"/>
                <w:kern w:val="21"/>
                <w:sz w:val="21"/>
                <w:szCs w:val="21"/>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 w:val="21"/>
                <w:szCs w:val="21"/>
                <w14:textFill>
                  <w14:solidFill>
                    <w14:schemeClr w14:val="tx1"/>
                  </w14:solidFill>
                </w14:textFill>
              </w:rPr>
              <w:fldChar w:fldCharType="separate"/>
            </w:r>
            <w:r>
              <w:rPr>
                <w:rFonts w:hint="eastAsia" w:ascii="黑体" w:hAnsi="黑体" w:eastAsia="黑体" w:cs="宋体"/>
                <w:color w:val="000000" w:themeColor="text1"/>
                <w:kern w:val="2"/>
                <w:sz w:val="21"/>
                <w:szCs w:val="21"/>
                <w14:textFill>
                  <w14:solidFill>
                    <w14:schemeClr w14:val="tx1"/>
                  </w14:solidFill>
                </w14:textFill>
              </w:rPr>
              <w:t>⑦</w:t>
            </w:r>
            <w:r>
              <w:rPr>
                <w:rFonts w:ascii="黑体" w:hAnsi="黑体" w:eastAsia="黑体"/>
                <w:snapToGrid w:val="0"/>
                <w:color w:val="000000" w:themeColor="text1"/>
                <w:spacing w:val="-6"/>
                <w:kern w:val="21"/>
                <w:sz w:val="21"/>
                <w:szCs w:val="21"/>
                <w14:textFill>
                  <w14:solidFill>
                    <w14:schemeClr w14:val="tx1"/>
                  </w14:solidFill>
                </w14:textFill>
              </w:rPr>
              <w:fldChar w:fldCharType="end"/>
            </w:r>
          </w:p>
        </w:tc>
      </w:tr>
      <w:tr w14:paraId="5CC27A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trPr>
        <w:tc>
          <w:tcPr>
            <w:tcW w:w="1304" w:type="dxa"/>
            <w:vMerge w:val="restart"/>
            <w:vAlign w:val="center"/>
          </w:tcPr>
          <w:p w14:paraId="1E3E4894">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废气</w:t>
            </w:r>
          </w:p>
        </w:tc>
        <w:tc>
          <w:tcPr>
            <w:tcW w:w="1559" w:type="dxa"/>
          </w:tcPr>
          <w:p w14:paraId="5CB70E3D">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NOx</w:t>
            </w:r>
          </w:p>
        </w:tc>
        <w:tc>
          <w:tcPr>
            <w:tcW w:w="1560" w:type="dxa"/>
            <w:vAlign w:val="center"/>
          </w:tcPr>
          <w:p w14:paraId="5F205AE1">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00B510BE">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7D85BFD4">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tcPr>
          <w:p w14:paraId="6E3DBD3D">
            <w:pPr>
              <w:pStyle w:val="52"/>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1.632kg/a</w:t>
            </w:r>
          </w:p>
        </w:tc>
        <w:tc>
          <w:tcPr>
            <w:tcW w:w="1701" w:type="dxa"/>
            <w:vAlign w:val="center"/>
          </w:tcPr>
          <w:p w14:paraId="65C00BB5">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top"/>
          </w:tcPr>
          <w:p w14:paraId="30713A6D">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1.632kg/a</w:t>
            </w:r>
          </w:p>
        </w:tc>
        <w:tc>
          <w:tcPr>
            <w:tcW w:w="1569" w:type="dxa"/>
            <w:vAlign w:val="top"/>
          </w:tcPr>
          <w:p w14:paraId="276B1A41">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+1.632kg/a</w:t>
            </w:r>
          </w:p>
        </w:tc>
      </w:tr>
      <w:tr w14:paraId="57C471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7" w:hRule="atLeast"/>
        </w:trPr>
        <w:tc>
          <w:tcPr>
            <w:tcW w:w="1304" w:type="dxa"/>
            <w:vMerge w:val="continue"/>
            <w:vAlign w:val="center"/>
          </w:tcPr>
          <w:p w14:paraId="6AF290CD">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tcPr>
          <w:p w14:paraId="1EAE30AE">
            <w:pPr>
              <w:pStyle w:val="52"/>
              <w:spacing w:beforeLines="0" w:afterLines="0" w:line="240" w:lineRule="auto"/>
              <w:ind w:firstLine="0" w:firstLineChars="0"/>
              <w:rPr>
                <w:rFonts w:hint="eastAsia" w:ascii="Times New Roman" w:eastAsia="宋体"/>
                <w:snapToGrid w:val="0"/>
                <w:color w:val="000000" w:themeColor="text1"/>
                <w:sz w:val="21"/>
                <w:szCs w:val="21"/>
                <w:lang w:eastAsia="zh-CN"/>
                <w14:textFill>
                  <w14:solidFill>
                    <w14:schemeClr w14:val="tx1"/>
                  </w14:solidFill>
                </w14:textFill>
              </w:rPr>
            </w:pPr>
            <w:r>
              <w:rPr>
                <w:rFonts w:ascii="Times New Roman"/>
                <w:color w:val="000000" w:themeColor="text1"/>
                <w:sz w:val="21"/>
                <w:szCs w:val="21"/>
                <w14:textFill>
                  <w14:solidFill>
                    <w14:schemeClr w14:val="tx1"/>
                  </w14:solidFill>
                </w14:textFill>
              </w:rPr>
              <w:t>HCl</w:t>
            </w:r>
          </w:p>
        </w:tc>
        <w:tc>
          <w:tcPr>
            <w:tcW w:w="1560" w:type="dxa"/>
            <w:vAlign w:val="center"/>
          </w:tcPr>
          <w:p w14:paraId="01548AE0">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6A160FE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7FB2DB4D">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tcPr>
          <w:p w14:paraId="68766327">
            <w:pPr>
              <w:pStyle w:val="52"/>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0.362kg/a</w:t>
            </w:r>
          </w:p>
        </w:tc>
        <w:tc>
          <w:tcPr>
            <w:tcW w:w="1701" w:type="dxa"/>
            <w:vAlign w:val="center"/>
          </w:tcPr>
          <w:p w14:paraId="2D114CB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top"/>
          </w:tcPr>
          <w:p w14:paraId="16BEE08A">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0.362kg/a</w:t>
            </w:r>
          </w:p>
        </w:tc>
        <w:tc>
          <w:tcPr>
            <w:tcW w:w="1569" w:type="dxa"/>
            <w:vAlign w:val="top"/>
          </w:tcPr>
          <w:p w14:paraId="25AF860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+0.362kg/a</w:t>
            </w:r>
          </w:p>
        </w:tc>
      </w:tr>
      <w:tr w14:paraId="09B46F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7" w:hRule="atLeast"/>
        </w:trPr>
        <w:tc>
          <w:tcPr>
            <w:tcW w:w="1304" w:type="dxa"/>
            <w:vMerge w:val="continue"/>
            <w:vAlign w:val="center"/>
          </w:tcPr>
          <w:p w14:paraId="57D895C1">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shd w:val="clear" w:color="auto" w:fill="FFFFFF"/>
            <w:vAlign w:val="center"/>
          </w:tcPr>
          <w:p w14:paraId="3049E028">
            <w:pPr>
              <w:pStyle w:val="52"/>
              <w:spacing w:beforeLines="0" w:afterLines="0" w:line="240" w:lineRule="auto"/>
              <w:ind w:firstLine="0" w:firstLineChars="0"/>
              <w:rPr>
                <w:rFonts w:ascii="Times New Roman"/>
                <w:snapToGrid w:val="0"/>
                <w:color w:val="000000" w:themeColor="text1"/>
                <w:sz w:val="21"/>
                <w:szCs w:val="21"/>
                <w14:textFill>
                  <w14:solidFill>
                    <w14:schemeClr w14:val="tx1"/>
                  </w14:solidFill>
                </w14:textFill>
              </w:rPr>
            </w:pPr>
            <w:r>
              <w:rPr>
                <w:rFonts w:ascii="Times New Roman" w:eastAsiaTheme="minorEastAsia"/>
                <w:color w:val="000000" w:themeColor="text1"/>
                <w:sz w:val="21"/>
                <w:szCs w:val="21"/>
                <w:lang w:bidi="zh-TW"/>
                <w14:textFill>
                  <w14:solidFill>
                    <w14:schemeClr w14:val="tx1"/>
                  </w14:solidFill>
                </w14:textFill>
              </w:rPr>
              <w:t>硫酸雾</w:t>
            </w:r>
          </w:p>
        </w:tc>
        <w:tc>
          <w:tcPr>
            <w:tcW w:w="1560" w:type="dxa"/>
            <w:vAlign w:val="center"/>
          </w:tcPr>
          <w:p w14:paraId="6810F834">
            <w:pPr>
              <w:pStyle w:val="52"/>
              <w:spacing w:beforeLines="0" w:afterLines="0" w:line="240" w:lineRule="auto"/>
              <w:ind w:firstLine="0" w:firstLineChars="0"/>
              <w:rPr>
                <w:rFonts w:hint="eastAsia"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7111C31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33CDC01F">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tcPr>
          <w:p w14:paraId="73803424">
            <w:pPr>
              <w:pStyle w:val="52"/>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2.885kg/a</w:t>
            </w:r>
          </w:p>
        </w:tc>
        <w:tc>
          <w:tcPr>
            <w:tcW w:w="1701" w:type="dxa"/>
            <w:vAlign w:val="center"/>
          </w:tcPr>
          <w:p w14:paraId="67F4457D">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top"/>
          </w:tcPr>
          <w:p w14:paraId="6407EFE7">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2.885kg/a</w:t>
            </w:r>
          </w:p>
        </w:tc>
        <w:tc>
          <w:tcPr>
            <w:tcW w:w="1569" w:type="dxa"/>
            <w:vAlign w:val="top"/>
          </w:tcPr>
          <w:p w14:paraId="54F7C71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+2.885kg/a</w:t>
            </w:r>
          </w:p>
        </w:tc>
      </w:tr>
      <w:tr w14:paraId="3CA0C9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304" w:type="dxa"/>
            <w:vMerge w:val="continue"/>
            <w:vAlign w:val="center"/>
          </w:tcPr>
          <w:p w14:paraId="7A56D9A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shd w:val="clear" w:color="auto" w:fill="FFFFFF"/>
            <w:vAlign w:val="center"/>
          </w:tcPr>
          <w:p w14:paraId="725DED28">
            <w:pPr>
              <w:pStyle w:val="52"/>
              <w:spacing w:beforeLines="0" w:afterLines="0" w:line="240" w:lineRule="auto"/>
              <w:ind w:firstLine="0" w:firstLineChars="0"/>
              <w:rPr>
                <w:rFonts w:ascii="Times New Roman"/>
                <w:snapToGrid w:val="0"/>
                <w:color w:val="000000" w:themeColor="text1"/>
                <w:sz w:val="21"/>
                <w:szCs w:val="21"/>
                <w14:textFill>
                  <w14:solidFill>
                    <w14:schemeClr w14:val="tx1"/>
                  </w14:solidFill>
                </w14:textFill>
              </w:rPr>
            </w:pPr>
            <w:r>
              <w:rPr>
                <w:rFonts w:ascii="Times New Roman" w:eastAsiaTheme="minorEastAsia"/>
                <w:color w:val="000000" w:themeColor="text1"/>
                <w:sz w:val="21"/>
                <w:szCs w:val="21"/>
                <w:lang w:bidi="en-US"/>
                <w14:textFill>
                  <w14:solidFill>
                    <w14:schemeClr w14:val="tx1"/>
                  </w14:solidFill>
                </w14:textFill>
              </w:rPr>
              <w:t>NMHC</w:t>
            </w:r>
          </w:p>
        </w:tc>
        <w:tc>
          <w:tcPr>
            <w:tcW w:w="1560" w:type="dxa"/>
            <w:vAlign w:val="center"/>
          </w:tcPr>
          <w:p w14:paraId="04BEE69E">
            <w:pPr>
              <w:pStyle w:val="52"/>
              <w:spacing w:beforeLines="0" w:afterLines="0" w:line="240" w:lineRule="auto"/>
              <w:ind w:firstLine="0" w:firstLineChars="0"/>
              <w:rPr>
                <w:rFonts w:hint="eastAsia"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5733D75C">
            <w:pPr>
              <w:pStyle w:val="52"/>
              <w:spacing w:beforeLines="0" w:afterLines="0" w:line="240" w:lineRule="auto"/>
              <w:ind w:firstLine="0" w:firstLineChars="0"/>
              <w:rPr>
                <w:rFonts w:hint="eastAsia"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4815C697">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shd w:val="clear" w:color="auto" w:fill="FFFFFF"/>
            <w:vAlign w:val="center"/>
          </w:tcPr>
          <w:p w14:paraId="2AD3DA06">
            <w:pPr>
              <w:pStyle w:val="52"/>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70.0504kg/a</w:t>
            </w:r>
          </w:p>
        </w:tc>
        <w:tc>
          <w:tcPr>
            <w:tcW w:w="1701" w:type="dxa"/>
            <w:vAlign w:val="center"/>
          </w:tcPr>
          <w:p w14:paraId="63929C86">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shd w:val="clear" w:color="auto" w:fill="FFFFFF"/>
            <w:vAlign w:val="center"/>
          </w:tcPr>
          <w:p w14:paraId="510DFD1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70.0504kg/a</w:t>
            </w:r>
          </w:p>
        </w:tc>
        <w:tc>
          <w:tcPr>
            <w:tcW w:w="1569" w:type="dxa"/>
            <w:shd w:val="clear" w:color="auto" w:fill="FFFFFF"/>
            <w:vAlign w:val="center"/>
          </w:tcPr>
          <w:p w14:paraId="5A549900">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+70.0504kg/a</w:t>
            </w:r>
          </w:p>
        </w:tc>
      </w:tr>
      <w:tr w14:paraId="6ED275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304" w:type="dxa"/>
            <w:vMerge w:val="continue"/>
            <w:vAlign w:val="center"/>
          </w:tcPr>
          <w:p w14:paraId="6078E541">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shd w:val="clear" w:color="auto" w:fill="FFFFFF"/>
            <w:vAlign w:val="center"/>
          </w:tcPr>
          <w:p w14:paraId="304576CA">
            <w:pPr>
              <w:pStyle w:val="52"/>
              <w:spacing w:beforeLines="0" w:afterLines="0" w:line="240" w:lineRule="auto"/>
              <w:ind w:firstLine="0" w:firstLineChars="0"/>
              <w:rPr>
                <w:rFonts w:ascii="Times New Roman"/>
                <w:snapToGrid w:val="0"/>
                <w:color w:val="000000" w:themeColor="text1"/>
                <w:sz w:val="21"/>
                <w:szCs w:val="21"/>
                <w14:textFill>
                  <w14:solidFill>
                    <w14:schemeClr w14:val="tx1"/>
                  </w14:solidFill>
                </w14:textFill>
              </w:rPr>
            </w:pPr>
            <w:r>
              <w:rPr>
                <w:rFonts w:ascii="Times New Roman" w:eastAsiaTheme="minorEastAsia"/>
                <w:color w:val="000000" w:themeColor="text1"/>
                <w:sz w:val="21"/>
                <w:szCs w:val="21"/>
                <w:lang w:bidi="en-US"/>
                <w14:textFill>
                  <w14:solidFill>
                    <w14:schemeClr w14:val="tx1"/>
                  </w14:solidFill>
                </w14:textFill>
              </w:rPr>
              <w:t>H</w:t>
            </w:r>
            <w:r>
              <w:rPr>
                <w:rFonts w:ascii="Times New Roman" w:eastAsiaTheme="minorEastAsia"/>
                <w:color w:val="000000" w:themeColor="text1"/>
                <w:sz w:val="21"/>
                <w:szCs w:val="21"/>
                <w:vertAlign w:val="subscript"/>
                <w:lang w:bidi="en-US"/>
                <w14:textFill>
                  <w14:solidFill>
                    <w14:schemeClr w14:val="tx1"/>
                  </w14:solidFill>
                </w14:textFill>
              </w:rPr>
              <w:t>2</w:t>
            </w:r>
            <w:r>
              <w:rPr>
                <w:rFonts w:ascii="Times New Roman" w:eastAsiaTheme="minorEastAsia"/>
                <w:color w:val="000000" w:themeColor="text1"/>
                <w:sz w:val="21"/>
                <w:szCs w:val="21"/>
                <w:lang w:bidi="en-US"/>
                <w14:textFill>
                  <w14:solidFill>
                    <w14:schemeClr w14:val="tx1"/>
                  </w14:solidFill>
                </w14:textFill>
              </w:rPr>
              <w:t>S</w:t>
            </w:r>
          </w:p>
        </w:tc>
        <w:tc>
          <w:tcPr>
            <w:tcW w:w="1560" w:type="dxa"/>
            <w:vAlign w:val="center"/>
          </w:tcPr>
          <w:p w14:paraId="75C9257E">
            <w:pPr>
              <w:pStyle w:val="52"/>
              <w:spacing w:beforeLines="0" w:afterLines="0" w:line="240" w:lineRule="auto"/>
              <w:ind w:firstLine="0" w:firstLineChars="0"/>
              <w:rPr>
                <w:rFonts w:hint="eastAsia"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4635B82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1E3CE5BC">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shd w:val="clear" w:color="auto" w:fill="FFFFFF"/>
            <w:vAlign w:val="center"/>
          </w:tcPr>
          <w:p w14:paraId="1999A87D">
            <w:pPr>
              <w:pStyle w:val="52"/>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75kg/a</w:t>
            </w:r>
          </w:p>
        </w:tc>
        <w:tc>
          <w:tcPr>
            <w:tcW w:w="1701" w:type="dxa"/>
            <w:vAlign w:val="center"/>
          </w:tcPr>
          <w:p w14:paraId="463E2CA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shd w:val="clear" w:color="auto" w:fill="FFFFFF"/>
            <w:vAlign w:val="center"/>
          </w:tcPr>
          <w:p w14:paraId="5F2D2C4A">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75kg/a</w:t>
            </w:r>
          </w:p>
        </w:tc>
        <w:tc>
          <w:tcPr>
            <w:tcW w:w="1569" w:type="dxa"/>
            <w:shd w:val="clear" w:color="auto" w:fill="FFFFFF"/>
            <w:vAlign w:val="center"/>
          </w:tcPr>
          <w:p w14:paraId="26FB384E">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+75kg/a</w:t>
            </w:r>
          </w:p>
        </w:tc>
      </w:tr>
      <w:tr w14:paraId="246141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1304" w:type="dxa"/>
            <w:vMerge w:val="restart"/>
            <w:vAlign w:val="center"/>
          </w:tcPr>
          <w:p w14:paraId="54E82FDB">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废水</w:t>
            </w:r>
          </w:p>
        </w:tc>
        <w:tc>
          <w:tcPr>
            <w:tcW w:w="1559" w:type="dxa"/>
            <w:vAlign w:val="center"/>
          </w:tcPr>
          <w:p w14:paraId="7986E74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CODcr</w:t>
            </w:r>
          </w:p>
        </w:tc>
        <w:tc>
          <w:tcPr>
            <w:tcW w:w="1560" w:type="dxa"/>
            <w:vAlign w:val="center"/>
          </w:tcPr>
          <w:p w14:paraId="3F7268BE">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01F1A38D">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7940BCEC">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tcPr>
          <w:p w14:paraId="7297FBF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0.09146</w:t>
            </w:r>
            <w:r>
              <w:rPr>
                <w:rFonts w:hint="eastAsia"/>
                <w:color w:val="000000" w:themeColor="text1"/>
                <w:sz w:val="21"/>
                <w:szCs w:val="21"/>
                <w:lang w:val="en-US" w:eastAsia="zh-CN"/>
                <w14:textFill>
                  <w14:solidFill>
                    <w14:schemeClr w14:val="tx1"/>
                  </w14:solidFill>
                </w14:textFill>
              </w:rPr>
              <w:t>t/a</w:t>
            </w:r>
          </w:p>
        </w:tc>
        <w:tc>
          <w:tcPr>
            <w:tcW w:w="1701" w:type="dxa"/>
            <w:vAlign w:val="center"/>
          </w:tcPr>
          <w:p w14:paraId="0C3D4B5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top"/>
          </w:tcPr>
          <w:p w14:paraId="604211B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0.09146</w:t>
            </w:r>
            <w:r>
              <w:rPr>
                <w:rFonts w:hint="eastAsia"/>
                <w:color w:val="000000" w:themeColor="text1"/>
                <w:sz w:val="21"/>
                <w:szCs w:val="21"/>
                <w:lang w:val="en-US" w:eastAsia="zh-CN"/>
                <w14:textFill>
                  <w14:solidFill>
                    <w14:schemeClr w14:val="tx1"/>
                  </w14:solidFill>
                </w14:textFill>
              </w:rPr>
              <w:t>t/a</w:t>
            </w:r>
          </w:p>
        </w:tc>
        <w:tc>
          <w:tcPr>
            <w:tcW w:w="1569" w:type="dxa"/>
            <w:vAlign w:val="top"/>
          </w:tcPr>
          <w:p w14:paraId="5FB3596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0.09146</w:t>
            </w:r>
            <w:r>
              <w:rPr>
                <w:rFonts w:hint="eastAsia"/>
                <w:color w:val="000000" w:themeColor="text1"/>
                <w:sz w:val="21"/>
                <w:szCs w:val="21"/>
                <w:lang w:val="en-US" w:eastAsia="zh-CN"/>
                <w14:textFill>
                  <w14:solidFill>
                    <w14:schemeClr w14:val="tx1"/>
                  </w14:solidFill>
                </w14:textFill>
              </w:rPr>
              <w:t>t/a</w:t>
            </w:r>
          </w:p>
        </w:tc>
      </w:tr>
      <w:tr w14:paraId="60FF2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2" w:hRule="atLeast"/>
        </w:trPr>
        <w:tc>
          <w:tcPr>
            <w:tcW w:w="1304" w:type="dxa"/>
            <w:vMerge w:val="continue"/>
            <w:vAlign w:val="center"/>
          </w:tcPr>
          <w:p w14:paraId="64ED357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4D428B9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1560" w:type="dxa"/>
            <w:vAlign w:val="center"/>
          </w:tcPr>
          <w:p w14:paraId="477EA785">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0CD8BF6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70D0FE25">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tcPr>
          <w:p w14:paraId="616A702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0.038t/a</w:t>
            </w:r>
          </w:p>
        </w:tc>
        <w:tc>
          <w:tcPr>
            <w:tcW w:w="1701" w:type="dxa"/>
            <w:vAlign w:val="center"/>
          </w:tcPr>
          <w:p w14:paraId="25EFE0D5">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top"/>
          </w:tcPr>
          <w:p w14:paraId="5014A2A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0.038t/a</w:t>
            </w:r>
          </w:p>
        </w:tc>
        <w:tc>
          <w:tcPr>
            <w:tcW w:w="1569" w:type="dxa"/>
            <w:vAlign w:val="top"/>
          </w:tcPr>
          <w:p w14:paraId="73C33EB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+0.038t/a</w:t>
            </w:r>
          </w:p>
        </w:tc>
      </w:tr>
      <w:tr w14:paraId="15B39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trPr>
        <w:tc>
          <w:tcPr>
            <w:tcW w:w="1304" w:type="dxa"/>
            <w:vMerge w:val="continue"/>
            <w:vAlign w:val="center"/>
          </w:tcPr>
          <w:p w14:paraId="5395A58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226D006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1560" w:type="dxa"/>
            <w:vAlign w:val="center"/>
          </w:tcPr>
          <w:p w14:paraId="1B9EEABD">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699912CE">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7E415830">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tcPr>
          <w:p w14:paraId="7269EAB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0.04164</w:t>
            </w:r>
            <w:r>
              <w:rPr>
                <w:rFonts w:hint="eastAsia"/>
                <w:color w:val="000000" w:themeColor="text1"/>
                <w:sz w:val="21"/>
                <w:szCs w:val="21"/>
                <w:lang w:val="en-US" w:eastAsia="zh-CN"/>
                <w14:textFill>
                  <w14:solidFill>
                    <w14:schemeClr w14:val="tx1"/>
                  </w14:solidFill>
                </w14:textFill>
              </w:rPr>
              <w:t>t/a</w:t>
            </w:r>
          </w:p>
        </w:tc>
        <w:tc>
          <w:tcPr>
            <w:tcW w:w="1701" w:type="dxa"/>
            <w:vAlign w:val="center"/>
          </w:tcPr>
          <w:p w14:paraId="0448761B">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top"/>
          </w:tcPr>
          <w:p w14:paraId="6778C0D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0.04164</w:t>
            </w:r>
            <w:r>
              <w:rPr>
                <w:rFonts w:hint="eastAsia"/>
                <w:color w:val="000000" w:themeColor="text1"/>
                <w:sz w:val="21"/>
                <w:szCs w:val="21"/>
                <w:lang w:val="en-US" w:eastAsia="zh-CN"/>
                <w14:textFill>
                  <w14:solidFill>
                    <w14:schemeClr w14:val="tx1"/>
                  </w14:solidFill>
                </w14:textFill>
              </w:rPr>
              <w:t>t/a</w:t>
            </w:r>
          </w:p>
        </w:tc>
        <w:tc>
          <w:tcPr>
            <w:tcW w:w="1569" w:type="dxa"/>
            <w:vAlign w:val="top"/>
          </w:tcPr>
          <w:p w14:paraId="7F8CF90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0.04164</w:t>
            </w:r>
            <w:r>
              <w:rPr>
                <w:rFonts w:hint="eastAsia"/>
                <w:color w:val="000000" w:themeColor="text1"/>
                <w:sz w:val="21"/>
                <w:szCs w:val="21"/>
                <w:lang w:val="en-US" w:eastAsia="zh-CN"/>
                <w14:textFill>
                  <w14:solidFill>
                    <w14:schemeClr w14:val="tx1"/>
                  </w14:solidFill>
                </w14:textFill>
              </w:rPr>
              <w:t>t/a</w:t>
            </w:r>
          </w:p>
        </w:tc>
      </w:tr>
      <w:tr w14:paraId="31558A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0" w:hRule="atLeast"/>
        </w:trPr>
        <w:tc>
          <w:tcPr>
            <w:tcW w:w="1304" w:type="dxa"/>
            <w:vMerge w:val="continue"/>
            <w:vAlign w:val="center"/>
          </w:tcPr>
          <w:p w14:paraId="15925A41">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223C53B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w:t>
            </w:r>
          </w:p>
        </w:tc>
        <w:tc>
          <w:tcPr>
            <w:tcW w:w="1560" w:type="dxa"/>
            <w:vAlign w:val="center"/>
          </w:tcPr>
          <w:p w14:paraId="2A78107E">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3DD990FF">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4D200E15">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tcPr>
          <w:p w14:paraId="2C540F80">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0.007t/a</w:t>
            </w:r>
          </w:p>
        </w:tc>
        <w:tc>
          <w:tcPr>
            <w:tcW w:w="1701" w:type="dxa"/>
            <w:vAlign w:val="center"/>
          </w:tcPr>
          <w:p w14:paraId="411FD00B">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top"/>
          </w:tcPr>
          <w:p w14:paraId="4BA2394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0.007t/a</w:t>
            </w:r>
          </w:p>
        </w:tc>
        <w:tc>
          <w:tcPr>
            <w:tcW w:w="1569" w:type="dxa"/>
            <w:vAlign w:val="top"/>
          </w:tcPr>
          <w:p w14:paraId="1CB0AF1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+0.007t/a</w:t>
            </w:r>
          </w:p>
        </w:tc>
      </w:tr>
      <w:tr w14:paraId="62996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0" w:hRule="atLeast"/>
        </w:trPr>
        <w:tc>
          <w:tcPr>
            <w:tcW w:w="1304" w:type="dxa"/>
            <w:vMerge w:val="continue"/>
            <w:vAlign w:val="center"/>
          </w:tcPr>
          <w:p w14:paraId="4E8878F6">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7E182619">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LAS</w:t>
            </w:r>
          </w:p>
        </w:tc>
        <w:tc>
          <w:tcPr>
            <w:tcW w:w="1560" w:type="dxa"/>
            <w:vAlign w:val="center"/>
          </w:tcPr>
          <w:p w14:paraId="3135E12C">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4D4B1714">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4FCE243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060CF856">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0.002t/a</w:t>
            </w:r>
          </w:p>
        </w:tc>
        <w:tc>
          <w:tcPr>
            <w:tcW w:w="1701" w:type="dxa"/>
            <w:vAlign w:val="center"/>
          </w:tcPr>
          <w:p w14:paraId="44347C5E">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450E02F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0.002t/a</w:t>
            </w:r>
          </w:p>
        </w:tc>
        <w:tc>
          <w:tcPr>
            <w:tcW w:w="1569" w:type="dxa"/>
            <w:vAlign w:val="center"/>
          </w:tcPr>
          <w:p w14:paraId="3A49AC7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+0.002t/a</w:t>
            </w:r>
          </w:p>
        </w:tc>
      </w:tr>
      <w:tr w14:paraId="55B3B7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6" w:hRule="atLeast"/>
        </w:trPr>
        <w:tc>
          <w:tcPr>
            <w:tcW w:w="1304" w:type="dxa"/>
            <w:vMerge w:val="restart"/>
            <w:vAlign w:val="center"/>
          </w:tcPr>
          <w:p w14:paraId="64158910">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一般固废</w:t>
            </w:r>
          </w:p>
        </w:tc>
        <w:tc>
          <w:tcPr>
            <w:tcW w:w="1559" w:type="dxa"/>
            <w:vAlign w:val="center"/>
          </w:tcPr>
          <w:p w14:paraId="42C86D6C">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生活垃圾</w:t>
            </w:r>
          </w:p>
        </w:tc>
        <w:tc>
          <w:tcPr>
            <w:tcW w:w="1560" w:type="dxa"/>
            <w:vAlign w:val="center"/>
          </w:tcPr>
          <w:p w14:paraId="10FD3BCF">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52BDE305">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363F4249">
            <w:pPr>
              <w:pStyle w:val="52"/>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7580C9E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3t/a</w:t>
            </w:r>
          </w:p>
        </w:tc>
        <w:tc>
          <w:tcPr>
            <w:tcW w:w="1701" w:type="dxa"/>
            <w:vAlign w:val="center"/>
          </w:tcPr>
          <w:p w14:paraId="72527846">
            <w:pPr>
              <w:pStyle w:val="52"/>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6D7AB2E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3t/a</w:t>
            </w:r>
          </w:p>
        </w:tc>
        <w:tc>
          <w:tcPr>
            <w:tcW w:w="1569" w:type="dxa"/>
            <w:vAlign w:val="center"/>
          </w:tcPr>
          <w:p w14:paraId="6639184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+3t/a</w:t>
            </w:r>
          </w:p>
        </w:tc>
      </w:tr>
      <w:tr w14:paraId="62A50E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1304" w:type="dxa"/>
            <w:vMerge w:val="continue"/>
            <w:vAlign w:val="center"/>
          </w:tcPr>
          <w:p w14:paraId="7413959E">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7CB57DC2">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废包装材料</w:t>
            </w:r>
          </w:p>
        </w:tc>
        <w:tc>
          <w:tcPr>
            <w:tcW w:w="1560" w:type="dxa"/>
            <w:vAlign w:val="center"/>
          </w:tcPr>
          <w:p w14:paraId="60CA3D4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5AA5D7F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43125ADF">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3D55006A">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0.02t/a</w:t>
            </w:r>
          </w:p>
        </w:tc>
        <w:tc>
          <w:tcPr>
            <w:tcW w:w="1701" w:type="dxa"/>
            <w:vAlign w:val="center"/>
          </w:tcPr>
          <w:p w14:paraId="0031B5DF">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0ACE2B1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0.02t/a</w:t>
            </w:r>
          </w:p>
        </w:tc>
        <w:tc>
          <w:tcPr>
            <w:tcW w:w="1569" w:type="dxa"/>
            <w:vAlign w:val="center"/>
          </w:tcPr>
          <w:p w14:paraId="29DE4ED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+0.02t/a</w:t>
            </w:r>
          </w:p>
        </w:tc>
      </w:tr>
      <w:tr w14:paraId="0A8E0C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8" w:hRule="atLeast"/>
        </w:trPr>
        <w:tc>
          <w:tcPr>
            <w:tcW w:w="1304" w:type="dxa"/>
            <w:vMerge w:val="continue"/>
            <w:vAlign w:val="center"/>
          </w:tcPr>
          <w:p w14:paraId="77A8B166">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17A6FBC4">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金属</w:t>
            </w:r>
            <w:r>
              <w:rPr>
                <w:rFonts w:hint="eastAsia"/>
                <w:color w:val="000000" w:themeColor="text1"/>
                <w:sz w:val="21"/>
                <w:szCs w:val="21"/>
                <w14:textFill>
                  <w14:solidFill>
                    <w14:schemeClr w14:val="tx1"/>
                  </w14:solidFill>
                </w14:textFill>
              </w:rPr>
              <w:t>边角料</w:t>
            </w:r>
          </w:p>
        </w:tc>
        <w:tc>
          <w:tcPr>
            <w:tcW w:w="1560" w:type="dxa"/>
            <w:vAlign w:val="center"/>
          </w:tcPr>
          <w:p w14:paraId="3F34002E">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22CFAE86">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34664FB4">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30B0C9C3">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0.3t/a</w:t>
            </w:r>
          </w:p>
        </w:tc>
        <w:tc>
          <w:tcPr>
            <w:tcW w:w="1701" w:type="dxa"/>
            <w:vAlign w:val="center"/>
          </w:tcPr>
          <w:p w14:paraId="60EDDAE7">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76DD233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0.3t/a</w:t>
            </w:r>
          </w:p>
        </w:tc>
        <w:tc>
          <w:tcPr>
            <w:tcW w:w="1569" w:type="dxa"/>
            <w:vAlign w:val="center"/>
          </w:tcPr>
          <w:p w14:paraId="3DAC4E5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+0.3t/a</w:t>
            </w:r>
          </w:p>
        </w:tc>
      </w:tr>
      <w:tr w14:paraId="7D711A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rPr>
        <w:tc>
          <w:tcPr>
            <w:tcW w:w="1304" w:type="dxa"/>
            <w:vMerge w:val="continue"/>
            <w:vAlign w:val="center"/>
          </w:tcPr>
          <w:p w14:paraId="27E4796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1C5843E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报废样品</w:t>
            </w:r>
          </w:p>
        </w:tc>
        <w:tc>
          <w:tcPr>
            <w:tcW w:w="1560" w:type="dxa"/>
            <w:vAlign w:val="center"/>
          </w:tcPr>
          <w:p w14:paraId="1CFBA65D">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501E4A3B">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133E96F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06A517F3">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0.5t/a</w:t>
            </w:r>
          </w:p>
        </w:tc>
        <w:tc>
          <w:tcPr>
            <w:tcW w:w="1701" w:type="dxa"/>
            <w:vAlign w:val="center"/>
          </w:tcPr>
          <w:p w14:paraId="00EA645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06C7CE8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0.5t/a</w:t>
            </w:r>
          </w:p>
        </w:tc>
        <w:tc>
          <w:tcPr>
            <w:tcW w:w="1569" w:type="dxa"/>
            <w:vAlign w:val="center"/>
          </w:tcPr>
          <w:p w14:paraId="441747F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+0.5t/a</w:t>
            </w:r>
          </w:p>
        </w:tc>
      </w:tr>
      <w:tr w14:paraId="6ACFC9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rPr>
        <w:tc>
          <w:tcPr>
            <w:tcW w:w="1304" w:type="dxa"/>
            <w:vMerge w:val="continue"/>
            <w:vAlign w:val="center"/>
          </w:tcPr>
          <w:p w14:paraId="54027EA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306E8628">
            <w:pPr>
              <w:pStyle w:val="52"/>
              <w:spacing w:beforeLines="0" w:afterLines="0" w:line="240" w:lineRule="auto"/>
              <w:ind w:firstLine="0" w:firstLineChars="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废滤芯、滤膜</w:t>
            </w:r>
          </w:p>
        </w:tc>
        <w:tc>
          <w:tcPr>
            <w:tcW w:w="1560" w:type="dxa"/>
            <w:vAlign w:val="center"/>
          </w:tcPr>
          <w:p w14:paraId="5A7F696F">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134" w:type="dxa"/>
            <w:vAlign w:val="center"/>
          </w:tcPr>
          <w:p w14:paraId="41F27356">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559" w:type="dxa"/>
            <w:vAlign w:val="center"/>
          </w:tcPr>
          <w:p w14:paraId="38E46564">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559" w:type="dxa"/>
            <w:vAlign w:val="center"/>
          </w:tcPr>
          <w:p w14:paraId="27352BC0">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0.02t/a</w:t>
            </w:r>
          </w:p>
        </w:tc>
        <w:tc>
          <w:tcPr>
            <w:tcW w:w="1701" w:type="dxa"/>
            <w:vAlign w:val="center"/>
          </w:tcPr>
          <w:p w14:paraId="20A30C7B">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843" w:type="dxa"/>
            <w:vAlign w:val="center"/>
          </w:tcPr>
          <w:p w14:paraId="596283E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0.02t/a</w:t>
            </w:r>
          </w:p>
        </w:tc>
        <w:tc>
          <w:tcPr>
            <w:tcW w:w="1569" w:type="dxa"/>
            <w:vAlign w:val="center"/>
          </w:tcPr>
          <w:p w14:paraId="144E400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+0.02t/a</w:t>
            </w:r>
          </w:p>
        </w:tc>
      </w:tr>
      <w:tr w14:paraId="429018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rPr>
        <w:tc>
          <w:tcPr>
            <w:tcW w:w="1304" w:type="dxa"/>
            <w:vMerge w:val="continue"/>
            <w:vAlign w:val="center"/>
          </w:tcPr>
          <w:p w14:paraId="1B4CDCB4">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4F33F2B9">
            <w:pPr>
              <w:pStyle w:val="52"/>
              <w:spacing w:beforeLines="0" w:afterLines="0" w:line="240" w:lineRule="auto"/>
              <w:ind w:firstLine="0" w:firstLine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废气瓶</w:t>
            </w:r>
          </w:p>
        </w:tc>
        <w:tc>
          <w:tcPr>
            <w:tcW w:w="1560" w:type="dxa"/>
            <w:vAlign w:val="center"/>
          </w:tcPr>
          <w:p w14:paraId="0B13BF8F">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134" w:type="dxa"/>
            <w:vAlign w:val="center"/>
          </w:tcPr>
          <w:p w14:paraId="70B7D6AE">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559" w:type="dxa"/>
            <w:vAlign w:val="center"/>
          </w:tcPr>
          <w:p w14:paraId="69CDBE92">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559" w:type="dxa"/>
            <w:vAlign w:val="center"/>
          </w:tcPr>
          <w:p w14:paraId="4F8A83F2">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95瓶/a</w:t>
            </w:r>
          </w:p>
        </w:tc>
        <w:tc>
          <w:tcPr>
            <w:tcW w:w="1701" w:type="dxa"/>
            <w:vAlign w:val="center"/>
          </w:tcPr>
          <w:p w14:paraId="3D94DFC5">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843" w:type="dxa"/>
            <w:vAlign w:val="center"/>
          </w:tcPr>
          <w:p w14:paraId="2DBDADA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95瓶/a</w:t>
            </w:r>
          </w:p>
        </w:tc>
        <w:tc>
          <w:tcPr>
            <w:tcW w:w="1569" w:type="dxa"/>
            <w:vAlign w:val="center"/>
          </w:tcPr>
          <w:p w14:paraId="2317CB4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+95瓶/a</w:t>
            </w:r>
          </w:p>
        </w:tc>
      </w:tr>
      <w:tr w14:paraId="65F440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4" w:hRule="atLeast"/>
        </w:trPr>
        <w:tc>
          <w:tcPr>
            <w:tcW w:w="1304" w:type="dxa"/>
            <w:vMerge w:val="restart"/>
            <w:vAlign w:val="center"/>
          </w:tcPr>
          <w:p w14:paraId="7B6F7E3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危险废物</w:t>
            </w:r>
          </w:p>
        </w:tc>
        <w:tc>
          <w:tcPr>
            <w:tcW w:w="1559" w:type="dxa"/>
            <w:vAlign w:val="center"/>
          </w:tcPr>
          <w:p w14:paraId="3C31988F">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实验废液</w:t>
            </w:r>
          </w:p>
        </w:tc>
        <w:tc>
          <w:tcPr>
            <w:tcW w:w="1560" w:type="dxa"/>
            <w:vAlign w:val="center"/>
          </w:tcPr>
          <w:p w14:paraId="10D83FB7">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2C8CAA56">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5596E801">
            <w:pPr>
              <w:pStyle w:val="52"/>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546DA11E">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2.42t/a</w:t>
            </w:r>
          </w:p>
        </w:tc>
        <w:tc>
          <w:tcPr>
            <w:tcW w:w="1701" w:type="dxa"/>
            <w:vAlign w:val="center"/>
          </w:tcPr>
          <w:p w14:paraId="7F96A2CA">
            <w:pPr>
              <w:pStyle w:val="52"/>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492C5A0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2.42t/a</w:t>
            </w:r>
          </w:p>
        </w:tc>
        <w:tc>
          <w:tcPr>
            <w:tcW w:w="1569" w:type="dxa"/>
            <w:vAlign w:val="center"/>
          </w:tcPr>
          <w:p w14:paraId="32B3437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+2.42t/a</w:t>
            </w:r>
          </w:p>
        </w:tc>
      </w:tr>
      <w:tr w14:paraId="0F3D3D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0" w:hRule="atLeast"/>
        </w:trPr>
        <w:tc>
          <w:tcPr>
            <w:tcW w:w="1304" w:type="dxa"/>
            <w:vMerge w:val="continue"/>
            <w:vAlign w:val="center"/>
          </w:tcPr>
          <w:p w14:paraId="148A9F21">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4EF8243C">
            <w:pPr>
              <w:pStyle w:val="52"/>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废药品瓶</w:t>
            </w:r>
          </w:p>
        </w:tc>
        <w:tc>
          <w:tcPr>
            <w:tcW w:w="1560" w:type="dxa"/>
            <w:vAlign w:val="center"/>
          </w:tcPr>
          <w:p w14:paraId="70AE125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7F1429C1">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7C21FB92">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41185494">
            <w:pPr>
              <w:pStyle w:val="52"/>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0.04</w:t>
            </w:r>
            <w:r>
              <w:rPr>
                <w:rFonts w:hint="eastAsia"/>
                <w:color w:val="000000" w:themeColor="text1"/>
                <w:sz w:val="21"/>
                <w:szCs w:val="21"/>
                <w:lang w:val="en-US" w:eastAsia="zh-CN"/>
                <w14:textFill>
                  <w14:solidFill>
                    <w14:schemeClr w14:val="tx1"/>
                  </w14:solidFill>
                </w14:textFill>
              </w:rPr>
              <w:t>t/a</w:t>
            </w:r>
          </w:p>
        </w:tc>
        <w:tc>
          <w:tcPr>
            <w:tcW w:w="1701" w:type="dxa"/>
            <w:vAlign w:val="center"/>
          </w:tcPr>
          <w:p w14:paraId="6813ED8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691F35A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0.04</w:t>
            </w:r>
            <w:r>
              <w:rPr>
                <w:rFonts w:hint="eastAsia"/>
                <w:color w:val="000000" w:themeColor="text1"/>
                <w:sz w:val="21"/>
                <w:szCs w:val="21"/>
                <w:lang w:val="en-US" w:eastAsia="zh-CN"/>
                <w14:textFill>
                  <w14:solidFill>
                    <w14:schemeClr w14:val="tx1"/>
                  </w14:solidFill>
                </w14:textFill>
              </w:rPr>
              <w:t>t/a</w:t>
            </w:r>
          </w:p>
        </w:tc>
        <w:tc>
          <w:tcPr>
            <w:tcW w:w="1569" w:type="dxa"/>
            <w:vAlign w:val="center"/>
          </w:tcPr>
          <w:p w14:paraId="728A5374">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+0.04</w:t>
            </w:r>
            <w:r>
              <w:rPr>
                <w:rFonts w:hint="eastAsia"/>
                <w:color w:val="000000" w:themeColor="text1"/>
                <w:sz w:val="21"/>
                <w:szCs w:val="21"/>
                <w:lang w:val="en-US" w:eastAsia="zh-CN"/>
                <w14:textFill>
                  <w14:solidFill>
                    <w14:schemeClr w14:val="tx1"/>
                  </w14:solidFill>
                </w14:textFill>
              </w:rPr>
              <w:t>t/a</w:t>
            </w:r>
          </w:p>
        </w:tc>
      </w:tr>
      <w:tr w14:paraId="021FAE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7" w:hRule="atLeast"/>
        </w:trPr>
        <w:tc>
          <w:tcPr>
            <w:tcW w:w="1304" w:type="dxa"/>
            <w:vMerge w:val="continue"/>
            <w:vAlign w:val="center"/>
          </w:tcPr>
          <w:p w14:paraId="6101856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469FD30B">
            <w:pPr>
              <w:pStyle w:val="52"/>
              <w:spacing w:beforeLines="0" w:afterLines="0" w:line="240" w:lineRule="auto"/>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冲洗废水</w:t>
            </w:r>
          </w:p>
        </w:tc>
        <w:tc>
          <w:tcPr>
            <w:tcW w:w="1560" w:type="dxa"/>
            <w:vAlign w:val="center"/>
          </w:tcPr>
          <w:p w14:paraId="2C74592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37D061FF">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2F65376C">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535EFEA6">
            <w:pPr>
              <w:pStyle w:val="52"/>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16.2</w:t>
            </w:r>
            <w:r>
              <w:rPr>
                <w:rFonts w:hint="eastAsia"/>
                <w:color w:val="000000" w:themeColor="text1"/>
                <w:sz w:val="21"/>
                <w:szCs w:val="21"/>
                <w:lang w:val="en-US" w:eastAsia="zh-CN"/>
                <w14:textFill>
                  <w14:solidFill>
                    <w14:schemeClr w14:val="tx1"/>
                  </w14:solidFill>
                </w14:textFill>
              </w:rPr>
              <w:t>t/a</w:t>
            </w:r>
          </w:p>
        </w:tc>
        <w:tc>
          <w:tcPr>
            <w:tcW w:w="1701" w:type="dxa"/>
            <w:vAlign w:val="center"/>
          </w:tcPr>
          <w:p w14:paraId="7CD4CFD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5CAB2C7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16.2</w:t>
            </w:r>
            <w:r>
              <w:rPr>
                <w:rFonts w:hint="eastAsia"/>
                <w:color w:val="000000" w:themeColor="text1"/>
                <w:sz w:val="21"/>
                <w:szCs w:val="21"/>
                <w:lang w:val="en-US" w:eastAsia="zh-CN"/>
                <w14:textFill>
                  <w14:solidFill>
                    <w14:schemeClr w14:val="tx1"/>
                  </w14:solidFill>
                </w14:textFill>
              </w:rPr>
              <w:t>t/a</w:t>
            </w:r>
          </w:p>
        </w:tc>
        <w:tc>
          <w:tcPr>
            <w:tcW w:w="1569" w:type="dxa"/>
            <w:vAlign w:val="center"/>
          </w:tcPr>
          <w:p w14:paraId="1474764B">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+16.2</w:t>
            </w:r>
            <w:r>
              <w:rPr>
                <w:rFonts w:hint="eastAsia"/>
                <w:color w:val="000000" w:themeColor="text1"/>
                <w:sz w:val="21"/>
                <w:szCs w:val="21"/>
                <w:lang w:val="en-US" w:eastAsia="zh-CN"/>
                <w14:textFill>
                  <w14:solidFill>
                    <w14:schemeClr w14:val="tx1"/>
                  </w14:solidFill>
                </w14:textFill>
              </w:rPr>
              <w:t>t/a</w:t>
            </w:r>
          </w:p>
        </w:tc>
      </w:tr>
      <w:tr w14:paraId="0F775F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trPr>
        <w:tc>
          <w:tcPr>
            <w:tcW w:w="1304" w:type="dxa"/>
            <w:vMerge w:val="continue"/>
            <w:vAlign w:val="center"/>
          </w:tcPr>
          <w:p w14:paraId="4A1B56F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00BE8D2D">
            <w:pPr>
              <w:pStyle w:val="52"/>
              <w:spacing w:beforeLines="0" w:afterLines="0" w:line="240" w:lineRule="auto"/>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碱喷淋废液</w:t>
            </w:r>
          </w:p>
        </w:tc>
        <w:tc>
          <w:tcPr>
            <w:tcW w:w="1560" w:type="dxa"/>
            <w:vAlign w:val="center"/>
          </w:tcPr>
          <w:p w14:paraId="5BC6A28E">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1B5A48EF">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5E4C3B26">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26C93BBC">
            <w:pPr>
              <w:pStyle w:val="52"/>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5.544</w:t>
            </w:r>
            <w:r>
              <w:rPr>
                <w:rFonts w:hint="eastAsia"/>
                <w:color w:val="000000" w:themeColor="text1"/>
                <w:sz w:val="21"/>
                <w:szCs w:val="21"/>
                <w:lang w:val="en-US" w:eastAsia="zh-CN"/>
                <w14:textFill>
                  <w14:solidFill>
                    <w14:schemeClr w14:val="tx1"/>
                  </w14:solidFill>
                </w14:textFill>
              </w:rPr>
              <w:t>t/a</w:t>
            </w:r>
          </w:p>
        </w:tc>
        <w:tc>
          <w:tcPr>
            <w:tcW w:w="1701" w:type="dxa"/>
            <w:vAlign w:val="center"/>
          </w:tcPr>
          <w:p w14:paraId="57AEF890">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3AE696B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5.544</w:t>
            </w:r>
            <w:r>
              <w:rPr>
                <w:rFonts w:hint="eastAsia"/>
                <w:color w:val="000000" w:themeColor="text1"/>
                <w:sz w:val="21"/>
                <w:szCs w:val="21"/>
                <w:lang w:val="en-US" w:eastAsia="zh-CN"/>
                <w14:textFill>
                  <w14:solidFill>
                    <w14:schemeClr w14:val="tx1"/>
                  </w14:solidFill>
                </w14:textFill>
              </w:rPr>
              <w:t>t/a</w:t>
            </w:r>
          </w:p>
        </w:tc>
        <w:tc>
          <w:tcPr>
            <w:tcW w:w="1569" w:type="dxa"/>
            <w:vAlign w:val="center"/>
          </w:tcPr>
          <w:p w14:paraId="4511C1B9">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+5.544</w:t>
            </w:r>
            <w:r>
              <w:rPr>
                <w:rFonts w:hint="eastAsia"/>
                <w:color w:val="000000" w:themeColor="text1"/>
                <w:sz w:val="21"/>
                <w:szCs w:val="21"/>
                <w:lang w:val="en-US" w:eastAsia="zh-CN"/>
                <w14:textFill>
                  <w14:solidFill>
                    <w14:schemeClr w14:val="tx1"/>
                  </w14:solidFill>
                </w14:textFill>
              </w:rPr>
              <w:t>t/a</w:t>
            </w:r>
          </w:p>
        </w:tc>
      </w:tr>
      <w:tr w14:paraId="40757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trPr>
        <w:tc>
          <w:tcPr>
            <w:tcW w:w="1304" w:type="dxa"/>
            <w:vMerge w:val="continue"/>
            <w:vAlign w:val="center"/>
          </w:tcPr>
          <w:p w14:paraId="50F45D21">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0763F3E4">
            <w:pPr>
              <w:pStyle w:val="52"/>
              <w:spacing w:beforeLines="0" w:afterLines="0" w:line="240" w:lineRule="auto"/>
              <w:ind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废自吸式过滤防毒面具</w:t>
            </w:r>
          </w:p>
        </w:tc>
        <w:tc>
          <w:tcPr>
            <w:tcW w:w="1560" w:type="dxa"/>
            <w:vAlign w:val="center"/>
          </w:tcPr>
          <w:p w14:paraId="0A1F6828">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134" w:type="dxa"/>
            <w:vAlign w:val="center"/>
          </w:tcPr>
          <w:p w14:paraId="34D4F5B2">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559" w:type="dxa"/>
            <w:vAlign w:val="center"/>
          </w:tcPr>
          <w:p w14:paraId="2654F579">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559" w:type="dxa"/>
            <w:vAlign w:val="center"/>
          </w:tcPr>
          <w:p w14:paraId="4893050E">
            <w:pPr>
              <w:pStyle w:val="52"/>
              <w:spacing w:beforeLines="0" w:afterLines="0" w:line="240" w:lineRule="auto"/>
              <w:ind w:firstLine="0" w:firstLineChars="0"/>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2个/a</w:t>
            </w:r>
          </w:p>
        </w:tc>
        <w:tc>
          <w:tcPr>
            <w:tcW w:w="1701" w:type="dxa"/>
            <w:vAlign w:val="center"/>
          </w:tcPr>
          <w:p w14:paraId="5E7F9467">
            <w:pPr>
              <w:pStyle w:val="52"/>
              <w:spacing w:beforeLines="0" w:afterLines="0" w:line="240" w:lineRule="auto"/>
              <w:ind w:firstLine="0" w:firstLineChars="0"/>
              <w:rPr>
                <w:rFonts w:hint="eastAsia" w:ascii="Times New Roman"/>
                <w:snapToGrid w:val="0"/>
                <w:color w:val="000000" w:themeColor="text1"/>
                <w:kern w:val="21"/>
                <w:sz w:val="21"/>
                <w:szCs w:val="21"/>
                <w14:textFill>
                  <w14:solidFill>
                    <w14:schemeClr w14:val="tx1"/>
                  </w14:solidFill>
                </w14:textFill>
              </w:rPr>
            </w:pPr>
          </w:p>
        </w:tc>
        <w:tc>
          <w:tcPr>
            <w:tcW w:w="1843" w:type="dxa"/>
            <w:vAlign w:val="center"/>
          </w:tcPr>
          <w:p w14:paraId="350B8193">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2个/a</w:t>
            </w:r>
          </w:p>
        </w:tc>
        <w:tc>
          <w:tcPr>
            <w:tcW w:w="1569" w:type="dxa"/>
            <w:vAlign w:val="center"/>
          </w:tcPr>
          <w:p w14:paraId="4377EB90">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+2个/a</w:t>
            </w:r>
          </w:p>
        </w:tc>
      </w:tr>
      <w:tr w14:paraId="0B82AF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trPr>
        <w:tc>
          <w:tcPr>
            <w:tcW w:w="1304" w:type="dxa"/>
            <w:vMerge w:val="continue"/>
            <w:vAlign w:val="center"/>
          </w:tcPr>
          <w:p w14:paraId="0C7DAE18">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p>
        </w:tc>
        <w:tc>
          <w:tcPr>
            <w:tcW w:w="1559" w:type="dxa"/>
            <w:vAlign w:val="center"/>
          </w:tcPr>
          <w:p w14:paraId="099E08E9">
            <w:pPr>
              <w:pStyle w:val="52"/>
              <w:spacing w:beforeLines="0" w:afterLines="0"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废活性炭</w:t>
            </w:r>
          </w:p>
        </w:tc>
        <w:tc>
          <w:tcPr>
            <w:tcW w:w="1560" w:type="dxa"/>
            <w:vAlign w:val="center"/>
          </w:tcPr>
          <w:p w14:paraId="2F7D2590">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134" w:type="dxa"/>
            <w:vAlign w:val="center"/>
          </w:tcPr>
          <w:p w14:paraId="700D6B3A">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61EAB88B">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559" w:type="dxa"/>
            <w:vAlign w:val="center"/>
          </w:tcPr>
          <w:p w14:paraId="316BD0FE">
            <w:pPr>
              <w:pStyle w:val="52"/>
              <w:spacing w:beforeLines="0" w:afterLines="0" w:line="240" w:lineRule="auto"/>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0.50</w:t>
            </w:r>
            <w:r>
              <w:rPr>
                <w:rFonts w:hint="eastAsia"/>
                <w:color w:val="000000" w:themeColor="text1"/>
                <w:sz w:val="21"/>
                <w:szCs w:val="21"/>
                <w:lang w:val="en-US" w:eastAsia="zh-CN"/>
                <w14:textFill>
                  <w14:solidFill>
                    <w14:schemeClr w14:val="tx1"/>
                  </w14:solidFill>
                </w14:textFill>
              </w:rPr>
              <w:t>t/a</w:t>
            </w:r>
          </w:p>
        </w:tc>
        <w:tc>
          <w:tcPr>
            <w:tcW w:w="1701" w:type="dxa"/>
            <w:vAlign w:val="center"/>
          </w:tcPr>
          <w:p w14:paraId="58950D8A">
            <w:pPr>
              <w:pStyle w:val="52"/>
              <w:spacing w:beforeLines="0" w:afterLines="0" w:line="240" w:lineRule="auto"/>
              <w:ind w:firstLine="0" w:firstLineChars="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w:t>
            </w:r>
          </w:p>
        </w:tc>
        <w:tc>
          <w:tcPr>
            <w:tcW w:w="1843" w:type="dxa"/>
            <w:vAlign w:val="center"/>
          </w:tcPr>
          <w:p w14:paraId="0FC6DB74">
            <w:pPr>
              <w:pStyle w:val="52"/>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0.50</w:t>
            </w:r>
            <w:r>
              <w:rPr>
                <w:rFonts w:hint="eastAsia"/>
                <w:color w:val="000000" w:themeColor="text1"/>
                <w:sz w:val="21"/>
                <w:szCs w:val="21"/>
                <w:lang w:val="en-US" w:eastAsia="zh-CN"/>
                <w14:textFill>
                  <w14:solidFill>
                    <w14:schemeClr w14:val="tx1"/>
                  </w14:solidFill>
                </w14:textFill>
              </w:rPr>
              <w:t>t/a</w:t>
            </w:r>
          </w:p>
        </w:tc>
        <w:tc>
          <w:tcPr>
            <w:tcW w:w="1569" w:type="dxa"/>
            <w:vAlign w:val="center"/>
          </w:tcPr>
          <w:p w14:paraId="40B82085">
            <w:pPr>
              <w:pStyle w:val="52"/>
              <w:spacing w:beforeLines="0" w:afterLines="0" w:line="240" w:lineRule="auto"/>
              <w:ind w:firstLine="0" w:firstLineChars="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+0.50</w:t>
            </w:r>
            <w:r>
              <w:rPr>
                <w:rFonts w:hint="eastAsia"/>
                <w:color w:val="000000" w:themeColor="text1"/>
                <w:sz w:val="21"/>
                <w:szCs w:val="21"/>
                <w:lang w:val="en-US" w:eastAsia="zh-CN"/>
                <w14:textFill>
                  <w14:solidFill>
                    <w14:schemeClr w14:val="tx1"/>
                  </w14:solidFill>
                </w14:textFill>
              </w:rPr>
              <w:t>t/a</w:t>
            </w:r>
          </w:p>
        </w:tc>
      </w:tr>
    </w:tbl>
    <w:p w14:paraId="2A719749">
      <w:pPr>
        <w:pStyle w:val="52"/>
        <w:spacing w:before="192" w:beforeLines="80" w:after="24"/>
        <w:ind w:firstLine="480"/>
        <w:jc w:val="left"/>
        <w:rPr>
          <w:color w:val="000000" w:themeColor="text1"/>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Cambria Math">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7FD8C">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DCE0A">
    <w:pPr>
      <w:pStyle w:val="2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0394E">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770394E">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124C6">
    <w:pPr>
      <w:pStyle w:val="2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0EC96">
                          <w:pPr>
                            <w:pStyle w:val="22"/>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980EC96">
                    <w:pPr>
                      <w:pStyle w:val="22"/>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0C5D3">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FD47">
    <w:pPr>
      <w:pStyle w:val="1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3160A9"/>
    <w:multiLevelType w:val="singleLevel"/>
    <w:tmpl w:val="FF3160A9"/>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1">
    <w:nsid w:val="1E211E64"/>
    <w:multiLevelType w:val="multilevel"/>
    <w:tmpl w:val="1E211E6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11"/>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61312E6"/>
    <w:multiLevelType w:val="singleLevel"/>
    <w:tmpl w:val="661312E6"/>
    <w:lvl w:ilvl="0" w:tentative="0">
      <w:start w:val="1"/>
      <w:numFmt w:val="decimal"/>
      <w:suff w:val="nothing"/>
      <w:lvlText w:val="%1、"/>
      <w:lvlJc w:val="left"/>
    </w:lvl>
  </w:abstractNum>
  <w:abstractNum w:abstractNumId="3">
    <w:nsid w:val="69FE7A9F"/>
    <w:multiLevelType w:val="singleLevel"/>
    <w:tmpl w:val="69FE7A9F"/>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1NmM0YmRlYjQ0NzI1YWJjMDM1YTE2NjZjMzEwZmYifQ=="/>
  </w:docVars>
  <w:rsids>
    <w:rsidRoot w:val="00172A27"/>
    <w:rsid w:val="00010FB0"/>
    <w:rsid w:val="0001134B"/>
    <w:rsid w:val="00013312"/>
    <w:rsid w:val="0001345B"/>
    <w:rsid w:val="00014149"/>
    <w:rsid w:val="00020A09"/>
    <w:rsid w:val="000211C6"/>
    <w:rsid w:val="00021D6E"/>
    <w:rsid w:val="00021FD4"/>
    <w:rsid w:val="00022090"/>
    <w:rsid w:val="0002332B"/>
    <w:rsid w:val="00023CED"/>
    <w:rsid w:val="00024E64"/>
    <w:rsid w:val="00026D9C"/>
    <w:rsid w:val="00026F41"/>
    <w:rsid w:val="0003079B"/>
    <w:rsid w:val="00031DE1"/>
    <w:rsid w:val="0003342F"/>
    <w:rsid w:val="00033C62"/>
    <w:rsid w:val="00050115"/>
    <w:rsid w:val="00051B5D"/>
    <w:rsid w:val="00052216"/>
    <w:rsid w:val="0005412B"/>
    <w:rsid w:val="00062312"/>
    <w:rsid w:val="00063519"/>
    <w:rsid w:val="00063913"/>
    <w:rsid w:val="00066277"/>
    <w:rsid w:val="0006662C"/>
    <w:rsid w:val="000667D3"/>
    <w:rsid w:val="0007033E"/>
    <w:rsid w:val="00071962"/>
    <w:rsid w:val="00074CD5"/>
    <w:rsid w:val="000836AA"/>
    <w:rsid w:val="00083973"/>
    <w:rsid w:val="00083CB4"/>
    <w:rsid w:val="000847E7"/>
    <w:rsid w:val="0009182D"/>
    <w:rsid w:val="00094D52"/>
    <w:rsid w:val="00096DD6"/>
    <w:rsid w:val="000A04DE"/>
    <w:rsid w:val="000A122A"/>
    <w:rsid w:val="000A1E95"/>
    <w:rsid w:val="000A23BB"/>
    <w:rsid w:val="000A33FF"/>
    <w:rsid w:val="000A41AE"/>
    <w:rsid w:val="000A6D06"/>
    <w:rsid w:val="000B39A8"/>
    <w:rsid w:val="000B5ABE"/>
    <w:rsid w:val="000C4B2A"/>
    <w:rsid w:val="000C7093"/>
    <w:rsid w:val="000D0072"/>
    <w:rsid w:val="000D1452"/>
    <w:rsid w:val="000D2296"/>
    <w:rsid w:val="000D2E51"/>
    <w:rsid w:val="000E29EF"/>
    <w:rsid w:val="000F6EE5"/>
    <w:rsid w:val="000F7503"/>
    <w:rsid w:val="00100067"/>
    <w:rsid w:val="001009C9"/>
    <w:rsid w:val="00101FD3"/>
    <w:rsid w:val="00103289"/>
    <w:rsid w:val="001045D0"/>
    <w:rsid w:val="00105A34"/>
    <w:rsid w:val="00106190"/>
    <w:rsid w:val="00107281"/>
    <w:rsid w:val="0010777C"/>
    <w:rsid w:val="00110BB2"/>
    <w:rsid w:val="00115AA6"/>
    <w:rsid w:val="00120C41"/>
    <w:rsid w:val="001238DE"/>
    <w:rsid w:val="00124346"/>
    <w:rsid w:val="00125F3E"/>
    <w:rsid w:val="00127524"/>
    <w:rsid w:val="001317C4"/>
    <w:rsid w:val="0013475A"/>
    <w:rsid w:val="001410B2"/>
    <w:rsid w:val="001414AE"/>
    <w:rsid w:val="00144D03"/>
    <w:rsid w:val="00145940"/>
    <w:rsid w:val="0015616D"/>
    <w:rsid w:val="00157AA7"/>
    <w:rsid w:val="00161C0F"/>
    <w:rsid w:val="001621E5"/>
    <w:rsid w:val="001624B9"/>
    <w:rsid w:val="00163C2E"/>
    <w:rsid w:val="00166256"/>
    <w:rsid w:val="00172A27"/>
    <w:rsid w:val="00177F46"/>
    <w:rsid w:val="0018498E"/>
    <w:rsid w:val="00187739"/>
    <w:rsid w:val="00192652"/>
    <w:rsid w:val="001936AC"/>
    <w:rsid w:val="00193909"/>
    <w:rsid w:val="001953BA"/>
    <w:rsid w:val="001A34BF"/>
    <w:rsid w:val="001A5CC6"/>
    <w:rsid w:val="001A6A1C"/>
    <w:rsid w:val="001A7863"/>
    <w:rsid w:val="001B0D41"/>
    <w:rsid w:val="001B6C00"/>
    <w:rsid w:val="001C0196"/>
    <w:rsid w:val="001C0CEA"/>
    <w:rsid w:val="001D32E0"/>
    <w:rsid w:val="001D478E"/>
    <w:rsid w:val="001D5A24"/>
    <w:rsid w:val="001D6459"/>
    <w:rsid w:val="001E1BB6"/>
    <w:rsid w:val="001E6377"/>
    <w:rsid w:val="001E7C8A"/>
    <w:rsid w:val="001F07BD"/>
    <w:rsid w:val="001F1AF2"/>
    <w:rsid w:val="001F3143"/>
    <w:rsid w:val="001F3322"/>
    <w:rsid w:val="00202923"/>
    <w:rsid w:val="00207A42"/>
    <w:rsid w:val="00211634"/>
    <w:rsid w:val="00213E6B"/>
    <w:rsid w:val="00231C58"/>
    <w:rsid w:val="0023208A"/>
    <w:rsid w:val="00236C9A"/>
    <w:rsid w:val="00236F33"/>
    <w:rsid w:val="00242113"/>
    <w:rsid w:val="00242314"/>
    <w:rsid w:val="0024262B"/>
    <w:rsid w:val="00244F54"/>
    <w:rsid w:val="002451AE"/>
    <w:rsid w:val="00253199"/>
    <w:rsid w:val="00253C65"/>
    <w:rsid w:val="002565BA"/>
    <w:rsid w:val="00271F42"/>
    <w:rsid w:val="0027505C"/>
    <w:rsid w:val="0027559D"/>
    <w:rsid w:val="00277FD7"/>
    <w:rsid w:val="00282BAD"/>
    <w:rsid w:val="00284286"/>
    <w:rsid w:val="00290116"/>
    <w:rsid w:val="002975B5"/>
    <w:rsid w:val="002A2C72"/>
    <w:rsid w:val="002A49AA"/>
    <w:rsid w:val="002A61EA"/>
    <w:rsid w:val="002A621A"/>
    <w:rsid w:val="002A773E"/>
    <w:rsid w:val="002B03F2"/>
    <w:rsid w:val="002B3B74"/>
    <w:rsid w:val="002C33A7"/>
    <w:rsid w:val="002C3627"/>
    <w:rsid w:val="002C4117"/>
    <w:rsid w:val="002C50BD"/>
    <w:rsid w:val="002D25FD"/>
    <w:rsid w:val="002D323B"/>
    <w:rsid w:val="002D7D7A"/>
    <w:rsid w:val="002E2DEB"/>
    <w:rsid w:val="002E433E"/>
    <w:rsid w:val="002F1889"/>
    <w:rsid w:val="002F2AFF"/>
    <w:rsid w:val="002F35F3"/>
    <w:rsid w:val="002F5694"/>
    <w:rsid w:val="00304E8B"/>
    <w:rsid w:val="00307BB7"/>
    <w:rsid w:val="00313749"/>
    <w:rsid w:val="00315426"/>
    <w:rsid w:val="003205A3"/>
    <w:rsid w:val="003215E1"/>
    <w:rsid w:val="00322B76"/>
    <w:rsid w:val="00323096"/>
    <w:rsid w:val="003256DE"/>
    <w:rsid w:val="003263DA"/>
    <w:rsid w:val="00326D82"/>
    <w:rsid w:val="00327AE2"/>
    <w:rsid w:val="00331B41"/>
    <w:rsid w:val="003373F0"/>
    <w:rsid w:val="00342EB4"/>
    <w:rsid w:val="00343BF1"/>
    <w:rsid w:val="00346368"/>
    <w:rsid w:val="003502E1"/>
    <w:rsid w:val="00351F4A"/>
    <w:rsid w:val="00352ACD"/>
    <w:rsid w:val="00355091"/>
    <w:rsid w:val="003556C4"/>
    <w:rsid w:val="00356B2F"/>
    <w:rsid w:val="003575E9"/>
    <w:rsid w:val="00360706"/>
    <w:rsid w:val="0036343E"/>
    <w:rsid w:val="003636B3"/>
    <w:rsid w:val="00373599"/>
    <w:rsid w:val="00380AD8"/>
    <w:rsid w:val="003833EF"/>
    <w:rsid w:val="00383A9B"/>
    <w:rsid w:val="00390F74"/>
    <w:rsid w:val="00394BFB"/>
    <w:rsid w:val="00397AB4"/>
    <w:rsid w:val="003A2BE7"/>
    <w:rsid w:val="003A2C7F"/>
    <w:rsid w:val="003A578A"/>
    <w:rsid w:val="003B1C37"/>
    <w:rsid w:val="003B40C0"/>
    <w:rsid w:val="003B4186"/>
    <w:rsid w:val="003B4D30"/>
    <w:rsid w:val="003B63A7"/>
    <w:rsid w:val="003C1267"/>
    <w:rsid w:val="003C3E55"/>
    <w:rsid w:val="003C4115"/>
    <w:rsid w:val="003C6DD7"/>
    <w:rsid w:val="003C746F"/>
    <w:rsid w:val="003D4BCA"/>
    <w:rsid w:val="003E7C9E"/>
    <w:rsid w:val="003F2D78"/>
    <w:rsid w:val="003F7475"/>
    <w:rsid w:val="00402BE2"/>
    <w:rsid w:val="00410563"/>
    <w:rsid w:val="00415A85"/>
    <w:rsid w:val="00415CFF"/>
    <w:rsid w:val="00416227"/>
    <w:rsid w:val="00417F31"/>
    <w:rsid w:val="00421D91"/>
    <w:rsid w:val="004247C9"/>
    <w:rsid w:val="00424838"/>
    <w:rsid w:val="00425D8A"/>
    <w:rsid w:val="0043308E"/>
    <w:rsid w:val="004349DF"/>
    <w:rsid w:val="0044164D"/>
    <w:rsid w:val="00443CF9"/>
    <w:rsid w:val="004459BE"/>
    <w:rsid w:val="00447BC6"/>
    <w:rsid w:val="004506E3"/>
    <w:rsid w:val="00450959"/>
    <w:rsid w:val="00451D75"/>
    <w:rsid w:val="004524E1"/>
    <w:rsid w:val="00453825"/>
    <w:rsid w:val="00455A65"/>
    <w:rsid w:val="004634EF"/>
    <w:rsid w:val="00467400"/>
    <w:rsid w:val="00467725"/>
    <w:rsid w:val="004715E8"/>
    <w:rsid w:val="00472770"/>
    <w:rsid w:val="00473210"/>
    <w:rsid w:val="00477A38"/>
    <w:rsid w:val="004851C3"/>
    <w:rsid w:val="00494798"/>
    <w:rsid w:val="00495B08"/>
    <w:rsid w:val="004A0032"/>
    <w:rsid w:val="004A3C83"/>
    <w:rsid w:val="004A52D5"/>
    <w:rsid w:val="004B479B"/>
    <w:rsid w:val="004C27CA"/>
    <w:rsid w:val="004C40ED"/>
    <w:rsid w:val="004C611E"/>
    <w:rsid w:val="004C7CCE"/>
    <w:rsid w:val="004D0F47"/>
    <w:rsid w:val="004D206C"/>
    <w:rsid w:val="004D5174"/>
    <w:rsid w:val="004D5D49"/>
    <w:rsid w:val="004D7E3D"/>
    <w:rsid w:val="004E0990"/>
    <w:rsid w:val="004E1B4E"/>
    <w:rsid w:val="004E29B6"/>
    <w:rsid w:val="004E4086"/>
    <w:rsid w:val="004E69F7"/>
    <w:rsid w:val="004E6E82"/>
    <w:rsid w:val="004F770C"/>
    <w:rsid w:val="004F7E57"/>
    <w:rsid w:val="005006BB"/>
    <w:rsid w:val="00503349"/>
    <w:rsid w:val="005047EB"/>
    <w:rsid w:val="00506886"/>
    <w:rsid w:val="00511D10"/>
    <w:rsid w:val="005169F8"/>
    <w:rsid w:val="00516E66"/>
    <w:rsid w:val="00520A82"/>
    <w:rsid w:val="005262E1"/>
    <w:rsid w:val="005346BA"/>
    <w:rsid w:val="00535BF4"/>
    <w:rsid w:val="0055136C"/>
    <w:rsid w:val="00552CA9"/>
    <w:rsid w:val="0055506D"/>
    <w:rsid w:val="005610C1"/>
    <w:rsid w:val="00563133"/>
    <w:rsid w:val="005652B2"/>
    <w:rsid w:val="0057636A"/>
    <w:rsid w:val="0058290F"/>
    <w:rsid w:val="00583071"/>
    <w:rsid w:val="00584C36"/>
    <w:rsid w:val="00587E80"/>
    <w:rsid w:val="00590903"/>
    <w:rsid w:val="005922C3"/>
    <w:rsid w:val="00594D3E"/>
    <w:rsid w:val="00596558"/>
    <w:rsid w:val="005A177D"/>
    <w:rsid w:val="005A22F3"/>
    <w:rsid w:val="005A340A"/>
    <w:rsid w:val="005A4F55"/>
    <w:rsid w:val="005A6005"/>
    <w:rsid w:val="005B4102"/>
    <w:rsid w:val="005D0084"/>
    <w:rsid w:val="005D0227"/>
    <w:rsid w:val="005D356F"/>
    <w:rsid w:val="005D3AED"/>
    <w:rsid w:val="005D5F67"/>
    <w:rsid w:val="005E1075"/>
    <w:rsid w:val="005E1DA4"/>
    <w:rsid w:val="005E4C85"/>
    <w:rsid w:val="005E6A79"/>
    <w:rsid w:val="005E6AED"/>
    <w:rsid w:val="005F0A0F"/>
    <w:rsid w:val="005F0E3C"/>
    <w:rsid w:val="005F1F1F"/>
    <w:rsid w:val="005F46F0"/>
    <w:rsid w:val="005F6BDE"/>
    <w:rsid w:val="005F77E2"/>
    <w:rsid w:val="00610373"/>
    <w:rsid w:val="00610433"/>
    <w:rsid w:val="0061099C"/>
    <w:rsid w:val="00612AF7"/>
    <w:rsid w:val="006131A3"/>
    <w:rsid w:val="0061333A"/>
    <w:rsid w:val="006206D1"/>
    <w:rsid w:val="006216FD"/>
    <w:rsid w:val="006233B9"/>
    <w:rsid w:val="00623DD0"/>
    <w:rsid w:val="0062479B"/>
    <w:rsid w:val="006305D5"/>
    <w:rsid w:val="006327B1"/>
    <w:rsid w:val="0063586F"/>
    <w:rsid w:val="00644BDD"/>
    <w:rsid w:val="00655D47"/>
    <w:rsid w:val="00656E81"/>
    <w:rsid w:val="006576C5"/>
    <w:rsid w:val="00660161"/>
    <w:rsid w:val="006649EE"/>
    <w:rsid w:val="00666767"/>
    <w:rsid w:val="0066715B"/>
    <w:rsid w:val="006703D0"/>
    <w:rsid w:val="00670626"/>
    <w:rsid w:val="00671880"/>
    <w:rsid w:val="00675B10"/>
    <w:rsid w:val="00682058"/>
    <w:rsid w:val="00686B39"/>
    <w:rsid w:val="0068773B"/>
    <w:rsid w:val="00691B68"/>
    <w:rsid w:val="006920BA"/>
    <w:rsid w:val="00693A02"/>
    <w:rsid w:val="006A08A2"/>
    <w:rsid w:val="006A1888"/>
    <w:rsid w:val="006A2187"/>
    <w:rsid w:val="006A470F"/>
    <w:rsid w:val="006A7348"/>
    <w:rsid w:val="006B012A"/>
    <w:rsid w:val="006B591A"/>
    <w:rsid w:val="006B5D6A"/>
    <w:rsid w:val="006C1A3E"/>
    <w:rsid w:val="006C73E4"/>
    <w:rsid w:val="006D19CE"/>
    <w:rsid w:val="006D453D"/>
    <w:rsid w:val="006E004C"/>
    <w:rsid w:val="006E3A67"/>
    <w:rsid w:val="006E5008"/>
    <w:rsid w:val="006E5BA1"/>
    <w:rsid w:val="006F0D19"/>
    <w:rsid w:val="006F4B18"/>
    <w:rsid w:val="00702F7D"/>
    <w:rsid w:val="00704B6B"/>
    <w:rsid w:val="007107A5"/>
    <w:rsid w:val="0072287F"/>
    <w:rsid w:val="00724198"/>
    <w:rsid w:val="00725729"/>
    <w:rsid w:val="00725F95"/>
    <w:rsid w:val="00730E4A"/>
    <w:rsid w:val="007321FD"/>
    <w:rsid w:val="00744342"/>
    <w:rsid w:val="00745074"/>
    <w:rsid w:val="00746954"/>
    <w:rsid w:val="00751B3D"/>
    <w:rsid w:val="007541E1"/>
    <w:rsid w:val="00754FDC"/>
    <w:rsid w:val="00756210"/>
    <w:rsid w:val="007569E9"/>
    <w:rsid w:val="007572AF"/>
    <w:rsid w:val="00761457"/>
    <w:rsid w:val="007617A4"/>
    <w:rsid w:val="007629EE"/>
    <w:rsid w:val="00763205"/>
    <w:rsid w:val="00763480"/>
    <w:rsid w:val="00763572"/>
    <w:rsid w:val="00765019"/>
    <w:rsid w:val="007721C2"/>
    <w:rsid w:val="007723F8"/>
    <w:rsid w:val="00777D9A"/>
    <w:rsid w:val="00782A90"/>
    <w:rsid w:val="00782D12"/>
    <w:rsid w:val="0079348B"/>
    <w:rsid w:val="0079408C"/>
    <w:rsid w:val="00795F45"/>
    <w:rsid w:val="007A1AE7"/>
    <w:rsid w:val="007A37ED"/>
    <w:rsid w:val="007A4FC6"/>
    <w:rsid w:val="007B1956"/>
    <w:rsid w:val="007B5458"/>
    <w:rsid w:val="007B602E"/>
    <w:rsid w:val="007C0924"/>
    <w:rsid w:val="007C3BC2"/>
    <w:rsid w:val="007C50E9"/>
    <w:rsid w:val="007D0672"/>
    <w:rsid w:val="007D0CAE"/>
    <w:rsid w:val="007D3022"/>
    <w:rsid w:val="007D779D"/>
    <w:rsid w:val="007E12F1"/>
    <w:rsid w:val="007E367F"/>
    <w:rsid w:val="007E43C6"/>
    <w:rsid w:val="007E470A"/>
    <w:rsid w:val="007E6FF5"/>
    <w:rsid w:val="007F1465"/>
    <w:rsid w:val="007F2086"/>
    <w:rsid w:val="007F451B"/>
    <w:rsid w:val="007F6443"/>
    <w:rsid w:val="007F6DA4"/>
    <w:rsid w:val="007F7127"/>
    <w:rsid w:val="00802BEE"/>
    <w:rsid w:val="00802CD5"/>
    <w:rsid w:val="00806387"/>
    <w:rsid w:val="00806ED8"/>
    <w:rsid w:val="00816895"/>
    <w:rsid w:val="008205BE"/>
    <w:rsid w:val="0082778E"/>
    <w:rsid w:val="008278F7"/>
    <w:rsid w:val="00831B25"/>
    <w:rsid w:val="00841AE9"/>
    <w:rsid w:val="00842A5A"/>
    <w:rsid w:val="00846DE3"/>
    <w:rsid w:val="0084713E"/>
    <w:rsid w:val="008527EE"/>
    <w:rsid w:val="0085334C"/>
    <w:rsid w:val="0085570B"/>
    <w:rsid w:val="00863DF5"/>
    <w:rsid w:val="00865DFC"/>
    <w:rsid w:val="00866E65"/>
    <w:rsid w:val="0086736E"/>
    <w:rsid w:val="00871C50"/>
    <w:rsid w:val="00877E86"/>
    <w:rsid w:val="00881148"/>
    <w:rsid w:val="00890DF6"/>
    <w:rsid w:val="0089573F"/>
    <w:rsid w:val="00895A13"/>
    <w:rsid w:val="00896A9D"/>
    <w:rsid w:val="0089734C"/>
    <w:rsid w:val="008A355E"/>
    <w:rsid w:val="008B3D6D"/>
    <w:rsid w:val="008B47E9"/>
    <w:rsid w:val="008C1014"/>
    <w:rsid w:val="008C1701"/>
    <w:rsid w:val="008C18D8"/>
    <w:rsid w:val="008C4E53"/>
    <w:rsid w:val="008C64D5"/>
    <w:rsid w:val="008D0F54"/>
    <w:rsid w:val="008D771F"/>
    <w:rsid w:val="008E265C"/>
    <w:rsid w:val="008E2C45"/>
    <w:rsid w:val="008E7E6C"/>
    <w:rsid w:val="008F00C9"/>
    <w:rsid w:val="008F193E"/>
    <w:rsid w:val="008F22A1"/>
    <w:rsid w:val="008F3704"/>
    <w:rsid w:val="008F4B0E"/>
    <w:rsid w:val="008F541D"/>
    <w:rsid w:val="008F55BD"/>
    <w:rsid w:val="008F640A"/>
    <w:rsid w:val="008F678E"/>
    <w:rsid w:val="0090104E"/>
    <w:rsid w:val="00915381"/>
    <w:rsid w:val="00920588"/>
    <w:rsid w:val="00921508"/>
    <w:rsid w:val="00925F9F"/>
    <w:rsid w:val="00931AC4"/>
    <w:rsid w:val="009329B2"/>
    <w:rsid w:val="009352D7"/>
    <w:rsid w:val="00935352"/>
    <w:rsid w:val="00936DD8"/>
    <w:rsid w:val="009419A4"/>
    <w:rsid w:val="00944A0C"/>
    <w:rsid w:val="0095120C"/>
    <w:rsid w:val="00951E48"/>
    <w:rsid w:val="00953B57"/>
    <w:rsid w:val="00957353"/>
    <w:rsid w:val="00962723"/>
    <w:rsid w:val="0096702D"/>
    <w:rsid w:val="00973590"/>
    <w:rsid w:val="00973F37"/>
    <w:rsid w:val="009754B9"/>
    <w:rsid w:val="00980970"/>
    <w:rsid w:val="00983709"/>
    <w:rsid w:val="0099757B"/>
    <w:rsid w:val="009A59C7"/>
    <w:rsid w:val="009A641B"/>
    <w:rsid w:val="009A73B9"/>
    <w:rsid w:val="009B09DD"/>
    <w:rsid w:val="009C0D5D"/>
    <w:rsid w:val="009C1E95"/>
    <w:rsid w:val="009C391B"/>
    <w:rsid w:val="009C54C2"/>
    <w:rsid w:val="009C7EEF"/>
    <w:rsid w:val="009D1BA9"/>
    <w:rsid w:val="009D32C4"/>
    <w:rsid w:val="009E46B6"/>
    <w:rsid w:val="009E70BC"/>
    <w:rsid w:val="009E71DE"/>
    <w:rsid w:val="009F0788"/>
    <w:rsid w:val="009F54B4"/>
    <w:rsid w:val="009F570D"/>
    <w:rsid w:val="009F60A0"/>
    <w:rsid w:val="009F76FC"/>
    <w:rsid w:val="00A02710"/>
    <w:rsid w:val="00A02F22"/>
    <w:rsid w:val="00A04811"/>
    <w:rsid w:val="00A0756A"/>
    <w:rsid w:val="00A122BA"/>
    <w:rsid w:val="00A1236D"/>
    <w:rsid w:val="00A13D90"/>
    <w:rsid w:val="00A14EBB"/>
    <w:rsid w:val="00A20325"/>
    <w:rsid w:val="00A203B8"/>
    <w:rsid w:val="00A26AB4"/>
    <w:rsid w:val="00A278A1"/>
    <w:rsid w:val="00A35044"/>
    <w:rsid w:val="00A361DF"/>
    <w:rsid w:val="00A363AF"/>
    <w:rsid w:val="00A442DF"/>
    <w:rsid w:val="00A508FD"/>
    <w:rsid w:val="00A521BF"/>
    <w:rsid w:val="00A54048"/>
    <w:rsid w:val="00A55793"/>
    <w:rsid w:val="00A56EE9"/>
    <w:rsid w:val="00A61B6B"/>
    <w:rsid w:val="00A645B7"/>
    <w:rsid w:val="00A737AF"/>
    <w:rsid w:val="00A74C7E"/>
    <w:rsid w:val="00A75A2F"/>
    <w:rsid w:val="00A80286"/>
    <w:rsid w:val="00A83796"/>
    <w:rsid w:val="00A86274"/>
    <w:rsid w:val="00A92038"/>
    <w:rsid w:val="00A92CF4"/>
    <w:rsid w:val="00A93A36"/>
    <w:rsid w:val="00AA2764"/>
    <w:rsid w:val="00AA3859"/>
    <w:rsid w:val="00AA6431"/>
    <w:rsid w:val="00AB4FDD"/>
    <w:rsid w:val="00AB6517"/>
    <w:rsid w:val="00AB7352"/>
    <w:rsid w:val="00AD08B8"/>
    <w:rsid w:val="00AD7B66"/>
    <w:rsid w:val="00AE23AB"/>
    <w:rsid w:val="00AE5786"/>
    <w:rsid w:val="00AE5FB6"/>
    <w:rsid w:val="00AF6129"/>
    <w:rsid w:val="00B028F2"/>
    <w:rsid w:val="00B02C0A"/>
    <w:rsid w:val="00B05E44"/>
    <w:rsid w:val="00B06A47"/>
    <w:rsid w:val="00B07931"/>
    <w:rsid w:val="00B12AE5"/>
    <w:rsid w:val="00B1335D"/>
    <w:rsid w:val="00B156E7"/>
    <w:rsid w:val="00B2331A"/>
    <w:rsid w:val="00B23E00"/>
    <w:rsid w:val="00B24016"/>
    <w:rsid w:val="00B24BE4"/>
    <w:rsid w:val="00B25084"/>
    <w:rsid w:val="00B3593C"/>
    <w:rsid w:val="00B36467"/>
    <w:rsid w:val="00B416EE"/>
    <w:rsid w:val="00B43B59"/>
    <w:rsid w:val="00B522D7"/>
    <w:rsid w:val="00B536CC"/>
    <w:rsid w:val="00B55BFE"/>
    <w:rsid w:val="00B5732E"/>
    <w:rsid w:val="00B6105C"/>
    <w:rsid w:val="00B61081"/>
    <w:rsid w:val="00B6293A"/>
    <w:rsid w:val="00B63D4C"/>
    <w:rsid w:val="00B65333"/>
    <w:rsid w:val="00B7404F"/>
    <w:rsid w:val="00B76CD2"/>
    <w:rsid w:val="00B8289F"/>
    <w:rsid w:val="00B83C4D"/>
    <w:rsid w:val="00B873EB"/>
    <w:rsid w:val="00B9221C"/>
    <w:rsid w:val="00B93846"/>
    <w:rsid w:val="00B93B0D"/>
    <w:rsid w:val="00B97C04"/>
    <w:rsid w:val="00BA3F68"/>
    <w:rsid w:val="00BA6497"/>
    <w:rsid w:val="00BA685E"/>
    <w:rsid w:val="00BA686D"/>
    <w:rsid w:val="00BA70E8"/>
    <w:rsid w:val="00BB06F6"/>
    <w:rsid w:val="00BB0EF5"/>
    <w:rsid w:val="00BB1BB3"/>
    <w:rsid w:val="00BB1D36"/>
    <w:rsid w:val="00BC0A4E"/>
    <w:rsid w:val="00BC714F"/>
    <w:rsid w:val="00BD39CD"/>
    <w:rsid w:val="00BD47D4"/>
    <w:rsid w:val="00BD599E"/>
    <w:rsid w:val="00BE11DA"/>
    <w:rsid w:val="00BE2E77"/>
    <w:rsid w:val="00BE4B18"/>
    <w:rsid w:val="00BE64C3"/>
    <w:rsid w:val="00BF2664"/>
    <w:rsid w:val="00C000EE"/>
    <w:rsid w:val="00C00A98"/>
    <w:rsid w:val="00C022E7"/>
    <w:rsid w:val="00C04F61"/>
    <w:rsid w:val="00C075B2"/>
    <w:rsid w:val="00C10808"/>
    <w:rsid w:val="00C121EE"/>
    <w:rsid w:val="00C13253"/>
    <w:rsid w:val="00C13453"/>
    <w:rsid w:val="00C17B30"/>
    <w:rsid w:val="00C214DD"/>
    <w:rsid w:val="00C23D34"/>
    <w:rsid w:val="00C27A0F"/>
    <w:rsid w:val="00C319EC"/>
    <w:rsid w:val="00C31CF1"/>
    <w:rsid w:val="00C32309"/>
    <w:rsid w:val="00C4085E"/>
    <w:rsid w:val="00C4535C"/>
    <w:rsid w:val="00C46C10"/>
    <w:rsid w:val="00C6199F"/>
    <w:rsid w:val="00C72C97"/>
    <w:rsid w:val="00C74B84"/>
    <w:rsid w:val="00C832EE"/>
    <w:rsid w:val="00C86408"/>
    <w:rsid w:val="00C90E50"/>
    <w:rsid w:val="00C933EB"/>
    <w:rsid w:val="00C950D0"/>
    <w:rsid w:val="00C95A6D"/>
    <w:rsid w:val="00CA5E2B"/>
    <w:rsid w:val="00CA7C26"/>
    <w:rsid w:val="00CB380B"/>
    <w:rsid w:val="00CC2E22"/>
    <w:rsid w:val="00CC2E84"/>
    <w:rsid w:val="00CC50D9"/>
    <w:rsid w:val="00CC54BC"/>
    <w:rsid w:val="00CD1085"/>
    <w:rsid w:val="00CD1583"/>
    <w:rsid w:val="00CD2BCC"/>
    <w:rsid w:val="00CD35B0"/>
    <w:rsid w:val="00CD5DA8"/>
    <w:rsid w:val="00CD670A"/>
    <w:rsid w:val="00CE0B0F"/>
    <w:rsid w:val="00CE206A"/>
    <w:rsid w:val="00CE7557"/>
    <w:rsid w:val="00CF77F3"/>
    <w:rsid w:val="00D01323"/>
    <w:rsid w:val="00D01CBA"/>
    <w:rsid w:val="00D01FF0"/>
    <w:rsid w:val="00D03E25"/>
    <w:rsid w:val="00D078F1"/>
    <w:rsid w:val="00D110F8"/>
    <w:rsid w:val="00D12C84"/>
    <w:rsid w:val="00D135D3"/>
    <w:rsid w:val="00D1386F"/>
    <w:rsid w:val="00D14A83"/>
    <w:rsid w:val="00D14DD6"/>
    <w:rsid w:val="00D16DDB"/>
    <w:rsid w:val="00D17A1B"/>
    <w:rsid w:val="00D17E35"/>
    <w:rsid w:val="00D202A2"/>
    <w:rsid w:val="00D216B8"/>
    <w:rsid w:val="00D21C70"/>
    <w:rsid w:val="00D25542"/>
    <w:rsid w:val="00D25918"/>
    <w:rsid w:val="00D2631F"/>
    <w:rsid w:val="00D27C22"/>
    <w:rsid w:val="00D27D49"/>
    <w:rsid w:val="00D31E60"/>
    <w:rsid w:val="00D34228"/>
    <w:rsid w:val="00D363F4"/>
    <w:rsid w:val="00D42660"/>
    <w:rsid w:val="00D44A91"/>
    <w:rsid w:val="00D45312"/>
    <w:rsid w:val="00D51685"/>
    <w:rsid w:val="00D56F5E"/>
    <w:rsid w:val="00D63E51"/>
    <w:rsid w:val="00D64DEC"/>
    <w:rsid w:val="00D67327"/>
    <w:rsid w:val="00D70D1D"/>
    <w:rsid w:val="00D72A6F"/>
    <w:rsid w:val="00D73362"/>
    <w:rsid w:val="00D75294"/>
    <w:rsid w:val="00D77EF7"/>
    <w:rsid w:val="00D83E4B"/>
    <w:rsid w:val="00D87FC6"/>
    <w:rsid w:val="00D90178"/>
    <w:rsid w:val="00D908E5"/>
    <w:rsid w:val="00D9148F"/>
    <w:rsid w:val="00D9510B"/>
    <w:rsid w:val="00D96E04"/>
    <w:rsid w:val="00DA473F"/>
    <w:rsid w:val="00DA69F0"/>
    <w:rsid w:val="00DB1153"/>
    <w:rsid w:val="00DB372E"/>
    <w:rsid w:val="00DB72A0"/>
    <w:rsid w:val="00DB7FF1"/>
    <w:rsid w:val="00DC05DE"/>
    <w:rsid w:val="00DC1110"/>
    <w:rsid w:val="00DC261E"/>
    <w:rsid w:val="00DC2919"/>
    <w:rsid w:val="00DC5EB9"/>
    <w:rsid w:val="00DC67F0"/>
    <w:rsid w:val="00DD1A31"/>
    <w:rsid w:val="00DD3B2A"/>
    <w:rsid w:val="00DD4760"/>
    <w:rsid w:val="00DD7313"/>
    <w:rsid w:val="00DD7579"/>
    <w:rsid w:val="00DE3233"/>
    <w:rsid w:val="00DE373B"/>
    <w:rsid w:val="00DE4002"/>
    <w:rsid w:val="00DE74DA"/>
    <w:rsid w:val="00DF0A8A"/>
    <w:rsid w:val="00DF2229"/>
    <w:rsid w:val="00DF577A"/>
    <w:rsid w:val="00DF5A07"/>
    <w:rsid w:val="00E04578"/>
    <w:rsid w:val="00E04720"/>
    <w:rsid w:val="00E10BF9"/>
    <w:rsid w:val="00E13A60"/>
    <w:rsid w:val="00E20DD8"/>
    <w:rsid w:val="00E2173E"/>
    <w:rsid w:val="00E220D0"/>
    <w:rsid w:val="00E2215B"/>
    <w:rsid w:val="00E22F9A"/>
    <w:rsid w:val="00E32FCA"/>
    <w:rsid w:val="00E3391A"/>
    <w:rsid w:val="00E36E25"/>
    <w:rsid w:val="00E45D02"/>
    <w:rsid w:val="00E45FE2"/>
    <w:rsid w:val="00E46111"/>
    <w:rsid w:val="00E47478"/>
    <w:rsid w:val="00E476E3"/>
    <w:rsid w:val="00E51BD0"/>
    <w:rsid w:val="00E56B8F"/>
    <w:rsid w:val="00E56C27"/>
    <w:rsid w:val="00E602D1"/>
    <w:rsid w:val="00E60841"/>
    <w:rsid w:val="00E61585"/>
    <w:rsid w:val="00E6325E"/>
    <w:rsid w:val="00E6432D"/>
    <w:rsid w:val="00E67835"/>
    <w:rsid w:val="00E71C57"/>
    <w:rsid w:val="00E720AC"/>
    <w:rsid w:val="00E75691"/>
    <w:rsid w:val="00E76E86"/>
    <w:rsid w:val="00E77D8D"/>
    <w:rsid w:val="00E81083"/>
    <w:rsid w:val="00E86969"/>
    <w:rsid w:val="00E94ADA"/>
    <w:rsid w:val="00E95193"/>
    <w:rsid w:val="00E967B0"/>
    <w:rsid w:val="00E96C62"/>
    <w:rsid w:val="00EA16B4"/>
    <w:rsid w:val="00EA4B8C"/>
    <w:rsid w:val="00EA5FD4"/>
    <w:rsid w:val="00EB038C"/>
    <w:rsid w:val="00EB3F46"/>
    <w:rsid w:val="00EB6835"/>
    <w:rsid w:val="00EC1AD4"/>
    <w:rsid w:val="00EC225E"/>
    <w:rsid w:val="00EC4E37"/>
    <w:rsid w:val="00ED0F17"/>
    <w:rsid w:val="00ED2E9C"/>
    <w:rsid w:val="00ED4196"/>
    <w:rsid w:val="00ED58EA"/>
    <w:rsid w:val="00ED5986"/>
    <w:rsid w:val="00ED6962"/>
    <w:rsid w:val="00ED7008"/>
    <w:rsid w:val="00ED7839"/>
    <w:rsid w:val="00EE1D18"/>
    <w:rsid w:val="00EE3234"/>
    <w:rsid w:val="00EE4FB9"/>
    <w:rsid w:val="00EE50A8"/>
    <w:rsid w:val="00EE6B9D"/>
    <w:rsid w:val="00EF0D07"/>
    <w:rsid w:val="00EF30EA"/>
    <w:rsid w:val="00EF3467"/>
    <w:rsid w:val="00F00E12"/>
    <w:rsid w:val="00F03057"/>
    <w:rsid w:val="00F0699C"/>
    <w:rsid w:val="00F074CC"/>
    <w:rsid w:val="00F10B0C"/>
    <w:rsid w:val="00F138CC"/>
    <w:rsid w:val="00F20098"/>
    <w:rsid w:val="00F21075"/>
    <w:rsid w:val="00F216B0"/>
    <w:rsid w:val="00F2299A"/>
    <w:rsid w:val="00F2453E"/>
    <w:rsid w:val="00F30781"/>
    <w:rsid w:val="00F3395A"/>
    <w:rsid w:val="00F379E1"/>
    <w:rsid w:val="00F37F81"/>
    <w:rsid w:val="00F42072"/>
    <w:rsid w:val="00F518F5"/>
    <w:rsid w:val="00F55600"/>
    <w:rsid w:val="00F60BD8"/>
    <w:rsid w:val="00F6190D"/>
    <w:rsid w:val="00F64342"/>
    <w:rsid w:val="00F647D9"/>
    <w:rsid w:val="00F66CF1"/>
    <w:rsid w:val="00F76826"/>
    <w:rsid w:val="00F854B6"/>
    <w:rsid w:val="00F87BF3"/>
    <w:rsid w:val="00FA4F7F"/>
    <w:rsid w:val="00FA6ACB"/>
    <w:rsid w:val="00FB152B"/>
    <w:rsid w:val="00FB5FE0"/>
    <w:rsid w:val="00FB6295"/>
    <w:rsid w:val="00FC0918"/>
    <w:rsid w:val="00FC2E09"/>
    <w:rsid w:val="00FC6E9B"/>
    <w:rsid w:val="00FD24F1"/>
    <w:rsid w:val="00FD3770"/>
    <w:rsid w:val="00FD4493"/>
    <w:rsid w:val="00FD66B5"/>
    <w:rsid w:val="00FD7239"/>
    <w:rsid w:val="00FE5AD7"/>
    <w:rsid w:val="00FF3D71"/>
    <w:rsid w:val="010075EB"/>
    <w:rsid w:val="010B3F5D"/>
    <w:rsid w:val="016E1B95"/>
    <w:rsid w:val="017061E0"/>
    <w:rsid w:val="01787946"/>
    <w:rsid w:val="017F459E"/>
    <w:rsid w:val="01AC1015"/>
    <w:rsid w:val="01B906EA"/>
    <w:rsid w:val="01CB30F3"/>
    <w:rsid w:val="01F70A73"/>
    <w:rsid w:val="023D0B8F"/>
    <w:rsid w:val="025B2DC4"/>
    <w:rsid w:val="026C71DF"/>
    <w:rsid w:val="028D5A88"/>
    <w:rsid w:val="02B075ED"/>
    <w:rsid w:val="0333098C"/>
    <w:rsid w:val="03345AEF"/>
    <w:rsid w:val="034505B5"/>
    <w:rsid w:val="036265F3"/>
    <w:rsid w:val="03773F45"/>
    <w:rsid w:val="03A07BC5"/>
    <w:rsid w:val="03A643D6"/>
    <w:rsid w:val="03CA2EDE"/>
    <w:rsid w:val="03D352CC"/>
    <w:rsid w:val="03D62D88"/>
    <w:rsid w:val="03DA38CA"/>
    <w:rsid w:val="03E671F6"/>
    <w:rsid w:val="04190537"/>
    <w:rsid w:val="0443024F"/>
    <w:rsid w:val="045B6337"/>
    <w:rsid w:val="04C13F7A"/>
    <w:rsid w:val="04D356AB"/>
    <w:rsid w:val="04DA1F6F"/>
    <w:rsid w:val="04DC7DA2"/>
    <w:rsid w:val="04E671D8"/>
    <w:rsid w:val="04EC7179"/>
    <w:rsid w:val="05244BF5"/>
    <w:rsid w:val="05372E04"/>
    <w:rsid w:val="054F61DB"/>
    <w:rsid w:val="05507636"/>
    <w:rsid w:val="0569197B"/>
    <w:rsid w:val="058E2E91"/>
    <w:rsid w:val="05952629"/>
    <w:rsid w:val="05B2448D"/>
    <w:rsid w:val="06374124"/>
    <w:rsid w:val="06647EC8"/>
    <w:rsid w:val="066F5090"/>
    <w:rsid w:val="0679310A"/>
    <w:rsid w:val="06897080"/>
    <w:rsid w:val="06976186"/>
    <w:rsid w:val="069B543A"/>
    <w:rsid w:val="06C15548"/>
    <w:rsid w:val="07091A73"/>
    <w:rsid w:val="074C305D"/>
    <w:rsid w:val="0750342D"/>
    <w:rsid w:val="076D3E07"/>
    <w:rsid w:val="07A04684"/>
    <w:rsid w:val="07BD45C5"/>
    <w:rsid w:val="07C86470"/>
    <w:rsid w:val="07FF76F7"/>
    <w:rsid w:val="080812C8"/>
    <w:rsid w:val="083828DC"/>
    <w:rsid w:val="08641983"/>
    <w:rsid w:val="089D4136"/>
    <w:rsid w:val="08EF7874"/>
    <w:rsid w:val="090304F1"/>
    <w:rsid w:val="09312402"/>
    <w:rsid w:val="096D77AB"/>
    <w:rsid w:val="0A0B3BAC"/>
    <w:rsid w:val="0A186667"/>
    <w:rsid w:val="0A274A4B"/>
    <w:rsid w:val="0A3D72FF"/>
    <w:rsid w:val="0A7118DB"/>
    <w:rsid w:val="0A7C1F4C"/>
    <w:rsid w:val="0A7F5749"/>
    <w:rsid w:val="0B06708F"/>
    <w:rsid w:val="0B194C7C"/>
    <w:rsid w:val="0B194EB6"/>
    <w:rsid w:val="0B417214"/>
    <w:rsid w:val="0B463053"/>
    <w:rsid w:val="0B576D17"/>
    <w:rsid w:val="0B6409E9"/>
    <w:rsid w:val="0B670D6C"/>
    <w:rsid w:val="0B6E1DBA"/>
    <w:rsid w:val="0BA247DA"/>
    <w:rsid w:val="0BA2519C"/>
    <w:rsid w:val="0BCA6B22"/>
    <w:rsid w:val="0BD61033"/>
    <w:rsid w:val="0C0B76AA"/>
    <w:rsid w:val="0C1F7963"/>
    <w:rsid w:val="0C4C7B69"/>
    <w:rsid w:val="0CE8738B"/>
    <w:rsid w:val="0D11407A"/>
    <w:rsid w:val="0D176D22"/>
    <w:rsid w:val="0D203A08"/>
    <w:rsid w:val="0D3B5703"/>
    <w:rsid w:val="0DAE7580"/>
    <w:rsid w:val="0DD84EFB"/>
    <w:rsid w:val="0DE46291"/>
    <w:rsid w:val="0DF72D6B"/>
    <w:rsid w:val="0E016F15"/>
    <w:rsid w:val="0E3B46A0"/>
    <w:rsid w:val="0E40004D"/>
    <w:rsid w:val="0E5D1E8A"/>
    <w:rsid w:val="0E672353"/>
    <w:rsid w:val="0EA26568"/>
    <w:rsid w:val="0EE14702"/>
    <w:rsid w:val="0EF07BBE"/>
    <w:rsid w:val="0F24676E"/>
    <w:rsid w:val="0F3D764B"/>
    <w:rsid w:val="0F590C68"/>
    <w:rsid w:val="0F637817"/>
    <w:rsid w:val="0F7A4A94"/>
    <w:rsid w:val="0F893846"/>
    <w:rsid w:val="0FA77648"/>
    <w:rsid w:val="0FB32D1E"/>
    <w:rsid w:val="0FB823F5"/>
    <w:rsid w:val="0FBC30F4"/>
    <w:rsid w:val="0FFA64DD"/>
    <w:rsid w:val="100E0132"/>
    <w:rsid w:val="10991391"/>
    <w:rsid w:val="10B42E41"/>
    <w:rsid w:val="10B45AFA"/>
    <w:rsid w:val="10CA1840"/>
    <w:rsid w:val="10E93161"/>
    <w:rsid w:val="10F35EDA"/>
    <w:rsid w:val="11136996"/>
    <w:rsid w:val="112C046B"/>
    <w:rsid w:val="113926F0"/>
    <w:rsid w:val="11496C09"/>
    <w:rsid w:val="114C50AA"/>
    <w:rsid w:val="115C286F"/>
    <w:rsid w:val="1187718A"/>
    <w:rsid w:val="11AC49FA"/>
    <w:rsid w:val="11E00A5D"/>
    <w:rsid w:val="11E2055C"/>
    <w:rsid w:val="120A0749"/>
    <w:rsid w:val="1222447F"/>
    <w:rsid w:val="12893CD1"/>
    <w:rsid w:val="12A51329"/>
    <w:rsid w:val="12AA6B10"/>
    <w:rsid w:val="12CB70C5"/>
    <w:rsid w:val="12F15453"/>
    <w:rsid w:val="12FE73A6"/>
    <w:rsid w:val="130217E7"/>
    <w:rsid w:val="13105586"/>
    <w:rsid w:val="132C17B2"/>
    <w:rsid w:val="133B07D3"/>
    <w:rsid w:val="13991F19"/>
    <w:rsid w:val="13E56D69"/>
    <w:rsid w:val="143371A6"/>
    <w:rsid w:val="14455B2E"/>
    <w:rsid w:val="14725914"/>
    <w:rsid w:val="14A43FC5"/>
    <w:rsid w:val="14AC2477"/>
    <w:rsid w:val="14EE4F96"/>
    <w:rsid w:val="14EF6105"/>
    <w:rsid w:val="14F71427"/>
    <w:rsid w:val="150808D7"/>
    <w:rsid w:val="150866BF"/>
    <w:rsid w:val="154E3E8A"/>
    <w:rsid w:val="155630CB"/>
    <w:rsid w:val="155861D9"/>
    <w:rsid w:val="159D60C5"/>
    <w:rsid w:val="15A563D8"/>
    <w:rsid w:val="15CD64BB"/>
    <w:rsid w:val="15CF72EE"/>
    <w:rsid w:val="15E65C75"/>
    <w:rsid w:val="15E74B22"/>
    <w:rsid w:val="15F93AD9"/>
    <w:rsid w:val="169A6D37"/>
    <w:rsid w:val="16BC57E5"/>
    <w:rsid w:val="16C6644A"/>
    <w:rsid w:val="16DD507F"/>
    <w:rsid w:val="17400AAE"/>
    <w:rsid w:val="175476AC"/>
    <w:rsid w:val="17A4103D"/>
    <w:rsid w:val="17AC44F8"/>
    <w:rsid w:val="17CA481C"/>
    <w:rsid w:val="17CF04B1"/>
    <w:rsid w:val="17E458DD"/>
    <w:rsid w:val="17E97372"/>
    <w:rsid w:val="182E539D"/>
    <w:rsid w:val="18363C5F"/>
    <w:rsid w:val="18394EBC"/>
    <w:rsid w:val="18CA582F"/>
    <w:rsid w:val="18D93779"/>
    <w:rsid w:val="19061D94"/>
    <w:rsid w:val="19137AFC"/>
    <w:rsid w:val="196B0A3D"/>
    <w:rsid w:val="19815ECD"/>
    <w:rsid w:val="19A4034B"/>
    <w:rsid w:val="19C47E09"/>
    <w:rsid w:val="19C8203C"/>
    <w:rsid w:val="1A324173"/>
    <w:rsid w:val="1A373492"/>
    <w:rsid w:val="1A7A45E9"/>
    <w:rsid w:val="1A7F5400"/>
    <w:rsid w:val="1A9D7350"/>
    <w:rsid w:val="1B0D1A8F"/>
    <w:rsid w:val="1B346BA5"/>
    <w:rsid w:val="1B4510CA"/>
    <w:rsid w:val="1B4639E1"/>
    <w:rsid w:val="1B4A4445"/>
    <w:rsid w:val="1B7B3A5E"/>
    <w:rsid w:val="1BC715CC"/>
    <w:rsid w:val="1C24274C"/>
    <w:rsid w:val="1C362480"/>
    <w:rsid w:val="1C4D5C7C"/>
    <w:rsid w:val="1C686409"/>
    <w:rsid w:val="1C745F84"/>
    <w:rsid w:val="1C76396F"/>
    <w:rsid w:val="1CEF5C85"/>
    <w:rsid w:val="1CFB7D84"/>
    <w:rsid w:val="1CFB7E6A"/>
    <w:rsid w:val="1D146F1B"/>
    <w:rsid w:val="1D1F7181"/>
    <w:rsid w:val="1D322C47"/>
    <w:rsid w:val="1D422AB2"/>
    <w:rsid w:val="1D4B3D09"/>
    <w:rsid w:val="1D7100CB"/>
    <w:rsid w:val="1D787AD8"/>
    <w:rsid w:val="1D882683"/>
    <w:rsid w:val="1D9D61B1"/>
    <w:rsid w:val="1DB66AB8"/>
    <w:rsid w:val="1DFE7A38"/>
    <w:rsid w:val="1E2A3CDB"/>
    <w:rsid w:val="1E334EC9"/>
    <w:rsid w:val="1E394A25"/>
    <w:rsid w:val="1E4C0F19"/>
    <w:rsid w:val="1E4E10D5"/>
    <w:rsid w:val="1E771DB6"/>
    <w:rsid w:val="1EB5271F"/>
    <w:rsid w:val="1ED55F08"/>
    <w:rsid w:val="1F0C6DCA"/>
    <w:rsid w:val="1F2B7C29"/>
    <w:rsid w:val="1F7673B3"/>
    <w:rsid w:val="1F833C2E"/>
    <w:rsid w:val="1F9B3AB6"/>
    <w:rsid w:val="1FE85AEB"/>
    <w:rsid w:val="202C1A80"/>
    <w:rsid w:val="20340A84"/>
    <w:rsid w:val="20626A10"/>
    <w:rsid w:val="20815C2F"/>
    <w:rsid w:val="20963476"/>
    <w:rsid w:val="20A82D0E"/>
    <w:rsid w:val="20FA4796"/>
    <w:rsid w:val="21162880"/>
    <w:rsid w:val="215A4D35"/>
    <w:rsid w:val="217F21D3"/>
    <w:rsid w:val="21997739"/>
    <w:rsid w:val="21C41718"/>
    <w:rsid w:val="22106A67"/>
    <w:rsid w:val="22254A78"/>
    <w:rsid w:val="224D1CF5"/>
    <w:rsid w:val="227C6AFC"/>
    <w:rsid w:val="229A5115"/>
    <w:rsid w:val="22CE3649"/>
    <w:rsid w:val="22E80446"/>
    <w:rsid w:val="230A304D"/>
    <w:rsid w:val="23442217"/>
    <w:rsid w:val="235A7381"/>
    <w:rsid w:val="237D6D98"/>
    <w:rsid w:val="23AE1314"/>
    <w:rsid w:val="23AE2B38"/>
    <w:rsid w:val="23CD191B"/>
    <w:rsid w:val="23E62578"/>
    <w:rsid w:val="23EA3AFB"/>
    <w:rsid w:val="23F142AC"/>
    <w:rsid w:val="243152A8"/>
    <w:rsid w:val="24354A7E"/>
    <w:rsid w:val="24424F22"/>
    <w:rsid w:val="24885842"/>
    <w:rsid w:val="2492156B"/>
    <w:rsid w:val="24C05A27"/>
    <w:rsid w:val="24C90FD0"/>
    <w:rsid w:val="24E11934"/>
    <w:rsid w:val="25024546"/>
    <w:rsid w:val="25473378"/>
    <w:rsid w:val="25552C67"/>
    <w:rsid w:val="25855F39"/>
    <w:rsid w:val="259A1829"/>
    <w:rsid w:val="259B6E49"/>
    <w:rsid w:val="25D407F8"/>
    <w:rsid w:val="25D95672"/>
    <w:rsid w:val="261B741D"/>
    <w:rsid w:val="261F641F"/>
    <w:rsid w:val="26380C61"/>
    <w:rsid w:val="268246C1"/>
    <w:rsid w:val="26A27BC4"/>
    <w:rsid w:val="26A344CD"/>
    <w:rsid w:val="26A812B9"/>
    <w:rsid w:val="26AF1090"/>
    <w:rsid w:val="26C675E9"/>
    <w:rsid w:val="26C85C45"/>
    <w:rsid w:val="26DE3DB2"/>
    <w:rsid w:val="272652E2"/>
    <w:rsid w:val="27375D04"/>
    <w:rsid w:val="275D3832"/>
    <w:rsid w:val="277A7FB5"/>
    <w:rsid w:val="27C42838"/>
    <w:rsid w:val="27DC16AD"/>
    <w:rsid w:val="28001F07"/>
    <w:rsid w:val="280E5D0F"/>
    <w:rsid w:val="285A700A"/>
    <w:rsid w:val="288A5267"/>
    <w:rsid w:val="289D577B"/>
    <w:rsid w:val="289D744E"/>
    <w:rsid w:val="28AA48CF"/>
    <w:rsid w:val="28E753CF"/>
    <w:rsid w:val="28EA6772"/>
    <w:rsid w:val="290C07F0"/>
    <w:rsid w:val="29244ED7"/>
    <w:rsid w:val="29365484"/>
    <w:rsid w:val="296C74E1"/>
    <w:rsid w:val="296F6E5A"/>
    <w:rsid w:val="29AE7AF9"/>
    <w:rsid w:val="29C877A7"/>
    <w:rsid w:val="2A2C1A7C"/>
    <w:rsid w:val="2A6B7639"/>
    <w:rsid w:val="2A8730D9"/>
    <w:rsid w:val="2A885907"/>
    <w:rsid w:val="2AB73EBA"/>
    <w:rsid w:val="2ABB0649"/>
    <w:rsid w:val="2ABC7FF4"/>
    <w:rsid w:val="2AD75697"/>
    <w:rsid w:val="2AFA1C89"/>
    <w:rsid w:val="2B184C8F"/>
    <w:rsid w:val="2B617D5A"/>
    <w:rsid w:val="2B63669B"/>
    <w:rsid w:val="2BB533FC"/>
    <w:rsid w:val="2BCC1398"/>
    <w:rsid w:val="2BFE75D2"/>
    <w:rsid w:val="2C0448FF"/>
    <w:rsid w:val="2CF85846"/>
    <w:rsid w:val="2D151688"/>
    <w:rsid w:val="2D1B4193"/>
    <w:rsid w:val="2D580113"/>
    <w:rsid w:val="2D684463"/>
    <w:rsid w:val="2D954B46"/>
    <w:rsid w:val="2DA1079D"/>
    <w:rsid w:val="2DC772E9"/>
    <w:rsid w:val="2DD37107"/>
    <w:rsid w:val="2E2C594D"/>
    <w:rsid w:val="2E4657E4"/>
    <w:rsid w:val="2EAB6111"/>
    <w:rsid w:val="2ED206D1"/>
    <w:rsid w:val="2EDE3101"/>
    <w:rsid w:val="2F3302ED"/>
    <w:rsid w:val="2F6625AB"/>
    <w:rsid w:val="2F9E26F2"/>
    <w:rsid w:val="2F9E2A31"/>
    <w:rsid w:val="2FD6122A"/>
    <w:rsid w:val="2FD667BA"/>
    <w:rsid w:val="2FE07B7A"/>
    <w:rsid w:val="2FF60336"/>
    <w:rsid w:val="30170931"/>
    <w:rsid w:val="30573157"/>
    <w:rsid w:val="306131F5"/>
    <w:rsid w:val="308316E5"/>
    <w:rsid w:val="308F4A86"/>
    <w:rsid w:val="30C26C21"/>
    <w:rsid w:val="30ED53AB"/>
    <w:rsid w:val="30EF1C9A"/>
    <w:rsid w:val="30F228C9"/>
    <w:rsid w:val="31730FD6"/>
    <w:rsid w:val="31877160"/>
    <w:rsid w:val="31A40B37"/>
    <w:rsid w:val="31CD174F"/>
    <w:rsid w:val="31DC5931"/>
    <w:rsid w:val="31E028DE"/>
    <w:rsid w:val="3204315F"/>
    <w:rsid w:val="322F554F"/>
    <w:rsid w:val="326638E2"/>
    <w:rsid w:val="329638A5"/>
    <w:rsid w:val="329F2363"/>
    <w:rsid w:val="329F4483"/>
    <w:rsid w:val="32FA3AFF"/>
    <w:rsid w:val="330D71B6"/>
    <w:rsid w:val="334B4FFB"/>
    <w:rsid w:val="336E0BD2"/>
    <w:rsid w:val="33772725"/>
    <w:rsid w:val="33831F3C"/>
    <w:rsid w:val="33D16FC3"/>
    <w:rsid w:val="341541E9"/>
    <w:rsid w:val="342F0B4E"/>
    <w:rsid w:val="344D6364"/>
    <w:rsid w:val="346D684C"/>
    <w:rsid w:val="3498562E"/>
    <w:rsid w:val="3506401B"/>
    <w:rsid w:val="352C3BBB"/>
    <w:rsid w:val="356B115E"/>
    <w:rsid w:val="35A31C32"/>
    <w:rsid w:val="35D54660"/>
    <w:rsid w:val="361E6EE4"/>
    <w:rsid w:val="363650FE"/>
    <w:rsid w:val="364D069A"/>
    <w:rsid w:val="365A1352"/>
    <w:rsid w:val="366B17C1"/>
    <w:rsid w:val="36867F40"/>
    <w:rsid w:val="36AA08DB"/>
    <w:rsid w:val="36D54D7E"/>
    <w:rsid w:val="36D6068F"/>
    <w:rsid w:val="374D3BF9"/>
    <w:rsid w:val="37826EC6"/>
    <w:rsid w:val="3785286C"/>
    <w:rsid w:val="379361B2"/>
    <w:rsid w:val="37C354C8"/>
    <w:rsid w:val="37D111DD"/>
    <w:rsid w:val="37EE310F"/>
    <w:rsid w:val="37EE7A86"/>
    <w:rsid w:val="38084944"/>
    <w:rsid w:val="3815537B"/>
    <w:rsid w:val="38214CA2"/>
    <w:rsid w:val="38C22C79"/>
    <w:rsid w:val="38E551E7"/>
    <w:rsid w:val="39103BDF"/>
    <w:rsid w:val="393E7219"/>
    <w:rsid w:val="39422203"/>
    <w:rsid w:val="394E6C03"/>
    <w:rsid w:val="39634E37"/>
    <w:rsid w:val="397A79F8"/>
    <w:rsid w:val="39A82299"/>
    <w:rsid w:val="39B21C96"/>
    <w:rsid w:val="39C52809"/>
    <w:rsid w:val="3A0930C9"/>
    <w:rsid w:val="3A3E27D3"/>
    <w:rsid w:val="3A653F98"/>
    <w:rsid w:val="3A826D7C"/>
    <w:rsid w:val="3A8B1791"/>
    <w:rsid w:val="3B1E2220"/>
    <w:rsid w:val="3B643D0F"/>
    <w:rsid w:val="3B6B2052"/>
    <w:rsid w:val="3B6E70E8"/>
    <w:rsid w:val="3B707D2D"/>
    <w:rsid w:val="3B9B7F31"/>
    <w:rsid w:val="3BB526A6"/>
    <w:rsid w:val="3C744B15"/>
    <w:rsid w:val="3CDC5A84"/>
    <w:rsid w:val="3D0B23F6"/>
    <w:rsid w:val="3D11049D"/>
    <w:rsid w:val="3D136D99"/>
    <w:rsid w:val="3D171F98"/>
    <w:rsid w:val="3D26377B"/>
    <w:rsid w:val="3D553B92"/>
    <w:rsid w:val="3D7A7084"/>
    <w:rsid w:val="3DC76226"/>
    <w:rsid w:val="3DDC3ACC"/>
    <w:rsid w:val="3DF84306"/>
    <w:rsid w:val="3E11778C"/>
    <w:rsid w:val="3E1B294B"/>
    <w:rsid w:val="3E3A7A10"/>
    <w:rsid w:val="3E761C5E"/>
    <w:rsid w:val="3E8F6181"/>
    <w:rsid w:val="3EE456F2"/>
    <w:rsid w:val="3EFF035C"/>
    <w:rsid w:val="3F060465"/>
    <w:rsid w:val="3F2079A1"/>
    <w:rsid w:val="3F3452BE"/>
    <w:rsid w:val="3F761497"/>
    <w:rsid w:val="3FE956A6"/>
    <w:rsid w:val="4000220C"/>
    <w:rsid w:val="400334ED"/>
    <w:rsid w:val="400554DE"/>
    <w:rsid w:val="405E4150"/>
    <w:rsid w:val="40712601"/>
    <w:rsid w:val="407965F1"/>
    <w:rsid w:val="40913CEB"/>
    <w:rsid w:val="409550E5"/>
    <w:rsid w:val="40B36390"/>
    <w:rsid w:val="40C15F0C"/>
    <w:rsid w:val="40E23657"/>
    <w:rsid w:val="40F51B2E"/>
    <w:rsid w:val="41A04263"/>
    <w:rsid w:val="41C843E5"/>
    <w:rsid w:val="41D8350E"/>
    <w:rsid w:val="422B2EE6"/>
    <w:rsid w:val="424D38D4"/>
    <w:rsid w:val="428B7207"/>
    <w:rsid w:val="42BE6349"/>
    <w:rsid w:val="42C61E00"/>
    <w:rsid w:val="42C84B4E"/>
    <w:rsid w:val="42D36818"/>
    <w:rsid w:val="431C49A3"/>
    <w:rsid w:val="43243F9D"/>
    <w:rsid w:val="43A86909"/>
    <w:rsid w:val="43AF023B"/>
    <w:rsid w:val="43D42E6F"/>
    <w:rsid w:val="43F97F09"/>
    <w:rsid w:val="443B6FCF"/>
    <w:rsid w:val="44557804"/>
    <w:rsid w:val="44AE5753"/>
    <w:rsid w:val="44B1076D"/>
    <w:rsid w:val="44B67331"/>
    <w:rsid w:val="44D40BD5"/>
    <w:rsid w:val="44F95BE3"/>
    <w:rsid w:val="45152478"/>
    <w:rsid w:val="45252F50"/>
    <w:rsid w:val="454C278D"/>
    <w:rsid w:val="457C4AF8"/>
    <w:rsid w:val="45B147A1"/>
    <w:rsid w:val="45DB429F"/>
    <w:rsid w:val="460A5C60"/>
    <w:rsid w:val="46431172"/>
    <w:rsid w:val="46732C5A"/>
    <w:rsid w:val="469C5295"/>
    <w:rsid w:val="46A22B1A"/>
    <w:rsid w:val="46CF766D"/>
    <w:rsid w:val="47065959"/>
    <w:rsid w:val="47630E51"/>
    <w:rsid w:val="47733776"/>
    <w:rsid w:val="4778690E"/>
    <w:rsid w:val="47884B8B"/>
    <w:rsid w:val="47CA3281"/>
    <w:rsid w:val="47D919D0"/>
    <w:rsid w:val="47FF20C1"/>
    <w:rsid w:val="480B2B0A"/>
    <w:rsid w:val="4821234D"/>
    <w:rsid w:val="48280C6A"/>
    <w:rsid w:val="484B2B0E"/>
    <w:rsid w:val="485B13AB"/>
    <w:rsid w:val="48662DA9"/>
    <w:rsid w:val="487F419C"/>
    <w:rsid w:val="48A50E57"/>
    <w:rsid w:val="48B452E0"/>
    <w:rsid w:val="48C5154A"/>
    <w:rsid w:val="48CF5BF8"/>
    <w:rsid w:val="48E534ED"/>
    <w:rsid w:val="48F36E7F"/>
    <w:rsid w:val="49024146"/>
    <w:rsid w:val="496A5E1F"/>
    <w:rsid w:val="49766F09"/>
    <w:rsid w:val="49971712"/>
    <w:rsid w:val="499F72A2"/>
    <w:rsid w:val="49EB5DA8"/>
    <w:rsid w:val="49F033BE"/>
    <w:rsid w:val="4A280D86"/>
    <w:rsid w:val="4A616EBA"/>
    <w:rsid w:val="4A806386"/>
    <w:rsid w:val="4A897A9B"/>
    <w:rsid w:val="4A954692"/>
    <w:rsid w:val="4B013AD5"/>
    <w:rsid w:val="4B2058B1"/>
    <w:rsid w:val="4B2F66B4"/>
    <w:rsid w:val="4B390D16"/>
    <w:rsid w:val="4B3C5387"/>
    <w:rsid w:val="4B435046"/>
    <w:rsid w:val="4B500A30"/>
    <w:rsid w:val="4C0E1B80"/>
    <w:rsid w:val="4C404CBC"/>
    <w:rsid w:val="4C6A7458"/>
    <w:rsid w:val="4C711807"/>
    <w:rsid w:val="4C7B1857"/>
    <w:rsid w:val="4C881F54"/>
    <w:rsid w:val="4C8F75A7"/>
    <w:rsid w:val="4C9D11F4"/>
    <w:rsid w:val="4D023B34"/>
    <w:rsid w:val="4D1A04A2"/>
    <w:rsid w:val="4D350D98"/>
    <w:rsid w:val="4D51524B"/>
    <w:rsid w:val="4D601660"/>
    <w:rsid w:val="4D6C4121"/>
    <w:rsid w:val="4D6E40A1"/>
    <w:rsid w:val="4DE80F7C"/>
    <w:rsid w:val="4E5D63B9"/>
    <w:rsid w:val="4E760336"/>
    <w:rsid w:val="4E9734A1"/>
    <w:rsid w:val="4E9A6CE2"/>
    <w:rsid w:val="4EBD46FA"/>
    <w:rsid w:val="4EDF3A83"/>
    <w:rsid w:val="4EEC314D"/>
    <w:rsid w:val="4EF152C9"/>
    <w:rsid w:val="4EF43951"/>
    <w:rsid w:val="4F0F5E4C"/>
    <w:rsid w:val="4F167A5A"/>
    <w:rsid w:val="4F1B138F"/>
    <w:rsid w:val="4F1B57FE"/>
    <w:rsid w:val="4F2904A7"/>
    <w:rsid w:val="4F597A80"/>
    <w:rsid w:val="4F802680"/>
    <w:rsid w:val="4FDB6AA9"/>
    <w:rsid w:val="4FFB4904"/>
    <w:rsid w:val="5005678B"/>
    <w:rsid w:val="50087459"/>
    <w:rsid w:val="50192196"/>
    <w:rsid w:val="503B3B92"/>
    <w:rsid w:val="509E01F5"/>
    <w:rsid w:val="50A8750A"/>
    <w:rsid w:val="50D82904"/>
    <w:rsid w:val="50E502BE"/>
    <w:rsid w:val="51306BB7"/>
    <w:rsid w:val="5143452A"/>
    <w:rsid w:val="51777C34"/>
    <w:rsid w:val="51A61C82"/>
    <w:rsid w:val="51BB56C9"/>
    <w:rsid w:val="51BC2993"/>
    <w:rsid w:val="51FA6597"/>
    <w:rsid w:val="51FA77A2"/>
    <w:rsid w:val="5223246F"/>
    <w:rsid w:val="525C309D"/>
    <w:rsid w:val="525D49C0"/>
    <w:rsid w:val="52B700B6"/>
    <w:rsid w:val="52C14F7B"/>
    <w:rsid w:val="52C635C9"/>
    <w:rsid w:val="52DF3028"/>
    <w:rsid w:val="5311687F"/>
    <w:rsid w:val="536201B6"/>
    <w:rsid w:val="5375106D"/>
    <w:rsid w:val="537A4BDE"/>
    <w:rsid w:val="53872AC4"/>
    <w:rsid w:val="539D7ECB"/>
    <w:rsid w:val="53DB0ACB"/>
    <w:rsid w:val="541D3B64"/>
    <w:rsid w:val="54744A2E"/>
    <w:rsid w:val="548F3230"/>
    <w:rsid w:val="54B23468"/>
    <w:rsid w:val="54C24630"/>
    <w:rsid w:val="55191AEA"/>
    <w:rsid w:val="554931DA"/>
    <w:rsid w:val="55591962"/>
    <w:rsid w:val="55885EC4"/>
    <w:rsid w:val="559A2EA4"/>
    <w:rsid w:val="559F24D3"/>
    <w:rsid w:val="55B20C25"/>
    <w:rsid w:val="55B855EA"/>
    <w:rsid w:val="55F67590"/>
    <w:rsid w:val="56676B9A"/>
    <w:rsid w:val="5681102D"/>
    <w:rsid w:val="56AE438F"/>
    <w:rsid w:val="56BC3274"/>
    <w:rsid w:val="56DE51EC"/>
    <w:rsid w:val="56F444EE"/>
    <w:rsid w:val="56FD3BE3"/>
    <w:rsid w:val="57172250"/>
    <w:rsid w:val="571B33B8"/>
    <w:rsid w:val="57340467"/>
    <w:rsid w:val="573678EB"/>
    <w:rsid w:val="573D76F4"/>
    <w:rsid w:val="5747306F"/>
    <w:rsid w:val="575E7524"/>
    <w:rsid w:val="579F633F"/>
    <w:rsid w:val="580A06A9"/>
    <w:rsid w:val="582540EF"/>
    <w:rsid w:val="583E5133"/>
    <w:rsid w:val="586E3D95"/>
    <w:rsid w:val="588224C8"/>
    <w:rsid w:val="58D1558C"/>
    <w:rsid w:val="5943153C"/>
    <w:rsid w:val="597F3282"/>
    <w:rsid w:val="59951984"/>
    <w:rsid w:val="59BE39CA"/>
    <w:rsid w:val="5A1062D5"/>
    <w:rsid w:val="5A12434D"/>
    <w:rsid w:val="5A136A7D"/>
    <w:rsid w:val="5A160972"/>
    <w:rsid w:val="5A227D28"/>
    <w:rsid w:val="5A657F59"/>
    <w:rsid w:val="5A6C2199"/>
    <w:rsid w:val="5A6C25A5"/>
    <w:rsid w:val="5A79496C"/>
    <w:rsid w:val="5AA8091D"/>
    <w:rsid w:val="5AE53F2E"/>
    <w:rsid w:val="5B217439"/>
    <w:rsid w:val="5B6A1223"/>
    <w:rsid w:val="5BB80D50"/>
    <w:rsid w:val="5BBB58BC"/>
    <w:rsid w:val="5BD437ED"/>
    <w:rsid w:val="5C334E92"/>
    <w:rsid w:val="5C654EDC"/>
    <w:rsid w:val="5C7443F5"/>
    <w:rsid w:val="5C816661"/>
    <w:rsid w:val="5CA6785B"/>
    <w:rsid w:val="5CB80426"/>
    <w:rsid w:val="5CC20B09"/>
    <w:rsid w:val="5CCB371C"/>
    <w:rsid w:val="5D3270ED"/>
    <w:rsid w:val="5D5D3103"/>
    <w:rsid w:val="5D74250A"/>
    <w:rsid w:val="5E1D72D9"/>
    <w:rsid w:val="5E2B115E"/>
    <w:rsid w:val="5E4D3DF3"/>
    <w:rsid w:val="5E50449C"/>
    <w:rsid w:val="5E611F08"/>
    <w:rsid w:val="5E881556"/>
    <w:rsid w:val="5E9D0968"/>
    <w:rsid w:val="5EE60960"/>
    <w:rsid w:val="5EF32261"/>
    <w:rsid w:val="5F502FB7"/>
    <w:rsid w:val="5F815C48"/>
    <w:rsid w:val="5FAD2E62"/>
    <w:rsid w:val="5FC230F6"/>
    <w:rsid w:val="5FE42ED6"/>
    <w:rsid w:val="6005308E"/>
    <w:rsid w:val="603D75C3"/>
    <w:rsid w:val="604202D9"/>
    <w:rsid w:val="6045400C"/>
    <w:rsid w:val="609B5B5B"/>
    <w:rsid w:val="609D1752"/>
    <w:rsid w:val="60BC2454"/>
    <w:rsid w:val="60DE3368"/>
    <w:rsid w:val="60EB233A"/>
    <w:rsid w:val="61113999"/>
    <w:rsid w:val="61217271"/>
    <w:rsid w:val="61421795"/>
    <w:rsid w:val="614736ED"/>
    <w:rsid w:val="615E4557"/>
    <w:rsid w:val="617C00A4"/>
    <w:rsid w:val="61990C06"/>
    <w:rsid w:val="61CE2E0A"/>
    <w:rsid w:val="61D44B86"/>
    <w:rsid w:val="61D45FB1"/>
    <w:rsid w:val="62051CA5"/>
    <w:rsid w:val="621902D5"/>
    <w:rsid w:val="623C65FF"/>
    <w:rsid w:val="624801BA"/>
    <w:rsid w:val="624D5ACC"/>
    <w:rsid w:val="6282007F"/>
    <w:rsid w:val="62935DB1"/>
    <w:rsid w:val="62C52FCC"/>
    <w:rsid w:val="62CF4A4F"/>
    <w:rsid w:val="62DA13B7"/>
    <w:rsid w:val="63486902"/>
    <w:rsid w:val="637575D4"/>
    <w:rsid w:val="639037F0"/>
    <w:rsid w:val="63C02421"/>
    <w:rsid w:val="63E73FB0"/>
    <w:rsid w:val="63F30D3E"/>
    <w:rsid w:val="642068BD"/>
    <w:rsid w:val="644E49FD"/>
    <w:rsid w:val="645A498D"/>
    <w:rsid w:val="64772017"/>
    <w:rsid w:val="64BF1471"/>
    <w:rsid w:val="64EA5182"/>
    <w:rsid w:val="64F45254"/>
    <w:rsid w:val="65007AE5"/>
    <w:rsid w:val="654103B5"/>
    <w:rsid w:val="655D1756"/>
    <w:rsid w:val="65F004D2"/>
    <w:rsid w:val="66065A37"/>
    <w:rsid w:val="660F30F2"/>
    <w:rsid w:val="66331170"/>
    <w:rsid w:val="663371F3"/>
    <w:rsid w:val="666C5E5C"/>
    <w:rsid w:val="668D04BB"/>
    <w:rsid w:val="66AB4239"/>
    <w:rsid w:val="66C32AF3"/>
    <w:rsid w:val="66E94C7F"/>
    <w:rsid w:val="671146F3"/>
    <w:rsid w:val="67123919"/>
    <w:rsid w:val="67143206"/>
    <w:rsid w:val="675F2A6B"/>
    <w:rsid w:val="67787B9A"/>
    <w:rsid w:val="67D87498"/>
    <w:rsid w:val="67FC1454"/>
    <w:rsid w:val="68C71E2C"/>
    <w:rsid w:val="690C59AB"/>
    <w:rsid w:val="691731A6"/>
    <w:rsid w:val="692E4BF2"/>
    <w:rsid w:val="69812B61"/>
    <w:rsid w:val="6A55309E"/>
    <w:rsid w:val="6A88701F"/>
    <w:rsid w:val="6AD96DBC"/>
    <w:rsid w:val="6AFB1BB4"/>
    <w:rsid w:val="6BA67A25"/>
    <w:rsid w:val="6BC2462A"/>
    <w:rsid w:val="6BCB386B"/>
    <w:rsid w:val="6BDA577E"/>
    <w:rsid w:val="6BED3748"/>
    <w:rsid w:val="6C1D3C1E"/>
    <w:rsid w:val="6C8332D0"/>
    <w:rsid w:val="6C953C86"/>
    <w:rsid w:val="6C9C3206"/>
    <w:rsid w:val="6CAE084F"/>
    <w:rsid w:val="6CF23939"/>
    <w:rsid w:val="6D4E4D48"/>
    <w:rsid w:val="6D5B62A0"/>
    <w:rsid w:val="6D7D5A70"/>
    <w:rsid w:val="6D7E0FC2"/>
    <w:rsid w:val="6DDE3A6C"/>
    <w:rsid w:val="6DE159B3"/>
    <w:rsid w:val="6E1E687A"/>
    <w:rsid w:val="6E2F3781"/>
    <w:rsid w:val="6E493B2A"/>
    <w:rsid w:val="6E534836"/>
    <w:rsid w:val="6E6D58F0"/>
    <w:rsid w:val="6EF15FEB"/>
    <w:rsid w:val="6EF17F78"/>
    <w:rsid w:val="6F0B1DDB"/>
    <w:rsid w:val="6F631228"/>
    <w:rsid w:val="6F81233F"/>
    <w:rsid w:val="6F8B490E"/>
    <w:rsid w:val="6FD42CB7"/>
    <w:rsid w:val="6FE40D44"/>
    <w:rsid w:val="700A7221"/>
    <w:rsid w:val="701C1D60"/>
    <w:rsid w:val="703A1840"/>
    <w:rsid w:val="704D2BDC"/>
    <w:rsid w:val="70871AD7"/>
    <w:rsid w:val="70A71732"/>
    <w:rsid w:val="710B6BAC"/>
    <w:rsid w:val="71153539"/>
    <w:rsid w:val="71441BEA"/>
    <w:rsid w:val="71F2298A"/>
    <w:rsid w:val="7278017B"/>
    <w:rsid w:val="72847805"/>
    <w:rsid w:val="728C559F"/>
    <w:rsid w:val="72A11FB8"/>
    <w:rsid w:val="72D81B76"/>
    <w:rsid w:val="72EF0A4C"/>
    <w:rsid w:val="73A11102"/>
    <w:rsid w:val="73CB4193"/>
    <w:rsid w:val="73D56622"/>
    <w:rsid w:val="73D66758"/>
    <w:rsid w:val="74055B35"/>
    <w:rsid w:val="745560D3"/>
    <w:rsid w:val="746F08E9"/>
    <w:rsid w:val="747641DD"/>
    <w:rsid w:val="74BC1FEA"/>
    <w:rsid w:val="75306BE1"/>
    <w:rsid w:val="75983858"/>
    <w:rsid w:val="75D955D6"/>
    <w:rsid w:val="75F1685F"/>
    <w:rsid w:val="760761F4"/>
    <w:rsid w:val="76571818"/>
    <w:rsid w:val="767833EF"/>
    <w:rsid w:val="768B4AD0"/>
    <w:rsid w:val="76E518CE"/>
    <w:rsid w:val="76FA35EC"/>
    <w:rsid w:val="774E7A26"/>
    <w:rsid w:val="77A405A9"/>
    <w:rsid w:val="77B2100F"/>
    <w:rsid w:val="77CE017C"/>
    <w:rsid w:val="77DC43BE"/>
    <w:rsid w:val="77EA122B"/>
    <w:rsid w:val="77F20AE8"/>
    <w:rsid w:val="78007E92"/>
    <w:rsid w:val="78204033"/>
    <w:rsid w:val="78244C21"/>
    <w:rsid w:val="783970CC"/>
    <w:rsid w:val="78526812"/>
    <w:rsid w:val="786C0DC9"/>
    <w:rsid w:val="78810918"/>
    <w:rsid w:val="78811FE0"/>
    <w:rsid w:val="78AC2A23"/>
    <w:rsid w:val="79674112"/>
    <w:rsid w:val="799C2EA7"/>
    <w:rsid w:val="79D1610F"/>
    <w:rsid w:val="79E40305"/>
    <w:rsid w:val="7A1C76AC"/>
    <w:rsid w:val="7A232871"/>
    <w:rsid w:val="7A582091"/>
    <w:rsid w:val="7A7E6DE7"/>
    <w:rsid w:val="7A8B50A2"/>
    <w:rsid w:val="7AA47B22"/>
    <w:rsid w:val="7AC05B99"/>
    <w:rsid w:val="7AF42FCC"/>
    <w:rsid w:val="7B4D64F2"/>
    <w:rsid w:val="7B706698"/>
    <w:rsid w:val="7B913ADC"/>
    <w:rsid w:val="7B927209"/>
    <w:rsid w:val="7B934E7F"/>
    <w:rsid w:val="7BA63759"/>
    <w:rsid w:val="7BB04C77"/>
    <w:rsid w:val="7BDE57E2"/>
    <w:rsid w:val="7BFF5735"/>
    <w:rsid w:val="7C164934"/>
    <w:rsid w:val="7C345209"/>
    <w:rsid w:val="7C480CB4"/>
    <w:rsid w:val="7C4D438C"/>
    <w:rsid w:val="7C591F6A"/>
    <w:rsid w:val="7C5F01D0"/>
    <w:rsid w:val="7C8370BE"/>
    <w:rsid w:val="7C866F61"/>
    <w:rsid w:val="7CC145C3"/>
    <w:rsid w:val="7D0479B0"/>
    <w:rsid w:val="7D492DAE"/>
    <w:rsid w:val="7D5A5C2D"/>
    <w:rsid w:val="7D83292E"/>
    <w:rsid w:val="7DA80BF3"/>
    <w:rsid w:val="7DBA04C2"/>
    <w:rsid w:val="7DC97164"/>
    <w:rsid w:val="7DD10F6D"/>
    <w:rsid w:val="7DE37B24"/>
    <w:rsid w:val="7DF71BD3"/>
    <w:rsid w:val="7DF954A7"/>
    <w:rsid w:val="7E01780E"/>
    <w:rsid w:val="7E161589"/>
    <w:rsid w:val="7E8A59B9"/>
    <w:rsid w:val="7ED60880"/>
    <w:rsid w:val="7EEB1E01"/>
    <w:rsid w:val="7F056209"/>
    <w:rsid w:val="7F0A5DDF"/>
    <w:rsid w:val="7F3A3035"/>
    <w:rsid w:val="7F66595D"/>
    <w:rsid w:val="7F9C4325"/>
    <w:rsid w:val="7FA15A5B"/>
    <w:rsid w:val="7FC22A9E"/>
    <w:rsid w:val="7FD84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line="240" w:lineRule="auto"/>
      <w:ind w:firstLine="0" w:firstLineChars="0"/>
      <w:outlineLvl w:val="1"/>
    </w:pPr>
    <w:rPr>
      <w:rFonts w:ascii="等线 Light" w:hAnsi="等线 Light"/>
      <w:b/>
      <w:bCs/>
      <w:sz w:val="28"/>
      <w:szCs w:val="32"/>
    </w:rPr>
  </w:style>
  <w:style w:type="paragraph" w:styleId="4">
    <w:name w:val="heading 3"/>
    <w:basedOn w:val="1"/>
    <w:next w:val="1"/>
    <w:link w:val="65"/>
    <w:unhideWhenUsed/>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ind w:firstLine="1440"/>
      <w:outlineLvl w:val="3"/>
    </w:pPr>
    <w:rPr>
      <w:b/>
      <w:bCs/>
    </w:rPr>
  </w:style>
  <w:style w:type="paragraph" w:styleId="6">
    <w:name w:val="heading 5"/>
    <w:basedOn w:val="1"/>
    <w:next w:val="1"/>
    <w:qFormat/>
    <w:uiPriority w:val="0"/>
    <w:pPr>
      <w:keepNext/>
      <w:keepLines/>
      <w:autoSpaceDE w:val="0"/>
      <w:autoSpaceDN w:val="0"/>
      <w:adjustRightInd w:val="0"/>
      <w:spacing w:line="288" w:lineRule="auto"/>
      <w:jc w:val="left"/>
      <w:textAlignment w:val="baseline"/>
      <w:outlineLvl w:val="4"/>
    </w:pPr>
    <w:rPr>
      <w:b/>
      <w:kern w:val="0"/>
      <w:sz w:val="24"/>
      <w:szCs w:val="20"/>
    </w:rPr>
  </w:style>
  <w:style w:type="character" w:default="1" w:styleId="31">
    <w:name w:val="Default Paragraph Font"/>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ind w:firstLine="420"/>
      <w:textAlignment w:val="center"/>
    </w:pPr>
    <w:rPr>
      <w:rFonts w:ascii="Calibri" w:hAnsi="Calibri"/>
      <w:szCs w:val="20"/>
    </w:rPr>
  </w:style>
  <w:style w:type="paragraph" w:styleId="8">
    <w:name w:val="Body Text First Indent 2"/>
    <w:basedOn w:val="9"/>
    <w:next w:val="14"/>
    <w:qFormat/>
    <w:uiPriority w:val="0"/>
    <w:pPr>
      <w:ind w:firstLine="420"/>
    </w:pPr>
    <w:rPr>
      <w:kern w:val="2"/>
      <w:sz w:val="21"/>
      <w:szCs w:val="24"/>
    </w:rPr>
  </w:style>
  <w:style w:type="paragraph" w:styleId="9">
    <w:name w:val="Body Text Indent"/>
    <w:basedOn w:val="1"/>
    <w:next w:val="10"/>
    <w:qFormat/>
    <w:uiPriority w:val="0"/>
    <w:pPr>
      <w:spacing w:after="120"/>
      <w:ind w:left="420" w:leftChars="200"/>
    </w:pPr>
    <w:rPr>
      <w:kern w:val="0"/>
      <w:szCs w:val="20"/>
    </w:rPr>
  </w:style>
  <w:style w:type="paragraph" w:styleId="10">
    <w:name w:val="header"/>
    <w:basedOn w:val="1"/>
    <w:next w:val="1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1">
    <w:name w:val="样式5"/>
    <w:basedOn w:val="12"/>
    <w:qFormat/>
    <w:uiPriority w:val="0"/>
    <w:pPr>
      <w:numPr>
        <w:ilvl w:val="2"/>
        <w:numId w:val="1"/>
      </w:numPr>
      <w:tabs>
        <w:tab w:val="center" w:pos="4153"/>
        <w:tab w:val="right" w:pos="8306"/>
      </w:tabs>
      <w:ind w:left="0" w:firstLine="0"/>
    </w:pPr>
    <w:rPr>
      <w:sz w:val="18"/>
    </w:rPr>
  </w:style>
  <w:style w:type="paragraph" w:customStyle="1" w:styleId="12">
    <w:name w:val="样式2"/>
    <w:basedOn w:val="13"/>
    <w:qFormat/>
    <w:uiPriority w:val="0"/>
    <w:pPr>
      <w:ind w:firstLine="533" w:firstLineChars="200"/>
    </w:pPr>
    <w:rPr>
      <w:bCs/>
      <w:color w:val="0000FF"/>
    </w:rPr>
  </w:style>
  <w:style w:type="paragraph" w:customStyle="1" w:styleId="13">
    <w:name w:val="正文 + 宋体"/>
    <w:basedOn w:val="1"/>
    <w:qFormat/>
    <w:uiPriority w:val="0"/>
    <w:pPr>
      <w:snapToGrid w:val="0"/>
      <w:ind w:firstLine="648" w:firstLineChars="245"/>
    </w:pPr>
    <w:rPr>
      <w:rFonts w:ascii="宋体" w:hAnsi="宋体"/>
    </w:rPr>
  </w:style>
  <w:style w:type="paragraph" w:styleId="14">
    <w:name w:val="Body Text First Indent"/>
    <w:basedOn w:val="15"/>
    <w:next w:val="1"/>
    <w:unhideWhenUsed/>
    <w:qFormat/>
    <w:uiPriority w:val="99"/>
    <w:pPr>
      <w:ind w:firstLine="420" w:firstLineChars="100"/>
    </w:pPr>
  </w:style>
  <w:style w:type="paragraph" w:styleId="15">
    <w:name w:val="Body Text"/>
    <w:basedOn w:val="1"/>
    <w:next w:val="1"/>
    <w:qFormat/>
    <w:uiPriority w:val="0"/>
    <w:pPr>
      <w:widowControl/>
      <w:snapToGrid w:val="0"/>
      <w:spacing w:before="60" w:after="160" w:line="259" w:lineRule="auto"/>
      <w:ind w:right="113"/>
    </w:pPr>
    <w:rPr>
      <w:kern w:val="0"/>
      <w:sz w:val="18"/>
      <w:szCs w:val="20"/>
    </w:rPr>
  </w:style>
  <w:style w:type="paragraph" w:styleId="16">
    <w:name w:val="annotation text"/>
    <w:basedOn w:val="1"/>
    <w:link w:val="53"/>
    <w:qFormat/>
    <w:uiPriority w:val="0"/>
    <w:pPr>
      <w:jc w:val="left"/>
    </w:pPr>
  </w:style>
  <w:style w:type="paragraph" w:styleId="17">
    <w:name w:val="Plain Text"/>
    <w:basedOn w:val="1"/>
    <w:next w:val="18"/>
    <w:qFormat/>
    <w:uiPriority w:val="0"/>
    <w:pPr>
      <w:adjustRightInd w:val="0"/>
      <w:textAlignment w:val="baseline"/>
    </w:pPr>
    <w:rPr>
      <w:rFonts w:ascii="宋体" w:hAnsi="Courier New"/>
      <w:kern w:val="0"/>
    </w:rPr>
  </w:style>
  <w:style w:type="paragraph" w:styleId="18">
    <w:name w:val="toc 1"/>
    <w:basedOn w:val="1"/>
    <w:next w:val="1"/>
    <w:qFormat/>
    <w:uiPriority w:val="39"/>
    <w:pPr>
      <w:snapToGrid w:val="0"/>
    </w:pPr>
    <w:rPr>
      <w:rFonts w:ascii="黑体" w:eastAsia="黑体"/>
      <w:bCs/>
      <w:sz w:val="28"/>
    </w:rPr>
  </w:style>
  <w:style w:type="paragraph" w:styleId="19">
    <w:name w:val="List Bullet 5"/>
    <w:basedOn w:val="1"/>
    <w:qFormat/>
    <w:uiPriority w:val="0"/>
    <w:pPr>
      <w:numPr>
        <w:ilvl w:val="0"/>
        <w:numId w:val="2"/>
      </w:numPr>
    </w:pPr>
  </w:style>
  <w:style w:type="paragraph" w:styleId="20">
    <w:name w:val="Body Text Indent 2"/>
    <w:basedOn w:val="1"/>
    <w:qFormat/>
    <w:uiPriority w:val="0"/>
    <w:pPr>
      <w:spacing w:after="120"/>
      <w:ind w:left="420" w:leftChars="200"/>
    </w:pPr>
  </w:style>
  <w:style w:type="paragraph" w:styleId="21">
    <w:name w:val="Balloon Text"/>
    <w:basedOn w:val="1"/>
    <w:link w:val="55"/>
    <w:qFormat/>
    <w:uiPriority w:val="0"/>
    <w:pPr>
      <w:spacing w:line="240" w:lineRule="auto"/>
    </w:pPr>
    <w:rPr>
      <w:sz w:val="18"/>
      <w:szCs w:val="18"/>
    </w:rPr>
  </w:style>
  <w:style w:type="paragraph" w:styleId="22">
    <w:name w:val="footer"/>
    <w:basedOn w:val="1"/>
    <w:qFormat/>
    <w:uiPriority w:val="99"/>
    <w:pPr>
      <w:tabs>
        <w:tab w:val="center" w:pos="4153"/>
        <w:tab w:val="right" w:pos="8306"/>
      </w:tabs>
      <w:snapToGrid w:val="0"/>
      <w:jc w:val="left"/>
    </w:pPr>
    <w:rPr>
      <w:kern w:val="0"/>
      <w:sz w:val="18"/>
      <w:szCs w:val="20"/>
    </w:rPr>
  </w:style>
  <w:style w:type="paragraph" w:styleId="23">
    <w:name w:val="List"/>
    <w:basedOn w:val="1"/>
    <w:next w:val="1"/>
    <w:unhideWhenUsed/>
    <w:qFormat/>
    <w:uiPriority w:val="0"/>
    <w:pPr>
      <w:ind w:left="200" w:hanging="200" w:hangingChars="200"/>
      <w:contextualSpacing/>
    </w:pPr>
    <w:rPr>
      <w:szCs w:val="20"/>
    </w:r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25">
    <w:name w:val="Normal (Web)"/>
    <w:basedOn w:val="1"/>
    <w:qFormat/>
    <w:uiPriority w:val="99"/>
    <w:pPr>
      <w:widowControl/>
      <w:spacing w:before="100" w:beforeAutospacing="1" w:after="100" w:afterAutospacing="1"/>
      <w:jc w:val="left"/>
    </w:pPr>
    <w:rPr>
      <w:rFonts w:ascii="宋体" w:hAnsi="宋体"/>
      <w:kern w:val="0"/>
      <w:szCs w:val="20"/>
    </w:rPr>
  </w:style>
  <w:style w:type="paragraph" w:styleId="26">
    <w:name w:val="index 1"/>
    <w:basedOn w:val="1"/>
    <w:next w:val="1"/>
    <w:qFormat/>
    <w:uiPriority w:val="0"/>
    <w:rPr>
      <w:szCs w:val="22"/>
    </w:rPr>
  </w:style>
  <w:style w:type="paragraph" w:styleId="27">
    <w:name w:val="Title"/>
    <w:basedOn w:val="1"/>
    <w:next w:val="1"/>
    <w:link w:val="86"/>
    <w:qFormat/>
    <w:uiPriority w:val="0"/>
    <w:pPr>
      <w:spacing w:before="240" w:after="60"/>
      <w:jc w:val="center"/>
      <w:outlineLvl w:val="0"/>
    </w:pPr>
    <w:rPr>
      <w:rFonts w:asciiTheme="majorHAnsi" w:hAnsiTheme="majorHAnsi" w:eastAsiaTheme="majorEastAsia" w:cstheme="majorBidi"/>
      <w:b/>
      <w:bCs/>
      <w:sz w:val="32"/>
      <w:szCs w:val="32"/>
    </w:rPr>
  </w:style>
  <w:style w:type="paragraph" w:styleId="28">
    <w:name w:val="annotation subject"/>
    <w:basedOn w:val="16"/>
    <w:next w:val="16"/>
    <w:link w:val="54"/>
    <w:qFormat/>
    <w:uiPriority w:val="0"/>
    <w:rPr>
      <w:b/>
      <w:bCs/>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qFormat/>
    <w:uiPriority w:val="0"/>
  </w:style>
  <w:style w:type="character" w:styleId="33">
    <w:name w:val="Emphasis"/>
    <w:basedOn w:val="31"/>
    <w:qFormat/>
    <w:uiPriority w:val="0"/>
    <w:rPr>
      <w:i/>
    </w:rPr>
  </w:style>
  <w:style w:type="character" w:styleId="34">
    <w:name w:val="Hyperlink"/>
    <w:basedOn w:val="31"/>
    <w:qFormat/>
    <w:uiPriority w:val="0"/>
    <w:rPr>
      <w:color w:val="0000FF"/>
      <w:u w:val="single"/>
    </w:rPr>
  </w:style>
  <w:style w:type="character" w:styleId="35">
    <w:name w:val="annotation reference"/>
    <w:basedOn w:val="31"/>
    <w:qFormat/>
    <w:uiPriority w:val="0"/>
    <w:rPr>
      <w:sz w:val="21"/>
      <w:szCs w:val="21"/>
    </w:rPr>
  </w:style>
  <w:style w:type="paragraph" w:customStyle="1" w:styleId="36">
    <w:name w:val="正文1"/>
    <w:basedOn w:val="7"/>
    <w:next w:val="1"/>
    <w:link w:val="61"/>
    <w:qFormat/>
    <w:uiPriority w:val="0"/>
    <w:pPr>
      <w:ind w:firstLine="482" w:firstLineChars="0"/>
    </w:pPr>
    <w:rPr>
      <w:kern w:val="0"/>
      <w:szCs w:val="22"/>
      <w:lang w:val="zh-CN"/>
    </w:rPr>
  </w:style>
  <w:style w:type="paragraph" w:customStyle="1" w:styleId="37">
    <w:name w:val="样式 正文文本缩进 + 行距: 1.5 倍行距"/>
    <w:basedOn w:val="9"/>
    <w:qFormat/>
    <w:uiPriority w:val="0"/>
    <w:pPr>
      <w:ind w:firstLine="560"/>
    </w:pPr>
    <w:rPr>
      <w:rFonts w:cs="宋体"/>
      <w:sz w:val="28"/>
    </w:rPr>
  </w:style>
  <w:style w:type="paragraph" w:customStyle="1" w:styleId="38">
    <w:name w:val="Default"/>
    <w:basedOn w:val="39"/>
    <w:next w:val="1"/>
    <w:qFormat/>
    <w:uiPriority w:val="0"/>
    <w:pPr>
      <w:autoSpaceDE w:val="0"/>
      <w:autoSpaceDN w:val="0"/>
    </w:pPr>
    <w:rPr>
      <w:rFonts w:hAnsi="Calibri" w:cs="宋体"/>
      <w:sz w:val="24"/>
      <w:szCs w:val="24"/>
    </w:rPr>
  </w:style>
  <w:style w:type="paragraph" w:customStyle="1" w:styleId="39">
    <w:name w:val="纯文本1"/>
    <w:basedOn w:val="1"/>
    <w:qFormat/>
    <w:uiPriority w:val="0"/>
    <w:rPr>
      <w:rFonts w:ascii="宋体" w:hAnsi="Courier New" w:cs="Courier New"/>
      <w:sz w:val="21"/>
      <w:szCs w:val="21"/>
    </w:rPr>
  </w:style>
  <w:style w:type="paragraph" w:customStyle="1" w:styleId="40">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41">
    <w:name w:val="表头"/>
    <w:basedOn w:val="15"/>
    <w:link w:val="60"/>
    <w:qFormat/>
    <w:uiPriority w:val="0"/>
    <w:pPr>
      <w:textAlignment w:val="baseline"/>
    </w:pPr>
    <w:rPr>
      <w:rFonts w:ascii="黑体"/>
      <w:b/>
      <w:kern w:val="0"/>
      <w:szCs w:val="20"/>
    </w:rPr>
  </w:style>
  <w:style w:type="paragraph" w:customStyle="1" w:styleId="42">
    <w:name w:val="表格内容"/>
    <w:qFormat/>
    <w:uiPriority w:val="0"/>
    <w:pPr>
      <w:adjustRightInd w:val="0"/>
      <w:snapToGrid w:val="0"/>
      <w:spacing w:before="60" w:after="60"/>
      <w:jc w:val="center"/>
    </w:pPr>
    <w:rPr>
      <w:rFonts w:ascii="Times New Roman" w:hAnsi="Times New Roman" w:eastAsia="宋体" w:cs="Times New Roman"/>
      <w:kern w:val="2"/>
      <w:sz w:val="21"/>
      <w:szCs w:val="21"/>
      <w:lang w:val="en-US" w:eastAsia="zh-CN" w:bidi="ar-SA"/>
    </w:rPr>
  </w:style>
  <w:style w:type="paragraph" w:customStyle="1" w:styleId="43">
    <w:name w:val="表格文字2"/>
    <w:basedOn w:val="1"/>
    <w:link w:val="58"/>
    <w:qFormat/>
    <w:uiPriority w:val="0"/>
    <w:pPr>
      <w:tabs>
        <w:tab w:val="left" w:pos="277"/>
        <w:tab w:val="left" w:pos="600"/>
        <w:tab w:val="left" w:pos="780"/>
        <w:tab w:val="left" w:pos="2517"/>
      </w:tabs>
      <w:adjustRightInd w:val="0"/>
      <w:spacing w:line="240" w:lineRule="auto"/>
      <w:ind w:firstLine="0" w:firstLineChars="0"/>
      <w:jc w:val="center"/>
    </w:pPr>
    <w:rPr>
      <w:rFonts w:ascii="宋体" w:hAnsi="宋体" w:cs="宋体"/>
      <w:bCs/>
      <w:spacing w:val="5"/>
      <w:kern w:val="0"/>
      <w:sz w:val="21"/>
      <w:szCs w:val="21"/>
    </w:rPr>
  </w:style>
  <w:style w:type="paragraph" w:customStyle="1" w:styleId="44">
    <w:name w:val="li_正文"/>
    <w:basedOn w:val="1"/>
    <w:qFormat/>
    <w:uiPriority w:val="0"/>
    <w:pPr>
      <w:jc w:val="left"/>
    </w:pPr>
  </w:style>
  <w:style w:type="paragraph" w:customStyle="1" w:styleId="45">
    <w:name w:val="表格内容格式"/>
    <w:basedOn w:val="1"/>
    <w:qFormat/>
    <w:uiPriority w:val="0"/>
    <w:pPr>
      <w:tabs>
        <w:tab w:val="left" w:pos="1755"/>
      </w:tabs>
      <w:adjustRightInd w:val="0"/>
      <w:spacing w:line="240" w:lineRule="auto"/>
      <w:ind w:firstLine="0" w:firstLineChars="0"/>
      <w:jc w:val="center"/>
      <w:textAlignment w:val="baseline"/>
    </w:pPr>
    <w:rPr>
      <w:rFonts w:ascii="宋体" w:hAnsi="宋体"/>
      <w:snapToGrid w:val="0"/>
      <w:w w:val="95"/>
      <w:kern w:val="0"/>
      <w:sz w:val="21"/>
      <w:szCs w:val="20"/>
    </w:rPr>
  </w:style>
  <w:style w:type="paragraph" w:customStyle="1" w:styleId="46">
    <w:name w:val="文本"/>
    <w:basedOn w:val="1"/>
    <w:qFormat/>
    <w:uiPriority w:val="0"/>
    <w:pPr>
      <w:adjustRightInd w:val="0"/>
      <w:snapToGrid w:val="0"/>
      <w:spacing w:line="520" w:lineRule="exact"/>
    </w:pPr>
    <w:rPr>
      <w:rFonts w:ascii="宋体" w:hAnsi="Calibri" w:eastAsia="仿宋_GB2312"/>
      <w:kern w:val="0"/>
      <w:lang w:bidi="ug-CN"/>
    </w:rPr>
  </w:style>
  <w:style w:type="paragraph" w:customStyle="1" w:styleId="47">
    <w:name w:val="。正文格式"/>
    <w:qFormat/>
    <w:uiPriority w:val="0"/>
    <w:pPr>
      <w:widowControl w:val="0"/>
      <w:spacing w:line="360" w:lineRule="auto"/>
      <w:ind w:firstLine="200" w:firstLineChars="200"/>
    </w:pPr>
    <w:rPr>
      <w:rFonts w:ascii="Times New Roman" w:hAnsi="Times New Roman" w:eastAsia="宋体" w:cs="Times New Roman"/>
      <w:sz w:val="24"/>
      <w:lang w:val="en-US" w:eastAsia="zh-CN" w:bidi="ar-SA"/>
    </w:rPr>
  </w:style>
  <w:style w:type="paragraph" w:customStyle="1" w:styleId="48">
    <w:name w:val="表题"/>
    <w:basedOn w:val="1"/>
    <w:next w:val="1"/>
    <w:qFormat/>
    <w:uiPriority w:val="0"/>
    <w:pPr>
      <w:spacing w:before="50" w:beforeLines="50"/>
      <w:jc w:val="center"/>
      <w:textAlignment w:val="center"/>
    </w:pPr>
    <w:rPr>
      <w:b/>
      <w:szCs w:val="22"/>
    </w:rPr>
  </w:style>
  <w:style w:type="paragraph" w:customStyle="1" w:styleId="49">
    <w:name w:val="正文2"/>
    <w:basedOn w:val="15"/>
    <w:link w:val="59"/>
    <w:qFormat/>
    <w:uiPriority w:val="0"/>
    <w:pPr>
      <w:widowControl w:val="0"/>
      <w:snapToGrid/>
      <w:spacing w:before="0" w:after="0" w:line="360" w:lineRule="auto"/>
      <w:ind w:right="0"/>
    </w:pPr>
    <w:rPr>
      <w:kern w:val="2"/>
      <w:sz w:val="24"/>
      <w:szCs w:val="22"/>
    </w:rPr>
  </w:style>
  <w:style w:type="paragraph" w:customStyle="1" w:styleId="50">
    <w:name w:val="。。。。。。。。。2级标题"/>
    <w:qFormat/>
    <w:uiPriority w:val="0"/>
    <w:pPr>
      <w:keepNext/>
      <w:keepLines/>
      <w:widowControl w:val="0"/>
      <w:tabs>
        <w:tab w:val="left" w:pos="425"/>
        <w:tab w:val="left" w:pos="567"/>
      </w:tabs>
      <w:spacing w:line="360" w:lineRule="auto"/>
      <w:jc w:val="both"/>
      <w:outlineLvl w:val="1"/>
    </w:pPr>
    <w:rPr>
      <w:rFonts w:ascii="Times New Roman" w:hAnsi="Times New Roman" w:eastAsia="宋体" w:cs="Times New Roman"/>
      <w:b/>
      <w:bCs/>
      <w:kern w:val="2"/>
      <w:sz w:val="30"/>
      <w:szCs w:val="30"/>
      <w:lang w:val="en-US" w:eastAsia="zh-CN" w:bidi="ar-SA"/>
    </w:rPr>
  </w:style>
  <w:style w:type="paragraph" w:customStyle="1" w:styleId="51">
    <w:name w:val="图名、表头"/>
    <w:next w:val="1"/>
    <w:unhideWhenUsed/>
    <w:qFormat/>
    <w:uiPriority w:val="0"/>
    <w:pPr>
      <w:widowControl w:val="0"/>
      <w:ind w:firstLine="640" w:firstLineChars="200"/>
      <w:jc w:val="center"/>
    </w:pPr>
    <w:rPr>
      <w:rFonts w:ascii="Times New Roman" w:hAnsi="Times New Roman" w:eastAsia="宋体" w:cs="Times New Roman"/>
      <w:b/>
      <w:color w:val="FF0000"/>
      <w:kern w:val="2"/>
      <w:sz w:val="24"/>
      <w:lang w:val="en-US" w:eastAsia="zh-CN" w:bidi="ar-SA"/>
    </w:rPr>
  </w:style>
  <w:style w:type="paragraph" w:customStyle="1" w:styleId="52">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53">
    <w:name w:val="批注文字 字符"/>
    <w:basedOn w:val="31"/>
    <w:link w:val="16"/>
    <w:qFormat/>
    <w:uiPriority w:val="0"/>
    <w:rPr>
      <w:kern w:val="2"/>
      <w:sz w:val="24"/>
      <w:szCs w:val="24"/>
    </w:rPr>
  </w:style>
  <w:style w:type="character" w:customStyle="1" w:styleId="54">
    <w:name w:val="批注主题 字符"/>
    <w:basedOn w:val="53"/>
    <w:link w:val="28"/>
    <w:qFormat/>
    <w:uiPriority w:val="0"/>
    <w:rPr>
      <w:b/>
      <w:bCs/>
      <w:kern w:val="2"/>
      <w:sz w:val="24"/>
      <w:szCs w:val="24"/>
    </w:rPr>
  </w:style>
  <w:style w:type="character" w:customStyle="1" w:styleId="55">
    <w:name w:val="批注框文本 字符"/>
    <w:basedOn w:val="31"/>
    <w:link w:val="21"/>
    <w:qFormat/>
    <w:uiPriority w:val="0"/>
    <w:rPr>
      <w:kern w:val="2"/>
      <w:sz w:val="18"/>
      <w:szCs w:val="18"/>
    </w:rPr>
  </w:style>
  <w:style w:type="paragraph" w:styleId="56">
    <w:name w:val="List Paragraph"/>
    <w:basedOn w:val="1"/>
    <w:qFormat/>
    <w:uiPriority w:val="34"/>
    <w:pPr>
      <w:ind w:firstLine="420"/>
    </w:pPr>
  </w:style>
  <w:style w:type="paragraph" w:customStyle="1" w:styleId="57">
    <w:name w:val="正文(首行缩进)"/>
    <w:basedOn w:val="1"/>
    <w:next w:val="3"/>
    <w:qFormat/>
    <w:uiPriority w:val="0"/>
    <w:pPr>
      <w:ind w:firstLine="480"/>
    </w:pPr>
    <w:rPr>
      <w:bCs/>
      <w:color w:val="000000"/>
      <w:kern w:val="24"/>
    </w:rPr>
  </w:style>
  <w:style w:type="character" w:customStyle="1" w:styleId="58">
    <w:name w:val="表格文字2 Char"/>
    <w:link w:val="43"/>
    <w:qFormat/>
    <w:locked/>
    <w:uiPriority w:val="0"/>
    <w:rPr>
      <w:rFonts w:ascii="宋体" w:hAnsi="宋体" w:cs="宋体"/>
      <w:bCs/>
      <w:spacing w:val="5"/>
      <w:sz w:val="21"/>
      <w:szCs w:val="21"/>
    </w:rPr>
  </w:style>
  <w:style w:type="character" w:customStyle="1" w:styleId="59">
    <w:name w:val="正文2 Char"/>
    <w:basedOn w:val="31"/>
    <w:link w:val="49"/>
    <w:qFormat/>
    <w:uiPriority w:val="0"/>
    <w:rPr>
      <w:kern w:val="2"/>
      <w:sz w:val="24"/>
      <w:szCs w:val="22"/>
    </w:rPr>
  </w:style>
  <w:style w:type="character" w:customStyle="1" w:styleId="60">
    <w:name w:val="表头 Char"/>
    <w:link w:val="41"/>
    <w:qFormat/>
    <w:uiPriority w:val="0"/>
    <w:rPr>
      <w:rFonts w:ascii="黑体"/>
      <w:b/>
      <w:sz w:val="21"/>
    </w:rPr>
  </w:style>
  <w:style w:type="character" w:customStyle="1" w:styleId="61">
    <w:name w:val="正文 Char"/>
    <w:basedOn w:val="31"/>
    <w:link w:val="36"/>
    <w:qFormat/>
    <w:uiPriority w:val="0"/>
    <w:rPr>
      <w:sz w:val="24"/>
      <w:szCs w:val="22"/>
      <w:lang w:val="zh-CN"/>
    </w:rPr>
  </w:style>
  <w:style w:type="paragraph" w:styleId="62">
    <w:name w:val="No Spacing"/>
    <w:basedOn w:val="23"/>
    <w:next w:val="1"/>
    <w:link w:val="63"/>
    <w:qFormat/>
    <w:uiPriority w:val="1"/>
    <w:pPr>
      <w:spacing w:line="240" w:lineRule="auto"/>
      <w:ind w:left="0" w:firstLine="0" w:firstLineChars="0"/>
      <w:jc w:val="center"/>
      <w:textAlignment w:val="center"/>
    </w:pPr>
    <w:rPr>
      <w:rFonts w:cstheme="minorBidi"/>
      <w:sz w:val="21"/>
      <w:szCs w:val="22"/>
    </w:rPr>
  </w:style>
  <w:style w:type="character" w:customStyle="1" w:styleId="63">
    <w:name w:val="无间隔 字符"/>
    <w:basedOn w:val="31"/>
    <w:link w:val="62"/>
    <w:qFormat/>
    <w:locked/>
    <w:uiPriority w:val="1"/>
    <w:rPr>
      <w:rFonts w:cstheme="minorBidi"/>
      <w:kern w:val="2"/>
      <w:sz w:val="21"/>
      <w:szCs w:val="22"/>
    </w:rPr>
  </w:style>
  <w:style w:type="character" w:styleId="64">
    <w:name w:val="Placeholder Text"/>
    <w:basedOn w:val="31"/>
    <w:semiHidden/>
    <w:qFormat/>
    <w:uiPriority w:val="99"/>
    <w:rPr>
      <w:color w:val="808080"/>
    </w:rPr>
  </w:style>
  <w:style w:type="character" w:customStyle="1" w:styleId="65">
    <w:name w:val="标题 3 字符"/>
    <w:basedOn w:val="31"/>
    <w:link w:val="4"/>
    <w:qFormat/>
    <w:uiPriority w:val="0"/>
    <w:rPr>
      <w:b/>
      <w:bCs/>
      <w:kern w:val="2"/>
      <w:sz w:val="32"/>
      <w:szCs w:val="32"/>
    </w:rPr>
  </w:style>
  <w:style w:type="paragraph" w:customStyle="1" w:styleId="66">
    <w:name w:val="Table Paragraph"/>
    <w:basedOn w:val="1"/>
    <w:qFormat/>
    <w:uiPriority w:val="1"/>
  </w:style>
  <w:style w:type="paragraph" w:customStyle="1" w:styleId="67">
    <w:name w:val="样式 表内容 + 行距: 固定值 28 磅"/>
    <w:basedOn w:val="68"/>
    <w:qFormat/>
    <w:uiPriority w:val="0"/>
    <w:rPr>
      <w:rFonts w:cs="宋体"/>
      <w:szCs w:val="20"/>
    </w:rPr>
  </w:style>
  <w:style w:type="paragraph" w:customStyle="1" w:styleId="68">
    <w:name w:val="表内容"/>
    <w:basedOn w:val="1"/>
    <w:next w:val="1"/>
    <w:qFormat/>
    <w:uiPriority w:val="0"/>
    <w:pPr>
      <w:jc w:val="center"/>
    </w:pPr>
    <w:rPr>
      <w:rFonts w:ascii="宋体" w:hAnsi="宋体"/>
    </w:rPr>
  </w:style>
  <w:style w:type="paragraph" w:customStyle="1" w:styleId="69">
    <w:name w:val="Char"/>
    <w:basedOn w:val="1"/>
    <w:qFormat/>
    <w:uiPriority w:val="0"/>
    <w:rPr>
      <w:rFonts w:ascii="宋体" w:hAnsi="宋体" w:cs="宋体"/>
    </w:rPr>
  </w:style>
  <w:style w:type="paragraph" w:customStyle="1" w:styleId="70">
    <w:name w:val="Body Text 21"/>
    <w:basedOn w:val="1"/>
    <w:qFormat/>
    <w:uiPriority w:val="0"/>
    <w:pPr>
      <w:spacing w:after="120" w:line="480" w:lineRule="auto"/>
    </w:pPr>
  </w:style>
  <w:style w:type="paragraph" w:customStyle="1" w:styleId="71">
    <w:name w:val="表格标题-段前0.3行"/>
    <w:basedOn w:val="1"/>
    <w:qFormat/>
    <w:uiPriority w:val="0"/>
    <w:pPr>
      <w:keepNext/>
      <w:keepLines/>
      <w:widowControl/>
      <w:spacing w:before="30" w:beforeLines="30"/>
      <w:jc w:val="center"/>
    </w:pPr>
    <w:rPr>
      <w:b/>
      <w:bCs/>
    </w:rPr>
  </w:style>
  <w:style w:type="paragraph" w:customStyle="1" w:styleId="72">
    <w:name w:val="表格内文字"/>
    <w:basedOn w:val="1"/>
    <w:qFormat/>
    <w:uiPriority w:val="0"/>
    <w:pPr>
      <w:widowControl/>
      <w:jc w:val="center"/>
    </w:pPr>
    <w:rPr>
      <w:sz w:val="21"/>
      <w:szCs w:val="21"/>
    </w:rPr>
  </w:style>
  <w:style w:type="paragraph" w:customStyle="1" w:styleId="73">
    <w:name w:val="表格内"/>
    <w:basedOn w:val="1"/>
    <w:next w:val="1"/>
    <w:qFormat/>
    <w:uiPriority w:val="0"/>
    <w:pPr>
      <w:widowControl/>
      <w:jc w:val="center"/>
    </w:pPr>
    <w:rPr>
      <w:rFonts w:ascii="Calibri" w:hAnsi="Calibri"/>
      <w:szCs w:val="21"/>
    </w:rPr>
  </w:style>
  <w:style w:type="paragraph" w:customStyle="1" w:styleId="74">
    <w:name w:val="正文（缩进）"/>
    <w:basedOn w:val="1"/>
    <w:qFormat/>
    <w:uiPriority w:val="99"/>
    <w:pPr>
      <w:ind w:firstLine="480"/>
    </w:pPr>
  </w:style>
  <w:style w:type="paragraph" w:customStyle="1" w:styleId="75">
    <w:name w:val="孙常亮 表格"/>
    <w:basedOn w:val="76"/>
    <w:qFormat/>
    <w:uiPriority w:val="0"/>
    <w:pPr>
      <w:ind w:firstLine="0" w:firstLineChars="0"/>
    </w:pPr>
    <w:rPr>
      <w:sz w:val="21"/>
    </w:rPr>
  </w:style>
  <w:style w:type="paragraph" w:customStyle="1" w:styleId="76">
    <w:name w:val="表格内容五号"/>
    <w:basedOn w:val="1"/>
    <w:qFormat/>
    <w:uiPriority w:val="0"/>
    <w:pPr>
      <w:jc w:val="center"/>
    </w:pPr>
    <w:rPr>
      <w:color w:val="000000"/>
      <w:sz w:val="34"/>
      <w:szCs w:val="21"/>
    </w:rPr>
  </w:style>
  <w:style w:type="paragraph" w:customStyle="1" w:styleId="77">
    <w:name w:val="a-表内"/>
    <w:qFormat/>
    <w:uiPriority w:val="0"/>
    <w:pPr>
      <w:adjustRightInd w:val="0"/>
      <w:snapToGrid w:val="0"/>
      <w:spacing w:line="0" w:lineRule="atLeast"/>
      <w:jc w:val="center"/>
    </w:pPr>
    <w:rPr>
      <w:rFonts w:ascii="Times New Roman" w:hAnsi="Times New Roman" w:eastAsia="宋体" w:cs="Times New Roman"/>
      <w:color w:val="000000"/>
      <w:kern w:val="2"/>
      <w:sz w:val="21"/>
      <w:szCs w:val="21"/>
      <w:lang w:val="en-US" w:eastAsia="zh-CN" w:bidi="ar-SA"/>
    </w:rPr>
  </w:style>
  <w:style w:type="character" w:customStyle="1" w:styleId="78">
    <w:name w:val="font21"/>
    <w:basedOn w:val="31"/>
    <w:qFormat/>
    <w:uiPriority w:val="0"/>
    <w:rPr>
      <w:rFonts w:ascii="Calibri" w:hAnsi="Calibri" w:cs="Calibri"/>
      <w:color w:val="000000"/>
      <w:sz w:val="24"/>
      <w:szCs w:val="24"/>
      <w:u w:val="none"/>
    </w:rPr>
  </w:style>
  <w:style w:type="paragraph" w:customStyle="1" w:styleId="79">
    <w:name w:val="0正文"/>
    <w:basedOn w:val="9"/>
    <w:unhideWhenUsed/>
    <w:qFormat/>
    <w:uiPriority w:val="0"/>
    <w:pPr>
      <w:ind w:firstLine="720"/>
    </w:pPr>
  </w:style>
  <w:style w:type="paragraph" w:customStyle="1" w:styleId="80">
    <w:name w:val="正文3"/>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81">
    <w:name w:val="CM9"/>
    <w:basedOn w:val="1"/>
    <w:next w:val="1"/>
    <w:qFormat/>
    <w:uiPriority w:val="0"/>
    <w:pPr>
      <w:autoSpaceDE w:val="0"/>
      <w:autoSpaceDN w:val="0"/>
      <w:adjustRightInd w:val="0"/>
      <w:spacing w:line="468" w:lineRule="atLeast"/>
      <w:jc w:val="left"/>
    </w:pPr>
    <w:rPr>
      <w:rFonts w:ascii="黑体" w:eastAsia="黑体"/>
      <w:kern w:val="0"/>
    </w:rPr>
  </w:style>
  <w:style w:type="paragraph" w:customStyle="1" w:styleId="82">
    <w:name w:val="标1"/>
    <w:basedOn w:val="1"/>
    <w:qFormat/>
    <w:uiPriority w:val="0"/>
    <w:pPr>
      <w:spacing w:before="60" w:line="460" w:lineRule="exact"/>
      <w:outlineLvl w:val="0"/>
    </w:pPr>
    <w:rPr>
      <w:b/>
      <w:sz w:val="32"/>
    </w:rPr>
  </w:style>
  <w:style w:type="paragraph" w:customStyle="1" w:styleId="83">
    <w:name w:val="表格文字"/>
    <w:basedOn w:val="1"/>
    <w:qFormat/>
    <w:uiPriority w:val="0"/>
    <w:pPr>
      <w:spacing w:line="240" w:lineRule="auto"/>
      <w:ind w:firstLine="0" w:firstLineChars="0"/>
      <w:jc w:val="center"/>
    </w:pPr>
  </w:style>
  <w:style w:type="table" w:customStyle="1" w:styleId="84">
    <w:name w:val="Table Normal"/>
    <w:semiHidden/>
    <w:unhideWhenUsed/>
    <w:qFormat/>
    <w:uiPriority w:val="0"/>
    <w:tblPr>
      <w:tblCellMar>
        <w:top w:w="0" w:type="dxa"/>
        <w:left w:w="0" w:type="dxa"/>
        <w:bottom w:w="0" w:type="dxa"/>
        <w:right w:w="0" w:type="dxa"/>
      </w:tblCellMar>
    </w:tblPr>
  </w:style>
  <w:style w:type="character" w:customStyle="1" w:styleId="85">
    <w:name w:val="Unresolved Mention"/>
    <w:basedOn w:val="31"/>
    <w:semiHidden/>
    <w:unhideWhenUsed/>
    <w:qFormat/>
    <w:uiPriority w:val="99"/>
    <w:rPr>
      <w:color w:val="605E5C"/>
      <w:shd w:val="clear" w:color="auto" w:fill="E1DFDD"/>
    </w:rPr>
  </w:style>
  <w:style w:type="character" w:customStyle="1" w:styleId="86">
    <w:name w:val="标题 字符"/>
    <w:basedOn w:val="31"/>
    <w:link w:val="27"/>
    <w:qFormat/>
    <w:uiPriority w:val="0"/>
    <w:rPr>
      <w:rFonts w:asciiTheme="majorHAnsi" w:hAnsiTheme="majorHAnsi" w:eastAsiaTheme="majorEastAsia" w:cstheme="majorBidi"/>
      <w:b/>
      <w:bCs/>
      <w:kern w:val="2"/>
      <w:sz w:val="32"/>
      <w:szCs w:val="32"/>
    </w:rPr>
  </w:style>
  <w:style w:type="paragraph" w:customStyle="1" w:styleId="87">
    <w:name w:val="WPSOffice手动目录 1"/>
    <w:qFormat/>
    <w:uiPriority w:val="0"/>
    <w:pPr>
      <w:ind w:leftChars="0"/>
    </w:pPr>
    <w:rPr>
      <w:rFonts w:ascii="Times New Roman" w:hAnsi="Times New Roman" w:eastAsia="宋体" w:cs="Times New Roman"/>
      <w:sz w:val="20"/>
      <w:szCs w:val="20"/>
    </w:rPr>
  </w:style>
  <w:style w:type="paragraph" w:customStyle="1" w:styleId="88">
    <w:name w:val="表格2"/>
    <w:basedOn w:val="1"/>
    <w:autoRedefine/>
    <w:qFormat/>
    <w:uiPriority w:val="0"/>
    <w:pPr>
      <w:kinsoku w:val="0"/>
      <w:overflowPunct w:val="0"/>
      <w:autoSpaceDE w:val="0"/>
      <w:autoSpaceDN w:val="0"/>
      <w:adjustRightInd w:val="0"/>
      <w:spacing w:line="240" w:lineRule="auto"/>
      <w:ind w:firstLine="0" w:firstLineChars="0"/>
      <w:jc w:val="center"/>
      <w:textAlignment w:val="auto"/>
    </w:pPr>
    <w:rPr>
      <w:rFonts w:ascii="宋体" w:hAnsi="Calibri" w:eastAsia="宋体" w:cs="宋体"/>
      <w:sz w:val="21"/>
      <w:szCs w:val="21"/>
    </w:rPr>
  </w:style>
  <w:style w:type="paragraph" w:customStyle="1" w:styleId="89">
    <w:name w:val="正文-1"/>
    <w:qFormat/>
    <w:uiPriority w:val="0"/>
    <w:pPr>
      <w:spacing w:line="480" w:lineRule="exact"/>
      <w:ind w:firstLine="200" w:firstLineChars="200"/>
      <w:jc w:val="both"/>
    </w:pPr>
    <w:rPr>
      <w:rFonts w:ascii="宋体" w:hAnsi="宋体" w:eastAsia="宋体" w:cs="宋体"/>
      <w:kern w:val="2"/>
      <w:sz w:val="24"/>
      <w:lang w:val="en-US" w:eastAsia="zh-CN" w:bidi="ar-SA"/>
    </w:rPr>
  </w:style>
  <w:style w:type="paragraph" w:customStyle="1" w:styleId="90">
    <w:name w:val="Body text|1"/>
    <w:basedOn w:val="1"/>
    <w:qFormat/>
    <w:uiPriority w:val="0"/>
    <w:pPr>
      <w:widowControl w:val="0"/>
      <w:shd w:val="clear" w:color="auto" w:fill="auto"/>
      <w:spacing w:after="40"/>
      <w:jc w:val="center"/>
    </w:pPr>
    <w:rPr>
      <w:rFonts w:ascii="宋体" w:hAnsi="宋体" w:eastAsia="宋体" w:cs="宋体"/>
      <w:sz w:val="32"/>
      <w:szCs w:val="32"/>
      <w:u w:val="none"/>
      <w:shd w:val="clear" w:color="auto" w:fill="auto"/>
      <w:lang w:val="zh-TW" w:eastAsia="zh-TW" w:bidi="zh-TW"/>
    </w:rPr>
  </w:style>
  <w:style w:type="paragraph" w:customStyle="1" w:styleId="91">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9892BD-B8DC-4D34-AEA5-E4513B44E95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22119</Words>
  <Characters>24508</Characters>
  <Lines>327</Lines>
  <Paragraphs>92</Paragraphs>
  <TotalTime>32</TotalTime>
  <ScaleCrop>false</ScaleCrop>
  <LinksUpToDate>false</LinksUpToDate>
  <CharactersWithSpaces>24529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2023-10-03T06:39:00Z</dcterms:created>
  <dc:creator>.</dc:creator>
  <cp:lastModifiedBy></cp:lastModifiedBy>
  <cp:lastPrinted>2025-03-18T09:19:00Z</cp:lastPrinted>
  <dcterms:modified xsi:type="dcterms:W3CDTF">2025-03-25T08:58:59Z</dcterms:modified>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25937A55D67A46AF92D9CA60B29B1135</vt:lpwstr>
  </property>
  <property fmtid="{D5CDD505-2E9C-101B-9397-08002B2CF9AE}" pid="4" name="KSOTemplateDocerSaveRecord">
    <vt:lpwstr>eyJoZGlkIjoiZDA1NmM0YmRlYjQ0NzI1YWJjMDM1YTE2NjZjMzEwZmYiLCJ1c2VySWQiOiIxMDA5MjQyMjI4In0=</vt:lpwstr>
  </property>
</Properties>
</file>