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F0775">
      <w:pPr>
        <w:rPr>
          <w:rFonts w:ascii="仿宋_GB2312" w:hAnsi="仿宋_GB2312" w:eastAsia="仿宋_GB2312" w:cs="仿宋_GB2312"/>
          <w:sz w:val="36"/>
          <w:szCs w:val="36"/>
        </w:rPr>
      </w:pPr>
    </w:p>
    <w:p w14:paraId="7D696199">
      <w:pPr>
        <w:rPr>
          <w:rFonts w:ascii="仿宋_GB2312" w:hAnsi="仿宋_GB2312" w:eastAsia="仿宋_GB2312" w:cs="仿宋_GB2312"/>
          <w:sz w:val="36"/>
          <w:szCs w:val="36"/>
        </w:rPr>
      </w:pPr>
    </w:p>
    <w:p w14:paraId="34CA1F33">
      <w:pPr>
        <w:rPr>
          <w:rFonts w:ascii="仿宋_GB2312" w:hAnsi="仿宋_GB2312" w:eastAsia="仿宋_GB2312" w:cs="仿宋_GB2312"/>
          <w:sz w:val="36"/>
          <w:szCs w:val="36"/>
        </w:rPr>
      </w:pPr>
    </w:p>
    <w:p w14:paraId="0E987441">
      <w:pPr>
        <w:rPr>
          <w:rFonts w:ascii="仿宋_GB2312" w:hAnsi="仿宋_GB2312" w:eastAsia="仿宋_GB2312" w:cs="仿宋_GB2312"/>
          <w:sz w:val="36"/>
          <w:szCs w:val="36"/>
        </w:rPr>
      </w:pPr>
    </w:p>
    <w:p w14:paraId="6F00E923">
      <w:pPr>
        <w:rPr>
          <w:rFonts w:hint="eastAsia" w:ascii="仿宋_GB2312" w:hAnsi="仿宋_GB2312" w:eastAsia="仿宋_GB2312" w:cs="仿宋_GB2312"/>
          <w:sz w:val="36"/>
          <w:szCs w:val="36"/>
        </w:rPr>
      </w:pPr>
    </w:p>
    <w:p w14:paraId="5BA45A50">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14:paraId="15A224F3">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14:paraId="2B684190">
      <w:pPr>
        <w:adjustRightInd w:val="0"/>
        <w:snapToGrid w:val="0"/>
        <w:spacing w:line="288" w:lineRule="auto"/>
        <w:jc w:val="center"/>
        <w:outlineLvl w:val="0"/>
        <w:rPr>
          <w:rFonts w:ascii="华文仿宋" w:hAnsi="华文仿宋" w:eastAsia="华文仿宋" w:cs="华文仿宋"/>
          <w:color w:val="000000"/>
          <w:kern w:val="44"/>
          <w:sz w:val="44"/>
          <w:szCs w:val="44"/>
        </w:rPr>
      </w:pPr>
    </w:p>
    <w:p w14:paraId="0B9AA021">
      <w:pPr>
        <w:jc w:val="center"/>
        <w:rPr>
          <w:rFonts w:eastAsia="仿宋"/>
          <w:sz w:val="52"/>
          <w:szCs w:val="52"/>
        </w:rPr>
      </w:pPr>
    </w:p>
    <w:p w14:paraId="077DB701">
      <w:pPr>
        <w:ind w:firstLine="1040"/>
        <w:rPr>
          <w:rFonts w:eastAsia="仿宋"/>
          <w:sz w:val="44"/>
          <w:szCs w:val="44"/>
        </w:rPr>
      </w:pPr>
    </w:p>
    <w:p w14:paraId="27DA8B7D">
      <w:pPr>
        <w:ind w:firstLine="1040"/>
        <w:rPr>
          <w:rFonts w:eastAsia="仿宋"/>
          <w:sz w:val="44"/>
          <w:szCs w:val="44"/>
        </w:rPr>
      </w:pPr>
    </w:p>
    <w:p w14:paraId="779B942A">
      <w:pPr>
        <w:ind w:firstLine="1040"/>
        <w:rPr>
          <w:rFonts w:eastAsia="仿宋"/>
          <w:sz w:val="44"/>
          <w:szCs w:val="44"/>
        </w:rPr>
      </w:pPr>
    </w:p>
    <w:p w14:paraId="11DACB87">
      <w:pPr>
        <w:ind w:firstLine="1040"/>
        <w:rPr>
          <w:rFonts w:eastAsia="仿宋"/>
          <w:sz w:val="44"/>
          <w:szCs w:val="44"/>
        </w:rPr>
      </w:pPr>
    </w:p>
    <w:p w14:paraId="422EA2ED">
      <w:pPr>
        <w:adjustRightInd w:val="0"/>
        <w:snapToGrid w:val="0"/>
        <w:spacing w:line="288" w:lineRule="auto"/>
        <w:ind w:left="2877" w:leftChars="513" w:hanging="1800" w:hangingChars="500"/>
        <w:rPr>
          <w:rFonts w:hint="eastAsia" w:ascii="仿宋_GB2312" w:eastAsia="仿宋_GB2312"/>
          <w:sz w:val="36"/>
          <w:szCs w:val="36"/>
          <w:u w:val="single"/>
        </w:rPr>
      </w:pPr>
      <w:r>
        <w:rPr>
          <w:rFonts w:hint="eastAsia" w:ascii="仿宋_GB2312" w:eastAsia="仿宋_GB2312"/>
          <w:sz w:val="36"/>
          <w:szCs w:val="36"/>
        </w:rPr>
        <w:t xml:space="preserve">项目名称： </w:t>
      </w:r>
      <w:r>
        <w:rPr>
          <w:rFonts w:hint="eastAsia" w:ascii="仿宋_GB2312" w:eastAsia="仿宋_GB2312"/>
          <w:sz w:val="36"/>
          <w:szCs w:val="36"/>
          <w:u w:val="single"/>
        </w:rPr>
        <w:t xml:space="preserve"> </w:t>
      </w:r>
      <w:r>
        <w:rPr>
          <w:rFonts w:hint="eastAsia" w:ascii="仿宋_GB2312" w:eastAsia="仿宋_GB2312"/>
          <w:sz w:val="36"/>
          <w:szCs w:val="36"/>
          <w:u w:val="single"/>
          <w:lang w:eastAsia="zh-CN"/>
        </w:rPr>
        <w:t>新疆金诚凯瑞包装桶制造有限公司220L*990开口锥形金属包装桶</w:t>
      </w:r>
      <w:r>
        <w:rPr>
          <w:rFonts w:hint="eastAsia" w:ascii="仿宋_GB2312" w:eastAsia="仿宋_GB2312"/>
          <w:sz w:val="36"/>
          <w:szCs w:val="36"/>
          <w:u w:val="single"/>
        </w:rPr>
        <w:t xml:space="preserve">  </w:t>
      </w:r>
    </w:p>
    <w:p w14:paraId="35EC5CCF">
      <w:pPr>
        <w:adjustRightInd w:val="0"/>
        <w:snapToGrid w:val="0"/>
        <w:spacing w:line="288" w:lineRule="auto"/>
        <w:ind w:left="4317" w:leftChars="513" w:hanging="3240" w:hangingChars="90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新疆金诚凯瑞包装桶制造有限公司                 </w:t>
      </w:r>
    </w:p>
    <w:p w14:paraId="38839480">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2025年3月</w:t>
      </w:r>
      <w:r>
        <w:rPr>
          <w:rFonts w:ascii="仿宋_GB2312" w:eastAsia="仿宋_GB2312"/>
          <w:sz w:val="36"/>
          <w:szCs w:val="36"/>
          <w:u w:val="single"/>
        </w:rPr>
        <w:t xml:space="preserve">                      </w:t>
      </w:r>
    </w:p>
    <w:p w14:paraId="7102E804">
      <w:pPr>
        <w:adjustRightInd w:val="0"/>
        <w:snapToGrid w:val="0"/>
        <w:spacing w:line="288" w:lineRule="auto"/>
        <w:rPr>
          <w:rFonts w:ascii="仿宋_GB2312" w:eastAsia="仿宋_GB2312"/>
          <w:sz w:val="36"/>
          <w:szCs w:val="36"/>
        </w:rPr>
      </w:pPr>
      <w:bookmarkStart w:id="0" w:name="_Hlk57884087"/>
    </w:p>
    <w:p w14:paraId="26B8C19D">
      <w:pPr>
        <w:adjustRightInd w:val="0"/>
        <w:snapToGrid w:val="0"/>
        <w:spacing w:line="288" w:lineRule="auto"/>
        <w:ind w:firstLine="1040"/>
        <w:rPr>
          <w:rFonts w:ascii="仿宋_GB2312" w:eastAsia="仿宋_GB2312"/>
          <w:sz w:val="36"/>
          <w:szCs w:val="36"/>
        </w:rPr>
      </w:pPr>
    </w:p>
    <w:p w14:paraId="071D2EAE">
      <w:pPr>
        <w:adjustRightInd w:val="0"/>
        <w:snapToGrid w:val="0"/>
        <w:spacing w:line="288" w:lineRule="auto"/>
        <w:ind w:firstLine="1040"/>
        <w:rPr>
          <w:rFonts w:hint="eastAsia" w:ascii="仿宋_GB2312" w:eastAsia="仿宋_GB2312"/>
          <w:sz w:val="36"/>
          <w:szCs w:val="36"/>
        </w:rPr>
      </w:pPr>
    </w:p>
    <w:p w14:paraId="0EF15426">
      <w:pPr>
        <w:adjustRightInd w:val="0"/>
        <w:snapToGrid w:val="0"/>
        <w:spacing w:line="288" w:lineRule="auto"/>
        <w:ind w:firstLine="1040"/>
        <w:rPr>
          <w:rFonts w:hint="eastAsia" w:ascii="仿宋_GB2312" w:eastAsia="仿宋_GB2312"/>
          <w:sz w:val="36"/>
          <w:szCs w:val="36"/>
        </w:rPr>
      </w:pPr>
    </w:p>
    <w:bookmarkEnd w:id="0"/>
    <w:p w14:paraId="7EE33E4F">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14:paraId="16D15BC0">
      <w:pPr>
        <w:adjustRightInd w:val="0"/>
        <w:snapToGrid w:val="0"/>
        <w:spacing w:line="288" w:lineRule="auto"/>
        <w:ind w:firstLine="1040"/>
        <w:rPr>
          <w:rFonts w:ascii="仿宋_GB2312" w:eastAsia="仿宋_GB2312"/>
          <w:sz w:val="36"/>
          <w:szCs w:val="36"/>
        </w:rPr>
      </w:pPr>
    </w:p>
    <w:p w14:paraId="353C6DB3">
      <w:pPr>
        <w:adjustRightInd w:val="0"/>
        <w:snapToGrid w:val="0"/>
        <w:spacing w:line="288" w:lineRule="auto"/>
        <w:ind w:firstLine="1040"/>
        <w:rPr>
          <w:rFonts w:ascii="仿宋_GB2312" w:eastAsia="仿宋_GB2312"/>
          <w:sz w:val="36"/>
          <w:szCs w:val="36"/>
        </w:rPr>
        <w:sectPr>
          <w:headerReference r:id="rId3" w:type="default"/>
          <w:footerReference r:id="rId4" w:type="default"/>
          <w:footerReference r:id="rId5" w:type="even"/>
          <w:pgSz w:w="11906" w:h="16838"/>
          <w:pgMar w:top="1701" w:right="1531" w:bottom="1701" w:left="1531" w:header="851" w:footer="1077" w:gutter="0"/>
          <w:pgNumType w:fmt="decimal" w:start="3"/>
          <w:cols w:space="720" w:num="1"/>
          <w:docGrid w:linePitch="312" w:charSpace="0"/>
        </w:sectPr>
      </w:pPr>
    </w:p>
    <w:p w14:paraId="42D800A1">
      <w:pPr>
        <w:pStyle w:val="19"/>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53"/>
        <w:gridCol w:w="2506"/>
        <w:gridCol w:w="2072"/>
        <w:gridCol w:w="2639"/>
      </w:tblGrid>
      <w:tr w14:paraId="77F9A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1653" w:type="dxa"/>
            <w:noWrap w:val="0"/>
            <w:tcMar>
              <w:top w:w="16" w:type="dxa"/>
              <w:left w:w="16" w:type="dxa"/>
              <w:right w:w="16" w:type="dxa"/>
            </w:tcMar>
            <w:vAlign w:val="center"/>
          </w:tcPr>
          <w:p w14:paraId="5234067E">
            <w:pPr>
              <w:adjustRightInd w:val="0"/>
              <w:snapToGrid w:val="0"/>
              <w:jc w:val="center"/>
              <w:rPr>
                <w:rFonts w:ascii="宋体" w:hAnsi="宋体" w:cs="宋体"/>
                <w:szCs w:val="21"/>
              </w:rPr>
            </w:pPr>
            <w:r>
              <w:rPr>
                <w:rFonts w:hint="eastAsia" w:ascii="宋体" w:hAnsi="宋体" w:cs="宋体"/>
                <w:szCs w:val="21"/>
              </w:rPr>
              <w:t>建设项目名称</w:t>
            </w:r>
          </w:p>
        </w:tc>
        <w:tc>
          <w:tcPr>
            <w:tcW w:w="7217" w:type="dxa"/>
            <w:gridSpan w:val="3"/>
            <w:noWrap w:val="0"/>
            <w:vAlign w:val="center"/>
          </w:tcPr>
          <w:p w14:paraId="19DC090B">
            <w:pPr>
              <w:adjustRightInd w:val="0"/>
              <w:snapToGrid w:val="0"/>
              <w:jc w:val="center"/>
              <w:rPr>
                <w:rFonts w:hint="eastAsia" w:ascii="宋体" w:hAnsi="宋体" w:eastAsia="宋体" w:cs="宋体"/>
                <w:szCs w:val="21"/>
                <w:lang w:eastAsia="zh-CN"/>
              </w:rPr>
            </w:pPr>
            <w:r>
              <w:rPr>
                <w:rFonts w:hint="eastAsia" w:ascii="宋体" w:hAnsi="宋体" w:cs="宋体"/>
                <w:szCs w:val="21"/>
                <w:highlight w:val="none"/>
                <w:lang w:eastAsia="zh-CN"/>
              </w:rPr>
              <w:t>新疆金诚凯瑞包装桶制造有限公司220L*990开口锥形金属包装桶</w:t>
            </w:r>
          </w:p>
        </w:tc>
      </w:tr>
      <w:tr w14:paraId="6C34A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53" w:type="dxa"/>
            <w:noWrap w:val="0"/>
            <w:tcMar>
              <w:top w:w="16" w:type="dxa"/>
              <w:left w:w="16" w:type="dxa"/>
              <w:right w:w="16" w:type="dxa"/>
            </w:tcMar>
            <w:vAlign w:val="center"/>
          </w:tcPr>
          <w:p w14:paraId="0377815E">
            <w:pPr>
              <w:adjustRightInd w:val="0"/>
              <w:snapToGrid w:val="0"/>
              <w:jc w:val="center"/>
              <w:rPr>
                <w:rFonts w:ascii="宋体" w:hAnsi="宋体" w:cs="宋体"/>
                <w:szCs w:val="21"/>
              </w:rPr>
            </w:pPr>
            <w:r>
              <w:rPr>
                <w:rFonts w:hint="eastAsia" w:ascii="宋体" w:hAnsi="宋体" w:cs="宋体"/>
                <w:szCs w:val="21"/>
              </w:rPr>
              <w:t>项目代码</w:t>
            </w:r>
          </w:p>
        </w:tc>
        <w:tc>
          <w:tcPr>
            <w:tcW w:w="7217" w:type="dxa"/>
            <w:gridSpan w:val="3"/>
            <w:noWrap w:val="0"/>
            <w:vAlign w:val="center"/>
          </w:tcPr>
          <w:p w14:paraId="2B51267D">
            <w:pPr>
              <w:adjustRightInd w:val="0"/>
              <w:snapToGrid w:val="0"/>
              <w:jc w:val="center"/>
              <w:rPr>
                <w:rFonts w:hint="default" w:ascii="宋体" w:hAnsi="宋体" w:eastAsia="宋体" w:cs="宋体"/>
                <w:szCs w:val="21"/>
                <w:lang w:val="en-US" w:eastAsia="zh-CN"/>
              </w:rPr>
            </w:pPr>
            <w:r>
              <w:rPr>
                <w:rFonts w:hint="eastAsia" w:cs="Times New Roman"/>
                <w:szCs w:val="21"/>
                <w:lang w:val="en-US" w:eastAsia="zh-CN"/>
              </w:rPr>
              <w:t>2503-652801-07-01-161980</w:t>
            </w:r>
          </w:p>
        </w:tc>
      </w:tr>
      <w:tr w14:paraId="568B4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53" w:type="dxa"/>
            <w:noWrap w:val="0"/>
            <w:tcMar>
              <w:top w:w="16" w:type="dxa"/>
              <w:left w:w="16" w:type="dxa"/>
              <w:right w:w="16" w:type="dxa"/>
            </w:tcMar>
            <w:vAlign w:val="center"/>
          </w:tcPr>
          <w:p w14:paraId="669D4EE1">
            <w:pPr>
              <w:adjustRightInd w:val="0"/>
              <w:snapToGrid w:val="0"/>
              <w:jc w:val="center"/>
              <w:rPr>
                <w:rFonts w:hint="eastAsia" w:ascii="宋体" w:hAnsi="宋体" w:cs="宋体"/>
                <w:szCs w:val="21"/>
              </w:rPr>
            </w:pPr>
            <w:r>
              <w:rPr>
                <w:rFonts w:hint="eastAsia" w:ascii="宋体" w:hAnsi="宋体" w:cs="宋体"/>
                <w:szCs w:val="21"/>
              </w:rPr>
              <w:t>建设单位联系人</w:t>
            </w:r>
          </w:p>
        </w:tc>
        <w:tc>
          <w:tcPr>
            <w:tcW w:w="2506" w:type="dxa"/>
            <w:noWrap w:val="0"/>
            <w:vAlign w:val="center"/>
          </w:tcPr>
          <w:p w14:paraId="69D2CBB9">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张春生</w:t>
            </w:r>
          </w:p>
        </w:tc>
        <w:tc>
          <w:tcPr>
            <w:tcW w:w="2072" w:type="dxa"/>
            <w:noWrap w:val="0"/>
            <w:vAlign w:val="center"/>
          </w:tcPr>
          <w:p w14:paraId="5CCD4F1A">
            <w:pPr>
              <w:adjustRightInd w:val="0"/>
              <w:snapToGrid w:val="0"/>
              <w:jc w:val="center"/>
              <w:rPr>
                <w:rFonts w:ascii="宋体" w:hAnsi="宋体" w:cs="宋体"/>
                <w:szCs w:val="21"/>
              </w:rPr>
            </w:pPr>
            <w:r>
              <w:rPr>
                <w:rFonts w:hint="eastAsia" w:ascii="宋体" w:hAnsi="宋体" w:cs="宋体"/>
                <w:szCs w:val="21"/>
              </w:rPr>
              <w:t>联系方式</w:t>
            </w:r>
          </w:p>
        </w:tc>
        <w:tc>
          <w:tcPr>
            <w:tcW w:w="2639" w:type="dxa"/>
            <w:noWrap w:val="0"/>
            <w:vAlign w:val="center"/>
          </w:tcPr>
          <w:p w14:paraId="06194D97">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13999006797</w:t>
            </w:r>
          </w:p>
        </w:tc>
      </w:tr>
      <w:tr w14:paraId="16CD02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53" w:type="dxa"/>
            <w:noWrap w:val="0"/>
            <w:tcMar>
              <w:top w:w="16" w:type="dxa"/>
              <w:left w:w="16" w:type="dxa"/>
              <w:right w:w="16" w:type="dxa"/>
            </w:tcMar>
            <w:vAlign w:val="center"/>
          </w:tcPr>
          <w:p w14:paraId="40495D58">
            <w:pPr>
              <w:adjustRightInd w:val="0"/>
              <w:snapToGrid w:val="0"/>
              <w:jc w:val="center"/>
              <w:rPr>
                <w:rFonts w:ascii="宋体" w:hAnsi="宋体" w:cs="宋体"/>
                <w:szCs w:val="21"/>
              </w:rPr>
            </w:pPr>
            <w:r>
              <w:rPr>
                <w:rFonts w:hint="eastAsia" w:ascii="宋体" w:hAnsi="宋体" w:cs="宋体"/>
                <w:szCs w:val="21"/>
              </w:rPr>
              <w:t>建设地点</w:t>
            </w:r>
          </w:p>
        </w:tc>
        <w:tc>
          <w:tcPr>
            <w:tcW w:w="7217" w:type="dxa"/>
            <w:gridSpan w:val="3"/>
            <w:noWrap w:val="0"/>
            <w:vAlign w:val="center"/>
          </w:tcPr>
          <w:p w14:paraId="7E073661">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新疆维吾尔自治区库尔勒市上库综合产业园区上和大道北侧215号</w:t>
            </w:r>
          </w:p>
        </w:tc>
      </w:tr>
      <w:tr w14:paraId="623A9F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53" w:type="dxa"/>
            <w:noWrap w:val="0"/>
            <w:tcMar>
              <w:top w:w="16" w:type="dxa"/>
              <w:left w:w="16" w:type="dxa"/>
              <w:right w:w="16" w:type="dxa"/>
            </w:tcMar>
            <w:vAlign w:val="center"/>
          </w:tcPr>
          <w:p w14:paraId="6EB7D4BC">
            <w:pPr>
              <w:adjustRightInd w:val="0"/>
              <w:snapToGrid w:val="0"/>
              <w:jc w:val="center"/>
              <w:rPr>
                <w:rFonts w:ascii="宋体" w:hAnsi="宋体" w:cs="宋体"/>
                <w:szCs w:val="21"/>
              </w:rPr>
            </w:pPr>
            <w:r>
              <w:rPr>
                <w:rFonts w:hint="eastAsia" w:ascii="宋体" w:hAnsi="宋体" w:cs="宋体"/>
                <w:szCs w:val="21"/>
              </w:rPr>
              <w:t>地理坐标</w:t>
            </w:r>
          </w:p>
        </w:tc>
        <w:tc>
          <w:tcPr>
            <w:tcW w:w="7217" w:type="dxa"/>
            <w:gridSpan w:val="3"/>
            <w:noWrap w:val="0"/>
            <w:vAlign w:val="center"/>
          </w:tcPr>
          <w:p w14:paraId="0B3CB8EA">
            <w:pPr>
              <w:jc w:val="center"/>
              <w:rPr>
                <w:rFonts w:hint="default" w:ascii="宋体" w:hAnsi="宋体" w:eastAsia="宋体" w:cs="宋体"/>
                <w:szCs w:val="21"/>
                <w:lang w:val="en-US" w:eastAsia="zh-CN"/>
              </w:rPr>
            </w:pPr>
            <w:r>
              <w:rPr>
                <w:rFonts w:hint="default" w:ascii="Times New Roman" w:hAnsi="Times New Roman" w:cs="Times New Roman"/>
                <w:szCs w:val="21"/>
                <w:lang w:val="en-US" w:eastAsia="zh-CN"/>
              </w:rPr>
              <w:t>E</w:t>
            </w:r>
            <w:r>
              <w:rPr>
                <w:rFonts w:hint="eastAsia" w:cs="Times New Roman"/>
                <w:szCs w:val="21"/>
                <w:lang w:val="en-US" w:eastAsia="zh-CN"/>
              </w:rPr>
              <w:t>:</w:t>
            </w:r>
            <w:r>
              <w:rPr>
                <w:rFonts w:hint="default" w:ascii="Times New Roman" w:hAnsi="Times New Roman" w:cs="Times New Roman"/>
                <w:szCs w:val="21"/>
                <w:lang w:val="en-US" w:eastAsia="zh-CN"/>
              </w:rPr>
              <w:t>85°55′51.446″</w:t>
            </w:r>
            <w:r>
              <w:rPr>
                <w:rFonts w:hint="eastAsia" w:cs="Times New Roman"/>
                <w:szCs w:val="21"/>
                <w:lang w:val="en-US" w:eastAsia="zh-CN"/>
              </w:rPr>
              <w:t>,</w:t>
            </w:r>
            <w:r>
              <w:rPr>
                <w:rFonts w:hint="default" w:ascii="Times New Roman" w:hAnsi="Times New Roman" w:cs="Times New Roman"/>
                <w:szCs w:val="21"/>
                <w:lang w:val="en-US" w:eastAsia="zh-CN"/>
              </w:rPr>
              <w:t>N</w:t>
            </w:r>
            <w:r>
              <w:rPr>
                <w:rFonts w:hint="eastAsia" w:cs="Times New Roman"/>
                <w:szCs w:val="21"/>
                <w:lang w:val="en-US" w:eastAsia="zh-CN"/>
              </w:rPr>
              <w:t>:</w:t>
            </w:r>
            <w:r>
              <w:rPr>
                <w:rFonts w:hint="default" w:ascii="Times New Roman" w:hAnsi="Times New Roman" w:cs="Times New Roman"/>
                <w:szCs w:val="21"/>
                <w:lang w:val="en-US" w:eastAsia="zh-CN"/>
              </w:rPr>
              <w:t>41°51′26.193″</w:t>
            </w:r>
          </w:p>
        </w:tc>
      </w:tr>
      <w:tr w14:paraId="46D12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53" w:type="dxa"/>
            <w:noWrap w:val="0"/>
            <w:tcMar>
              <w:top w:w="16" w:type="dxa"/>
              <w:left w:w="16" w:type="dxa"/>
              <w:right w:w="16" w:type="dxa"/>
            </w:tcMar>
            <w:vAlign w:val="center"/>
          </w:tcPr>
          <w:p w14:paraId="57D47188">
            <w:pPr>
              <w:adjustRightInd w:val="0"/>
              <w:snapToGrid w:val="0"/>
              <w:jc w:val="center"/>
              <w:rPr>
                <w:rFonts w:hint="eastAsia" w:ascii="宋体" w:hAnsi="宋体" w:cs="宋体"/>
                <w:szCs w:val="21"/>
              </w:rPr>
            </w:pPr>
            <w:r>
              <w:rPr>
                <w:rFonts w:hint="eastAsia" w:ascii="宋体" w:hAnsi="宋体" w:cs="宋体"/>
                <w:szCs w:val="21"/>
              </w:rPr>
              <w:t>国民经济</w:t>
            </w:r>
          </w:p>
          <w:p w14:paraId="6CE03EAE">
            <w:pPr>
              <w:adjustRightInd w:val="0"/>
              <w:snapToGrid w:val="0"/>
              <w:jc w:val="center"/>
              <w:rPr>
                <w:rFonts w:ascii="宋体" w:hAnsi="宋体" w:cs="宋体"/>
                <w:szCs w:val="21"/>
              </w:rPr>
            </w:pPr>
            <w:r>
              <w:rPr>
                <w:rFonts w:hint="eastAsia" w:ascii="宋体" w:hAnsi="宋体" w:cs="宋体"/>
                <w:szCs w:val="21"/>
              </w:rPr>
              <w:t>行业类别</w:t>
            </w:r>
          </w:p>
        </w:tc>
        <w:tc>
          <w:tcPr>
            <w:tcW w:w="2506" w:type="dxa"/>
            <w:noWrap w:val="0"/>
            <w:vAlign w:val="center"/>
          </w:tcPr>
          <w:p w14:paraId="498220A5">
            <w:pPr>
              <w:adjustRightInd w:val="0"/>
              <w:snapToGrid w:val="0"/>
              <w:jc w:val="both"/>
              <w:rPr>
                <w:rFonts w:hint="default" w:ascii="宋体" w:hAnsi="宋体" w:cs="宋体"/>
                <w:szCs w:val="21"/>
                <w:lang w:val="en-US" w:eastAsia="zh-CN"/>
              </w:rPr>
            </w:pPr>
            <w:r>
              <w:rPr>
                <w:rFonts w:hint="default" w:ascii="Times New Roman" w:hAnsi="Times New Roman" w:cs="Times New Roman"/>
                <w:szCs w:val="21"/>
                <w:lang w:val="en-US" w:eastAsia="zh-CN"/>
              </w:rPr>
              <w:t>C</w:t>
            </w:r>
            <w:r>
              <w:rPr>
                <w:rFonts w:hint="eastAsia" w:cs="Times New Roman"/>
                <w:szCs w:val="21"/>
                <w:lang w:val="en-US" w:eastAsia="zh-CN"/>
              </w:rPr>
              <w:t>3333金属包装容器及材料制造</w:t>
            </w:r>
          </w:p>
        </w:tc>
        <w:tc>
          <w:tcPr>
            <w:tcW w:w="2072" w:type="dxa"/>
            <w:noWrap w:val="0"/>
            <w:vAlign w:val="center"/>
          </w:tcPr>
          <w:p w14:paraId="5484100E">
            <w:pPr>
              <w:adjustRightInd w:val="0"/>
              <w:snapToGrid w:val="0"/>
              <w:jc w:val="center"/>
              <w:rPr>
                <w:rFonts w:ascii="宋体" w:hAnsi="宋体" w:cs="宋体"/>
                <w:szCs w:val="21"/>
              </w:rPr>
            </w:pPr>
            <w:bookmarkStart w:id="1" w:name="_Hlk49843745"/>
            <w:r>
              <w:rPr>
                <w:rFonts w:hint="eastAsia" w:ascii="宋体" w:hAnsi="宋体" w:cs="宋体"/>
                <w:szCs w:val="21"/>
              </w:rPr>
              <w:t>建设项目</w:t>
            </w:r>
          </w:p>
          <w:p w14:paraId="76CFEFDF">
            <w:pPr>
              <w:adjustRightInd w:val="0"/>
              <w:snapToGrid w:val="0"/>
              <w:jc w:val="center"/>
              <w:rPr>
                <w:rFonts w:ascii="宋体" w:hAnsi="宋体" w:cs="宋体"/>
                <w:szCs w:val="21"/>
              </w:rPr>
            </w:pPr>
            <w:r>
              <w:rPr>
                <w:rFonts w:hint="eastAsia" w:ascii="宋体" w:hAnsi="宋体" w:cs="宋体"/>
                <w:szCs w:val="21"/>
              </w:rPr>
              <w:t>行业类别</w:t>
            </w:r>
            <w:bookmarkEnd w:id="1"/>
          </w:p>
        </w:tc>
        <w:tc>
          <w:tcPr>
            <w:tcW w:w="2639" w:type="dxa"/>
            <w:noWrap w:val="0"/>
            <w:vAlign w:val="center"/>
          </w:tcPr>
          <w:p w14:paraId="2B936099">
            <w:pPr>
              <w:adjustRightInd w:val="0"/>
              <w:snapToGrid w:val="0"/>
              <w:rPr>
                <w:rFonts w:hint="default" w:ascii="宋体" w:hAnsi="宋体" w:eastAsia="宋体" w:cs="宋体"/>
                <w:szCs w:val="21"/>
                <w:lang w:val="en-US" w:eastAsia="zh-CN"/>
              </w:rPr>
            </w:pPr>
            <w:r>
              <w:rPr>
                <w:rFonts w:hint="eastAsia" w:ascii="宋体" w:hAnsi="宋体" w:cs="宋体"/>
                <w:szCs w:val="21"/>
                <w:lang w:val="en-US" w:eastAsia="zh-CN"/>
              </w:rPr>
              <w:t>三十、金属制品业33-集装箱及金属包装容器制造333-其他</w:t>
            </w:r>
          </w:p>
        </w:tc>
      </w:tr>
      <w:tr w14:paraId="7AA388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53" w:type="dxa"/>
            <w:noWrap w:val="0"/>
            <w:tcMar>
              <w:top w:w="16" w:type="dxa"/>
              <w:left w:w="16" w:type="dxa"/>
              <w:right w:w="16" w:type="dxa"/>
            </w:tcMar>
            <w:vAlign w:val="center"/>
          </w:tcPr>
          <w:p w14:paraId="51C2B8DA">
            <w:pPr>
              <w:adjustRightInd w:val="0"/>
              <w:snapToGrid w:val="0"/>
              <w:jc w:val="center"/>
              <w:rPr>
                <w:rFonts w:ascii="宋体" w:hAnsi="宋体" w:cs="宋体"/>
                <w:szCs w:val="21"/>
              </w:rPr>
            </w:pPr>
            <w:r>
              <w:rPr>
                <w:rFonts w:hint="eastAsia" w:ascii="宋体" w:hAnsi="宋体" w:cs="宋体"/>
                <w:szCs w:val="21"/>
              </w:rPr>
              <w:t>建设性质</w:t>
            </w:r>
          </w:p>
        </w:tc>
        <w:tc>
          <w:tcPr>
            <w:tcW w:w="2506" w:type="dxa"/>
            <w:noWrap w:val="0"/>
            <w:vAlign w:val="center"/>
          </w:tcPr>
          <w:p w14:paraId="09B042D4">
            <w:pPr>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新建（迁建）</w:t>
            </w:r>
          </w:p>
          <w:p w14:paraId="07D5B0C4">
            <w:pPr>
              <w:jc w:val="left"/>
              <w:rPr>
                <w:rFonts w:hint="eastAsia" w:ascii="宋体" w:hAnsi="宋体" w:cs="宋体"/>
                <w:szCs w:val="21"/>
              </w:rPr>
            </w:pPr>
            <w:r>
              <w:rPr>
                <w:rFonts w:hint="eastAsia" w:ascii="宋体" w:hAnsi="宋体" w:cs="宋体"/>
                <w:szCs w:val="21"/>
              </w:rPr>
              <w:t>□改建</w:t>
            </w:r>
          </w:p>
          <w:p w14:paraId="1453644C">
            <w:pPr>
              <w:jc w:val="left"/>
              <w:rPr>
                <w:rFonts w:hint="eastAsia" w:ascii="宋体" w:hAnsi="宋体" w:cs="宋体"/>
                <w:szCs w:val="21"/>
              </w:rPr>
            </w:pPr>
            <w:r>
              <w:rPr>
                <w:rFonts w:hint="eastAsia" w:ascii="宋体" w:hAnsi="宋体" w:cs="宋体"/>
                <w:szCs w:val="21"/>
              </w:rPr>
              <w:t>□扩建</w:t>
            </w:r>
          </w:p>
          <w:p w14:paraId="42AB48FD">
            <w:pPr>
              <w:jc w:val="left"/>
              <w:rPr>
                <w:rFonts w:ascii="宋体" w:hAnsi="宋体" w:cs="宋体"/>
                <w:szCs w:val="21"/>
              </w:rPr>
            </w:pPr>
            <w:r>
              <w:rPr>
                <w:rFonts w:hint="eastAsia" w:ascii="宋体" w:hAnsi="宋体" w:cs="宋体"/>
                <w:szCs w:val="21"/>
              </w:rPr>
              <w:t>□技术改造</w:t>
            </w:r>
          </w:p>
        </w:tc>
        <w:tc>
          <w:tcPr>
            <w:tcW w:w="2072" w:type="dxa"/>
            <w:noWrap w:val="0"/>
            <w:vAlign w:val="center"/>
          </w:tcPr>
          <w:p w14:paraId="135799FE">
            <w:pPr>
              <w:adjustRightInd w:val="0"/>
              <w:snapToGrid w:val="0"/>
              <w:jc w:val="center"/>
              <w:rPr>
                <w:rFonts w:hint="eastAsia" w:ascii="宋体" w:hAnsi="宋体" w:cs="宋体"/>
                <w:szCs w:val="21"/>
              </w:rPr>
            </w:pPr>
            <w:r>
              <w:rPr>
                <w:rFonts w:hint="eastAsia" w:ascii="宋体" w:hAnsi="宋体" w:cs="宋体"/>
                <w:szCs w:val="21"/>
              </w:rPr>
              <w:t>建设项目</w:t>
            </w:r>
          </w:p>
          <w:p w14:paraId="567E7663">
            <w:pPr>
              <w:adjustRightInd w:val="0"/>
              <w:snapToGrid w:val="0"/>
              <w:jc w:val="center"/>
              <w:rPr>
                <w:rFonts w:ascii="宋体" w:hAnsi="宋体" w:cs="宋体"/>
                <w:szCs w:val="21"/>
              </w:rPr>
            </w:pPr>
            <w:r>
              <w:rPr>
                <w:rFonts w:hint="eastAsia" w:ascii="宋体" w:hAnsi="宋体" w:cs="宋体"/>
                <w:szCs w:val="21"/>
              </w:rPr>
              <w:t>申报情形</w:t>
            </w:r>
          </w:p>
        </w:tc>
        <w:tc>
          <w:tcPr>
            <w:tcW w:w="2639" w:type="dxa"/>
            <w:noWrap w:val="0"/>
            <w:vAlign w:val="center"/>
          </w:tcPr>
          <w:p w14:paraId="0C4424D2">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首次申报项目</w:t>
            </w:r>
            <w:r>
              <w:rPr>
                <w:rFonts w:ascii="宋体" w:hAnsi="宋体" w:cs="宋体"/>
                <w:szCs w:val="21"/>
              </w:rPr>
              <w:t xml:space="preserve">             </w:t>
            </w:r>
          </w:p>
          <w:p w14:paraId="6C496416">
            <w:pPr>
              <w:jc w:val="left"/>
              <w:rPr>
                <w:rFonts w:ascii="宋体" w:hAnsi="宋体" w:cs="宋体"/>
                <w:szCs w:val="21"/>
              </w:rPr>
            </w:pPr>
            <w:r>
              <w:rPr>
                <w:rFonts w:hint="eastAsia" w:ascii="宋体" w:hAnsi="宋体" w:cs="宋体"/>
                <w:szCs w:val="21"/>
              </w:rPr>
              <w:t>□不予批准后再次申报项目</w:t>
            </w:r>
          </w:p>
          <w:p w14:paraId="4683D846">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超五年重新审核项目</w:t>
            </w:r>
            <w:r>
              <w:rPr>
                <w:rFonts w:ascii="宋体" w:hAnsi="宋体" w:cs="宋体"/>
                <w:szCs w:val="21"/>
              </w:rPr>
              <w:t xml:space="preserve">     </w:t>
            </w:r>
          </w:p>
          <w:p w14:paraId="7787A9E9">
            <w:pPr>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重大变动重新报批项目</w:t>
            </w:r>
          </w:p>
        </w:tc>
      </w:tr>
      <w:tr w14:paraId="568F0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53" w:type="dxa"/>
            <w:noWrap w:val="0"/>
            <w:tcMar>
              <w:top w:w="16" w:type="dxa"/>
              <w:left w:w="16" w:type="dxa"/>
              <w:right w:w="16" w:type="dxa"/>
            </w:tcMar>
            <w:vAlign w:val="center"/>
          </w:tcPr>
          <w:p w14:paraId="7F064AFD">
            <w:pPr>
              <w:adjustRightInd w:val="0"/>
              <w:snapToGrid w:val="0"/>
              <w:jc w:val="center"/>
              <w:rPr>
                <w:rFonts w:hint="eastAsia" w:ascii="宋体" w:hAnsi="宋体" w:cs="宋体"/>
                <w:szCs w:val="21"/>
              </w:rPr>
            </w:pPr>
            <w:r>
              <w:rPr>
                <w:rFonts w:hint="eastAsia" w:ascii="宋体" w:hAnsi="宋体" w:cs="宋体"/>
                <w:szCs w:val="21"/>
              </w:rPr>
              <w:t>项目审批（核准</w:t>
            </w:r>
            <w:r>
              <w:rPr>
                <w:rFonts w:ascii="宋体" w:hAnsi="宋体" w:cs="宋体"/>
                <w:szCs w:val="21"/>
              </w:rPr>
              <w:t>/</w:t>
            </w:r>
          </w:p>
          <w:p w14:paraId="2A5B9739">
            <w:pPr>
              <w:adjustRightInd w:val="0"/>
              <w:snapToGrid w:val="0"/>
              <w:jc w:val="center"/>
              <w:rPr>
                <w:rFonts w:ascii="宋体" w:hAnsi="宋体" w:cs="宋体"/>
                <w:szCs w:val="21"/>
              </w:rPr>
            </w:pPr>
            <w:r>
              <w:rPr>
                <w:rFonts w:hint="eastAsia" w:ascii="宋体" w:hAnsi="宋体" w:cs="宋体"/>
                <w:szCs w:val="21"/>
              </w:rPr>
              <w:t>备案）部门（选填）</w:t>
            </w:r>
          </w:p>
        </w:tc>
        <w:tc>
          <w:tcPr>
            <w:tcW w:w="2506" w:type="dxa"/>
            <w:noWrap w:val="0"/>
            <w:vAlign w:val="center"/>
          </w:tcPr>
          <w:p w14:paraId="5641C873">
            <w:pPr>
              <w:adjustRightInd w:val="0"/>
              <w:snapToGrid w:val="0"/>
              <w:jc w:val="center"/>
              <w:rPr>
                <w:rFonts w:ascii="宋体" w:hAnsi="宋体" w:cs="宋体"/>
                <w:szCs w:val="21"/>
              </w:rPr>
            </w:pPr>
            <w:r>
              <w:rPr>
                <w:rFonts w:hint="eastAsia" w:ascii="宋体" w:hAnsi="宋体" w:cs="宋体"/>
                <w:szCs w:val="21"/>
              </w:rPr>
              <w:t>库尔勒市发展和改革委员会</w:t>
            </w:r>
          </w:p>
        </w:tc>
        <w:tc>
          <w:tcPr>
            <w:tcW w:w="2072" w:type="dxa"/>
            <w:noWrap w:val="0"/>
            <w:vAlign w:val="center"/>
          </w:tcPr>
          <w:p w14:paraId="073AEA62">
            <w:pPr>
              <w:adjustRightInd w:val="0"/>
              <w:snapToGrid w:val="0"/>
              <w:jc w:val="center"/>
              <w:rPr>
                <w:rFonts w:hint="eastAsia" w:ascii="宋体" w:hAnsi="宋体" w:cs="宋体"/>
                <w:szCs w:val="21"/>
              </w:rPr>
            </w:pPr>
            <w:r>
              <w:rPr>
                <w:rFonts w:hint="eastAsia" w:ascii="宋体" w:hAnsi="宋体" w:cs="宋体"/>
                <w:szCs w:val="21"/>
              </w:rPr>
              <w:t>项目审批（核准</w:t>
            </w:r>
            <w:r>
              <w:rPr>
                <w:rFonts w:ascii="宋体" w:hAnsi="宋体" w:cs="宋体"/>
                <w:szCs w:val="21"/>
              </w:rPr>
              <w:t>/</w:t>
            </w:r>
          </w:p>
          <w:p w14:paraId="020745CC">
            <w:pPr>
              <w:adjustRightInd w:val="0"/>
              <w:snapToGrid w:val="0"/>
              <w:jc w:val="center"/>
              <w:rPr>
                <w:rFonts w:hint="eastAsia" w:ascii="宋体" w:hAnsi="宋体" w:cs="宋体"/>
                <w:szCs w:val="21"/>
              </w:rPr>
            </w:pPr>
            <w:r>
              <w:rPr>
                <w:rFonts w:hint="eastAsia" w:ascii="宋体" w:hAnsi="宋体" w:cs="宋体"/>
                <w:szCs w:val="21"/>
              </w:rPr>
              <w:t>备案）文号（选填）</w:t>
            </w:r>
          </w:p>
        </w:tc>
        <w:tc>
          <w:tcPr>
            <w:tcW w:w="2639" w:type="dxa"/>
            <w:noWrap w:val="0"/>
            <w:vAlign w:val="center"/>
          </w:tcPr>
          <w:p w14:paraId="719B8F82">
            <w:pPr>
              <w:adjustRightInd w:val="0"/>
              <w:snapToGrid w:val="0"/>
              <w:jc w:val="center"/>
              <w:rPr>
                <w:rFonts w:ascii="宋体" w:hAnsi="宋体" w:cs="宋体"/>
                <w:szCs w:val="21"/>
              </w:rPr>
            </w:pPr>
            <w:r>
              <w:rPr>
                <w:rFonts w:hint="eastAsia" w:ascii="宋体" w:hAnsi="宋体" w:cs="宋体"/>
                <w:szCs w:val="21"/>
                <w:highlight w:val="none"/>
                <w:lang w:val="en-US" w:eastAsia="zh-CN"/>
              </w:rPr>
              <w:t>20250208</w:t>
            </w:r>
          </w:p>
        </w:tc>
      </w:tr>
      <w:tr w14:paraId="5F535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53" w:type="dxa"/>
            <w:noWrap w:val="0"/>
            <w:tcMar>
              <w:top w:w="16" w:type="dxa"/>
              <w:left w:w="16" w:type="dxa"/>
              <w:right w:w="16" w:type="dxa"/>
            </w:tcMar>
            <w:vAlign w:val="center"/>
          </w:tcPr>
          <w:p w14:paraId="1BE97538">
            <w:pPr>
              <w:adjustRightInd w:val="0"/>
              <w:snapToGrid w:val="0"/>
              <w:jc w:val="center"/>
              <w:rPr>
                <w:rFonts w:ascii="宋体" w:hAnsi="宋体" w:cs="宋体"/>
                <w:szCs w:val="21"/>
              </w:rPr>
            </w:pPr>
            <w:r>
              <w:rPr>
                <w:rFonts w:hint="eastAsia" w:ascii="宋体" w:hAnsi="宋体" w:cs="宋体"/>
                <w:szCs w:val="21"/>
              </w:rPr>
              <w:t>总投资（万元）</w:t>
            </w:r>
          </w:p>
        </w:tc>
        <w:tc>
          <w:tcPr>
            <w:tcW w:w="2506" w:type="dxa"/>
            <w:noWrap w:val="0"/>
            <w:vAlign w:val="center"/>
          </w:tcPr>
          <w:p w14:paraId="41D5E91C">
            <w:pPr>
              <w:adjustRightInd w:val="0"/>
              <w:snapToGrid w:val="0"/>
              <w:jc w:val="center"/>
              <w:rPr>
                <w:rFonts w:hint="default" w:ascii="宋体" w:hAnsi="宋体" w:eastAsia="宋体" w:cs="宋体"/>
                <w:szCs w:val="21"/>
                <w:lang w:val="en-US" w:eastAsia="zh-CN"/>
              </w:rPr>
            </w:pPr>
            <w:r>
              <w:rPr>
                <w:rFonts w:hint="eastAsia" w:cs="Times New Roman"/>
                <w:szCs w:val="21"/>
                <w:highlight w:val="none"/>
                <w:lang w:val="en-US" w:eastAsia="zh-CN"/>
              </w:rPr>
              <w:t>290</w:t>
            </w:r>
          </w:p>
        </w:tc>
        <w:tc>
          <w:tcPr>
            <w:tcW w:w="2072" w:type="dxa"/>
            <w:noWrap w:val="0"/>
            <w:tcMar>
              <w:top w:w="16" w:type="dxa"/>
              <w:left w:w="16" w:type="dxa"/>
              <w:right w:w="16" w:type="dxa"/>
            </w:tcMar>
            <w:vAlign w:val="center"/>
          </w:tcPr>
          <w:p w14:paraId="709717F6">
            <w:pPr>
              <w:adjustRightInd w:val="0"/>
              <w:snapToGrid w:val="0"/>
              <w:jc w:val="center"/>
              <w:rPr>
                <w:rFonts w:ascii="宋体" w:hAnsi="宋体" w:cs="宋体"/>
                <w:szCs w:val="21"/>
              </w:rPr>
            </w:pPr>
            <w:r>
              <w:rPr>
                <w:rFonts w:hint="eastAsia" w:ascii="宋体" w:hAnsi="宋体" w:cs="宋体"/>
                <w:szCs w:val="21"/>
              </w:rPr>
              <w:t>环保投资（万元）</w:t>
            </w:r>
          </w:p>
        </w:tc>
        <w:tc>
          <w:tcPr>
            <w:tcW w:w="2639" w:type="dxa"/>
            <w:shd w:val="clear" w:color="auto" w:fill="auto"/>
            <w:noWrap w:val="0"/>
            <w:vAlign w:val="center"/>
          </w:tcPr>
          <w:p w14:paraId="7E6E5F2A">
            <w:pPr>
              <w:adjustRightInd w:val="0"/>
              <w:snapToGrid w:val="0"/>
              <w:jc w:val="center"/>
              <w:rPr>
                <w:rFonts w:hint="default" w:ascii="宋体" w:hAnsi="宋体" w:eastAsia="宋体" w:cs="宋体"/>
                <w:szCs w:val="21"/>
                <w:lang w:val="en-US" w:eastAsia="zh-CN"/>
              </w:rPr>
            </w:pPr>
            <w:r>
              <w:rPr>
                <w:rFonts w:hint="eastAsia" w:ascii="宋体" w:hAnsi="宋体" w:cs="宋体"/>
                <w:szCs w:val="21"/>
                <w:highlight w:val="none"/>
                <w:lang w:val="en-US" w:eastAsia="zh-CN"/>
              </w:rPr>
              <w:t>42</w:t>
            </w:r>
          </w:p>
        </w:tc>
      </w:tr>
      <w:tr w14:paraId="3889D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53" w:type="dxa"/>
            <w:noWrap w:val="0"/>
            <w:tcMar>
              <w:top w:w="16" w:type="dxa"/>
              <w:left w:w="16" w:type="dxa"/>
              <w:right w:w="16" w:type="dxa"/>
            </w:tcMar>
            <w:vAlign w:val="center"/>
          </w:tcPr>
          <w:p w14:paraId="2EE8F6D6">
            <w:pPr>
              <w:adjustRightInd w:val="0"/>
              <w:snapToGrid w:val="0"/>
              <w:jc w:val="center"/>
              <w:rPr>
                <w:rFonts w:ascii="宋体" w:hAnsi="宋体" w:cs="宋体"/>
                <w:szCs w:val="21"/>
              </w:rPr>
            </w:pPr>
            <w:r>
              <w:rPr>
                <w:rFonts w:hint="eastAsia" w:ascii="宋体" w:hAnsi="宋体" w:cs="宋体"/>
                <w:szCs w:val="21"/>
              </w:rPr>
              <w:t>环保投资占比（</w:t>
            </w:r>
            <w:r>
              <w:rPr>
                <w:rFonts w:ascii="宋体" w:hAnsi="宋体" w:cs="宋体"/>
                <w:szCs w:val="21"/>
              </w:rPr>
              <w:t>%</w:t>
            </w:r>
            <w:r>
              <w:rPr>
                <w:rFonts w:hint="eastAsia" w:ascii="宋体" w:hAnsi="宋体" w:cs="宋体"/>
                <w:szCs w:val="21"/>
              </w:rPr>
              <w:t>）</w:t>
            </w:r>
          </w:p>
        </w:tc>
        <w:tc>
          <w:tcPr>
            <w:tcW w:w="2506" w:type="dxa"/>
            <w:noWrap w:val="0"/>
            <w:vAlign w:val="center"/>
          </w:tcPr>
          <w:p w14:paraId="31D55A05">
            <w:pPr>
              <w:adjustRightInd w:val="0"/>
              <w:snapToGrid w:val="0"/>
              <w:jc w:val="center"/>
              <w:rPr>
                <w:rFonts w:hint="default" w:ascii="宋体" w:hAnsi="宋体" w:eastAsia="宋体" w:cs="宋体"/>
                <w:szCs w:val="21"/>
                <w:lang w:val="en-US" w:eastAsia="zh-CN"/>
              </w:rPr>
            </w:pPr>
            <w:r>
              <w:rPr>
                <w:rFonts w:hint="eastAsia" w:ascii="宋体" w:hAnsi="宋体" w:cs="宋体"/>
                <w:szCs w:val="21"/>
                <w:highlight w:val="none"/>
                <w:lang w:val="en-US" w:eastAsia="zh-CN"/>
              </w:rPr>
              <w:t>14.48</w:t>
            </w:r>
          </w:p>
        </w:tc>
        <w:tc>
          <w:tcPr>
            <w:tcW w:w="2072" w:type="dxa"/>
            <w:noWrap w:val="0"/>
            <w:tcMar>
              <w:top w:w="16" w:type="dxa"/>
              <w:left w:w="16" w:type="dxa"/>
              <w:right w:w="16" w:type="dxa"/>
            </w:tcMar>
            <w:vAlign w:val="center"/>
          </w:tcPr>
          <w:p w14:paraId="7ADE2AE3">
            <w:pPr>
              <w:adjustRightInd w:val="0"/>
              <w:snapToGrid w:val="0"/>
              <w:jc w:val="center"/>
              <w:rPr>
                <w:rFonts w:ascii="宋体" w:hAnsi="宋体" w:cs="宋体"/>
                <w:szCs w:val="21"/>
              </w:rPr>
            </w:pPr>
            <w:r>
              <w:rPr>
                <w:rFonts w:hint="eastAsia" w:ascii="宋体" w:hAnsi="宋体" w:cs="宋体"/>
                <w:szCs w:val="21"/>
              </w:rPr>
              <w:t>施工工期</w:t>
            </w:r>
          </w:p>
        </w:tc>
        <w:tc>
          <w:tcPr>
            <w:tcW w:w="2639" w:type="dxa"/>
            <w:shd w:val="clear" w:color="auto" w:fill="auto"/>
            <w:noWrap w:val="0"/>
            <w:vAlign w:val="center"/>
          </w:tcPr>
          <w:p w14:paraId="6A8CE700">
            <w:pPr>
              <w:adjustRightInd w:val="0"/>
              <w:snapToGrid w:val="0"/>
              <w:jc w:val="center"/>
              <w:rPr>
                <w:rFonts w:hint="default" w:ascii="宋体" w:hAnsi="宋体" w:eastAsia="宋体" w:cs="宋体"/>
                <w:szCs w:val="21"/>
                <w:lang w:val="en-US" w:eastAsia="zh-CN"/>
              </w:rPr>
            </w:pPr>
            <w:r>
              <w:rPr>
                <w:rFonts w:hint="eastAsia" w:cs="Times New Roman"/>
                <w:szCs w:val="21"/>
                <w:lang w:val="en-US" w:eastAsia="zh-CN"/>
              </w:rPr>
              <w:t>/</w:t>
            </w:r>
          </w:p>
        </w:tc>
      </w:tr>
      <w:tr w14:paraId="3C6B7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53" w:type="dxa"/>
            <w:noWrap w:val="0"/>
            <w:tcMar>
              <w:top w:w="16" w:type="dxa"/>
              <w:left w:w="16" w:type="dxa"/>
              <w:right w:w="16" w:type="dxa"/>
            </w:tcMar>
            <w:vAlign w:val="center"/>
          </w:tcPr>
          <w:p w14:paraId="57DDF829">
            <w:pPr>
              <w:adjustRightInd w:val="0"/>
              <w:snapToGrid w:val="0"/>
              <w:jc w:val="center"/>
              <w:rPr>
                <w:rFonts w:hint="eastAsia" w:ascii="宋体" w:hAnsi="宋体" w:cs="宋体"/>
                <w:szCs w:val="21"/>
              </w:rPr>
            </w:pPr>
            <w:r>
              <w:rPr>
                <w:rFonts w:hint="eastAsia" w:ascii="宋体" w:hAnsi="宋体" w:cs="宋体"/>
                <w:szCs w:val="21"/>
              </w:rPr>
              <w:t>是否开工建设</w:t>
            </w:r>
          </w:p>
        </w:tc>
        <w:tc>
          <w:tcPr>
            <w:tcW w:w="2506" w:type="dxa"/>
            <w:noWrap w:val="0"/>
            <w:vAlign w:val="center"/>
          </w:tcPr>
          <w:p w14:paraId="639017CE">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否</w:t>
            </w:r>
          </w:p>
          <w:p w14:paraId="667EE7FF">
            <w:pPr>
              <w:adjustRightInd w:val="0"/>
              <w:snapToGrid w:val="0"/>
              <w:rPr>
                <w:rFonts w:ascii="宋体" w:hAnsi="宋体" w:cs="宋体"/>
                <w:szCs w:val="21"/>
              </w:rPr>
            </w:pPr>
            <w:r>
              <w:rPr>
                <w:rFonts w:hint="eastAsia" w:ascii="宋体" w:hAnsi="宋体" w:cs="宋体"/>
                <w:szCs w:val="21"/>
              </w:rPr>
              <w:sym w:font="Wingdings 2" w:char="0052"/>
            </w:r>
            <w:r>
              <w:rPr>
                <w:rFonts w:hint="eastAsia" w:ascii="宋体" w:hAnsi="宋体" w:cs="宋体"/>
                <w:szCs w:val="21"/>
              </w:rPr>
              <w:t>是：</w:t>
            </w:r>
            <w:r>
              <w:rPr>
                <w:rFonts w:hint="eastAsia" w:ascii="Times New Roman" w:hAnsi="Times New Roman" w:eastAsia="宋体" w:cs="宋体"/>
                <w:sz w:val="21"/>
                <w:szCs w:val="21"/>
                <w:u w:val="single"/>
              </w:rPr>
              <w:t xml:space="preserve"> </w:t>
            </w:r>
            <w:r>
              <w:rPr>
                <w:rFonts w:hint="eastAsia" w:cs="宋体"/>
                <w:sz w:val="21"/>
                <w:szCs w:val="21"/>
                <w:u w:val="single"/>
                <w:lang w:val="en-US" w:eastAsia="zh-CN"/>
              </w:rPr>
              <w:t>于2021年租赁库尔勒恒瑞商贸有限责任公司院内一栋2700㎡厂房建设一条近期年产200000个金属包装桶生产线、两栋厂房（合计2400㎡）作为成品库房，目前设备已安装完成，暂未受到行政处罚。</w:t>
            </w:r>
            <w:r>
              <w:rPr>
                <w:rFonts w:hint="eastAsia" w:ascii="Times New Roman" w:hAnsi="Times New Roman" w:eastAsia="宋体" w:cs="宋体"/>
                <w:sz w:val="21"/>
                <w:szCs w:val="21"/>
                <w:u w:val="single"/>
              </w:rPr>
              <w:t xml:space="preserve">     </w:t>
            </w:r>
            <w:r>
              <w:rPr>
                <w:rFonts w:hint="eastAsia" w:ascii="宋体" w:hAnsi="宋体" w:cs="宋体"/>
                <w:szCs w:val="21"/>
                <w:u w:val="single"/>
              </w:rPr>
              <w:t xml:space="preserve">       </w:t>
            </w:r>
          </w:p>
        </w:tc>
        <w:tc>
          <w:tcPr>
            <w:tcW w:w="2072" w:type="dxa"/>
            <w:noWrap w:val="0"/>
            <w:tcMar>
              <w:top w:w="16" w:type="dxa"/>
              <w:left w:w="16" w:type="dxa"/>
              <w:right w:w="16" w:type="dxa"/>
            </w:tcMar>
            <w:vAlign w:val="center"/>
          </w:tcPr>
          <w:p w14:paraId="5EFF95B5">
            <w:pPr>
              <w:adjustRightInd w:val="0"/>
              <w:snapToGrid w:val="0"/>
              <w:jc w:val="center"/>
              <w:rPr>
                <w:rFonts w:ascii="宋体" w:hAnsi="宋体" w:cs="宋体"/>
                <w:spacing w:val="-6"/>
                <w:szCs w:val="21"/>
              </w:rPr>
            </w:pPr>
            <w:r>
              <w:rPr>
                <w:rFonts w:hint="eastAsia" w:ascii="宋体" w:hAnsi="宋体" w:cs="宋体"/>
                <w:spacing w:val="-6"/>
                <w:szCs w:val="21"/>
              </w:rPr>
              <w:t>用地（用海）</w:t>
            </w:r>
          </w:p>
          <w:p w14:paraId="45FE397B">
            <w:pPr>
              <w:adjustRightInd w:val="0"/>
              <w:snapToGrid w:val="0"/>
              <w:jc w:val="center"/>
              <w:rPr>
                <w:rFonts w:hint="eastAsia" w:ascii="宋体" w:hAnsi="宋体" w:cs="宋体"/>
                <w:szCs w:val="21"/>
              </w:rPr>
            </w:pPr>
            <w:r>
              <w:rPr>
                <w:rFonts w:hint="eastAsia" w:ascii="宋体" w:hAnsi="宋体" w:cs="宋体"/>
                <w:spacing w:val="-6"/>
                <w:szCs w:val="21"/>
              </w:rPr>
              <w:t>面积（</w:t>
            </w:r>
            <w:r>
              <w:rPr>
                <w:rFonts w:ascii="宋体" w:hAnsi="宋体" w:cs="宋体"/>
                <w:spacing w:val="-6"/>
                <w:szCs w:val="21"/>
              </w:rPr>
              <w:t>m</w:t>
            </w:r>
            <w:r>
              <w:rPr>
                <w:rFonts w:ascii="宋体" w:hAnsi="宋体" w:cs="宋体"/>
                <w:spacing w:val="-6"/>
                <w:szCs w:val="21"/>
                <w:vertAlign w:val="superscript"/>
              </w:rPr>
              <w:t>2</w:t>
            </w:r>
            <w:r>
              <w:rPr>
                <w:rFonts w:hint="eastAsia" w:ascii="宋体" w:hAnsi="宋体" w:cs="宋体"/>
                <w:spacing w:val="-6"/>
                <w:szCs w:val="21"/>
              </w:rPr>
              <w:t>）</w:t>
            </w:r>
          </w:p>
        </w:tc>
        <w:tc>
          <w:tcPr>
            <w:tcW w:w="2639" w:type="dxa"/>
            <w:noWrap w:val="0"/>
            <w:vAlign w:val="center"/>
          </w:tcPr>
          <w:p w14:paraId="57129C1C">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5100㎡</w:t>
            </w:r>
          </w:p>
        </w:tc>
      </w:tr>
      <w:tr w14:paraId="071D7C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53" w:type="dxa"/>
            <w:noWrap w:val="0"/>
            <w:vAlign w:val="center"/>
          </w:tcPr>
          <w:p w14:paraId="5CA32AC4">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专项评价设置情况</w:t>
            </w:r>
          </w:p>
        </w:tc>
        <w:tc>
          <w:tcPr>
            <w:tcW w:w="7217" w:type="dxa"/>
            <w:gridSpan w:val="3"/>
            <w:noWrap w:val="0"/>
            <w:vAlign w:val="center"/>
          </w:tcPr>
          <w:p w14:paraId="170F8166">
            <w:pPr>
              <w:autoSpaceDE w:val="0"/>
              <w:autoSpaceDN w:val="0"/>
              <w:adjustRightInd w:val="0"/>
              <w:snapToGrid w:val="0"/>
              <w:jc w:val="center"/>
              <w:rPr>
                <w:rFonts w:ascii="宋体" w:hAnsi="宋体" w:cs="宋体"/>
                <w:kern w:val="0"/>
                <w:szCs w:val="21"/>
              </w:rPr>
            </w:pPr>
            <w:r>
              <w:rPr>
                <w:rFonts w:hint="eastAsia" w:ascii="宋体" w:hAnsi="宋体" w:cs="宋体"/>
                <w:kern w:val="0"/>
                <w:szCs w:val="21"/>
                <w:lang w:val="en-US" w:eastAsia="zh-CN"/>
              </w:rPr>
              <w:t>无</w:t>
            </w:r>
          </w:p>
        </w:tc>
      </w:tr>
      <w:tr w14:paraId="53DDA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53" w:type="dxa"/>
            <w:noWrap w:val="0"/>
            <w:vAlign w:val="center"/>
          </w:tcPr>
          <w:p w14:paraId="225920AF">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t>规划情况</w:t>
            </w:r>
          </w:p>
        </w:tc>
        <w:tc>
          <w:tcPr>
            <w:tcW w:w="7217" w:type="dxa"/>
            <w:gridSpan w:val="3"/>
            <w:shd w:val="clear" w:color="auto" w:fill="auto"/>
            <w:noWrap w:val="0"/>
            <w:vAlign w:val="center"/>
          </w:tcPr>
          <w:p w14:paraId="205BA869">
            <w:pPr>
              <w:pStyle w:val="54"/>
              <w:bidi w:val="0"/>
              <w:rPr>
                <w:rFonts w:hint="eastAsia"/>
                <w:lang w:val="en-US" w:eastAsia="zh-CN"/>
              </w:rPr>
            </w:pPr>
            <w:r>
              <w:rPr>
                <w:rFonts w:hint="eastAsia"/>
                <w:lang w:val="en-US" w:eastAsia="zh-CN"/>
              </w:rPr>
              <w:t>规划名称：《库尔勒上库高新技术产业开发区国土空间专项规划（2024-2035年）》</w:t>
            </w:r>
          </w:p>
          <w:p w14:paraId="59C18299">
            <w:pPr>
              <w:pStyle w:val="54"/>
              <w:bidi w:val="0"/>
              <w:rPr>
                <w:rFonts w:hint="default"/>
                <w:lang w:val="en-US" w:eastAsia="zh-CN"/>
              </w:rPr>
            </w:pPr>
            <w:r>
              <w:rPr>
                <w:rFonts w:hint="eastAsia"/>
                <w:lang w:val="en-US" w:eastAsia="zh-CN"/>
              </w:rPr>
              <w:t>审批机关：巴音郭楞蒙古自治州人民政府</w:t>
            </w:r>
          </w:p>
          <w:p w14:paraId="30EC7F44">
            <w:pPr>
              <w:pStyle w:val="54"/>
              <w:bidi w:val="0"/>
              <w:rPr>
                <w:rFonts w:hint="default" w:eastAsia="宋体"/>
                <w:lang w:val="en-US" w:eastAsia="zh-CN"/>
              </w:rPr>
            </w:pPr>
            <w:r>
              <w:rPr>
                <w:rFonts w:hint="eastAsia"/>
                <w:lang w:val="en-US" w:eastAsia="zh-CN"/>
              </w:rPr>
              <w:t>审批文件名称及文号：关于对</w:t>
            </w:r>
            <w:r>
              <w:rPr>
                <w:rFonts w:hint="eastAsia"/>
                <w:lang w:eastAsia="zh-CN"/>
              </w:rPr>
              <w:t>《</w:t>
            </w:r>
            <w:r>
              <w:rPr>
                <w:rFonts w:hint="eastAsia"/>
                <w:lang w:val="en-US" w:eastAsia="zh-CN"/>
              </w:rPr>
              <w:t>库尔勒上库高新技术产业开发区国土空间专项规划（2024-2035年）</w:t>
            </w:r>
            <w:r>
              <w:rPr>
                <w:rFonts w:hint="eastAsia"/>
                <w:lang w:eastAsia="zh-CN"/>
              </w:rPr>
              <w:t>》</w:t>
            </w:r>
            <w:r>
              <w:rPr>
                <w:rFonts w:hint="eastAsia"/>
                <w:lang w:val="en-US" w:eastAsia="zh-CN"/>
              </w:rPr>
              <w:t>的批复</w:t>
            </w:r>
            <w:r>
              <w:rPr>
                <w:rFonts w:hint="eastAsia"/>
                <w:lang w:eastAsia="zh-CN"/>
              </w:rPr>
              <w:t>（</w:t>
            </w:r>
            <w:r>
              <w:rPr>
                <w:rFonts w:hint="eastAsia"/>
                <w:lang w:val="en-US" w:eastAsia="zh-CN"/>
              </w:rPr>
              <w:t>巴政函〔2024〕228号，2024年12月16日</w:t>
            </w:r>
            <w:r>
              <w:rPr>
                <w:rFonts w:hint="eastAsia"/>
                <w:lang w:eastAsia="zh-CN"/>
              </w:rPr>
              <w:t>）</w:t>
            </w:r>
          </w:p>
        </w:tc>
      </w:tr>
      <w:tr w14:paraId="372B4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3" w:type="dxa"/>
            <w:noWrap w:val="0"/>
            <w:vAlign w:val="center"/>
          </w:tcPr>
          <w:p w14:paraId="47F49F0E">
            <w:pPr>
              <w:adjustRightInd w:val="0"/>
              <w:snapToGrid w:val="0"/>
              <w:jc w:val="center"/>
              <w:rPr>
                <w:rFonts w:ascii="宋体" w:hAnsi="宋体" w:cs="宋体"/>
                <w:szCs w:val="21"/>
              </w:rPr>
            </w:pPr>
            <w:r>
              <w:rPr>
                <w:rFonts w:hint="eastAsia" w:ascii="宋体" w:hAnsi="宋体" w:cs="宋体"/>
                <w:szCs w:val="21"/>
              </w:rPr>
              <w:t>规划环境影响</w:t>
            </w:r>
          </w:p>
          <w:p w14:paraId="10FE5F9E">
            <w:pPr>
              <w:adjustRightInd w:val="0"/>
              <w:snapToGrid w:val="0"/>
              <w:jc w:val="center"/>
              <w:rPr>
                <w:rFonts w:hint="eastAsia" w:ascii="宋体" w:hAnsi="宋体" w:cs="宋体"/>
                <w:kern w:val="0"/>
                <w:szCs w:val="21"/>
              </w:rPr>
            </w:pPr>
            <w:r>
              <w:rPr>
                <w:rFonts w:hint="eastAsia" w:ascii="宋体" w:hAnsi="宋体" w:cs="宋体"/>
                <w:szCs w:val="21"/>
              </w:rPr>
              <w:t>评价情况</w:t>
            </w:r>
          </w:p>
        </w:tc>
        <w:tc>
          <w:tcPr>
            <w:tcW w:w="7217" w:type="dxa"/>
            <w:gridSpan w:val="3"/>
            <w:shd w:val="clear" w:color="auto" w:fill="auto"/>
            <w:noWrap w:val="0"/>
            <w:vAlign w:val="center"/>
          </w:tcPr>
          <w:p w14:paraId="4677ECF4">
            <w:pPr>
              <w:pStyle w:val="54"/>
              <w:bidi w:val="0"/>
              <w:ind w:firstLine="0" w:firstLineChars="0"/>
              <w:jc w:val="center"/>
            </w:pPr>
            <w:r>
              <w:rPr>
                <w:rFonts w:hint="eastAsia"/>
                <w:lang w:val="en-US" w:eastAsia="zh-CN"/>
              </w:rPr>
              <w:t>无</w:t>
            </w:r>
          </w:p>
        </w:tc>
      </w:tr>
      <w:tr w14:paraId="49361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3" w:type="dxa"/>
            <w:noWrap w:val="0"/>
            <w:vAlign w:val="center"/>
          </w:tcPr>
          <w:p w14:paraId="30A1D9CF">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规划及规</w:t>
            </w:r>
            <w:r>
              <w:rPr>
                <w:rFonts w:hint="eastAsia" w:ascii="宋体" w:hAnsi="宋体" w:cs="宋体"/>
                <w:kern w:val="0"/>
                <w:szCs w:val="21"/>
                <w:lang w:eastAsia="zh-CN"/>
              </w:rPr>
              <w:t>划环</w:t>
            </w:r>
            <w:r>
              <w:rPr>
                <w:rFonts w:hint="eastAsia" w:ascii="宋体" w:hAnsi="宋体" w:cs="宋体"/>
                <w:kern w:val="0"/>
                <w:szCs w:val="21"/>
              </w:rPr>
              <w:t>境影响评价符合性分析</w:t>
            </w:r>
          </w:p>
        </w:tc>
        <w:tc>
          <w:tcPr>
            <w:tcW w:w="7217" w:type="dxa"/>
            <w:gridSpan w:val="3"/>
            <w:noWrap w:val="0"/>
            <w:vAlign w:val="center"/>
          </w:tcPr>
          <w:p w14:paraId="04F8724C">
            <w:pPr>
              <w:pStyle w:val="54"/>
              <w:bidi w:val="0"/>
              <w:rPr>
                <w:rFonts w:hint="eastAsia"/>
                <w:lang w:val="en-US" w:eastAsia="zh-CN"/>
              </w:rPr>
            </w:pPr>
            <w:r>
              <w:t>根据</w:t>
            </w:r>
            <w:r>
              <w:rPr>
                <w:rFonts w:hint="eastAsia"/>
                <w:lang w:val="en-US" w:eastAsia="zh-CN"/>
              </w:rPr>
              <w:t>《库尔勒上库高新技术产业开发区国土空间专项规划（2024-2035年）》</w:t>
            </w:r>
            <w:r>
              <w:t>及</w:t>
            </w:r>
            <w:r>
              <w:rPr>
                <w:rFonts w:hint="eastAsia"/>
                <w:lang w:val="en-US" w:eastAsia="zh-CN"/>
              </w:rPr>
              <w:t>关于对</w:t>
            </w:r>
            <w:r>
              <w:rPr>
                <w:rFonts w:hint="eastAsia"/>
                <w:lang w:eastAsia="zh-CN"/>
              </w:rPr>
              <w:t>《</w:t>
            </w:r>
            <w:r>
              <w:rPr>
                <w:rFonts w:hint="eastAsia"/>
                <w:lang w:val="en-US" w:eastAsia="zh-CN"/>
              </w:rPr>
              <w:t>库尔勒上库高新技术产业开发区国土空间专项规划（2024-2035年）</w:t>
            </w:r>
            <w:r>
              <w:rPr>
                <w:rFonts w:hint="eastAsia"/>
                <w:lang w:eastAsia="zh-CN"/>
              </w:rPr>
              <w:t>》</w:t>
            </w:r>
            <w:r>
              <w:rPr>
                <w:rFonts w:hint="eastAsia"/>
                <w:lang w:val="en-US" w:eastAsia="zh-CN"/>
              </w:rPr>
              <w:t>的批复</w:t>
            </w:r>
            <w:r>
              <w:rPr>
                <w:rFonts w:hint="eastAsia"/>
                <w:lang w:eastAsia="zh-CN"/>
              </w:rPr>
              <w:t>（</w:t>
            </w:r>
            <w:r>
              <w:rPr>
                <w:rFonts w:hint="eastAsia"/>
                <w:lang w:val="en-US" w:eastAsia="zh-CN"/>
              </w:rPr>
              <w:t>巴政函〔2024〕228号，2024年12月16日</w:t>
            </w:r>
            <w:r>
              <w:rPr>
                <w:rFonts w:hint="eastAsia"/>
                <w:lang w:eastAsia="zh-CN"/>
              </w:rPr>
              <w:t>），</w:t>
            </w:r>
            <w:r>
              <w:rPr>
                <w:rFonts w:hint="eastAsia"/>
                <w:lang w:val="en-US" w:eastAsia="zh-CN"/>
              </w:rPr>
              <w:t>上库综合产业园国土空间总体格局、产业空间布局及公用设施规划等如下：</w:t>
            </w:r>
          </w:p>
          <w:p w14:paraId="6F68622E">
            <w:pPr>
              <w:pStyle w:val="54"/>
              <w:bidi w:val="0"/>
              <w:rPr>
                <w:rFonts w:hint="default"/>
                <w:lang w:val="en-US" w:eastAsia="zh-CN"/>
              </w:rPr>
            </w:pPr>
            <w:r>
              <w:rPr>
                <w:rFonts w:hint="eastAsia"/>
                <w:lang w:val="en-US" w:eastAsia="zh-CN"/>
              </w:rPr>
              <w:t>一、国土空间总体格局：</w:t>
            </w:r>
          </w:p>
          <w:p w14:paraId="0A98779C">
            <w:pPr>
              <w:pStyle w:val="54"/>
              <w:bidi w:val="0"/>
              <w:rPr>
                <w:rFonts w:hint="eastAsia"/>
                <w:lang w:val="en-US" w:eastAsia="zh-CN"/>
              </w:rPr>
            </w:pPr>
            <w:r>
              <w:rPr>
                <w:rFonts w:hint="eastAsia"/>
                <w:lang w:val="en-US" w:eastAsia="zh-CN"/>
              </w:rPr>
              <w:t>规划将库尔勒上库高新技术产业开发区形成“一园两区”的总体空间布局，一园为库尔勒上库高新技术产业开发区，两区为上库综合产业园区与石油石化产业园区。</w:t>
            </w:r>
          </w:p>
          <w:p w14:paraId="2269C5C6">
            <w:pPr>
              <w:pStyle w:val="54"/>
              <w:bidi w:val="0"/>
              <w:rPr>
                <w:rFonts w:hint="eastAsia"/>
                <w:lang w:val="en-US" w:eastAsia="zh-CN"/>
              </w:rPr>
            </w:pPr>
            <w:r>
              <w:rPr>
                <w:rFonts w:hint="eastAsia"/>
                <w:lang w:val="en-US" w:eastAsia="zh-CN"/>
              </w:rPr>
              <w:t>上库综合产业园形成“一心四轴四片区”的空间结构，石油石化产业园形成“一心两轴三带”的空间结构。</w:t>
            </w:r>
          </w:p>
          <w:p w14:paraId="778A2587">
            <w:pPr>
              <w:pStyle w:val="54"/>
              <w:bidi w:val="0"/>
              <w:rPr>
                <w:rFonts w:hint="eastAsia"/>
                <w:lang w:val="en-US" w:eastAsia="zh-CN"/>
              </w:rPr>
            </w:pPr>
            <w:r>
              <w:rPr>
                <w:rFonts w:hint="eastAsia"/>
                <w:lang w:val="en-US" w:eastAsia="zh-CN"/>
              </w:rPr>
              <w:t>（1）上库综合产业园：</w:t>
            </w:r>
          </w:p>
          <w:p w14:paraId="6A35462E">
            <w:pPr>
              <w:pStyle w:val="54"/>
              <w:bidi w:val="0"/>
              <w:rPr>
                <w:rFonts w:hint="eastAsia"/>
                <w:lang w:val="en-US" w:eastAsia="zh-CN"/>
              </w:rPr>
            </w:pPr>
            <w:r>
              <w:rPr>
                <w:rFonts w:hint="eastAsia"/>
                <w:lang w:val="en-US" w:eastAsia="zh-CN"/>
              </w:rPr>
              <w:t>一心：以库尔勒上库高新技术产业开发区管委会为核心形成综合服务中心。</w:t>
            </w:r>
          </w:p>
          <w:p w14:paraId="57320B41">
            <w:pPr>
              <w:pStyle w:val="54"/>
              <w:bidi w:val="0"/>
              <w:rPr>
                <w:rFonts w:hint="eastAsia"/>
                <w:lang w:val="en-US" w:eastAsia="zh-CN"/>
              </w:rPr>
            </w:pPr>
            <w:r>
              <w:rPr>
                <w:rFonts w:hint="eastAsia"/>
                <w:lang w:val="en-US" w:eastAsia="zh-CN"/>
              </w:rPr>
              <w:t>四轴：各类产业区结合园区路网及中央绿化隔离带整体形成“两横两纵”四条发展轴线。分别以光华路及上库大道为依托形成一横一纵的主要轴线，分别以上水路及西域大道为依托形成一横一纵的次要轴线。</w:t>
            </w:r>
          </w:p>
          <w:p w14:paraId="04B898DE">
            <w:pPr>
              <w:pStyle w:val="54"/>
              <w:bidi w:val="0"/>
              <w:rPr>
                <w:rFonts w:hint="eastAsia"/>
                <w:lang w:val="en-US" w:eastAsia="zh-CN"/>
              </w:rPr>
            </w:pPr>
            <w:r>
              <w:rPr>
                <w:rFonts w:hint="eastAsia"/>
                <w:lang w:val="en-US" w:eastAsia="zh-CN"/>
              </w:rPr>
              <w:t>四片区：结合规划用地布局及分类，划分为四个区域，包含工业区、商贸物流区、公用设施区及生活办公区。</w:t>
            </w:r>
          </w:p>
          <w:p w14:paraId="23E9CD66">
            <w:pPr>
              <w:pStyle w:val="54"/>
              <w:bidi w:val="0"/>
              <w:rPr>
                <w:rFonts w:hint="eastAsia"/>
                <w:lang w:val="en-US" w:eastAsia="zh-CN"/>
              </w:rPr>
            </w:pPr>
            <w:r>
              <w:rPr>
                <w:rFonts w:hint="eastAsia"/>
                <w:lang w:val="en-US" w:eastAsia="zh-CN"/>
              </w:rPr>
              <w:t>二、公用设施规划：</w:t>
            </w:r>
          </w:p>
          <w:p w14:paraId="75B36BF9">
            <w:pPr>
              <w:pStyle w:val="54"/>
              <w:bidi w:val="0"/>
              <w:rPr>
                <w:rFonts w:hint="default"/>
                <w:lang w:val="en-US" w:eastAsia="zh-CN"/>
              </w:rPr>
            </w:pPr>
            <w:r>
              <w:rPr>
                <w:rFonts w:hint="eastAsia"/>
                <w:lang w:val="en-US" w:eastAsia="zh-CN"/>
              </w:rPr>
              <w:t>（1）供水工程</w:t>
            </w:r>
          </w:p>
          <w:p w14:paraId="472BB417">
            <w:pPr>
              <w:pStyle w:val="54"/>
              <w:bidi w:val="0"/>
              <w:rPr>
                <w:rFonts w:hint="eastAsia"/>
                <w:lang w:val="en-US" w:eastAsia="zh-CN"/>
              </w:rPr>
            </w:pPr>
            <w:r>
              <w:rPr>
                <w:rFonts w:hint="eastAsia"/>
                <w:lang w:val="en-US" w:eastAsia="zh-CN"/>
              </w:rPr>
              <w:t>①水源选择：地表水由新疆开源公司供应，市政供水由新疆银泉水务供应，中水由库尔勒市污水处理厂供应。</w:t>
            </w:r>
          </w:p>
          <w:p w14:paraId="46D08D94">
            <w:pPr>
              <w:pStyle w:val="54"/>
              <w:bidi w:val="0"/>
              <w:rPr>
                <w:rFonts w:hint="eastAsia"/>
                <w:lang w:val="en-US" w:eastAsia="zh-CN"/>
              </w:rPr>
            </w:pPr>
            <w:r>
              <w:rPr>
                <w:rFonts w:hint="eastAsia"/>
                <w:lang w:val="en-US" w:eastAsia="zh-CN"/>
              </w:rPr>
              <w:t>②给水设施：在上库综合产业园齐鲁大道与光华路交叉口东北角中部规划工业集中给水水厂1座，设计规模为近期1万m³/d、远期2万m³/d，占地2.2公顷，主要供工业用水。</w:t>
            </w:r>
          </w:p>
          <w:p w14:paraId="6DEB7F43">
            <w:pPr>
              <w:pStyle w:val="54"/>
              <w:bidi w:val="0"/>
              <w:rPr>
                <w:rFonts w:hint="default"/>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排水工程</w:t>
            </w:r>
          </w:p>
          <w:p w14:paraId="16778A0C">
            <w:pPr>
              <w:pStyle w:val="54"/>
              <w:bidi w:val="0"/>
            </w:pPr>
            <w:r>
              <w:rPr>
                <w:rFonts w:hint="eastAsia"/>
                <w:lang w:val="en-US" w:eastAsia="zh-CN"/>
              </w:rPr>
              <w:t>上库综合产业园生活污水由铁门关市污水处理厂处理，生产废水由企业自行处理后回用于生产、绿化灌溉；石油石化产业园污水由企业自行处理或园区污水处理厂集中处理</w:t>
            </w:r>
            <w:r>
              <w:t>。</w:t>
            </w:r>
          </w:p>
          <w:p w14:paraId="7737675A">
            <w:pPr>
              <w:pStyle w:val="54"/>
              <w:bidi w:val="0"/>
            </w:pPr>
            <w:r>
              <w:rPr>
                <w:rFonts w:hint="eastAsia"/>
                <w:lang w:val="en-US" w:eastAsia="zh-CN"/>
              </w:rPr>
              <w:t>铁门关市污水处理厂位于老十八团渠南岸约1公里处、三五九旅大街东侧的位置，主要处理中心城区和库西工业园的生活污水。处理规模为2万m</w:t>
            </w:r>
            <w:r>
              <w:rPr>
                <w:rFonts w:hint="eastAsia"/>
                <w:vertAlign w:val="superscript"/>
                <w:lang w:val="en-US" w:eastAsia="zh-CN"/>
              </w:rPr>
              <w:t>3</w:t>
            </w:r>
            <w:r>
              <w:rPr>
                <w:rFonts w:hint="eastAsia"/>
                <w:lang w:val="en-US" w:eastAsia="zh-CN"/>
              </w:rPr>
              <w:t>/d，规划远期（2030年）扩建至6万m</w:t>
            </w:r>
            <w:r>
              <w:rPr>
                <w:rFonts w:hint="eastAsia"/>
                <w:vertAlign w:val="superscript"/>
                <w:lang w:val="en-US" w:eastAsia="zh-CN"/>
              </w:rPr>
              <w:t>3</w:t>
            </w:r>
            <w:r>
              <w:rPr>
                <w:rFonts w:hint="eastAsia"/>
                <w:lang w:val="en-US" w:eastAsia="zh-CN"/>
              </w:rPr>
              <w:t>/d。铁门关市污水处理厂采用 A2/0二级生化处理工艺，出水水质达到《城镇污水处理厂污染物排放标准》（GB18918-2002）一级B标准。该污水处理厂已经投入运行。</w:t>
            </w:r>
          </w:p>
          <w:p w14:paraId="0E3BED8E">
            <w:pPr>
              <w:pStyle w:val="54"/>
              <w:bidi w:val="0"/>
              <w:rPr>
                <w:rFonts w:hint="eastAsia"/>
                <w:lang w:val="en-US" w:eastAsia="zh-CN"/>
              </w:rPr>
            </w:pPr>
            <w:r>
              <w:rPr>
                <w:rFonts w:hint="eastAsia"/>
                <w:lang w:val="en-US" w:eastAsia="zh-CN"/>
              </w:rPr>
              <w:t>（3）固废、危废处置设施</w:t>
            </w:r>
          </w:p>
          <w:p w14:paraId="02C52485">
            <w:pPr>
              <w:pStyle w:val="54"/>
              <w:bidi w:val="0"/>
              <w:rPr>
                <w:rFonts w:hint="default"/>
                <w:lang w:val="en-US" w:eastAsia="zh-CN"/>
              </w:rPr>
            </w:pPr>
            <w:r>
              <w:rPr>
                <w:rFonts w:hint="eastAsia"/>
                <w:lang w:val="en-US" w:eastAsia="zh-CN"/>
              </w:rPr>
              <w:t>①生活垃圾</w:t>
            </w:r>
          </w:p>
          <w:p w14:paraId="1AE5C791">
            <w:pPr>
              <w:pStyle w:val="54"/>
              <w:bidi w:val="0"/>
            </w:pPr>
            <w:r>
              <w:rPr>
                <w:rFonts w:hint="eastAsia"/>
              </w:rPr>
              <w:t>上库综合产业园生活垃圾采用垃圾分类处理，规划预测至2030年产生生活垃圾量为12吨，在项目区西北侧的兴隆路南侧规划1处小型生活垃圾中转站，经中转站转运至库尔勒市三峰广瀚焚烧发电厂处理或自行焚烧处理</w:t>
            </w:r>
            <w:r>
              <w:t>。</w:t>
            </w:r>
          </w:p>
          <w:p w14:paraId="797D7FBB">
            <w:pPr>
              <w:pStyle w:val="54"/>
              <w:bidi w:val="0"/>
              <w:rPr>
                <w:rFonts w:hint="default"/>
                <w:lang w:val="en-US" w:eastAsia="zh-CN"/>
              </w:rPr>
            </w:pPr>
            <w:r>
              <w:rPr>
                <w:rFonts w:hint="eastAsia"/>
                <w:lang w:val="en-US" w:eastAsia="zh-CN"/>
              </w:rPr>
              <w:t>②固废危废处理</w:t>
            </w:r>
          </w:p>
          <w:p w14:paraId="79F075D2">
            <w:pPr>
              <w:pStyle w:val="54"/>
              <w:bidi w:val="0"/>
              <w:ind w:firstLine="0" w:firstLineChars="0"/>
              <w:rPr>
                <w:rFonts w:hint="eastAsia"/>
                <w:lang w:val="en-US" w:eastAsia="zh-CN"/>
              </w:rPr>
            </w:pPr>
            <w:r>
              <w:rPr>
                <w:rFonts w:hint="eastAsia"/>
              </w:rPr>
              <w:t>石化园西南部戈壁地带已建成一座用地面积约为133公顷的固废危废处理中心。危废经无害化处置处填埋，设计填埋场容量按1000万立方米考虑设计使用年限 30年</w:t>
            </w:r>
            <w:r>
              <w:t>。</w:t>
            </w:r>
          </w:p>
          <w:p w14:paraId="592889F2">
            <w:pPr>
              <w:pStyle w:val="54"/>
              <w:bidi w:val="0"/>
              <w:rPr>
                <w:rFonts w:hint="eastAsia"/>
                <w:lang w:val="en-US" w:eastAsia="zh-CN"/>
              </w:rPr>
            </w:pPr>
            <w:r>
              <w:rPr>
                <w:rFonts w:hint="eastAsia"/>
                <w:lang w:val="en-US" w:eastAsia="zh-CN"/>
              </w:rPr>
              <w:t>③</w:t>
            </w:r>
            <w:r>
              <w:t>供热设施</w:t>
            </w:r>
          </w:p>
          <w:p w14:paraId="0036325A">
            <w:pPr>
              <w:pStyle w:val="54"/>
              <w:bidi w:val="0"/>
              <w:rPr>
                <w:rFonts w:hint="eastAsia"/>
                <w:lang w:val="en-US" w:eastAsia="zh-CN"/>
              </w:rPr>
            </w:pPr>
            <w:r>
              <w:rPr>
                <w:rFonts w:hint="eastAsia"/>
                <w:lang w:val="en-US" w:eastAsia="zh-CN"/>
              </w:rPr>
              <w:t>上库综合产业园以生活供暖为主，需求量小，集中供热热损失大，由企业采用天然气及电采暖方式自行供暖。</w:t>
            </w:r>
          </w:p>
          <w:p w14:paraId="17EDDF88">
            <w:pPr>
              <w:pStyle w:val="54"/>
              <w:bidi w:val="0"/>
              <w:ind w:left="0" w:leftChars="0" w:firstLine="480" w:firstLineChars="200"/>
              <w:rPr>
                <w:rFonts w:hint="default"/>
                <w:lang w:val="en-US" w:eastAsia="zh-CN"/>
              </w:rPr>
            </w:pPr>
            <w:r>
              <w:rPr>
                <w:rFonts w:hint="eastAsia"/>
                <w:lang w:val="en-US" w:eastAsia="zh-CN"/>
              </w:rPr>
              <w:t>本项目位于上库综合产业园区工业区，用地性质为工业用地，主要进行金属包装桶制造，成品出售给周边酱厂用作番茄酱包装容器，属于轻工行业，符合园区产业定位，满足规划要求，本项目用地类型符合性及产业功能分区符合性详见附图5、附图6。</w:t>
            </w:r>
          </w:p>
        </w:tc>
      </w:tr>
      <w:tr w14:paraId="42064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82" w:hRule="atLeast"/>
          <w:jc w:val="center"/>
        </w:trPr>
        <w:tc>
          <w:tcPr>
            <w:tcW w:w="1653" w:type="dxa"/>
            <w:noWrap w:val="0"/>
            <w:vAlign w:val="center"/>
          </w:tcPr>
          <w:p w14:paraId="6DF2EDA8">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其他符合性分析</w:t>
            </w:r>
          </w:p>
        </w:tc>
        <w:tc>
          <w:tcPr>
            <w:tcW w:w="7217" w:type="dxa"/>
            <w:gridSpan w:val="3"/>
            <w:noWrap w:val="0"/>
            <w:vAlign w:val="center"/>
          </w:tcPr>
          <w:p w14:paraId="4769B37A">
            <w:pPr>
              <w:pStyle w:val="48"/>
              <w:bidi w:val="0"/>
              <w:rPr>
                <w:rFonts w:hint="eastAsia"/>
                <w:lang w:val="en-US" w:eastAsia="zh-CN"/>
              </w:rPr>
            </w:pPr>
            <w:r>
              <w:rPr>
                <w:rFonts w:hint="eastAsia"/>
                <w:lang w:val="en-US" w:eastAsia="zh-CN"/>
              </w:rPr>
              <w:t>1.产业政策符合性</w:t>
            </w:r>
          </w:p>
          <w:p w14:paraId="2C4DEB20">
            <w:pPr>
              <w:pStyle w:val="47"/>
              <w:bidi w:val="0"/>
              <w:ind w:firstLine="480"/>
              <w:rPr>
                <w:rFonts w:hint="eastAsia" w:cs="Times New Roman"/>
                <w:highlight w:val="none"/>
                <w:lang w:val="en-US" w:eastAsia="zh-CN"/>
              </w:rPr>
            </w:pPr>
            <w:r>
              <w:rPr>
                <w:rFonts w:hint="default"/>
                <w:lang w:val="en-US" w:eastAsia="zh-CN"/>
              </w:rPr>
              <w:t>本项目属于</w:t>
            </w:r>
            <w:r>
              <w:rPr>
                <w:rFonts w:hint="eastAsia"/>
                <w:lang w:val="en-US" w:eastAsia="zh-CN"/>
              </w:rPr>
              <w:t>国民经济代码中</w:t>
            </w:r>
            <w:r>
              <w:rPr>
                <w:rFonts w:hint="default"/>
                <w:lang w:val="en-US" w:eastAsia="zh-CN"/>
              </w:rPr>
              <w:t>C</w:t>
            </w:r>
            <w:r>
              <w:rPr>
                <w:rFonts w:hint="eastAsia"/>
                <w:lang w:val="en-US" w:eastAsia="zh-CN"/>
              </w:rPr>
              <w:t>3333金属包装容器及材料制造，</w:t>
            </w:r>
            <w:r>
              <w:rPr>
                <w:rFonts w:hint="default" w:cs="Times New Roman"/>
                <w:highlight w:val="none"/>
                <w:lang w:val="en-US" w:eastAsia="zh-CN"/>
              </w:rPr>
              <w:t>不属于</w:t>
            </w:r>
            <w:r>
              <w:rPr>
                <w:rFonts w:hint="eastAsia" w:cs="Times New Roman"/>
                <w:highlight w:val="none"/>
                <w:lang w:val="en-US" w:eastAsia="zh-CN"/>
              </w:rPr>
              <w:t>《产</w:t>
            </w:r>
            <w:r>
              <w:rPr>
                <w:rFonts w:hint="default" w:cs="Times New Roman"/>
                <w:highlight w:val="none"/>
                <w:lang w:val="en-US" w:eastAsia="zh-CN"/>
              </w:rPr>
              <w:t>业结构调整指导目录</w:t>
            </w:r>
            <w:r>
              <w:rPr>
                <w:rFonts w:hint="eastAsia" w:cs="Times New Roman"/>
                <w:highlight w:val="none"/>
                <w:lang w:val="en-US" w:eastAsia="zh-CN"/>
              </w:rPr>
              <w:t>（2024年本）》</w:t>
            </w:r>
            <w:r>
              <w:rPr>
                <w:rFonts w:hint="default" w:cs="Times New Roman"/>
                <w:highlight w:val="none"/>
                <w:lang w:val="en-US" w:eastAsia="zh-CN"/>
              </w:rPr>
              <w:t>中</w:t>
            </w:r>
            <w:r>
              <w:rPr>
                <w:rFonts w:hint="eastAsia" w:cs="Times New Roman"/>
                <w:highlight w:val="none"/>
                <w:lang w:val="en-US" w:eastAsia="zh-CN"/>
              </w:rPr>
              <w:t>鼓励类、</w:t>
            </w:r>
            <w:r>
              <w:rPr>
                <w:rFonts w:hint="default" w:cs="Times New Roman"/>
                <w:highlight w:val="none"/>
                <w:lang w:val="en-US" w:eastAsia="zh-CN"/>
              </w:rPr>
              <w:t>限制类及淘汰类项目</w:t>
            </w:r>
            <w:r>
              <w:rPr>
                <w:rFonts w:hint="eastAsia" w:cs="Times New Roman"/>
                <w:highlight w:val="none"/>
                <w:lang w:val="en-US" w:eastAsia="zh-CN"/>
              </w:rPr>
              <w:t>，属于允许建设项目，同时项目所采用的生产工艺设备也均未被列入限制类和淘汰类，本项目符合《巴音郭楞蒙古自治州生态环境准入清单》</w:t>
            </w:r>
            <w:r>
              <w:rPr>
                <w:rFonts w:hint="eastAsia" w:cs="Times New Roman"/>
                <w:highlight w:val="none"/>
                <w:lang w:eastAsia="zh-CN"/>
              </w:rPr>
              <w:t>（</w:t>
            </w:r>
            <w:r>
              <w:rPr>
                <w:rFonts w:hint="eastAsia" w:cs="Times New Roman"/>
                <w:highlight w:val="none"/>
                <w:lang w:val="en-US" w:eastAsia="zh-CN"/>
              </w:rPr>
              <w:t>2023年</w:t>
            </w:r>
            <w:r>
              <w:rPr>
                <w:rFonts w:hint="eastAsia" w:cs="Times New Roman"/>
                <w:highlight w:val="none"/>
                <w:lang w:eastAsia="zh-CN"/>
              </w:rPr>
              <w:t>）</w:t>
            </w:r>
            <w:r>
              <w:rPr>
                <w:rFonts w:hint="eastAsia" w:cs="Times New Roman"/>
                <w:highlight w:val="none"/>
                <w:lang w:val="en-US" w:eastAsia="zh-CN"/>
              </w:rPr>
              <w:t>，</w:t>
            </w:r>
            <w:r>
              <w:rPr>
                <w:rFonts w:hint="eastAsia" w:cs="Times New Roman"/>
                <w:highlight w:val="none"/>
                <w:shd w:val="clear"/>
                <w:lang w:val="en-US" w:eastAsia="zh-CN"/>
              </w:rPr>
              <w:t>用地性质为工业用地。</w:t>
            </w:r>
            <w:r>
              <w:rPr>
                <w:rFonts w:hint="eastAsia" w:cs="Times New Roman"/>
                <w:highlight w:val="none"/>
                <w:lang w:val="en-US" w:eastAsia="zh-CN"/>
              </w:rPr>
              <w:t>2025年3月5日，新疆金诚凯瑞包装桶制造有限公司取得库尔勒市发展和改革委员会出具的企业投资项目登记备案证，备案证编码：20250208，项目代码：2503-652801-07-01-161980，综上，</w:t>
            </w:r>
            <w:r>
              <w:rPr>
                <w:rFonts w:hint="default" w:cs="Times New Roman"/>
                <w:highlight w:val="none"/>
                <w:shd w:val="clear"/>
              </w:rPr>
              <w:t>本项目的建设符合国家产业政策要求。</w:t>
            </w:r>
          </w:p>
          <w:p w14:paraId="41A2BB25">
            <w:pPr>
              <w:pStyle w:val="52"/>
              <w:bidi w:val="0"/>
              <w:rPr>
                <w:rFonts w:hint="default"/>
              </w:rPr>
            </w:pPr>
            <w:r>
              <w:rPr>
                <w:rFonts w:hint="eastAsia"/>
                <w:lang w:val="en-US" w:eastAsia="zh-CN"/>
              </w:rPr>
              <w:t>2.</w:t>
            </w:r>
            <w:r>
              <w:rPr>
                <w:rFonts w:hint="eastAsia"/>
                <w:lang w:eastAsia="zh-CN"/>
              </w:rPr>
              <w:t>“</w:t>
            </w:r>
            <w:r>
              <w:rPr>
                <w:rFonts w:hint="default"/>
              </w:rPr>
              <w:t>三线一单</w:t>
            </w:r>
            <w:r>
              <w:rPr>
                <w:rFonts w:hint="eastAsia"/>
                <w:lang w:eastAsia="zh-CN"/>
              </w:rPr>
              <w:t>”</w:t>
            </w:r>
            <w:r>
              <w:rPr>
                <w:rFonts w:hint="default"/>
              </w:rPr>
              <w:t>符合性分析</w:t>
            </w:r>
          </w:p>
          <w:p w14:paraId="79B3C37A">
            <w:pPr>
              <w:pStyle w:val="54"/>
              <w:bidi w:val="0"/>
              <w:rPr>
                <w:rFonts w:hint="eastAsia"/>
                <w:lang w:eastAsia="zh-CN"/>
              </w:rPr>
            </w:pPr>
            <w:r>
              <w:rPr>
                <w:rFonts w:hint="eastAsia"/>
                <w:b/>
                <w:bCs/>
                <w:lang w:val="en-US" w:eastAsia="zh-CN"/>
              </w:rPr>
              <w:t>（1）</w:t>
            </w:r>
            <w:r>
              <w:rPr>
                <w:rFonts w:hint="eastAsia"/>
                <w:b/>
                <w:bCs/>
                <w:lang w:eastAsia="zh-CN"/>
              </w:rPr>
              <w:t>《新疆维吾尔自治区“三线一单”生态环境分区管控方案》（新政发〔2021〕18号）符合性分析。</w:t>
            </w:r>
          </w:p>
          <w:p w14:paraId="69959F87">
            <w:pPr>
              <w:pStyle w:val="54"/>
              <w:bidi w:val="0"/>
              <w:rPr>
                <w:rFonts w:hint="default"/>
                <w:lang w:val="en-US" w:eastAsia="zh-CN"/>
              </w:rPr>
            </w:pPr>
            <w:r>
              <w:rPr>
                <w:rFonts w:hint="default"/>
                <w:lang w:val="en-US" w:eastAsia="zh-CN"/>
              </w:rPr>
              <w:t>根据《关于印发</w:t>
            </w:r>
            <w:r>
              <w:rPr>
                <w:rFonts w:hint="eastAsia"/>
                <w:lang w:val="en-US" w:eastAsia="zh-CN"/>
              </w:rPr>
              <w:t>〈</w:t>
            </w:r>
            <w:r>
              <w:rPr>
                <w:rFonts w:hint="default"/>
                <w:lang w:val="en-US" w:eastAsia="zh-CN"/>
              </w:rPr>
              <w:t>新疆维吾尔自治区</w:t>
            </w:r>
            <w:r>
              <w:rPr>
                <w:rFonts w:hint="eastAsia"/>
                <w:lang w:val="en-US" w:eastAsia="zh-CN"/>
              </w:rPr>
              <w:t>“</w:t>
            </w:r>
            <w:r>
              <w:rPr>
                <w:rFonts w:hint="default"/>
                <w:lang w:val="en-US" w:eastAsia="zh-CN"/>
              </w:rPr>
              <w:t>三线一单</w:t>
            </w:r>
            <w:r>
              <w:rPr>
                <w:rFonts w:hint="eastAsia"/>
                <w:lang w:val="en-US" w:eastAsia="zh-CN"/>
              </w:rPr>
              <w:t>”</w:t>
            </w:r>
            <w:r>
              <w:rPr>
                <w:rFonts w:hint="default"/>
                <w:lang w:val="en-US" w:eastAsia="zh-CN"/>
              </w:rPr>
              <w:t>生态环境分区管控方案</w:t>
            </w:r>
            <w:r>
              <w:rPr>
                <w:rFonts w:hint="eastAsia"/>
                <w:lang w:val="en-US" w:eastAsia="zh-CN"/>
              </w:rPr>
              <w:t>〉</w:t>
            </w:r>
            <w:r>
              <w:rPr>
                <w:rFonts w:hint="default"/>
                <w:lang w:val="en-US" w:eastAsia="zh-CN"/>
              </w:rPr>
              <w:t>通知》</w:t>
            </w:r>
            <w:r>
              <w:rPr>
                <w:rFonts w:hint="eastAsia"/>
                <w:lang w:val="en-US" w:eastAsia="zh-CN"/>
              </w:rPr>
              <w:t>（</w:t>
            </w:r>
            <w:r>
              <w:rPr>
                <w:rFonts w:hint="default"/>
                <w:lang w:val="en-US" w:eastAsia="zh-CN"/>
              </w:rPr>
              <w:t>新政发〔2021〕18号</w:t>
            </w:r>
            <w:r>
              <w:rPr>
                <w:rFonts w:hint="eastAsia"/>
                <w:lang w:val="en-US" w:eastAsia="zh-CN"/>
              </w:rPr>
              <w:t>）</w:t>
            </w:r>
            <w:r>
              <w:rPr>
                <w:rFonts w:hint="default"/>
                <w:lang w:val="en-US" w:eastAsia="zh-CN"/>
              </w:rPr>
              <w:t>，将本工程与生态保护红线、环境质量底线、资源利用上线和生态环境准入清单相关要求对比分析，详见表</w:t>
            </w:r>
            <w:r>
              <w:rPr>
                <w:rFonts w:hint="eastAsia"/>
                <w:lang w:val="en-US" w:eastAsia="zh-CN"/>
              </w:rPr>
              <w:t>1-1</w:t>
            </w:r>
            <w:r>
              <w:rPr>
                <w:rFonts w:hint="default"/>
                <w:lang w:val="en-US" w:eastAsia="zh-CN"/>
              </w:rPr>
              <w:t>。</w:t>
            </w:r>
          </w:p>
          <w:p w14:paraId="244521B2">
            <w:pPr>
              <w:pStyle w:val="53"/>
              <w:keepNext w:val="0"/>
              <w:keepLines w:val="0"/>
              <w:suppressLineNumbers w:val="0"/>
              <w:bidi w:val="0"/>
              <w:spacing w:before="0" w:beforeAutospacing="0" w:after="0" w:afterAutospacing="0"/>
              <w:ind w:left="0" w:right="0"/>
              <w:rPr>
                <w:rFonts w:hint="default" w:cs="Times New Roman"/>
                <w:highlight w:val="none"/>
                <w:lang w:val="en-US" w:eastAsia="zh-CN"/>
              </w:rPr>
            </w:pPr>
            <w:r>
              <w:rPr>
                <w:rFonts w:hint="default" w:cs="Times New Roman"/>
                <w:highlight w:val="none"/>
                <w:lang w:val="en-US" w:eastAsia="zh-CN"/>
              </w:rPr>
              <w:t>表</w:t>
            </w:r>
            <w:r>
              <w:rPr>
                <w:rFonts w:hint="eastAsia" w:cs="Times New Roman"/>
                <w:highlight w:val="none"/>
                <w:lang w:val="en-US" w:eastAsia="zh-CN"/>
              </w:rPr>
              <w:t>1-1    本项目与《新疆维吾尔自治区“三线一单”生态环境分区管控方案》相符性分析</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903"/>
              <w:gridCol w:w="3002"/>
              <w:gridCol w:w="423"/>
            </w:tblGrid>
            <w:tr w14:paraId="13F5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pct"/>
                  <w:noWrap w:val="0"/>
                  <w:vAlign w:val="center"/>
                </w:tcPr>
                <w:p w14:paraId="631A18BB">
                  <w:pPr>
                    <w:pStyle w:val="61"/>
                    <w:bidi w:val="0"/>
                    <w:rPr>
                      <w:rFonts w:hint="default"/>
                      <w:lang w:val="en-US" w:eastAsia="zh-CN"/>
                    </w:rPr>
                  </w:pPr>
                  <w:r>
                    <w:rPr>
                      <w:rFonts w:hint="eastAsia"/>
                      <w:lang w:val="en-US" w:eastAsia="zh-CN"/>
                    </w:rPr>
                    <w:t>管控要求</w:t>
                  </w:r>
                </w:p>
              </w:tc>
              <w:tc>
                <w:tcPr>
                  <w:tcW w:w="2077" w:type="pct"/>
                  <w:noWrap w:val="0"/>
                  <w:vAlign w:val="center"/>
                </w:tcPr>
                <w:p w14:paraId="5B4FAD59">
                  <w:pPr>
                    <w:pStyle w:val="61"/>
                    <w:bidi w:val="0"/>
                    <w:rPr>
                      <w:rFonts w:hint="default"/>
                      <w:lang w:val="en-US" w:eastAsia="zh-CN"/>
                    </w:rPr>
                  </w:pPr>
                  <w:r>
                    <w:rPr>
                      <w:rFonts w:hint="eastAsia"/>
                      <w:lang w:val="en-US" w:eastAsia="zh-CN"/>
                    </w:rPr>
                    <w:t>环境管理政策有关要求</w:t>
                  </w:r>
                </w:p>
              </w:tc>
              <w:tc>
                <w:tcPr>
                  <w:tcW w:w="2148" w:type="pct"/>
                  <w:noWrap w:val="0"/>
                  <w:vAlign w:val="center"/>
                </w:tcPr>
                <w:p w14:paraId="22930E9B">
                  <w:pPr>
                    <w:pStyle w:val="61"/>
                    <w:bidi w:val="0"/>
                    <w:rPr>
                      <w:rFonts w:hint="default"/>
                      <w:lang w:val="en-US" w:eastAsia="zh-CN"/>
                    </w:rPr>
                  </w:pPr>
                  <w:r>
                    <w:rPr>
                      <w:rFonts w:hint="eastAsia"/>
                      <w:lang w:val="en-US" w:eastAsia="zh-CN"/>
                    </w:rPr>
                    <w:t>本项目情况</w:t>
                  </w:r>
                </w:p>
              </w:tc>
              <w:tc>
                <w:tcPr>
                  <w:tcW w:w="302" w:type="pct"/>
                  <w:noWrap w:val="0"/>
                  <w:vAlign w:val="center"/>
                </w:tcPr>
                <w:p w14:paraId="30851DD7">
                  <w:pPr>
                    <w:pStyle w:val="61"/>
                    <w:bidi w:val="0"/>
                    <w:rPr>
                      <w:rFonts w:hint="default"/>
                      <w:lang w:val="en-US" w:eastAsia="zh-CN"/>
                    </w:rPr>
                  </w:pPr>
                  <w:r>
                    <w:rPr>
                      <w:rFonts w:hint="eastAsia"/>
                      <w:lang w:val="en-US" w:eastAsia="zh-CN"/>
                    </w:rPr>
                    <w:t>相符性</w:t>
                  </w:r>
                </w:p>
              </w:tc>
            </w:tr>
            <w:tr w14:paraId="1935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noWrap w:val="0"/>
                  <w:vAlign w:val="center"/>
                </w:tcPr>
                <w:p w14:paraId="24355116">
                  <w:pPr>
                    <w:pStyle w:val="61"/>
                    <w:bidi w:val="0"/>
                    <w:rPr>
                      <w:rFonts w:hint="default"/>
                      <w:lang w:val="en-US" w:eastAsia="zh-CN"/>
                    </w:rPr>
                  </w:pPr>
                  <w:r>
                    <w:rPr>
                      <w:rFonts w:hint="eastAsia"/>
                    </w:rPr>
                    <w:t>生态保护红线</w:t>
                  </w:r>
                </w:p>
              </w:tc>
              <w:tc>
                <w:tcPr>
                  <w:tcW w:w="2077" w:type="pct"/>
                  <w:noWrap w:val="0"/>
                  <w:vAlign w:val="center"/>
                </w:tcPr>
                <w:p w14:paraId="769F62FF">
                  <w:pPr>
                    <w:pStyle w:val="61"/>
                    <w:bidi w:val="0"/>
                    <w:jc w:val="both"/>
                    <w:rPr>
                      <w:rFonts w:hint="default"/>
                      <w:lang w:val="en-US" w:eastAsia="zh-CN"/>
                    </w:rPr>
                  </w:pPr>
                  <w:r>
                    <w:rPr>
                      <w:rFonts w:hint="default"/>
                      <w:lang w:val="en-US" w:eastAsia="zh-CN"/>
                    </w:rPr>
                    <w:t>按照</w:t>
                  </w:r>
                  <w:r>
                    <w:rPr>
                      <w:rFonts w:hint="eastAsia"/>
                      <w:lang w:val="en-US" w:eastAsia="zh-CN"/>
                    </w:rPr>
                    <w:t>“</w:t>
                  </w:r>
                  <w:r>
                    <w:rPr>
                      <w:rFonts w:hint="default"/>
                      <w:lang w:val="en-US" w:eastAsia="zh-CN"/>
                    </w:rPr>
                    <w:t>生态功能不降低、面积不减少、性质不改变</w:t>
                  </w:r>
                  <w:r>
                    <w:rPr>
                      <w:rFonts w:hint="eastAsia"/>
                      <w:lang w:val="en-US" w:eastAsia="zh-CN"/>
                    </w:rPr>
                    <w:t>”</w:t>
                  </w:r>
                  <w:r>
                    <w:rPr>
                      <w:rFonts w:hint="default"/>
                      <w:lang w:val="en-US" w:eastAsia="zh-CN"/>
                    </w:rPr>
                    <w:t>的基本要求</w:t>
                  </w:r>
                  <w:r>
                    <w:rPr>
                      <w:rFonts w:hint="eastAsia"/>
                      <w:lang w:val="en-US" w:eastAsia="zh-CN"/>
                    </w:rPr>
                    <w:t>，</w:t>
                  </w:r>
                  <w:r>
                    <w:rPr>
                      <w:rFonts w:hint="default"/>
                      <w:lang w:val="en-US" w:eastAsia="zh-CN"/>
                    </w:rPr>
                    <w:t>对划定的生态保护红线实施严格管控</w:t>
                  </w:r>
                  <w:r>
                    <w:rPr>
                      <w:rFonts w:hint="eastAsia"/>
                      <w:lang w:val="en-US" w:eastAsia="zh-CN"/>
                    </w:rPr>
                    <w:t>，</w:t>
                  </w:r>
                  <w:r>
                    <w:rPr>
                      <w:rFonts w:hint="default"/>
                      <w:lang w:val="en-US" w:eastAsia="zh-CN"/>
                    </w:rPr>
                    <w:t>保障和维护国家生态安全的底线和生命线。</w:t>
                  </w:r>
                </w:p>
              </w:tc>
              <w:tc>
                <w:tcPr>
                  <w:tcW w:w="2148" w:type="pct"/>
                  <w:noWrap w:val="0"/>
                  <w:vAlign w:val="center"/>
                </w:tcPr>
                <w:p w14:paraId="60078DA1">
                  <w:pPr>
                    <w:pStyle w:val="61"/>
                    <w:bidi w:val="0"/>
                    <w:jc w:val="both"/>
                    <w:rPr>
                      <w:rFonts w:hint="default"/>
                      <w:lang w:val="en-US" w:eastAsia="zh-CN"/>
                    </w:rPr>
                  </w:pPr>
                  <w:r>
                    <w:rPr>
                      <w:rFonts w:hint="default"/>
                      <w:lang w:val="en-US" w:eastAsia="zh-CN"/>
                    </w:rPr>
                    <w:t>本项目选址位于</w:t>
                  </w:r>
                  <w:r>
                    <w:rPr>
                      <w:rFonts w:hint="eastAsia"/>
                      <w:lang w:val="en-US" w:eastAsia="zh-CN"/>
                    </w:rPr>
                    <w:t>新疆维吾尔自治区库尔勒市上库综合产业园区</w:t>
                  </w:r>
                  <w:r>
                    <w:rPr>
                      <w:rFonts w:hint="default"/>
                      <w:lang w:val="en-US" w:eastAsia="zh-CN"/>
                    </w:rPr>
                    <w:t>，用地性质为工业用地，本项目所在地不涉及自然保护区、风景名胜区等各类保护地边界、江河、湖库以及海岸等向陆域延伸一定距离的边界、地理国情普查、全国土地调查、森林草原湿地荒漠等，不涉及</w:t>
                  </w:r>
                  <w:r>
                    <w:rPr>
                      <w:rFonts w:hint="eastAsia"/>
                      <w:lang w:val="en-US" w:eastAsia="zh-CN"/>
                    </w:rPr>
                    <w:t>生态保护红线</w:t>
                  </w:r>
                  <w:r>
                    <w:rPr>
                      <w:rFonts w:hint="default"/>
                      <w:lang w:val="en-US" w:eastAsia="zh-CN"/>
                    </w:rPr>
                    <w:t>区域，符合生态保护红线要求。</w:t>
                  </w:r>
                </w:p>
              </w:tc>
              <w:tc>
                <w:tcPr>
                  <w:tcW w:w="302" w:type="pct"/>
                  <w:noWrap w:val="0"/>
                  <w:vAlign w:val="center"/>
                </w:tcPr>
                <w:p w14:paraId="45F35C4C">
                  <w:pPr>
                    <w:pStyle w:val="61"/>
                    <w:bidi w:val="0"/>
                    <w:rPr>
                      <w:rFonts w:hint="default"/>
                      <w:lang w:val="en-US" w:eastAsia="zh-CN"/>
                    </w:rPr>
                  </w:pPr>
                  <w:r>
                    <w:rPr>
                      <w:rFonts w:hint="eastAsia"/>
                      <w:lang w:val="en-US" w:eastAsia="zh-CN"/>
                    </w:rPr>
                    <w:t>符合</w:t>
                  </w:r>
                </w:p>
              </w:tc>
            </w:tr>
            <w:tr w14:paraId="21CA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 w:type="pct"/>
                  <w:noWrap w:val="0"/>
                  <w:vAlign w:val="center"/>
                </w:tcPr>
                <w:p w14:paraId="72B6F09A">
                  <w:pPr>
                    <w:pStyle w:val="61"/>
                    <w:bidi w:val="0"/>
                    <w:rPr>
                      <w:rFonts w:hint="default"/>
                      <w:lang w:val="en-US" w:eastAsia="zh-CN"/>
                    </w:rPr>
                  </w:pPr>
                  <w:r>
                    <w:rPr>
                      <w:rFonts w:hint="eastAsia"/>
                    </w:rPr>
                    <w:t>环境质量底线</w:t>
                  </w:r>
                </w:p>
              </w:tc>
              <w:tc>
                <w:tcPr>
                  <w:tcW w:w="2077" w:type="pct"/>
                  <w:noWrap w:val="0"/>
                  <w:vAlign w:val="center"/>
                </w:tcPr>
                <w:p w14:paraId="196166D9">
                  <w:pPr>
                    <w:pStyle w:val="61"/>
                    <w:bidi w:val="0"/>
                    <w:jc w:val="both"/>
                    <w:rPr>
                      <w:rFonts w:hint="default"/>
                      <w:lang w:val="en-US" w:eastAsia="zh-CN"/>
                    </w:rPr>
                  </w:pPr>
                  <w:r>
                    <w:rPr>
                      <w:rFonts w:hint="default"/>
                      <w:lang w:val="en-US" w:eastAsia="zh-CN"/>
                    </w:rPr>
                    <w:t>全区水环境质量持续改善</w:t>
                  </w:r>
                  <w:r>
                    <w:rPr>
                      <w:rFonts w:hint="eastAsia"/>
                      <w:lang w:val="en-US" w:eastAsia="zh-CN"/>
                    </w:rPr>
                    <w:t>，</w:t>
                  </w:r>
                  <w:r>
                    <w:rPr>
                      <w:rFonts w:hint="default"/>
                      <w:lang w:val="en-US" w:eastAsia="zh-CN"/>
                    </w:rPr>
                    <w:t>受污染地表水体得到有效治理</w:t>
                  </w:r>
                  <w:r>
                    <w:rPr>
                      <w:rFonts w:hint="eastAsia"/>
                      <w:lang w:val="en-US" w:eastAsia="zh-CN"/>
                    </w:rPr>
                    <w:t>，</w:t>
                  </w:r>
                  <w:r>
                    <w:rPr>
                      <w:rFonts w:hint="default"/>
                      <w:lang w:val="en-US" w:eastAsia="zh-CN"/>
                    </w:rPr>
                    <w:t>饮用水安全保障水平持续提升</w:t>
                  </w:r>
                  <w:r>
                    <w:rPr>
                      <w:rFonts w:hint="eastAsia"/>
                      <w:lang w:val="en-US" w:eastAsia="zh-CN"/>
                    </w:rPr>
                    <w:t>，</w:t>
                  </w:r>
                  <w:r>
                    <w:rPr>
                      <w:rFonts w:hint="default"/>
                      <w:lang w:val="en-US" w:eastAsia="zh-CN"/>
                    </w:rPr>
                    <w:t>地下水超采得到严格控制</w:t>
                  </w:r>
                  <w:r>
                    <w:rPr>
                      <w:rFonts w:hint="eastAsia"/>
                      <w:lang w:val="en-US" w:eastAsia="zh-CN"/>
                    </w:rPr>
                    <w:t>，</w:t>
                  </w:r>
                  <w:r>
                    <w:rPr>
                      <w:rFonts w:hint="default"/>
                      <w:lang w:val="en-US" w:eastAsia="zh-CN"/>
                    </w:rPr>
                    <w:t>地下水水质保持稳定</w:t>
                  </w:r>
                  <w:r>
                    <w:rPr>
                      <w:rFonts w:hint="eastAsia"/>
                      <w:lang w:val="en-US" w:eastAsia="zh-CN"/>
                    </w:rPr>
                    <w:t>；</w:t>
                  </w:r>
                  <w:r>
                    <w:rPr>
                      <w:rFonts w:hint="default"/>
                      <w:lang w:val="en-US" w:eastAsia="zh-CN"/>
                    </w:rPr>
                    <w:t>全区环境空气质量有所提升</w:t>
                  </w:r>
                  <w:r>
                    <w:rPr>
                      <w:rFonts w:hint="eastAsia"/>
                      <w:lang w:val="en-US" w:eastAsia="zh-CN"/>
                    </w:rPr>
                    <w:t>，</w:t>
                  </w:r>
                  <w:r>
                    <w:rPr>
                      <w:rFonts w:hint="default"/>
                      <w:lang w:val="en-US" w:eastAsia="zh-CN"/>
                    </w:rPr>
                    <w:t>重污染天数持续减少</w:t>
                  </w:r>
                  <w:r>
                    <w:rPr>
                      <w:rFonts w:hint="eastAsia"/>
                      <w:lang w:val="en-US" w:eastAsia="zh-CN"/>
                    </w:rPr>
                    <w:t>，</w:t>
                  </w:r>
                  <w:r>
                    <w:rPr>
                      <w:rFonts w:hint="default"/>
                      <w:lang w:val="en-US" w:eastAsia="zh-CN"/>
                    </w:rPr>
                    <w:t>已达标城市环境空气质量保持稳定</w:t>
                  </w:r>
                  <w:r>
                    <w:rPr>
                      <w:rFonts w:hint="eastAsia"/>
                      <w:lang w:val="en-US" w:eastAsia="zh-CN"/>
                    </w:rPr>
                    <w:t>，</w:t>
                  </w:r>
                  <w:r>
                    <w:rPr>
                      <w:rFonts w:hint="default"/>
                      <w:lang w:val="en-US" w:eastAsia="zh-CN"/>
                    </w:rPr>
                    <w:t>未达标城市环境空气质量持续改善</w:t>
                  </w:r>
                  <w:r>
                    <w:rPr>
                      <w:rFonts w:hint="eastAsia"/>
                      <w:lang w:val="en-US" w:eastAsia="zh-CN"/>
                    </w:rPr>
                    <w:t>，</w:t>
                  </w:r>
                  <w:r>
                    <w:rPr>
                      <w:rFonts w:hint="default"/>
                      <w:lang w:val="en-US" w:eastAsia="zh-CN"/>
                    </w:rPr>
                    <w:t>沙尘影响严重地区做好防风固沙、生态环境保护修复等工作</w:t>
                  </w:r>
                  <w:r>
                    <w:rPr>
                      <w:rFonts w:hint="eastAsia"/>
                      <w:lang w:val="en-US" w:eastAsia="zh-CN"/>
                    </w:rPr>
                    <w:t>；</w:t>
                  </w:r>
                  <w:r>
                    <w:rPr>
                      <w:rFonts w:hint="default"/>
                      <w:lang w:val="en-US" w:eastAsia="zh-CN"/>
                    </w:rPr>
                    <w:t>全区土壤环境质量保持稳定</w:t>
                  </w:r>
                  <w:r>
                    <w:rPr>
                      <w:rFonts w:hint="eastAsia"/>
                      <w:lang w:val="en-US" w:eastAsia="zh-CN"/>
                    </w:rPr>
                    <w:t>，</w:t>
                  </w:r>
                  <w:r>
                    <w:rPr>
                      <w:rFonts w:hint="default"/>
                      <w:lang w:val="en-US" w:eastAsia="zh-CN"/>
                    </w:rPr>
                    <w:t>污染地块安全利用水平稳中有升</w:t>
                  </w:r>
                  <w:r>
                    <w:rPr>
                      <w:rFonts w:hint="eastAsia"/>
                      <w:lang w:val="en-US" w:eastAsia="zh-CN"/>
                    </w:rPr>
                    <w:t>，</w:t>
                  </w:r>
                  <w:r>
                    <w:rPr>
                      <w:rFonts w:hint="default"/>
                      <w:lang w:val="en-US" w:eastAsia="zh-CN"/>
                    </w:rPr>
                    <w:t>土壤环境风险得到进一步管控。</w:t>
                  </w:r>
                </w:p>
              </w:tc>
              <w:tc>
                <w:tcPr>
                  <w:tcW w:w="2148" w:type="pct"/>
                  <w:noWrap w:val="0"/>
                  <w:vAlign w:val="center"/>
                </w:tcPr>
                <w:p w14:paraId="71926523">
                  <w:pPr>
                    <w:pStyle w:val="61"/>
                    <w:bidi w:val="0"/>
                    <w:jc w:val="both"/>
                    <w:rPr>
                      <w:rFonts w:hint="default"/>
                      <w:lang w:val="en-US" w:eastAsia="zh-CN"/>
                    </w:rPr>
                  </w:pPr>
                  <w:r>
                    <w:rPr>
                      <w:rFonts w:hint="default"/>
                      <w:lang w:val="en-US" w:eastAsia="zh-CN"/>
                    </w:rPr>
                    <w:t>本项目</w:t>
                  </w:r>
                  <w:r>
                    <w:rPr>
                      <w:rFonts w:hint="eastAsia"/>
                      <w:lang w:val="en-US" w:eastAsia="zh-CN"/>
                    </w:rPr>
                    <w:t>喷漆废气经“干式过滤器+二级活性炭吸附”处理后经一根15m高排气筒（DA001）排放；清洗后烘干废气为天然气燃烧烟气，经低氮燃烧技术处理后经1根15m排气筒（DA002）排放；喷漆后烘干废气为天然气燃烧烟气和非甲烷总烃，经低氮燃烧和二级活性炭吸附后经1根15m高排气筒（DA003）排放。</w:t>
                  </w:r>
                  <w:r>
                    <w:rPr>
                      <w:rFonts w:hint="default"/>
                      <w:lang w:val="en-US" w:eastAsia="zh-CN"/>
                    </w:rPr>
                    <w:t>对环境空气质量影响较</w:t>
                  </w:r>
                  <w:r>
                    <w:rPr>
                      <w:rFonts w:hint="eastAsia"/>
                      <w:lang w:val="en-US" w:eastAsia="zh-CN"/>
                    </w:rPr>
                    <w:t>小</w:t>
                  </w:r>
                  <w:r>
                    <w:rPr>
                      <w:rFonts w:hint="default"/>
                      <w:lang w:val="en-US" w:eastAsia="zh-CN"/>
                    </w:rPr>
                    <w:t>，不会降低区域环境空气质量。</w:t>
                  </w:r>
                  <w:r>
                    <w:rPr>
                      <w:rFonts w:hint="eastAsia"/>
                      <w:lang w:val="en-US" w:eastAsia="zh-CN"/>
                    </w:rPr>
                    <w:t>本项目生活污水经化粪池处理后排入园区污水管网，最终由铁门关市污水处理厂处理，清洗废水经“絮凝+沉淀”处理后循环使用。生活垃圾收集到垃圾箱后定期由环卫部门统一处理，危险废物暂存于危废暂存间后交由有资质单位处理。本工程采取的环保措施能确保各项污染物达标排放，不突破所在区域环境质量底线。</w:t>
                  </w:r>
                </w:p>
              </w:tc>
              <w:tc>
                <w:tcPr>
                  <w:tcW w:w="302" w:type="pct"/>
                  <w:noWrap w:val="0"/>
                  <w:vAlign w:val="center"/>
                </w:tcPr>
                <w:p w14:paraId="435F73C1">
                  <w:pPr>
                    <w:pStyle w:val="61"/>
                    <w:bidi w:val="0"/>
                    <w:rPr>
                      <w:rFonts w:hint="default"/>
                      <w:lang w:val="en-US" w:eastAsia="zh-CN"/>
                    </w:rPr>
                  </w:pPr>
                  <w:r>
                    <w:rPr>
                      <w:rFonts w:hint="eastAsia"/>
                      <w:lang w:val="en-US" w:eastAsia="zh-CN"/>
                    </w:rPr>
                    <w:t>符合</w:t>
                  </w:r>
                </w:p>
              </w:tc>
            </w:tr>
            <w:tr w14:paraId="05C1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pct"/>
                  <w:noWrap w:val="0"/>
                  <w:vAlign w:val="center"/>
                </w:tcPr>
                <w:p w14:paraId="6DCF1F9D">
                  <w:pPr>
                    <w:pStyle w:val="61"/>
                    <w:bidi w:val="0"/>
                    <w:rPr>
                      <w:rFonts w:hint="default"/>
                      <w:lang w:val="en-US" w:eastAsia="zh-CN"/>
                    </w:rPr>
                  </w:pPr>
                  <w:r>
                    <w:rPr>
                      <w:rFonts w:hint="eastAsia"/>
                    </w:rPr>
                    <w:t>资源利用上线</w:t>
                  </w:r>
                </w:p>
              </w:tc>
              <w:tc>
                <w:tcPr>
                  <w:tcW w:w="2077" w:type="pct"/>
                  <w:noWrap w:val="0"/>
                  <w:vAlign w:val="center"/>
                </w:tcPr>
                <w:p w14:paraId="220A272F">
                  <w:pPr>
                    <w:pStyle w:val="61"/>
                    <w:bidi w:val="0"/>
                    <w:jc w:val="both"/>
                    <w:rPr>
                      <w:rFonts w:hint="default"/>
                      <w:lang w:val="en-US" w:eastAsia="zh-CN"/>
                    </w:rPr>
                  </w:pPr>
                  <w:r>
                    <w:rPr>
                      <w:rFonts w:hint="default"/>
                      <w:lang w:val="en-US" w:eastAsia="zh-CN"/>
                    </w:rPr>
                    <w:t>强化节约集约利用</w:t>
                  </w:r>
                  <w:r>
                    <w:rPr>
                      <w:rFonts w:hint="eastAsia"/>
                      <w:lang w:val="en-US" w:eastAsia="zh-CN"/>
                    </w:rPr>
                    <w:t>，</w:t>
                  </w:r>
                  <w:r>
                    <w:rPr>
                      <w:rFonts w:hint="default"/>
                      <w:lang w:val="en-US" w:eastAsia="zh-CN"/>
                    </w:rPr>
                    <w:t>持续提升资源能源利用效率</w:t>
                  </w:r>
                  <w:r>
                    <w:rPr>
                      <w:rFonts w:hint="eastAsia"/>
                      <w:lang w:val="en-US" w:eastAsia="zh-CN"/>
                    </w:rPr>
                    <w:t>，</w:t>
                  </w:r>
                  <w:r>
                    <w:rPr>
                      <w:rFonts w:hint="default"/>
                      <w:lang w:val="en-US" w:eastAsia="zh-CN"/>
                    </w:rPr>
                    <w:t>水资源、土地资源、能源消耗等达到国家、自治区下达的总量和强度控制目标。加快区域低碳发展</w:t>
                  </w:r>
                  <w:r>
                    <w:rPr>
                      <w:rFonts w:hint="eastAsia"/>
                      <w:lang w:val="en-US" w:eastAsia="zh-CN"/>
                    </w:rPr>
                    <w:t>，</w:t>
                  </w:r>
                  <w:r>
                    <w:rPr>
                      <w:rFonts w:hint="default"/>
                      <w:lang w:val="en-US" w:eastAsia="zh-CN"/>
                    </w:rPr>
                    <w:t>积极推动乌鲁木齐市、昌吉市、伊宁市、和田市等4个国家级低碳试点城市发挥低碳试点示范和引领作用。</w:t>
                  </w:r>
                </w:p>
              </w:tc>
              <w:tc>
                <w:tcPr>
                  <w:tcW w:w="2148" w:type="pct"/>
                  <w:noWrap w:val="0"/>
                  <w:vAlign w:val="center"/>
                </w:tcPr>
                <w:p w14:paraId="61AB71F9">
                  <w:pPr>
                    <w:pStyle w:val="61"/>
                    <w:bidi w:val="0"/>
                    <w:jc w:val="both"/>
                    <w:rPr>
                      <w:rFonts w:hint="default"/>
                      <w:lang w:val="en-US" w:eastAsia="zh-CN"/>
                    </w:rPr>
                  </w:pPr>
                  <w:r>
                    <w:rPr>
                      <w:rFonts w:hint="eastAsia"/>
                      <w:lang w:val="en-US" w:eastAsia="zh-CN"/>
                    </w:rPr>
                    <w:t>本项目用水主要为员工生活用水和生产用水，由园区供水管网提供；用电来自园区供电网，能够满足其供电要求，因此项目用水、用电的使用较少、利用率较高，不触及资源利用上线。</w:t>
                  </w:r>
                </w:p>
              </w:tc>
              <w:tc>
                <w:tcPr>
                  <w:tcW w:w="302" w:type="pct"/>
                  <w:noWrap w:val="0"/>
                  <w:vAlign w:val="center"/>
                </w:tcPr>
                <w:p w14:paraId="7D87922D">
                  <w:pPr>
                    <w:pStyle w:val="61"/>
                    <w:bidi w:val="0"/>
                    <w:rPr>
                      <w:rFonts w:hint="default"/>
                      <w:lang w:val="en-US" w:eastAsia="zh-CN"/>
                    </w:rPr>
                  </w:pPr>
                  <w:r>
                    <w:rPr>
                      <w:rFonts w:hint="eastAsia"/>
                      <w:lang w:val="en-US" w:eastAsia="zh-CN"/>
                    </w:rPr>
                    <w:t>符合</w:t>
                  </w:r>
                </w:p>
              </w:tc>
            </w:tr>
            <w:tr w14:paraId="30B3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pct"/>
                  <w:noWrap w:val="0"/>
                  <w:vAlign w:val="center"/>
                </w:tcPr>
                <w:p w14:paraId="692518A5">
                  <w:pPr>
                    <w:pStyle w:val="61"/>
                    <w:bidi w:val="0"/>
                    <w:rPr>
                      <w:rFonts w:hint="default"/>
                      <w:lang w:val="en-US" w:eastAsia="zh-CN"/>
                    </w:rPr>
                  </w:pPr>
                  <w:r>
                    <w:rPr>
                      <w:rFonts w:hint="eastAsia"/>
                      <w:lang w:val="en-US" w:eastAsia="zh-CN"/>
                    </w:rPr>
                    <w:t>生态环境准入清单</w:t>
                  </w:r>
                </w:p>
              </w:tc>
              <w:tc>
                <w:tcPr>
                  <w:tcW w:w="2077" w:type="pct"/>
                  <w:noWrap w:val="0"/>
                  <w:vAlign w:val="center"/>
                </w:tcPr>
                <w:p w14:paraId="66389D68">
                  <w:pPr>
                    <w:pStyle w:val="61"/>
                    <w:bidi w:val="0"/>
                    <w:jc w:val="both"/>
                    <w:rPr>
                      <w:rFonts w:hint="default"/>
                      <w:lang w:val="en-US" w:eastAsia="zh-CN"/>
                    </w:rPr>
                  </w:pPr>
                  <w:r>
                    <w:rPr>
                      <w:rFonts w:hint="default"/>
                      <w:lang w:val="en-US" w:eastAsia="zh-CN"/>
                    </w:rPr>
                    <w:t>自治区共划定1</w:t>
                  </w:r>
                  <w:r>
                    <w:rPr>
                      <w:rFonts w:hint="eastAsia"/>
                      <w:lang w:val="en-US" w:eastAsia="zh-CN"/>
                    </w:rPr>
                    <w:t>777</w:t>
                  </w:r>
                  <w:r>
                    <w:rPr>
                      <w:rFonts w:hint="default"/>
                      <w:lang w:val="en-US" w:eastAsia="zh-CN"/>
                    </w:rPr>
                    <w:t>个环境管控单元</w:t>
                  </w:r>
                  <w:r>
                    <w:rPr>
                      <w:rFonts w:hint="eastAsia"/>
                      <w:lang w:val="en-US" w:eastAsia="zh-CN"/>
                    </w:rPr>
                    <w:t>，</w:t>
                  </w:r>
                  <w:r>
                    <w:rPr>
                      <w:rFonts w:hint="default"/>
                      <w:lang w:val="en-US" w:eastAsia="zh-CN"/>
                    </w:rPr>
                    <w:t>分为优先保护单元、重点管控单元和一般管控单元三类</w:t>
                  </w:r>
                  <w:r>
                    <w:rPr>
                      <w:rFonts w:hint="eastAsia"/>
                      <w:lang w:val="en-US" w:eastAsia="zh-CN"/>
                    </w:rPr>
                    <w:t>，</w:t>
                  </w:r>
                  <w:r>
                    <w:rPr>
                      <w:rFonts w:hint="default"/>
                      <w:lang w:val="en-US" w:eastAsia="zh-CN"/>
                    </w:rPr>
                    <w:t>实施分类管控。优先保护单元</w:t>
                  </w:r>
                  <w:r>
                    <w:rPr>
                      <w:rFonts w:hint="eastAsia"/>
                      <w:lang w:val="en-US" w:eastAsia="zh-CN"/>
                    </w:rPr>
                    <w:t>925</w:t>
                  </w:r>
                  <w:r>
                    <w:rPr>
                      <w:rFonts w:hint="default"/>
                      <w:lang w:val="en-US" w:eastAsia="zh-CN"/>
                    </w:rPr>
                    <w:t>个</w:t>
                  </w:r>
                  <w:r>
                    <w:rPr>
                      <w:rFonts w:hint="eastAsia"/>
                      <w:lang w:val="en-US" w:eastAsia="zh-CN"/>
                    </w:rPr>
                    <w:t>，</w:t>
                  </w:r>
                  <w:r>
                    <w:rPr>
                      <w:rFonts w:hint="default"/>
                      <w:lang w:val="en-US" w:eastAsia="zh-CN"/>
                    </w:rPr>
                    <w:t>主要包括生态保护红线区和生态保护红线区以外的饮用水水源保护区、水源涵养区、防风固沙区、土地沙化防控区、水土流失防控区等一般生态空间管控区。生态保护红线区执行生态保护红线管理办法的有关要求</w:t>
                  </w:r>
                  <w:r>
                    <w:rPr>
                      <w:rFonts w:hint="eastAsia"/>
                      <w:lang w:val="en-US" w:eastAsia="zh-CN"/>
                    </w:rPr>
                    <w:t>；</w:t>
                  </w:r>
                  <w:r>
                    <w:rPr>
                      <w:rFonts w:hint="default"/>
                      <w:lang w:val="en-US" w:eastAsia="zh-CN"/>
                    </w:rPr>
                    <w:t>一般生态空间管控区应以生态环境保护优先为原则</w:t>
                  </w:r>
                  <w:r>
                    <w:rPr>
                      <w:rFonts w:hint="eastAsia"/>
                      <w:lang w:val="en-US" w:eastAsia="zh-CN"/>
                    </w:rPr>
                    <w:t>，</w:t>
                  </w:r>
                  <w:r>
                    <w:rPr>
                      <w:rFonts w:hint="default"/>
                      <w:lang w:val="en-US" w:eastAsia="zh-CN"/>
                    </w:rPr>
                    <w:t>开发建设活动应严格执行相关法律、法规要求</w:t>
                  </w:r>
                  <w:r>
                    <w:rPr>
                      <w:rFonts w:hint="eastAsia"/>
                      <w:lang w:val="en-US" w:eastAsia="zh-CN"/>
                    </w:rPr>
                    <w:t>，</w:t>
                  </w:r>
                  <w:r>
                    <w:rPr>
                      <w:rFonts w:hint="default"/>
                      <w:lang w:val="en-US" w:eastAsia="zh-CN"/>
                    </w:rPr>
                    <w:t>严守生态环境质量底线</w:t>
                  </w:r>
                  <w:r>
                    <w:rPr>
                      <w:rFonts w:hint="eastAsia"/>
                      <w:lang w:val="en-US" w:eastAsia="zh-CN"/>
                    </w:rPr>
                    <w:t>，</w:t>
                  </w:r>
                  <w:r>
                    <w:rPr>
                      <w:rFonts w:hint="default"/>
                      <w:lang w:val="en-US" w:eastAsia="zh-CN"/>
                    </w:rPr>
                    <w:t>确保生态功能不降低。重点管控单元</w:t>
                  </w:r>
                  <w:r>
                    <w:rPr>
                      <w:rFonts w:hint="eastAsia"/>
                      <w:lang w:val="en-US" w:eastAsia="zh-CN"/>
                    </w:rPr>
                    <w:t>713</w:t>
                  </w:r>
                  <w:r>
                    <w:rPr>
                      <w:rFonts w:hint="default"/>
                      <w:lang w:val="en-US" w:eastAsia="zh-CN"/>
                    </w:rPr>
                    <w:t>个</w:t>
                  </w:r>
                  <w:r>
                    <w:rPr>
                      <w:rFonts w:hint="eastAsia"/>
                      <w:lang w:val="en-US" w:eastAsia="zh-CN"/>
                    </w:rPr>
                    <w:t>，</w:t>
                  </w:r>
                  <w:r>
                    <w:rPr>
                      <w:rFonts w:hint="default"/>
                      <w:lang w:val="en-US" w:eastAsia="zh-CN"/>
                    </w:rPr>
                    <w:t>主要包括城镇建成区、工业园区和开发强度大、污染物排放强度高的工业聚集区等。重点管控单元要着力优化空间布局</w:t>
                  </w:r>
                  <w:r>
                    <w:rPr>
                      <w:rFonts w:hint="eastAsia"/>
                      <w:lang w:val="en-US" w:eastAsia="zh-CN"/>
                    </w:rPr>
                    <w:t>，</w:t>
                  </w:r>
                  <w:r>
                    <w:rPr>
                      <w:rFonts w:hint="default"/>
                      <w:lang w:val="en-US" w:eastAsia="zh-CN"/>
                    </w:rPr>
                    <w:t>不断提升资源利用效率</w:t>
                  </w:r>
                  <w:r>
                    <w:rPr>
                      <w:rFonts w:hint="eastAsia"/>
                      <w:lang w:val="en-US" w:eastAsia="zh-CN"/>
                    </w:rPr>
                    <w:t>，</w:t>
                  </w:r>
                  <w:r>
                    <w:rPr>
                      <w:rFonts w:hint="default"/>
                      <w:lang w:val="en-US" w:eastAsia="zh-CN"/>
                    </w:rPr>
                    <w:t>有针对性地加强污染物排放管控和环境风险防控</w:t>
                  </w:r>
                  <w:r>
                    <w:rPr>
                      <w:rFonts w:hint="eastAsia"/>
                      <w:lang w:val="en-US" w:eastAsia="zh-CN"/>
                    </w:rPr>
                    <w:t>，</w:t>
                  </w:r>
                  <w:r>
                    <w:rPr>
                      <w:rFonts w:hint="default"/>
                      <w:lang w:val="en-US" w:eastAsia="zh-CN"/>
                    </w:rPr>
                    <w:t>解决生态环境质量不达标、生态环境风险高等问题。一般管控单元1</w:t>
                  </w:r>
                  <w:r>
                    <w:rPr>
                      <w:rFonts w:hint="eastAsia"/>
                      <w:lang w:val="en-US" w:eastAsia="zh-CN"/>
                    </w:rPr>
                    <w:t>39</w:t>
                  </w:r>
                  <w:r>
                    <w:rPr>
                      <w:rFonts w:hint="default"/>
                      <w:lang w:val="en-US" w:eastAsia="zh-CN"/>
                    </w:rPr>
                    <w:t>个</w:t>
                  </w:r>
                  <w:r>
                    <w:rPr>
                      <w:rFonts w:hint="eastAsia"/>
                      <w:lang w:val="en-US" w:eastAsia="zh-CN"/>
                    </w:rPr>
                    <w:t>，</w:t>
                  </w:r>
                  <w:r>
                    <w:rPr>
                      <w:rFonts w:hint="default"/>
                      <w:lang w:val="en-US" w:eastAsia="zh-CN"/>
                    </w:rPr>
                    <w:t>主要包括优先保护单元和重点管控单元之外的其它区域。一般管控单元主要落实生态环境保护基本要求</w:t>
                  </w:r>
                  <w:r>
                    <w:rPr>
                      <w:rFonts w:hint="eastAsia"/>
                      <w:lang w:val="en-US" w:eastAsia="zh-CN"/>
                    </w:rPr>
                    <w:t>，</w:t>
                  </w:r>
                  <w:r>
                    <w:rPr>
                      <w:rFonts w:hint="default"/>
                      <w:lang w:val="en-US" w:eastAsia="zh-CN"/>
                    </w:rPr>
                    <w:t>推动区域环境质量持续改善。</w:t>
                  </w:r>
                </w:p>
              </w:tc>
              <w:tc>
                <w:tcPr>
                  <w:tcW w:w="2148" w:type="pct"/>
                  <w:noWrap w:val="0"/>
                  <w:vAlign w:val="center"/>
                </w:tcPr>
                <w:p w14:paraId="6CFAB7BE">
                  <w:pPr>
                    <w:pStyle w:val="61"/>
                    <w:bidi w:val="0"/>
                    <w:jc w:val="both"/>
                    <w:rPr>
                      <w:rFonts w:hint="default"/>
                      <w:lang w:val="en-US" w:eastAsia="zh-CN"/>
                    </w:rPr>
                  </w:pPr>
                  <w:r>
                    <w:rPr>
                      <w:rFonts w:hint="default"/>
                      <w:lang w:val="en-US" w:eastAsia="zh-CN"/>
                    </w:rPr>
                    <w:t>本项目选址位于</w:t>
                  </w:r>
                  <w:r>
                    <w:rPr>
                      <w:rFonts w:hint="eastAsia"/>
                      <w:lang w:val="en-US" w:eastAsia="zh-CN"/>
                    </w:rPr>
                    <w:t>新疆维吾尔自治区库尔勒市上库综合产业园区，属于重点管控单元，本项目选址较为合理；本项目用水主要为员工生活用水和生产用水，由园区供水管网提供；本项目喷漆废气经“干式过滤器+二级活性炭吸附”处理后经一根15m高排气筒（DA001）排放；清洗后烘干废气为天然气燃烧烟气，经低氮燃烧技术处理后经1根15m排气筒（DA002）排放；喷漆后烘干废气为天然气燃烧烟气和非甲烷总烃，经低氮燃烧和二级活性炭吸附后经1根15m高排气筒（DA003）排放。根据环境影响预测结果，本项目实施后，本项目污染物均能够达标排放。本项目通过建立环境突发事件应急管理领导机构、完善环境突发应急预案体系、配备完善应急物资等手段来加强环境风险防控。因此，本工程满足重点管控单元要求。</w:t>
                  </w:r>
                </w:p>
              </w:tc>
              <w:tc>
                <w:tcPr>
                  <w:tcW w:w="302" w:type="pct"/>
                  <w:noWrap w:val="0"/>
                  <w:vAlign w:val="center"/>
                </w:tcPr>
                <w:p w14:paraId="14492B3E">
                  <w:pPr>
                    <w:pStyle w:val="61"/>
                    <w:bidi w:val="0"/>
                    <w:rPr>
                      <w:rFonts w:hint="default"/>
                      <w:lang w:val="en-US" w:eastAsia="zh-CN"/>
                    </w:rPr>
                  </w:pPr>
                  <w:r>
                    <w:rPr>
                      <w:rFonts w:hint="eastAsia"/>
                      <w:lang w:val="en-US" w:eastAsia="zh-CN"/>
                    </w:rPr>
                    <w:t>符合</w:t>
                  </w:r>
                </w:p>
              </w:tc>
            </w:tr>
          </w:tbl>
          <w:p w14:paraId="1E679442">
            <w:pPr>
              <w:pStyle w:val="47"/>
              <w:bidi w:val="0"/>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sz w:val="24"/>
                <w:szCs w:val="24"/>
                <w:lang w:val="en-US" w:eastAsia="zh-CN"/>
              </w:rPr>
              <w:t>《新疆维吾尔自治区生态环境分区管控动态更新成果》符合性分析</w:t>
            </w:r>
          </w:p>
          <w:p w14:paraId="38DA143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根据《关于印发〈新疆维吾尔自治区生态环境分区管控动态更新成果〉的通知》（新环环评发〔2024〕157号）文件，本项目相关符合性分析见表1-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p>
          <w:p w14:paraId="6D485BA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表1-</w:t>
            </w:r>
            <w:r>
              <w:rPr>
                <w:rFonts w:hint="eastAsia" w:ascii="宋体" w:hAnsi="宋体" w:cs="宋体"/>
                <w:b/>
                <w:bCs/>
                <w:sz w:val="21"/>
                <w:szCs w:val="21"/>
                <w:lang w:val="en-US" w:eastAsia="zh-CN"/>
              </w:rPr>
              <w:t>2</w:t>
            </w:r>
            <w:r>
              <w:rPr>
                <w:rFonts w:hint="eastAsia" w:ascii="宋体" w:hAnsi="宋体" w:eastAsia="宋体" w:cs="宋体"/>
                <w:b/>
                <w:bCs/>
                <w:sz w:val="21"/>
                <w:szCs w:val="21"/>
                <w:lang w:val="en-US" w:eastAsia="zh-CN"/>
              </w:rPr>
              <w:t xml:space="preserve"> 《新疆维吾尔自治区生态环境分区管控动态更新成果》符合性分析</w:t>
            </w:r>
          </w:p>
          <w:tbl>
            <w:tblPr>
              <w:tblStyle w:val="24"/>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2989"/>
              <w:gridCol w:w="3124"/>
              <w:gridCol w:w="386"/>
            </w:tblGrid>
            <w:tr w14:paraId="7AAE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noWrap w:val="0"/>
                  <w:vAlign w:val="center"/>
                </w:tcPr>
                <w:p w14:paraId="0B0AF9DF">
                  <w:pPr>
                    <w:widowControl w:val="0"/>
                    <w:tabs>
                      <w:tab w:val="right" w:leader="dot" w:pos="8296"/>
                    </w:tabs>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管控维度</w:t>
                  </w:r>
                </w:p>
              </w:tc>
              <w:tc>
                <w:tcPr>
                  <w:tcW w:w="3576" w:type="dxa"/>
                  <w:noWrap w:val="0"/>
                  <w:vAlign w:val="center"/>
                </w:tcPr>
                <w:p w14:paraId="428AE897">
                  <w:pPr>
                    <w:widowControl w:val="0"/>
                    <w:tabs>
                      <w:tab w:val="right" w:leader="dot" w:pos="8296"/>
                    </w:tabs>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管控要求</w:t>
                  </w:r>
                </w:p>
              </w:tc>
              <w:tc>
                <w:tcPr>
                  <w:tcW w:w="3737" w:type="dxa"/>
                  <w:noWrap w:val="0"/>
                  <w:vAlign w:val="center"/>
                </w:tcPr>
                <w:p w14:paraId="646C5B02">
                  <w:pPr>
                    <w:widowControl w:val="0"/>
                    <w:tabs>
                      <w:tab w:val="right" w:leader="dot" w:pos="8296"/>
                    </w:tabs>
                    <w:jc w:val="center"/>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本项目情况</w:t>
                  </w:r>
                </w:p>
              </w:tc>
              <w:tc>
                <w:tcPr>
                  <w:tcW w:w="462" w:type="dxa"/>
                  <w:noWrap w:val="0"/>
                  <w:vAlign w:val="center"/>
                </w:tcPr>
                <w:p w14:paraId="1E3BA7FB">
                  <w:pPr>
                    <w:widowControl w:val="0"/>
                    <w:tabs>
                      <w:tab w:val="right" w:leader="dot" w:pos="8296"/>
                    </w:tabs>
                    <w:jc w:val="center"/>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相符性</w:t>
                  </w:r>
                </w:p>
              </w:tc>
            </w:tr>
            <w:tr w14:paraId="7ADB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noWrap w:val="0"/>
                  <w:vAlign w:val="center"/>
                </w:tcPr>
                <w:p w14:paraId="12D2F69F">
                  <w:pPr>
                    <w:keepNext w:val="0"/>
                    <w:keepLines w:val="0"/>
                    <w:pageBreakBefore w:val="0"/>
                    <w:kinsoku/>
                    <w:wordWrap/>
                    <w:overflowPunct/>
                    <w:topLinePunct w:val="0"/>
                    <w:autoSpaceDE w:val="0"/>
                    <w:autoSpaceDN w:val="0"/>
                    <w:bidi w:val="0"/>
                    <w:adjustRightInd w:val="0"/>
                    <w:snapToGrid w:val="0"/>
                    <w:ind w:firstLine="0" w:firstLineChars="0"/>
                    <w:jc w:val="left"/>
                    <w:textAlignment w:val="auto"/>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空间布局约束</w:t>
                  </w:r>
                </w:p>
              </w:tc>
              <w:tc>
                <w:tcPr>
                  <w:tcW w:w="3576" w:type="dxa"/>
                  <w:noWrap w:val="0"/>
                  <w:vAlign w:val="center"/>
                </w:tcPr>
                <w:p w14:paraId="6F11C5C4">
                  <w:pPr>
                    <w:widowControl w:val="0"/>
                    <w:tabs>
                      <w:tab w:val="right" w:leader="dot" w:pos="8296"/>
                    </w:tabs>
                    <w:jc w:val="left"/>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A1.1-1禁止新建、扩建《产业结构调整指导目录（2024年本）》中淘汰类项目。禁止引入《市场准入负面清单（2022年版）》禁止准入类事项。</w:t>
                  </w:r>
                </w:p>
                <w:p w14:paraId="73AF5D61">
                  <w:pPr>
                    <w:widowControl w:val="0"/>
                    <w:tabs>
                      <w:tab w:val="right" w:leader="dot" w:pos="8296"/>
                    </w:tabs>
                    <w:jc w:val="left"/>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A1.1-4禁止在水源涵养区、地下水源、饮用水源、自然保护区、风景名胜区、森林公园、重要湿地及人群密集区等生态敏感区域内进行煤炭、石油、天然气开发。</w:t>
                  </w:r>
                </w:p>
              </w:tc>
              <w:tc>
                <w:tcPr>
                  <w:tcW w:w="3737" w:type="dxa"/>
                  <w:noWrap w:val="0"/>
                  <w:vAlign w:val="center"/>
                </w:tcPr>
                <w:p w14:paraId="0A66C81A">
                  <w:pPr>
                    <w:widowControl w:val="0"/>
                    <w:numPr>
                      <w:ilvl w:val="0"/>
                      <w:numId w:val="1"/>
                    </w:numPr>
                    <w:tabs>
                      <w:tab w:val="right" w:leader="dot" w:pos="8296"/>
                    </w:tabs>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本项目为</w:t>
                  </w:r>
                  <w:r>
                    <w:rPr>
                      <w:rFonts w:hint="eastAsia" w:ascii="宋体" w:hAnsi="宋体" w:cs="宋体"/>
                      <w:color w:val="auto"/>
                      <w:kern w:val="2"/>
                      <w:sz w:val="21"/>
                      <w:szCs w:val="21"/>
                      <w:highlight w:val="none"/>
                      <w:lang w:val="en-US" w:eastAsia="zh-CN" w:bidi="ar-SA"/>
                    </w:rPr>
                    <w:t>金属制品业</w:t>
                  </w:r>
                  <w:r>
                    <w:rPr>
                      <w:rFonts w:hint="eastAsia" w:ascii="宋体" w:hAnsi="宋体" w:eastAsia="宋体" w:cs="宋体"/>
                      <w:color w:val="auto"/>
                      <w:kern w:val="2"/>
                      <w:sz w:val="21"/>
                      <w:szCs w:val="21"/>
                      <w:highlight w:val="none"/>
                      <w:lang w:val="en-US" w:eastAsia="zh-CN" w:bidi="ar-SA"/>
                    </w:rPr>
                    <w:t>，</w:t>
                  </w:r>
                  <w:r>
                    <w:rPr>
                      <w:rFonts w:hint="eastAsia" w:cs="Times New Roman"/>
                      <w:highlight w:val="none"/>
                      <w:lang w:val="en-US" w:eastAsia="zh-CN"/>
                    </w:rPr>
                    <w:t>不</w:t>
                  </w:r>
                  <w:r>
                    <w:rPr>
                      <w:rFonts w:hint="eastAsia" w:ascii="宋体" w:hAnsi="宋体" w:eastAsia="宋体" w:cs="宋体"/>
                      <w:color w:val="auto"/>
                      <w:kern w:val="2"/>
                      <w:sz w:val="21"/>
                      <w:szCs w:val="21"/>
                      <w:highlight w:val="none"/>
                      <w:lang w:val="en-US" w:eastAsia="zh-CN" w:bidi="ar-SA"/>
                    </w:rPr>
                    <w:t>属于《产业结构调整指导目录（2024年本）》中鼓励类项目</w:t>
                  </w:r>
                  <w:r>
                    <w:rPr>
                      <w:rFonts w:hint="eastAsia" w:cs="Times New Roman"/>
                      <w:highlight w:val="none"/>
                      <w:lang w:val="en-US" w:eastAsia="zh-CN"/>
                    </w:rPr>
                    <w:t>、</w:t>
                  </w:r>
                  <w:r>
                    <w:rPr>
                      <w:rFonts w:hint="default" w:cs="Times New Roman"/>
                      <w:highlight w:val="none"/>
                      <w:lang w:val="en-US" w:eastAsia="zh-CN"/>
                    </w:rPr>
                    <w:t>限制类及淘汰类项目</w:t>
                  </w:r>
                  <w:r>
                    <w:rPr>
                      <w:rFonts w:hint="eastAsia" w:cs="Times New Roman"/>
                      <w:highlight w:val="none"/>
                      <w:lang w:val="en-US" w:eastAsia="zh-CN"/>
                    </w:rPr>
                    <w:t>，属于允许建设项目</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也</w:t>
                  </w:r>
                  <w:r>
                    <w:rPr>
                      <w:rFonts w:hint="eastAsia" w:ascii="宋体" w:hAnsi="宋体" w:eastAsia="宋体" w:cs="宋体"/>
                      <w:color w:val="auto"/>
                      <w:kern w:val="2"/>
                      <w:sz w:val="21"/>
                      <w:szCs w:val="21"/>
                      <w:highlight w:val="none"/>
                      <w:lang w:val="en-US" w:eastAsia="zh-CN" w:bidi="ar-SA"/>
                    </w:rPr>
                    <w:t>不属于</w:t>
                  </w:r>
                  <w:r>
                    <w:rPr>
                      <w:rFonts w:hint="eastAsia" w:ascii="宋体" w:hAnsi="宋体" w:eastAsia="宋体" w:cs="宋体"/>
                      <w:color w:val="auto"/>
                      <w:kern w:val="0"/>
                      <w:sz w:val="21"/>
                      <w:szCs w:val="21"/>
                      <w:highlight w:val="none"/>
                      <w:vertAlign w:val="baseline"/>
                      <w:lang w:val="en-US" w:eastAsia="zh-CN" w:bidi="ar-SA"/>
                    </w:rPr>
                    <w:t>《市场准入负面清单（2022年版）》中禁止准入类事项</w:t>
                  </w:r>
                  <w:r>
                    <w:rPr>
                      <w:rFonts w:hint="eastAsia" w:ascii="宋体" w:hAnsi="宋体" w:eastAsia="宋体" w:cs="宋体"/>
                      <w:color w:val="auto"/>
                      <w:kern w:val="2"/>
                      <w:sz w:val="21"/>
                      <w:szCs w:val="21"/>
                      <w:highlight w:val="none"/>
                      <w:lang w:val="en-US" w:eastAsia="zh-CN" w:bidi="ar-SA"/>
                    </w:rPr>
                    <w:t>。</w:t>
                  </w:r>
                </w:p>
                <w:p w14:paraId="0D9322D8">
                  <w:pPr>
                    <w:widowControl w:val="0"/>
                    <w:numPr>
                      <w:ilvl w:val="0"/>
                      <w:numId w:val="1"/>
                    </w:numPr>
                    <w:tabs>
                      <w:tab w:val="right" w:leader="dot" w:pos="8296"/>
                    </w:tabs>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本项目位于</w:t>
                  </w:r>
                  <w:r>
                    <w:rPr>
                      <w:rFonts w:hint="eastAsia" w:ascii="宋体" w:hAnsi="宋体" w:cs="宋体"/>
                      <w:szCs w:val="21"/>
                    </w:rPr>
                    <w:t>新疆维吾尔自治区巴音郭楞蒙古自治州</w:t>
                  </w:r>
                  <w:r>
                    <w:rPr>
                      <w:rFonts w:hint="eastAsia" w:ascii="宋体" w:hAnsi="宋体" w:cs="宋体"/>
                      <w:szCs w:val="21"/>
                      <w:lang w:val="en-US" w:eastAsia="zh-CN"/>
                    </w:rPr>
                    <w:t>库尔勒市上库综合产业园区</w:t>
                  </w:r>
                  <w:r>
                    <w:rPr>
                      <w:rFonts w:hint="eastAsia" w:ascii="宋体" w:hAnsi="宋体" w:cs="宋体"/>
                      <w:szCs w:val="21"/>
                    </w:rPr>
                    <w:t>内，</w:t>
                  </w:r>
                  <w:r>
                    <w:rPr>
                      <w:rFonts w:hint="eastAsia" w:ascii="宋体" w:hAnsi="宋体" w:cs="宋体"/>
                      <w:szCs w:val="21"/>
                      <w:lang w:val="en-US" w:eastAsia="zh-CN"/>
                    </w:rPr>
                    <w:t>不涉及自然保护区等生态敏感区域。</w:t>
                  </w:r>
                </w:p>
              </w:tc>
              <w:tc>
                <w:tcPr>
                  <w:tcW w:w="462" w:type="dxa"/>
                  <w:noWrap w:val="0"/>
                  <w:vAlign w:val="center"/>
                </w:tcPr>
                <w:p w14:paraId="1666CC5F">
                  <w:pPr>
                    <w:widowControl w:val="0"/>
                    <w:tabs>
                      <w:tab w:val="right" w:leader="dot" w:pos="8296"/>
                    </w:tabs>
                    <w:jc w:val="left"/>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符合</w:t>
                  </w:r>
                </w:p>
              </w:tc>
            </w:tr>
            <w:tr w14:paraId="034C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noWrap w:val="0"/>
                  <w:vAlign w:val="center"/>
                </w:tcPr>
                <w:p w14:paraId="34E1EA50">
                  <w:pPr>
                    <w:keepNext w:val="0"/>
                    <w:keepLines w:val="0"/>
                    <w:pageBreakBefore w:val="0"/>
                    <w:kinsoku/>
                    <w:wordWrap/>
                    <w:overflowPunct/>
                    <w:topLinePunct w:val="0"/>
                    <w:autoSpaceDE w:val="0"/>
                    <w:autoSpaceDN w:val="0"/>
                    <w:bidi w:val="0"/>
                    <w:adjustRightInd w:val="0"/>
                    <w:snapToGrid w:val="0"/>
                    <w:ind w:firstLine="0" w:firstLineChars="0"/>
                    <w:jc w:val="left"/>
                    <w:textAlignment w:val="auto"/>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污染物排放管控</w:t>
                  </w:r>
                </w:p>
              </w:tc>
              <w:tc>
                <w:tcPr>
                  <w:tcW w:w="3576" w:type="dxa"/>
                  <w:noWrap w:val="0"/>
                  <w:vAlign w:val="center"/>
                </w:tcPr>
                <w:p w14:paraId="58831613">
                  <w:pPr>
                    <w:widowControl w:val="0"/>
                    <w:tabs>
                      <w:tab w:val="right" w:leader="dot" w:pos="8296"/>
                    </w:tabs>
                    <w:jc w:val="left"/>
                    <w:rPr>
                      <w:rFonts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A2.1-1新、改、扩建重点行业建设项目应符合“三线一单”、产业政策、区域环评、规划环评和行业环境准入管控要求。重点区域的新、改、扩建重点行业建设项目应遵守重点重金属污染物排放“减量替代”原则。</w:t>
                  </w:r>
                </w:p>
              </w:tc>
              <w:tc>
                <w:tcPr>
                  <w:tcW w:w="3737" w:type="dxa"/>
                  <w:noWrap w:val="0"/>
                  <w:vAlign w:val="center"/>
                </w:tcPr>
                <w:p w14:paraId="1FF7E1FB">
                  <w:pPr>
                    <w:keepNext w:val="0"/>
                    <w:keepLines w:val="0"/>
                    <w:pageBreakBefore w:val="0"/>
                    <w:kinsoku/>
                    <w:wordWrap/>
                    <w:overflowPunct/>
                    <w:topLinePunct w:val="0"/>
                    <w:bidi w:val="0"/>
                    <w:ind w:firstLine="0" w:firstLineChars="0"/>
                    <w:jc w:val="left"/>
                    <w:textAlignment w:val="auto"/>
                    <w:rPr>
                      <w:rFonts w:hint="default" w:ascii="宋体" w:hAnsi="宋体" w:eastAsia="宋体" w:cs="宋体"/>
                      <w:color w:val="auto"/>
                      <w:kern w:val="0"/>
                      <w:szCs w:val="21"/>
                      <w:highlight w:val="none"/>
                      <w:vertAlign w:val="baseline"/>
                      <w:lang w:val="en-US" w:eastAsia="zh-CN"/>
                    </w:rPr>
                  </w:pPr>
                  <w:r>
                    <w:rPr>
                      <w:rFonts w:hint="eastAsia" w:ascii="宋体" w:hAnsi="宋体" w:eastAsia="宋体" w:cs="宋体"/>
                      <w:color w:val="auto"/>
                      <w:kern w:val="0"/>
                      <w:szCs w:val="21"/>
                      <w:highlight w:val="none"/>
                      <w:vertAlign w:val="baseline"/>
                      <w:lang w:val="en-US" w:eastAsia="zh-CN"/>
                    </w:rPr>
                    <w:t>本项目符合新疆维吾尔自治区及巴州“三线一单”管控要求，同时符合产业政策、</w:t>
                  </w:r>
                  <w:r>
                    <w:rPr>
                      <w:rFonts w:hint="eastAsia" w:ascii="宋体" w:hAnsi="宋体" w:cs="宋体"/>
                      <w:color w:val="auto"/>
                      <w:kern w:val="0"/>
                      <w:szCs w:val="21"/>
                      <w:highlight w:val="none"/>
                      <w:vertAlign w:val="baseline"/>
                      <w:lang w:val="en-US" w:eastAsia="zh-CN"/>
                    </w:rPr>
                    <w:t>规划环评</w:t>
                  </w:r>
                  <w:r>
                    <w:rPr>
                      <w:rFonts w:hint="eastAsia" w:ascii="宋体" w:hAnsi="宋体" w:eastAsia="宋体" w:cs="宋体"/>
                      <w:color w:val="auto"/>
                      <w:kern w:val="0"/>
                      <w:szCs w:val="21"/>
                      <w:highlight w:val="none"/>
                      <w:vertAlign w:val="baseline"/>
                      <w:lang w:val="en-US" w:eastAsia="zh-CN"/>
                    </w:rPr>
                    <w:t>要求。</w:t>
                  </w:r>
                </w:p>
              </w:tc>
              <w:tc>
                <w:tcPr>
                  <w:tcW w:w="462" w:type="dxa"/>
                  <w:noWrap w:val="0"/>
                  <w:vAlign w:val="center"/>
                </w:tcPr>
                <w:p w14:paraId="1E1B30EF">
                  <w:pPr>
                    <w:widowControl w:val="0"/>
                    <w:tabs>
                      <w:tab w:val="right" w:leader="dot" w:pos="8296"/>
                    </w:tabs>
                    <w:jc w:val="left"/>
                    <w:rPr>
                      <w:rFonts w:hint="eastAsia"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符合</w:t>
                  </w:r>
                </w:p>
              </w:tc>
            </w:tr>
            <w:tr w14:paraId="6CD6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noWrap w:val="0"/>
                  <w:vAlign w:val="center"/>
                </w:tcPr>
                <w:p w14:paraId="60FEE63A">
                  <w:pPr>
                    <w:keepNext w:val="0"/>
                    <w:keepLines w:val="0"/>
                    <w:pageBreakBefore w:val="0"/>
                    <w:kinsoku/>
                    <w:wordWrap/>
                    <w:overflowPunct/>
                    <w:topLinePunct w:val="0"/>
                    <w:autoSpaceDE w:val="0"/>
                    <w:autoSpaceDN w:val="0"/>
                    <w:bidi w:val="0"/>
                    <w:adjustRightInd w:val="0"/>
                    <w:snapToGrid w:val="0"/>
                    <w:ind w:firstLine="0" w:firstLineChars="0"/>
                    <w:jc w:val="left"/>
                    <w:textAlignment w:val="auto"/>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环境风险防控</w:t>
                  </w:r>
                </w:p>
              </w:tc>
              <w:tc>
                <w:tcPr>
                  <w:tcW w:w="3576" w:type="dxa"/>
                  <w:noWrap w:val="0"/>
                  <w:vAlign w:val="center"/>
                </w:tcPr>
                <w:p w14:paraId="340E9ABB">
                  <w:pPr>
                    <w:widowControl w:val="0"/>
                    <w:tabs>
                      <w:tab w:val="right" w:leader="dot" w:pos="8296"/>
                    </w:tabs>
                    <w:jc w:val="left"/>
                    <w:rPr>
                      <w:rFonts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A3.2-4加强环境风险预警防控。加强涉危险废物企业、涉重金属企业、化工园区、集中式饮用水水源地及重点流域环境风险调查评估，实施分类分级风险管控，协同推进重点区域、流域生态环境污染综合防治、风险防控与生态修复。</w:t>
                  </w:r>
                </w:p>
              </w:tc>
              <w:tc>
                <w:tcPr>
                  <w:tcW w:w="3737" w:type="dxa"/>
                  <w:noWrap w:val="0"/>
                  <w:vAlign w:val="center"/>
                </w:tcPr>
                <w:p w14:paraId="49424555">
                  <w:pPr>
                    <w:widowControl w:val="0"/>
                    <w:tabs>
                      <w:tab w:val="right" w:leader="dot" w:pos="8296"/>
                    </w:tabs>
                    <w:jc w:val="left"/>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本次环评进行了环境风险识别与分析，提出了相应的防范措施、</w:t>
                  </w:r>
                  <w:r>
                    <w:rPr>
                      <w:rFonts w:hint="default" w:ascii="Times New Roman" w:hAnsi="Times New Roman" w:eastAsia="宋体" w:cs="Times New Roman"/>
                      <w:color w:val="auto"/>
                      <w:kern w:val="0"/>
                      <w:sz w:val="21"/>
                      <w:szCs w:val="21"/>
                      <w:lang w:val="en-US" w:eastAsia="zh-CN" w:bidi="ar-SA"/>
                    </w:rPr>
                    <w:t>储备环境风险应急物资</w:t>
                  </w:r>
                  <w:r>
                    <w:rPr>
                      <w:rFonts w:hint="eastAsia" w:ascii="Times New Roman" w:hAnsi="Times New Roman" w:eastAsia="宋体" w:cs="Times New Roman"/>
                      <w:color w:val="auto"/>
                      <w:kern w:val="0"/>
                      <w:sz w:val="21"/>
                      <w:szCs w:val="21"/>
                      <w:lang w:val="en-US" w:eastAsia="zh-CN" w:bidi="ar-SA"/>
                    </w:rPr>
                    <w:t>及设置应急预案体系，在落实相关措施的情况下项目整体环境风险可控。</w:t>
                  </w:r>
                </w:p>
              </w:tc>
              <w:tc>
                <w:tcPr>
                  <w:tcW w:w="462" w:type="dxa"/>
                  <w:noWrap w:val="0"/>
                  <w:vAlign w:val="center"/>
                </w:tcPr>
                <w:p w14:paraId="686EA5B3">
                  <w:pPr>
                    <w:widowControl w:val="0"/>
                    <w:tabs>
                      <w:tab w:val="right" w:leader="dot" w:pos="8296"/>
                    </w:tabs>
                    <w:jc w:val="left"/>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符合</w:t>
                  </w:r>
                </w:p>
              </w:tc>
            </w:tr>
            <w:tr w14:paraId="237E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noWrap w:val="0"/>
                  <w:vAlign w:val="center"/>
                </w:tcPr>
                <w:p w14:paraId="109E8BDE">
                  <w:pPr>
                    <w:keepNext w:val="0"/>
                    <w:keepLines w:val="0"/>
                    <w:pageBreakBefore w:val="0"/>
                    <w:kinsoku/>
                    <w:wordWrap/>
                    <w:overflowPunct/>
                    <w:topLinePunct w:val="0"/>
                    <w:autoSpaceDE w:val="0"/>
                    <w:autoSpaceDN w:val="0"/>
                    <w:bidi w:val="0"/>
                    <w:adjustRightInd w:val="0"/>
                    <w:snapToGrid w:val="0"/>
                    <w:ind w:firstLine="0" w:firstLineChars="0"/>
                    <w:jc w:val="left"/>
                    <w:textAlignment w:val="auto"/>
                    <w:rPr>
                      <w:rFonts w:hint="default" w:ascii="宋体" w:hAnsi="宋体" w:eastAsia="宋体" w:cs="宋体"/>
                      <w:color w:val="auto"/>
                      <w:kern w:val="0"/>
                      <w:sz w:val="21"/>
                      <w:szCs w:val="21"/>
                      <w:highlight w:val="none"/>
                      <w:vertAlign w:val="baseline"/>
                      <w:lang w:val="en-US" w:eastAsia="zh-CN"/>
                    </w:rPr>
                  </w:pPr>
                  <w:r>
                    <w:rPr>
                      <w:rFonts w:hint="eastAsia" w:ascii="宋体" w:hAnsi="宋体" w:eastAsia="宋体" w:cs="宋体"/>
                      <w:color w:val="auto"/>
                      <w:kern w:val="0"/>
                      <w:sz w:val="21"/>
                      <w:szCs w:val="21"/>
                      <w:highlight w:val="none"/>
                      <w:vertAlign w:val="baseline"/>
                      <w:lang w:val="en-US" w:eastAsia="zh-CN"/>
                    </w:rPr>
                    <w:t>资源利用要求</w:t>
                  </w:r>
                </w:p>
              </w:tc>
              <w:tc>
                <w:tcPr>
                  <w:tcW w:w="3576" w:type="dxa"/>
                  <w:noWrap w:val="0"/>
                  <w:vAlign w:val="center"/>
                </w:tcPr>
                <w:p w14:paraId="1886F96C">
                  <w:pPr>
                    <w:widowControl w:val="0"/>
                    <w:tabs>
                      <w:tab w:val="right" w:leader="dot" w:pos="8296"/>
                    </w:tabs>
                    <w:jc w:val="left"/>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A4.5-1加强固体废物源头减量、资源化利用和无害化处置，最大限度减少填埋量。推进工业固体废物精细化、名录化环境管理，促进大宗工业固废综合利用、主要农业废弃物全量利用。加快构建废旧物资回收和循环利用体系，推行生产企业“逆向回收”等模式。以尾矿和共伴生矿、煤矸石、炉渣、粉煤灰、脱硫石膏、冶炼渣、建筑垃圾为重点，持续推进固体废物综合利用和环境整治，不断提高大宗固体废物资源化利用水平。推行生活垃圾分类，加快建设县（市）生活垃圾处理设施，到2025年，全疆城市生活垃圾无害化处理率达到99%以上。</w:t>
                  </w:r>
                </w:p>
              </w:tc>
              <w:tc>
                <w:tcPr>
                  <w:tcW w:w="3737" w:type="dxa"/>
                  <w:noWrap w:val="0"/>
                  <w:vAlign w:val="center"/>
                </w:tcPr>
                <w:p w14:paraId="199CF373">
                  <w:pPr>
                    <w:widowControl w:val="0"/>
                    <w:tabs>
                      <w:tab w:val="right" w:leader="dot" w:pos="8296"/>
                    </w:tabs>
                    <w:jc w:val="left"/>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0"/>
                      <w:szCs w:val="21"/>
                      <w:highlight w:val="none"/>
                      <w:vertAlign w:val="baseline"/>
                      <w:lang w:val="en-US" w:eastAsia="zh-CN"/>
                    </w:rPr>
                    <w:t>本项目</w:t>
                  </w:r>
                  <w:r>
                    <w:rPr>
                      <w:rFonts w:hint="default"/>
                      <w:lang w:val="en-US" w:eastAsia="zh-CN"/>
                    </w:rPr>
                    <w:t>废包装材料</w:t>
                  </w:r>
                  <w:r>
                    <w:rPr>
                      <w:rFonts w:hint="eastAsia"/>
                      <w:lang w:val="en-US" w:eastAsia="zh-CN"/>
                    </w:rPr>
                    <w:t>、水性涂料包装桶和</w:t>
                  </w:r>
                  <w:r>
                    <w:rPr>
                      <w:rFonts w:hint="default"/>
                      <w:lang w:val="en-US" w:eastAsia="zh-CN"/>
                    </w:rPr>
                    <w:t>废边角料收集后外售综合利用</w:t>
                  </w:r>
                  <w:r>
                    <w:rPr>
                      <w:rFonts w:hint="eastAsia" w:ascii="宋体" w:hAnsi="宋体" w:eastAsia="宋体" w:cs="宋体"/>
                      <w:color w:val="auto"/>
                      <w:kern w:val="0"/>
                      <w:szCs w:val="21"/>
                      <w:highlight w:val="none"/>
                      <w:vertAlign w:val="baseline"/>
                      <w:lang w:val="en-US" w:eastAsia="zh-CN"/>
                    </w:rPr>
                    <w:t>，能够加强资源利用率，减少固体废物排放</w:t>
                  </w:r>
                  <w:r>
                    <w:rPr>
                      <w:rFonts w:hint="default" w:ascii="宋体" w:hAnsi="宋体" w:eastAsia="宋体" w:cs="宋体"/>
                      <w:color w:val="auto"/>
                      <w:kern w:val="0"/>
                      <w:szCs w:val="21"/>
                      <w:highlight w:val="none"/>
                      <w:vertAlign w:val="baseline"/>
                      <w:lang w:val="en-US" w:eastAsia="zh-CN"/>
                    </w:rPr>
                    <w:t>。</w:t>
                  </w:r>
                </w:p>
              </w:tc>
              <w:tc>
                <w:tcPr>
                  <w:tcW w:w="462" w:type="dxa"/>
                  <w:noWrap w:val="0"/>
                  <w:vAlign w:val="center"/>
                </w:tcPr>
                <w:p w14:paraId="68EE86E8">
                  <w:pPr>
                    <w:widowControl w:val="0"/>
                    <w:tabs>
                      <w:tab w:val="right" w:leader="dot" w:pos="8296"/>
                    </w:tabs>
                    <w:jc w:val="left"/>
                    <w:rPr>
                      <w:rFonts w:hint="default" w:ascii="宋体" w:hAnsi="宋体" w:eastAsia="宋体" w:cs="宋体"/>
                      <w:color w:val="auto"/>
                      <w:kern w:val="0"/>
                      <w:sz w:val="21"/>
                      <w:szCs w:val="21"/>
                      <w:highlight w:val="none"/>
                      <w:vertAlign w:val="baseline"/>
                      <w:lang w:val="en-US" w:eastAsia="zh-CN" w:bidi="ar-SA"/>
                    </w:rPr>
                  </w:pPr>
                  <w:r>
                    <w:rPr>
                      <w:rFonts w:hint="eastAsia" w:ascii="宋体" w:hAnsi="宋体" w:eastAsia="宋体" w:cs="宋体"/>
                      <w:color w:val="auto"/>
                      <w:kern w:val="0"/>
                      <w:sz w:val="21"/>
                      <w:szCs w:val="21"/>
                      <w:highlight w:val="none"/>
                      <w:vertAlign w:val="baseline"/>
                      <w:lang w:val="en-US" w:eastAsia="zh-CN" w:bidi="ar-SA"/>
                    </w:rPr>
                    <w:t>符合</w:t>
                  </w:r>
                </w:p>
              </w:tc>
            </w:tr>
          </w:tbl>
          <w:p w14:paraId="7371BA80">
            <w:pPr>
              <w:pStyle w:val="47"/>
              <w:bidi w:val="0"/>
              <w:rPr>
                <w:rFonts w:hint="eastAsia"/>
                <w:lang w:val="en-US" w:eastAsia="zh-CN"/>
              </w:rPr>
            </w:pPr>
            <w:r>
              <w:rPr>
                <w:rFonts w:hint="eastAsia"/>
                <w:lang w:val="en-US" w:eastAsia="zh-CN"/>
              </w:rPr>
              <w:t>（3）《新疆维吾尔自治区七大片区“三线一单”生态环境分区管控要求》（新环环评发〔2021〕162号）相符性分析。</w:t>
            </w:r>
          </w:p>
          <w:p w14:paraId="2522504B">
            <w:pPr>
              <w:pStyle w:val="47"/>
              <w:bidi w:val="0"/>
              <w:rPr>
                <w:rFonts w:hint="default"/>
                <w:lang w:val="en-US" w:eastAsia="zh-CN"/>
              </w:rPr>
            </w:pPr>
            <w:r>
              <w:rPr>
                <w:rFonts w:hint="eastAsia"/>
                <w:lang w:val="en-US" w:eastAsia="zh-CN"/>
              </w:rPr>
              <w:t>本工程位于新疆维吾尔自治区库尔勒市上库综合产业园区，属于天山南坡（巴州、阿克苏地区）片区。本工程与《新疆维吾尔自治区七大片区“三线一单”生态环境分区管控要求》相符性分析，见表1-3。</w:t>
            </w:r>
          </w:p>
          <w:p w14:paraId="2DCA043C">
            <w:pPr>
              <w:pStyle w:val="62"/>
              <w:bidi w:val="0"/>
              <w:rPr>
                <w:rFonts w:hint="default"/>
                <w:lang w:val="en-US" w:eastAsia="zh-CN"/>
              </w:rPr>
            </w:pPr>
            <w:r>
              <w:rPr>
                <w:rFonts w:hint="default"/>
                <w:lang w:val="en-US" w:eastAsia="zh-CN"/>
              </w:rPr>
              <w:t>表</w:t>
            </w:r>
            <w:r>
              <w:rPr>
                <w:rFonts w:hint="eastAsia"/>
                <w:lang w:val="en-US" w:eastAsia="zh-CN"/>
              </w:rPr>
              <w:t>1-3    本项目与《新疆维吾尔自治区七大片区“三线一单”生态环境分区管控要求》相符性分析</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200"/>
              <w:gridCol w:w="2542"/>
              <w:gridCol w:w="495"/>
            </w:tblGrid>
            <w:tr w14:paraId="38FE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noWrap w:val="0"/>
                  <w:vAlign w:val="center"/>
                </w:tcPr>
                <w:p w14:paraId="19468107">
                  <w:pPr>
                    <w:pStyle w:val="61"/>
                    <w:bidi w:val="0"/>
                    <w:rPr>
                      <w:rFonts w:hint="default"/>
                      <w:highlight w:val="none"/>
                      <w:lang w:val="en-US" w:eastAsia="zh-CN"/>
                    </w:rPr>
                  </w:pPr>
                  <w:r>
                    <w:rPr>
                      <w:rFonts w:hint="eastAsia"/>
                      <w:highlight w:val="none"/>
                      <w:lang w:val="en-US" w:eastAsia="zh-CN"/>
                    </w:rPr>
                    <w:t>管控类别</w:t>
                  </w:r>
                </w:p>
              </w:tc>
              <w:tc>
                <w:tcPr>
                  <w:tcW w:w="2289" w:type="pct"/>
                  <w:noWrap w:val="0"/>
                  <w:vAlign w:val="center"/>
                </w:tcPr>
                <w:p w14:paraId="535ECEF3">
                  <w:pPr>
                    <w:pStyle w:val="61"/>
                    <w:bidi w:val="0"/>
                    <w:rPr>
                      <w:rFonts w:hint="default"/>
                      <w:highlight w:val="none"/>
                      <w:lang w:val="en-US" w:eastAsia="zh-CN"/>
                    </w:rPr>
                  </w:pPr>
                  <w:r>
                    <w:rPr>
                      <w:rFonts w:hint="eastAsia"/>
                      <w:highlight w:val="none"/>
                      <w:lang w:val="en-US" w:eastAsia="zh-CN"/>
                    </w:rPr>
                    <w:t>总体管控要求</w:t>
                  </w:r>
                </w:p>
              </w:tc>
              <w:tc>
                <w:tcPr>
                  <w:tcW w:w="1819" w:type="pct"/>
                  <w:noWrap w:val="0"/>
                  <w:vAlign w:val="center"/>
                </w:tcPr>
                <w:p w14:paraId="366D8EA2">
                  <w:pPr>
                    <w:pStyle w:val="61"/>
                    <w:bidi w:val="0"/>
                    <w:rPr>
                      <w:rFonts w:hint="default"/>
                      <w:highlight w:val="none"/>
                      <w:lang w:val="en-US" w:eastAsia="zh-CN"/>
                    </w:rPr>
                  </w:pPr>
                  <w:r>
                    <w:rPr>
                      <w:rFonts w:hint="eastAsia"/>
                      <w:highlight w:val="none"/>
                      <w:lang w:val="en-US" w:eastAsia="zh-CN"/>
                    </w:rPr>
                    <w:t>本项目情况</w:t>
                  </w:r>
                </w:p>
              </w:tc>
              <w:tc>
                <w:tcPr>
                  <w:tcW w:w="353" w:type="pct"/>
                  <w:noWrap w:val="0"/>
                  <w:vAlign w:val="center"/>
                </w:tcPr>
                <w:p w14:paraId="6E7C8CE1">
                  <w:pPr>
                    <w:pStyle w:val="61"/>
                    <w:bidi w:val="0"/>
                    <w:rPr>
                      <w:rFonts w:hint="default"/>
                      <w:highlight w:val="none"/>
                      <w:lang w:val="en-US" w:eastAsia="zh-CN"/>
                    </w:rPr>
                  </w:pPr>
                  <w:r>
                    <w:rPr>
                      <w:rFonts w:hint="eastAsia"/>
                      <w:highlight w:val="none"/>
                      <w:lang w:val="en-US" w:eastAsia="zh-CN"/>
                    </w:rPr>
                    <w:t>相符性</w:t>
                  </w:r>
                </w:p>
              </w:tc>
            </w:tr>
            <w:tr w14:paraId="7BE7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noWrap w:val="0"/>
                  <w:vAlign w:val="center"/>
                </w:tcPr>
                <w:p w14:paraId="510C8363">
                  <w:pPr>
                    <w:pStyle w:val="61"/>
                    <w:bidi w:val="0"/>
                    <w:rPr>
                      <w:rFonts w:hint="default"/>
                      <w:highlight w:val="none"/>
                      <w:lang w:val="en-US" w:eastAsia="zh-CN"/>
                    </w:rPr>
                  </w:pPr>
                  <w:r>
                    <w:rPr>
                      <w:rFonts w:hint="default"/>
                      <w:highlight w:val="none"/>
                      <w:lang w:val="en-US" w:eastAsia="zh-CN"/>
                    </w:rPr>
                    <w:t>空间布局约束</w:t>
                  </w:r>
                </w:p>
              </w:tc>
              <w:tc>
                <w:tcPr>
                  <w:tcW w:w="2289" w:type="pct"/>
                  <w:noWrap w:val="0"/>
                  <w:vAlign w:val="center"/>
                </w:tcPr>
                <w:p w14:paraId="4290A9F8">
                  <w:pPr>
                    <w:pStyle w:val="61"/>
                    <w:bidi w:val="0"/>
                    <w:jc w:val="both"/>
                    <w:rPr>
                      <w:rFonts w:hint="default"/>
                      <w:highlight w:val="none"/>
                      <w:lang w:val="en-US" w:eastAsia="zh-CN"/>
                    </w:rPr>
                  </w:pPr>
                  <w:r>
                    <w:rPr>
                      <w:rFonts w:hint="default"/>
                      <w:highlight w:val="none"/>
                      <w:lang w:val="en-US" w:eastAsia="zh-CN"/>
                    </w:rPr>
                    <w:t>严格执行国家、自治区产业政策和环境准入要求，严禁</w:t>
                  </w:r>
                  <w:r>
                    <w:rPr>
                      <w:rFonts w:hint="eastAsia"/>
                      <w:highlight w:val="none"/>
                      <w:lang w:val="en-US" w:eastAsia="zh-CN"/>
                    </w:rPr>
                    <w:t>“</w:t>
                  </w:r>
                  <w:r>
                    <w:rPr>
                      <w:rFonts w:hint="default"/>
                      <w:highlight w:val="none"/>
                      <w:lang w:val="en-US" w:eastAsia="zh-CN"/>
                    </w:rPr>
                    <w:t>三高</w:t>
                  </w:r>
                  <w:r>
                    <w:rPr>
                      <w:rFonts w:hint="eastAsia"/>
                      <w:highlight w:val="none"/>
                      <w:lang w:val="en-US" w:eastAsia="zh-CN"/>
                    </w:rPr>
                    <w:t>”</w:t>
                  </w:r>
                  <w:r>
                    <w:rPr>
                      <w:rFonts w:hint="default"/>
                      <w:highlight w:val="none"/>
                      <w:lang w:val="en-US" w:eastAsia="zh-CN"/>
                    </w:rPr>
                    <w:t>项目进新疆，坚决遏制</w:t>
                  </w:r>
                  <w:r>
                    <w:rPr>
                      <w:rFonts w:hint="eastAsia"/>
                      <w:highlight w:val="none"/>
                      <w:lang w:val="en-US" w:eastAsia="zh-CN"/>
                    </w:rPr>
                    <w:t>“</w:t>
                  </w:r>
                  <w:r>
                    <w:rPr>
                      <w:rFonts w:hint="default"/>
                      <w:highlight w:val="none"/>
                      <w:lang w:val="en-US" w:eastAsia="zh-CN"/>
                    </w:rPr>
                    <w:t>两高</w:t>
                  </w:r>
                  <w:r>
                    <w:rPr>
                      <w:rFonts w:hint="eastAsia"/>
                      <w:highlight w:val="none"/>
                      <w:lang w:val="en-US" w:eastAsia="zh-CN"/>
                    </w:rPr>
                    <w:t>”</w:t>
                  </w:r>
                  <w:r>
                    <w:rPr>
                      <w:rFonts w:hint="default"/>
                      <w:highlight w:val="none"/>
                      <w:lang w:val="en-US" w:eastAsia="zh-CN"/>
                    </w:rPr>
                    <w:t>项目盲目发展。不得在水源涵养区、饮用水水源保护区内和河流、湖泊、水库周围建设重化工、涉重金属等工业污染项目。推动项目集聚发展，新建、改建、扩建工业项目原则上应布置于由县级及以上人民政府批准建立、环境保护基础设施完善的产业园区、工业聚集区或规划矿区，并且符合相关规划和规划环评要求。</w:t>
                  </w:r>
                </w:p>
              </w:tc>
              <w:tc>
                <w:tcPr>
                  <w:tcW w:w="1819" w:type="pct"/>
                  <w:noWrap w:val="0"/>
                  <w:vAlign w:val="center"/>
                </w:tcPr>
                <w:p w14:paraId="5C0FF33E">
                  <w:pPr>
                    <w:pStyle w:val="61"/>
                    <w:bidi w:val="0"/>
                    <w:jc w:val="both"/>
                    <w:rPr>
                      <w:rFonts w:hint="default"/>
                      <w:highlight w:val="none"/>
                      <w:lang w:val="en-US" w:eastAsia="zh-CN"/>
                    </w:rPr>
                  </w:pPr>
                  <w:r>
                    <w:rPr>
                      <w:rFonts w:hint="default"/>
                      <w:highlight w:val="none"/>
                      <w:lang w:val="en-US" w:eastAsia="zh-CN"/>
                    </w:rPr>
                    <w:t>本工程</w:t>
                  </w:r>
                  <w:r>
                    <w:rPr>
                      <w:rFonts w:hint="eastAsia"/>
                      <w:highlight w:val="none"/>
                      <w:lang w:val="en-US" w:eastAsia="zh-CN"/>
                    </w:rPr>
                    <w:t>不</w:t>
                  </w:r>
                  <w:r>
                    <w:rPr>
                      <w:rFonts w:hint="default"/>
                      <w:highlight w:val="none"/>
                      <w:lang w:val="en-US" w:eastAsia="zh-CN"/>
                    </w:rPr>
                    <w:t>属</w:t>
                  </w:r>
                  <w:r>
                    <w:rPr>
                      <w:rFonts w:hint="eastAsia"/>
                      <w:highlight w:val="none"/>
                      <w:lang w:val="en-US" w:eastAsia="zh-CN"/>
                    </w:rPr>
                    <w:t>于</w:t>
                  </w:r>
                  <w:r>
                    <w:rPr>
                      <w:rFonts w:hint="default"/>
                      <w:highlight w:val="none"/>
                      <w:lang w:val="en-US" w:eastAsia="zh-CN"/>
                    </w:rPr>
                    <w:t>《产业结构调整指导目录</w:t>
                  </w:r>
                  <w:r>
                    <w:rPr>
                      <w:rFonts w:hint="eastAsia"/>
                      <w:highlight w:val="none"/>
                      <w:lang w:val="en-US" w:eastAsia="zh-CN"/>
                    </w:rPr>
                    <w:t>（2024年本）</w:t>
                  </w:r>
                  <w:r>
                    <w:rPr>
                      <w:rFonts w:hint="default"/>
                      <w:highlight w:val="none"/>
                      <w:lang w:val="en-US" w:eastAsia="zh-CN"/>
                    </w:rPr>
                    <w:t>》中</w:t>
                  </w:r>
                  <w:r>
                    <w:rPr>
                      <w:rFonts w:hint="eastAsia"/>
                      <w:highlight w:val="none"/>
                      <w:lang w:val="en-US" w:eastAsia="zh-CN"/>
                    </w:rPr>
                    <w:t>鼓励类、限制类和淘汰类</w:t>
                  </w:r>
                  <w:r>
                    <w:rPr>
                      <w:rFonts w:hint="default"/>
                      <w:highlight w:val="none"/>
                      <w:lang w:val="en-US" w:eastAsia="zh-CN"/>
                    </w:rPr>
                    <w:t>，</w:t>
                  </w:r>
                  <w:r>
                    <w:rPr>
                      <w:rFonts w:hint="eastAsia"/>
                      <w:highlight w:val="none"/>
                      <w:lang w:val="en-US" w:eastAsia="zh-CN"/>
                    </w:rPr>
                    <w:t>属于允许类，</w:t>
                  </w:r>
                  <w:r>
                    <w:rPr>
                      <w:rFonts w:hint="default"/>
                      <w:highlight w:val="none"/>
                      <w:lang w:val="en-US" w:eastAsia="zh-CN"/>
                    </w:rPr>
                    <w:t>符合国家产业政策</w:t>
                  </w:r>
                  <w:r>
                    <w:rPr>
                      <w:rFonts w:hint="eastAsia"/>
                      <w:highlight w:val="none"/>
                      <w:lang w:val="en-US" w:eastAsia="zh-CN"/>
                    </w:rPr>
                    <w:t>；不属于“三高”、“两高”、重化工、涉重金属等工业污染项目；</w:t>
                  </w:r>
                  <w:r>
                    <w:rPr>
                      <w:rFonts w:hint="default"/>
                      <w:highlight w:val="none"/>
                      <w:lang w:val="en-US" w:eastAsia="zh-CN"/>
                    </w:rPr>
                    <w:t>本工程位于</w:t>
                  </w:r>
                  <w:r>
                    <w:rPr>
                      <w:rFonts w:hint="eastAsia"/>
                      <w:highlight w:val="none"/>
                      <w:lang w:val="en-US" w:eastAsia="zh-CN"/>
                    </w:rPr>
                    <w:t>新疆维吾尔自治区库尔勒市上库综合产业园区</w:t>
                  </w:r>
                  <w:r>
                    <w:rPr>
                      <w:rFonts w:hint="default"/>
                      <w:highlight w:val="none"/>
                      <w:lang w:val="en-US" w:eastAsia="zh-CN"/>
                    </w:rPr>
                    <w:t>，周边为工业聚集区</w:t>
                  </w:r>
                  <w:r>
                    <w:rPr>
                      <w:rFonts w:hint="eastAsia"/>
                      <w:highlight w:val="none"/>
                      <w:lang w:eastAsia="zh-CN"/>
                    </w:rPr>
                    <w:t>，</w:t>
                  </w:r>
                  <w:r>
                    <w:rPr>
                      <w:rFonts w:hint="eastAsia"/>
                      <w:highlight w:val="none"/>
                      <w:lang w:val="en-US" w:eastAsia="zh-CN"/>
                    </w:rPr>
                    <w:t>与周边环境相容</w:t>
                  </w:r>
                  <w:r>
                    <w:rPr>
                      <w:rFonts w:hint="default"/>
                      <w:highlight w:val="none"/>
                      <w:lang w:val="en-US" w:eastAsia="zh-CN"/>
                    </w:rPr>
                    <w:t>。</w:t>
                  </w:r>
                </w:p>
              </w:tc>
              <w:tc>
                <w:tcPr>
                  <w:tcW w:w="353" w:type="pct"/>
                  <w:noWrap w:val="0"/>
                  <w:vAlign w:val="center"/>
                </w:tcPr>
                <w:p w14:paraId="050B76A9">
                  <w:pPr>
                    <w:pStyle w:val="61"/>
                    <w:bidi w:val="0"/>
                    <w:rPr>
                      <w:rFonts w:hint="default"/>
                      <w:highlight w:val="none"/>
                      <w:lang w:val="en-US" w:eastAsia="zh-CN"/>
                    </w:rPr>
                  </w:pPr>
                  <w:r>
                    <w:rPr>
                      <w:rFonts w:hint="eastAsia"/>
                      <w:highlight w:val="none"/>
                      <w:lang w:val="en-US" w:eastAsia="zh-CN"/>
                    </w:rPr>
                    <w:t>符合</w:t>
                  </w:r>
                </w:p>
              </w:tc>
            </w:tr>
            <w:tr w14:paraId="693E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noWrap w:val="0"/>
                  <w:vAlign w:val="center"/>
                </w:tcPr>
                <w:p w14:paraId="0D2566C6">
                  <w:pPr>
                    <w:pStyle w:val="61"/>
                    <w:bidi w:val="0"/>
                    <w:rPr>
                      <w:rFonts w:hint="default"/>
                      <w:highlight w:val="none"/>
                      <w:lang w:val="en-US" w:eastAsia="zh-CN"/>
                    </w:rPr>
                  </w:pPr>
                  <w:r>
                    <w:rPr>
                      <w:rFonts w:hint="eastAsia"/>
                      <w:highlight w:val="none"/>
                      <w:lang w:val="en-US" w:eastAsia="zh-CN"/>
                    </w:rPr>
                    <w:t>污染物排放管控</w:t>
                  </w:r>
                </w:p>
              </w:tc>
              <w:tc>
                <w:tcPr>
                  <w:tcW w:w="2289" w:type="pct"/>
                  <w:noWrap w:val="0"/>
                  <w:vAlign w:val="center"/>
                </w:tcPr>
                <w:p w14:paraId="13FBD016">
                  <w:pPr>
                    <w:pStyle w:val="61"/>
                    <w:bidi w:val="0"/>
                    <w:jc w:val="both"/>
                    <w:rPr>
                      <w:rFonts w:hint="default"/>
                      <w:highlight w:val="none"/>
                      <w:lang w:val="en-US" w:eastAsia="zh-CN"/>
                    </w:rPr>
                  </w:pPr>
                  <w:r>
                    <w:rPr>
                      <w:rFonts w:hint="eastAsia"/>
                      <w:highlight w:val="none"/>
                      <w:lang w:val="en-US" w:eastAsia="zh-CN"/>
                    </w:rPr>
                    <w:t>深化行业污染源头治理，深入开展火电行业减排，全力推进钢铁行业超低排放改造，有序推进石化行业“泄漏检测与修复”技术改造。强化煤化工、石化、有机化工、表面涂装、包装印刷等重点行业挥发性有机物控制。深入开展燃煤锅炉污染综合整治，深化工业炉窑综合治理。加强“散乱污”企业综合整治。优化区域交通运输结构，加快货物运输绿色转型，做好车油联合管控。以改善流域水环境质量为核心，强化源头控制，“一河（湖）一策”精准施治，减少水污染物排放，持续改善水环境质量。强化园区（工业集聚区）水污染防治，不断提高工业用水重复利用率。加快实施城镇污水处理设施提质增效，补齐生活污水收集和处理设施短板，提高再生水回用比例。持续推进农业农村污染防治。提升土壤环境监管能力，加强污染地块安全利用监管。强化工矿用地管理，严格建设用地土壤环境风险管控。加强农用地土壤污染源头控制，科学施用化肥农药，提高农膜回收率。</w:t>
                  </w:r>
                </w:p>
              </w:tc>
              <w:tc>
                <w:tcPr>
                  <w:tcW w:w="1819" w:type="pct"/>
                  <w:noWrap w:val="0"/>
                  <w:vAlign w:val="center"/>
                </w:tcPr>
                <w:p w14:paraId="7E4A1A93">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highlight w:val="none"/>
                      <w:lang w:val="en-US" w:eastAsia="zh-CN"/>
                    </w:rPr>
                  </w:pPr>
                  <w:r>
                    <w:rPr>
                      <w:rFonts w:hint="default"/>
                      <w:highlight w:val="none"/>
                      <w:lang w:val="en-US" w:eastAsia="zh-CN"/>
                    </w:rPr>
                    <w:t>本项目</w:t>
                  </w:r>
                  <w:r>
                    <w:rPr>
                      <w:rFonts w:hint="eastAsia"/>
                      <w:lang w:val="en-US" w:eastAsia="zh-CN"/>
                    </w:rPr>
                    <w:t>喷漆废气经“干式过滤器+二级活性炭吸附”处理后经一根15m高排气筒（DA001）排放；清洗后烘干废气为天然气燃烧烟气，经低氮燃烧技术处理后经1根15m排气筒（DA002）排放；喷漆后烘干废气为天然气燃烧烟气和非甲烷总烃，经低氮燃烧和二级活性炭吸附后经1根15m高排气筒（DA003）排放，</w:t>
                  </w:r>
                  <w:r>
                    <w:rPr>
                      <w:rFonts w:hint="default"/>
                      <w:highlight w:val="none"/>
                      <w:lang w:val="en-US" w:eastAsia="zh-CN"/>
                    </w:rPr>
                    <w:t>对环境空气质量影响较</w:t>
                  </w:r>
                  <w:r>
                    <w:rPr>
                      <w:rFonts w:hint="eastAsia"/>
                      <w:highlight w:val="none"/>
                      <w:lang w:val="en-US" w:eastAsia="zh-CN"/>
                    </w:rPr>
                    <w:t>小</w:t>
                  </w:r>
                  <w:r>
                    <w:rPr>
                      <w:rFonts w:hint="default"/>
                      <w:highlight w:val="none"/>
                      <w:lang w:val="en-US" w:eastAsia="zh-CN"/>
                    </w:rPr>
                    <w:t>，不会降低区域环境空气质量。</w:t>
                  </w:r>
                  <w:r>
                    <w:rPr>
                      <w:rFonts w:hint="eastAsia"/>
                      <w:highlight w:val="none"/>
                      <w:lang w:val="en-US" w:eastAsia="zh-CN"/>
                    </w:rPr>
                    <w:t>本项目生活污水经化粪池处理后排入园区污水管网，最终由铁门关市污水处理厂处理，清洗废水经“絮凝+沉淀”处理后循环使用。生活垃圾收集到垃圾箱后定期由环卫部门统一处理，危险废物暂存于危废暂存间后交由有资质单位处理。本项目在落实各项环保措施的情况下，对环境的影响较小。</w:t>
                  </w:r>
                </w:p>
              </w:tc>
              <w:tc>
                <w:tcPr>
                  <w:tcW w:w="353" w:type="pct"/>
                  <w:noWrap w:val="0"/>
                  <w:vAlign w:val="center"/>
                </w:tcPr>
                <w:p w14:paraId="7792E170">
                  <w:pPr>
                    <w:pStyle w:val="61"/>
                    <w:bidi w:val="0"/>
                    <w:rPr>
                      <w:rFonts w:hint="default"/>
                      <w:highlight w:val="none"/>
                      <w:lang w:val="en-US" w:eastAsia="zh-CN"/>
                    </w:rPr>
                  </w:pPr>
                  <w:r>
                    <w:rPr>
                      <w:rFonts w:hint="eastAsia"/>
                      <w:highlight w:val="none"/>
                      <w:lang w:val="en-US" w:eastAsia="zh-CN"/>
                    </w:rPr>
                    <w:t>符合</w:t>
                  </w:r>
                </w:p>
              </w:tc>
            </w:tr>
            <w:tr w14:paraId="7FC8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noWrap w:val="0"/>
                  <w:vAlign w:val="center"/>
                </w:tcPr>
                <w:p w14:paraId="08DE25DF">
                  <w:pPr>
                    <w:pStyle w:val="61"/>
                    <w:bidi w:val="0"/>
                    <w:rPr>
                      <w:rFonts w:hint="default"/>
                      <w:highlight w:val="none"/>
                      <w:lang w:val="en-US" w:eastAsia="zh-CN"/>
                    </w:rPr>
                  </w:pPr>
                  <w:r>
                    <w:rPr>
                      <w:rFonts w:hint="default"/>
                      <w:highlight w:val="none"/>
                      <w:lang w:val="en-US" w:eastAsia="zh-CN"/>
                    </w:rPr>
                    <w:t>环境风险防控</w:t>
                  </w:r>
                </w:p>
              </w:tc>
              <w:tc>
                <w:tcPr>
                  <w:tcW w:w="2289" w:type="pct"/>
                  <w:noWrap w:val="0"/>
                  <w:vAlign w:val="center"/>
                </w:tcPr>
                <w:p w14:paraId="5FFC1D10">
                  <w:pPr>
                    <w:pStyle w:val="61"/>
                    <w:bidi w:val="0"/>
                    <w:jc w:val="both"/>
                    <w:rPr>
                      <w:rFonts w:hint="default"/>
                      <w:highlight w:val="none"/>
                      <w:lang w:val="en-US" w:eastAsia="zh-CN"/>
                    </w:rPr>
                  </w:pPr>
                  <w:r>
                    <w:rPr>
                      <w:rFonts w:hint="default"/>
                      <w:highlight w:val="none"/>
                      <w:lang w:val="en-US" w:eastAsia="zh-CN"/>
                    </w:rPr>
                    <w:t>禁止在化工园区外新建、扩建危险化学品生产项目。严格落实危险废物处置相关要求。加强重点流域水环境风险管控，保障水环境安全。</w:t>
                  </w:r>
                </w:p>
              </w:tc>
              <w:tc>
                <w:tcPr>
                  <w:tcW w:w="1819" w:type="pct"/>
                  <w:noWrap w:val="0"/>
                  <w:vAlign w:val="center"/>
                </w:tcPr>
                <w:p w14:paraId="46E23CBE">
                  <w:pPr>
                    <w:pStyle w:val="61"/>
                    <w:bidi w:val="0"/>
                    <w:jc w:val="both"/>
                    <w:rPr>
                      <w:rFonts w:hint="default"/>
                      <w:highlight w:val="none"/>
                      <w:lang w:val="en-US" w:eastAsia="zh-CN"/>
                    </w:rPr>
                  </w:pPr>
                  <w:r>
                    <w:rPr>
                      <w:rFonts w:hint="default"/>
                      <w:highlight w:val="none"/>
                      <w:lang w:val="en-US" w:eastAsia="zh-CN"/>
                    </w:rPr>
                    <w:t>本工程不涉及危险化学品的生产，本项目生产过程中产生的废润滑油、废润滑油桶</w:t>
                  </w:r>
                  <w:r>
                    <w:rPr>
                      <w:rFonts w:hint="eastAsia"/>
                      <w:highlight w:val="none"/>
                      <w:lang w:val="en-US" w:eastAsia="zh-CN"/>
                    </w:rPr>
                    <w:t>、废活性炭等</w:t>
                  </w:r>
                  <w:r>
                    <w:rPr>
                      <w:rFonts w:hint="default"/>
                      <w:highlight w:val="none"/>
                      <w:lang w:val="en-US" w:eastAsia="zh-CN"/>
                    </w:rPr>
                    <w:t>暂存于危险废物贮存间内，定期委托有资质的单位进行处理。工程运营期</w:t>
                  </w:r>
                  <w:r>
                    <w:rPr>
                      <w:rFonts w:hint="eastAsia"/>
                      <w:highlight w:val="none"/>
                      <w:lang w:val="en-US" w:eastAsia="zh-CN"/>
                    </w:rPr>
                    <w:t>生产废水和</w:t>
                  </w:r>
                  <w:r>
                    <w:rPr>
                      <w:rFonts w:hint="default"/>
                      <w:highlight w:val="none"/>
                      <w:lang w:val="en-US" w:eastAsia="zh-CN"/>
                    </w:rPr>
                    <w:t>生活污水</w:t>
                  </w:r>
                  <w:r>
                    <w:rPr>
                      <w:rFonts w:hint="eastAsia"/>
                      <w:highlight w:val="none"/>
                      <w:lang w:val="en-US" w:eastAsia="zh-CN"/>
                    </w:rPr>
                    <w:t>均得到合理处置</w:t>
                  </w:r>
                  <w:r>
                    <w:rPr>
                      <w:rFonts w:hint="default"/>
                      <w:highlight w:val="none"/>
                      <w:lang w:val="en-US" w:eastAsia="zh-CN"/>
                    </w:rPr>
                    <w:t>，</w:t>
                  </w:r>
                  <w:r>
                    <w:rPr>
                      <w:rFonts w:hint="eastAsia"/>
                      <w:highlight w:val="none"/>
                      <w:lang w:val="en-US" w:eastAsia="zh-CN"/>
                    </w:rPr>
                    <w:t>对区域水环境质量影响较小</w:t>
                  </w:r>
                  <w:r>
                    <w:rPr>
                      <w:rFonts w:hint="default"/>
                      <w:highlight w:val="none"/>
                      <w:lang w:val="en-US" w:eastAsia="zh-CN"/>
                    </w:rPr>
                    <w:t>。</w:t>
                  </w:r>
                </w:p>
              </w:tc>
              <w:tc>
                <w:tcPr>
                  <w:tcW w:w="353" w:type="pct"/>
                  <w:noWrap w:val="0"/>
                  <w:vAlign w:val="center"/>
                </w:tcPr>
                <w:p w14:paraId="6863C24E">
                  <w:pPr>
                    <w:pStyle w:val="61"/>
                    <w:bidi w:val="0"/>
                    <w:rPr>
                      <w:rFonts w:hint="default"/>
                      <w:highlight w:val="none"/>
                      <w:lang w:val="en-US" w:eastAsia="zh-CN"/>
                    </w:rPr>
                  </w:pPr>
                  <w:r>
                    <w:rPr>
                      <w:rFonts w:hint="eastAsia"/>
                      <w:highlight w:val="none"/>
                      <w:lang w:val="en-US" w:eastAsia="zh-CN"/>
                    </w:rPr>
                    <w:t>符合</w:t>
                  </w:r>
                </w:p>
              </w:tc>
            </w:tr>
            <w:tr w14:paraId="5E82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pct"/>
                  <w:noWrap w:val="0"/>
                  <w:vAlign w:val="center"/>
                </w:tcPr>
                <w:p w14:paraId="3F5E6AF0">
                  <w:pPr>
                    <w:pStyle w:val="61"/>
                    <w:bidi w:val="0"/>
                    <w:rPr>
                      <w:rFonts w:hint="default"/>
                      <w:highlight w:val="none"/>
                      <w:lang w:val="en-US" w:eastAsia="zh-CN"/>
                    </w:rPr>
                  </w:pPr>
                  <w:r>
                    <w:rPr>
                      <w:rFonts w:hint="eastAsia"/>
                      <w:highlight w:val="none"/>
                      <w:lang w:val="en-US" w:eastAsia="zh-CN"/>
                    </w:rPr>
                    <w:t>资源利用效率要求</w:t>
                  </w:r>
                </w:p>
              </w:tc>
              <w:tc>
                <w:tcPr>
                  <w:tcW w:w="2289" w:type="pct"/>
                  <w:noWrap w:val="0"/>
                  <w:vAlign w:val="center"/>
                </w:tcPr>
                <w:p w14:paraId="713CD5F8">
                  <w:pPr>
                    <w:pStyle w:val="61"/>
                    <w:bidi w:val="0"/>
                    <w:jc w:val="both"/>
                    <w:rPr>
                      <w:rFonts w:hint="default"/>
                      <w:highlight w:val="none"/>
                      <w:lang w:val="en-US" w:eastAsia="zh-CN"/>
                    </w:rPr>
                  </w:pPr>
                  <w:r>
                    <w:rPr>
                      <w:rFonts w:hint="eastAsia"/>
                      <w:highlight w:val="none"/>
                      <w:lang w:val="en-US" w:eastAsia="zh-CN"/>
                    </w:rPr>
                    <w:t>优化能源结构，控制煤炭等化石能源使用量，鼓励使用清洁能源，协同推进减污降碳。全面实施节水工程，合理开发利用水资源，提升水资源利用效率，保障生态用水，严防地下水超采。</w:t>
                  </w:r>
                </w:p>
              </w:tc>
              <w:tc>
                <w:tcPr>
                  <w:tcW w:w="1819" w:type="pct"/>
                  <w:noWrap w:val="0"/>
                  <w:vAlign w:val="center"/>
                </w:tcPr>
                <w:p w14:paraId="254E8F38">
                  <w:pPr>
                    <w:pStyle w:val="61"/>
                    <w:bidi w:val="0"/>
                    <w:jc w:val="both"/>
                    <w:rPr>
                      <w:rFonts w:hint="default"/>
                      <w:highlight w:val="none"/>
                      <w:lang w:val="en-US" w:eastAsia="zh-CN"/>
                    </w:rPr>
                  </w:pPr>
                  <w:r>
                    <w:rPr>
                      <w:rFonts w:hint="eastAsia" w:cs="Times New Roman"/>
                      <w:highlight w:val="none"/>
                      <w:lang w:val="en-US" w:eastAsia="zh-CN"/>
                    </w:rPr>
                    <w:t>本项目用水主要为员工生活用水和生产用水，由园区供水管网提供；用电来自园区供电网，能够满足其供电要求，因此项目用水、用电的使用较少、利用率较高，不触及资源利用上线。</w:t>
                  </w:r>
                </w:p>
              </w:tc>
              <w:tc>
                <w:tcPr>
                  <w:tcW w:w="353" w:type="pct"/>
                  <w:noWrap w:val="0"/>
                  <w:vAlign w:val="center"/>
                </w:tcPr>
                <w:p w14:paraId="7B0AB03E">
                  <w:pPr>
                    <w:pStyle w:val="61"/>
                    <w:bidi w:val="0"/>
                    <w:rPr>
                      <w:rFonts w:hint="default"/>
                      <w:highlight w:val="none"/>
                      <w:lang w:val="en-US" w:eastAsia="zh-CN"/>
                    </w:rPr>
                  </w:pPr>
                  <w:r>
                    <w:rPr>
                      <w:rFonts w:hint="eastAsia"/>
                      <w:highlight w:val="none"/>
                      <w:lang w:val="en-US" w:eastAsia="zh-CN"/>
                    </w:rPr>
                    <w:t>符合</w:t>
                  </w:r>
                </w:p>
              </w:tc>
            </w:tr>
          </w:tbl>
          <w:p w14:paraId="3F0A0CEC">
            <w:pPr>
              <w:pStyle w:val="51"/>
              <w:bidi w:val="0"/>
              <w:rPr>
                <w:rFonts w:hint="default"/>
                <w:b/>
                <w:bCs/>
                <w:highlight w:val="none"/>
                <w:lang w:val="en-US" w:eastAsia="zh-CN"/>
              </w:rPr>
            </w:pPr>
            <w:r>
              <w:rPr>
                <w:rFonts w:hint="eastAsia"/>
                <w:b/>
                <w:bCs/>
                <w:highlight w:val="none"/>
                <w:lang w:val="en-US" w:eastAsia="zh-CN"/>
              </w:rPr>
              <w:t>（4）《巴音郭楞蒙古自治州“三线一单”生态环境分区管控方案动态更新成果（2023年）》（巴政办发〔2024〕32号）符合性分析。</w:t>
            </w:r>
          </w:p>
          <w:p w14:paraId="5852F521">
            <w:pPr>
              <w:pStyle w:val="62"/>
              <w:bidi w:val="0"/>
              <w:rPr>
                <w:rFonts w:hint="eastAsia"/>
                <w:lang w:val="en-US" w:eastAsia="zh-CN"/>
              </w:rPr>
            </w:pPr>
            <w:r>
              <w:rPr>
                <w:rFonts w:hint="default"/>
                <w:lang w:val="en-US" w:eastAsia="zh-CN"/>
              </w:rPr>
              <w:t>表</w:t>
            </w:r>
            <w:r>
              <w:rPr>
                <w:rFonts w:hint="eastAsia"/>
                <w:lang w:val="en-US" w:eastAsia="zh-CN"/>
              </w:rPr>
              <w:t>1-4   本项目与《巴音郭楞蒙古自治州“三线一单”生态环境分区管控方案动态更新成果（2023年）》相符性分析</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650"/>
              <w:gridCol w:w="2950"/>
              <w:gridCol w:w="2463"/>
              <w:gridCol w:w="482"/>
            </w:tblGrid>
            <w:tr w14:paraId="0502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gridSpan w:val="2"/>
                  <w:noWrap w:val="0"/>
                  <w:vAlign w:val="center"/>
                </w:tcPr>
                <w:p w14:paraId="40BB2E66">
                  <w:pPr>
                    <w:pStyle w:val="61"/>
                    <w:bidi w:val="0"/>
                    <w:rPr>
                      <w:rFonts w:hint="default"/>
                      <w:highlight w:val="none"/>
                      <w:lang w:val="en-US" w:eastAsia="zh-CN"/>
                    </w:rPr>
                  </w:pPr>
                  <w:r>
                    <w:rPr>
                      <w:rFonts w:hint="default"/>
                      <w:highlight w:val="none"/>
                      <w:lang w:val="en-US" w:eastAsia="zh-CN"/>
                    </w:rPr>
                    <w:t>环境管控单元编码</w:t>
                  </w:r>
                </w:p>
              </w:tc>
              <w:tc>
                <w:tcPr>
                  <w:tcW w:w="2110" w:type="pct"/>
                  <w:noWrap w:val="0"/>
                  <w:vAlign w:val="center"/>
                </w:tcPr>
                <w:p w14:paraId="0A8C2F18">
                  <w:pPr>
                    <w:pStyle w:val="61"/>
                    <w:bidi w:val="0"/>
                    <w:jc w:val="center"/>
                    <w:rPr>
                      <w:rFonts w:hint="default"/>
                      <w:highlight w:val="none"/>
                      <w:lang w:val="en-US" w:eastAsia="zh-CN"/>
                    </w:rPr>
                  </w:pPr>
                  <w:r>
                    <w:rPr>
                      <w:rFonts w:hint="default"/>
                      <w:highlight w:val="none"/>
                      <w:lang w:val="en-US" w:eastAsia="zh-CN"/>
                    </w:rPr>
                    <w:t>ZH65280120013</w:t>
                  </w:r>
                </w:p>
              </w:tc>
              <w:tc>
                <w:tcPr>
                  <w:tcW w:w="1761" w:type="pct"/>
                  <w:vMerge w:val="restart"/>
                  <w:noWrap w:val="0"/>
                  <w:vAlign w:val="center"/>
                </w:tcPr>
                <w:p w14:paraId="16249BA4">
                  <w:pPr>
                    <w:pStyle w:val="61"/>
                    <w:bidi w:val="0"/>
                    <w:rPr>
                      <w:rFonts w:hint="default"/>
                      <w:highlight w:val="none"/>
                      <w:lang w:val="en-US" w:eastAsia="zh-CN"/>
                    </w:rPr>
                  </w:pPr>
                  <w:r>
                    <w:rPr>
                      <w:rFonts w:hint="eastAsia"/>
                      <w:highlight w:val="none"/>
                      <w:lang w:val="en-US" w:eastAsia="zh-CN"/>
                    </w:rPr>
                    <w:t>本工程情况</w:t>
                  </w:r>
                </w:p>
              </w:tc>
              <w:tc>
                <w:tcPr>
                  <w:tcW w:w="344" w:type="pct"/>
                  <w:vMerge w:val="restart"/>
                  <w:noWrap w:val="0"/>
                  <w:vAlign w:val="center"/>
                </w:tcPr>
                <w:p w14:paraId="1AD80351">
                  <w:pPr>
                    <w:pStyle w:val="61"/>
                    <w:bidi w:val="0"/>
                    <w:rPr>
                      <w:rFonts w:hint="default"/>
                      <w:highlight w:val="none"/>
                      <w:lang w:val="en-US" w:eastAsia="zh-CN"/>
                    </w:rPr>
                  </w:pPr>
                  <w:r>
                    <w:rPr>
                      <w:rFonts w:hint="eastAsia"/>
                      <w:highlight w:val="none"/>
                      <w:lang w:val="en-US" w:eastAsia="zh-CN"/>
                    </w:rPr>
                    <w:t>符合性分析</w:t>
                  </w:r>
                </w:p>
              </w:tc>
            </w:tr>
            <w:tr w14:paraId="07AC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gridSpan w:val="2"/>
                  <w:noWrap w:val="0"/>
                  <w:vAlign w:val="center"/>
                </w:tcPr>
                <w:p w14:paraId="65F9CE26">
                  <w:pPr>
                    <w:pStyle w:val="61"/>
                    <w:bidi w:val="0"/>
                    <w:rPr>
                      <w:rFonts w:hint="default"/>
                      <w:highlight w:val="none"/>
                      <w:lang w:val="en-US" w:eastAsia="zh-CN"/>
                    </w:rPr>
                  </w:pPr>
                  <w:r>
                    <w:rPr>
                      <w:rFonts w:hint="eastAsia"/>
                      <w:highlight w:val="none"/>
                      <w:lang w:val="en-US" w:eastAsia="zh-CN"/>
                    </w:rPr>
                    <w:t>环境管控单元名称</w:t>
                  </w:r>
                </w:p>
              </w:tc>
              <w:tc>
                <w:tcPr>
                  <w:tcW w:w="2110" w:type="pct"/>
                  <w:noWrap w:val="0"/>
                  <w:vAlign w:val="center"/>
                </w:tcPr>
                <w:p w14:paraId="31083494">
                  <w:pPr>
                    <w:pStyle w:val="61"/>
                    <w:bidi w:val="0"/>
                    <w:jc w:val="center"/>
                    <w:rPr>
                      <w:rFonts w:hint="default"/>
                      <w:highlight w:val="none"/>
                      <w:lang w:val="en-US" w:eastAsia="zh-CN"/>
                    </w:rPr>
                  </w:pPr>
                  <w:r>
                    <w:rPr>
                      <w:rFonts w:hint="eastAsia"/>
                      <w:highlight w:val="none"/>
                      <w:lang w:val="en-US" w:eastAsia="zh-CN"/>
                    </w:rPr>
                    <w:t>库尔勒上库高新技术产业开发区</w:t>
                  </w:r>
                </w:p>
              </w:tc>
              <w:tc>
                <w:tcPr>
                  <w:tcW w:w="1761" w:type="pct"/>
                  <w:vMerge w:val="continue"/>
                  <w:noWrap w:val="0"/>
                  <w:vAlign w:val="center"/>
                </w:tcPr>
                <w:p w14:paraId="3EFCAB7F">
                  <w:pPr>
                    <w:pStyle w:val="61"/>
                    <w:bidi w:val="0"/>
                    <w:rPr>
                      <w:rFonts w:hint="default"/>
                      <w:highlight w:val="none"/>
                      <w:lang w:val="en-US" w:eastAsia="zh-CN"/>
                    </w:rPr>
                  </w:pPr>
                </w:p>
              </w:tc>
              <w:tc>
                <w:tcPr>
                  <w:tcW w:w="344" w:type="pct"/>
                  <w:vMerge w:val="continue"/>
                  <w:noWrap w:val="0"/>
                  <w:vAlign w:val="center"/>
                </w:tcPr>
                <w:p w14:paraId="641259DE">
                  <w:pPr>
                    <w:pStyle w:val="61"/>
                    <w:bidi w:val="0"/>
                    <w:rPr>
                      <w:rFonts w:hint="default"/>
                      <w:highlight w:val="none"/>
                      <w:lang w:val="en-US" w:eastAsia="zh-CN"/>
                    </w:rPr>
                  </w:pPr>
                </w:p>
              </w:tc>
            </w:tr>
            <w:tr w14:paraId="2BBBA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gridSpan w:val="2"/>
                  <w:noWrap w:val="0"/>
                  <w:vAlign w:val="center"/>
                </w:tcPr>
                <w:p w14:paraId="3A96F861">
                  <w:pPr>
                    <w:pStyle w:val="61"/>
                    <w:bidi w:val="0"/>
                    <w:rPr>
                      <w:rFonts w:hint="default"/>
                      <w:highlight w:val="none"/>
                      <w:lang w:val="en-US" w:eastAsia="zh-CN"/>
                    </w:rPr>
                  </w:pPr>
                  <w:r>
                    <w:rPr>
                      <w:rFonts w:hint="default"/>
                      <w:highlight w:val="none"/>
                    </w:rPr>
                    <w:t>环境管控单元类别</w:t>
                  </w:r>
                </w:p>
              </w:tc>
              <w:tc>
                <w:tcPr>
                  <w:tcW w:w="2110" w:type="pct"/>
                  <w:noWrap w:val="0"/>
                  <w:vAlign w:val="center"/>
                </w:tcPr>
                <w:p w14:paraId="110810A9">
                  <w:pPr>
                    <w:pStyle w:val="61"/>
                    <w:bidi w:val="0"/>
                    <w:rPr>
                      <w:rFonts w:hint="default"/>
                      <w:highlight w:val="none"/>
                      <w:lang w:val="en-US" w:eastAsia="zh-CN"/>
                    </w:rPr>
                  </w:pPr>
                  <w:r>
                    <w:rPr>
                      <w:rFonts w:hint="eastAsia"/>
                      <w:highlight w:val="none"/>
                      <w:lang w:val="en-US" w:eastAsia="zh-CN"/>
                    </w:rPr>
                    <w:t>重点</w:t>
                  </w:r>
                  <w:r>
                    <w:rPr>
                      <w:rFonts w:hint="default"/>
                      <w:highlight w:val="none"/>
                      <w:lang w:val="en-US" w:eastAsia="zh-CN"/>
                    </w:rPr>
                    <w:t>管控单元</w:t>
                  </w:r>
                </w:p>
              </w:tc>
              <w:tc>
                <w:tcPr>
                  <w:tcW w:w="1761" w:type="pct"/>
                  <w:vMerge w:val="continue"/>
                  <w:noWrap w:val="0"/>
                  <w:vAlign w:val="center"/>
                </w:tcPr>
                <w:p w14:paraId="334C926D">
                  <w:pPr>
                    <w:pStyle w:val="61"/>
                    <w:bidi w:val="0"/>
                    <w:rPr>
                      <w:rFonts w:hint="default"/>
                      <w:highlight w:val="none"/>
                      <w:lang w:val="en-US" w:eastAsia="zh-CN"/>
                    </w:rPr>
                  </w:pPr>
                </w:p>
              </w:tc>
              <w:tc>
                <w:tcPr>
                  <w:tcW w:w="344" w:type="pct"/>
                  <w:vMerge w:val="continue"/>
                  <w:noWrap w:val="0"/>
                  <w:vAlign w:val="center"/>
                </w:tcPr>
                <w:p w14:paraId="4530F35F">
                  <w:pPr>
                    <w:pStyle w:val="61"/>
                    <w:bidi w:val="0"/>
                    <w:rPr>
                      <w:rFonts w:hint="default"/>
                      <w:highlight w:val="none"/>
                      <w:lang w:val="en-US" w:eastAsia="zh-CN"/>
                    </w:rPr>
                  </w:pPr>
                </w:p>
              </w:tc>
            </w:tr>
            <w:tr w14:paraId="1F4E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 w:type="pct"/>
                  <w:vMerge w:val="restart"/>
                  <w:noWrap w:val="0"/>
                  <w:vAlign w:val="center"/>
                </w:tcPr>
                <w:p w14:paraId="079FAAC8">
                  <w:pPr>
                    <w:pStyle w:val="61"/>
                    <w:bidi w:val="0"/>
                    <w:rPr>
                      <w:rFonts w:hint="default"/>
                      <w:highlight w:val="none"/>
                      <w:lang w:val="en-US" w:eastAsia="zh-CN"/>
                    </w:rPr>
                  </w:pPr>
                  <w:r>
                    <w:rPr>
                      <w:rFonts w:hint="eastAsia"/>
                      <w:highlight w:val="none"/>
                      <w:lang w:val="en-US" w:eastAsia="zh-CN"/>
                    </w:rPr>
                    <w:t>管控要求</w:t>
                  </w:r>
                </w:p>
              </w:tc>
              <w:tc>
                <w:tcPr>
                  <w:tcW w:w="464" w:type="pct"/>
                  <w:noWrap w:val="0"/>
                  <w:vAlign w:val="center"/>
                </w:tcPr>
                <w:p w14:paraId="3F0AA6E0">
                  <w:pPr>
                    <w:pStyle w:val="61"/>
                    <w:bidi w:val="0"/>
                    <w:rPr>
                      <w:rFonts w:hint="default"/>
                      <w:highlight w:val="none"/>
                      <w:lang w:val="en-US" w:eastAsia="zh-CN"/>
                    </w:rPr>
                  </w:pPr>
                  <w:r>
                    <w:rPr>
                      <w:rFonts w:hint="default"/>
                      <w:highlight w:val="none"/>
                      <w:lang w:val="en-US" w:eastAsia="zh-CN"/>
                    </w:rPr>
                    <w:t>空间布局约束</w:t>
                  </w:r>
                </w:p>
              </w:tc>
              <w:tc>
                <w:tcPr>
                  <w:tcW w:w="2110" w:type="pct"/>
                  <w:noWrap w:val="0"/>
                  <w:vAlign w:val="center"/>
                </w:tcPr>
                <w:p w14:paraId="5CC1F7E7">
                  <w:pPr>
                    <w:pStyle w:val="61"/>
                    <w:bidi w:val="0"/>
                    <w:jc w:val="both"/>
                    <w:rPr>
                      <w:rFonts w:hint="default"/>
                      <w:highlight w:val="none"/>
                      <w:lang w:val="en-US" w:eastAsia="zh-CN"/>
                    </w:rPr>
                  </w:pPr>
                  <w:r>
                    <w:rPr>
                      <w:rFonts w:hint="eastAsia"/>
                      <w:highlight w:val="none"/>
                      <w:lang w:val="en-US" w:eastAsia="zh-CN"/>
                    </w:rPr>
                    <w:t>1</w:t>
                  </w:r>
                  <w:r>
                    <w:rPr>
                      <w:rFonts w:hint="default"/>
                      <w:highlight w:val="none"/>
                      <w:lang w:val="en-US" w:eastAsia="zh-CN"/>
                    </w:rPr>
                    <w:t>.加大落后产能淘汰力度。对不符合国家产业政策、污染严重且经治理仍无法达标的工业企业实施关停并转；积极推动节能环保、信息技术、高端装备制造、新能源、新材料和生物科技等战略性新兴产业在工业园区内发展</w:t>
                  </w:r>
                  <w:r>
                    <w:rPr>
                      <w:rFonts w:hint="eastAsia"/>
                      <w:highlight w:val="none"/>
                      <w:lang w:val="en-US" w:eastAsia="zh-CN"/>
                    </w:rPr>
                    <w:t>。</w:t>
                  </w:r>
                </w:p>
              </w:tc>
              <w:tc>
                <w:tcPr>
                  <w:tcW w:w="1761" w:type="pct"/>
                  <w:noWrap w:val="0"/>
                  <w:vAlign w:val="center"/>
                </w:tcPr>
                <w:p w14:paraId="623CBD29">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highlight w:val="none"/>
                      <w:lang w:val="en-US" w:eastAsia="zh-CN"/>
                    </w:rPr>
                  </w:pPr>
                  <w:r>
                    <w:rPr>
                      <w:rFonts w:hint="default"/>
                      <w:highlight w:val="none"/>
                      <w:lang w:val="en-US" w:eastAsia="zh-CN"/>
                    </w:rPr>
                    <w:t>本工程</w:t>
                  </w:r>
                  <w:r>
                    <w:rPr>
                      <w:rFonts w:hint="eastAsia"/>
                      <w:highlight w:val="none"/>
                      <w:lang w:val="en-US" w:eastAsia="zh-CN"/>
                    </w:rPr>
                    <w:t>不</w:t>
                  </w:r>
                  <w:r>
                    <w:rPr>
                      <w:rFonts w:hint="default"/>
                      <w:highlight w:val="none"/>
                      <w:lang w:val="en-US" w:eastAsia="zh-CN"/>
                    </w:rPr>
                    <w:t>属</w:t>
                  </w:r>
                  <w:r>
                    <w:rPr>
                      <w:rFonts w:hint="eastAsia"/>
                      <w:highlight w:val="none"/>
                      <w:lang w:val="en-US" w:eastAsia="zh-CN"/>
                    </w:rPr>
                    <w:t>于</w:t>
                  </w:r>
                  <w:r>
                    <w:rPr>
                      <w:rFonts w:hint="default"/>
                      <w:highlight w:val="none"/>
                      <w:lang w:val="en-US" w:eastAsia="zh-CN"/>
                    </w:rPr>
                    <w:t>《产业结构调整指导目录</w:t>
                  </w:r>
                  <w:r>
                    <w:rPr>
                      <w:rFonts w:hint="eastAsia"/>
                      <w:highlight w:val="none"/>
                      <w:lang w:val="en-US" w:eastAsia="zh-CN"/>
                    </w:rPr>
                    <w:t>（2024年本）</w:t>
                  </w:r>
                  <w:r>
                    <w:rPr>
                      <w:rFonts w:hint="default"/>
                      <w:highlight w:val="none"/>
                      <w:lang w:val="en-US" w:eastAsia="zh-CN"/>
                    </w:rPr>
                    <w:t>》中</w:t>
                  </w:r>
                  <w:r>
                    <w:rPr>
                      <w:rFonts w:hint="eastAsia"/>
                      <w:highlight w:val="none"/>
                      <w:lang w:val="en-US" w:eastAsia="zh-CN"/>
                    </w:rPr>
                    <w:t>鼓励类、限制类和淘汰类</w:t>
                  </w:r>
                  <w:r>
                    <w:rPr>
                      <w:rFonts w:hint="default"/>
                      <w:highlight w:val="none"/>
                      <w:lang w:val="en-US" w:eastAsia="zh-CN"/>
                    </w:rPr>
                    <w:t>，</w:t>
                  </w:r>
                  <w:r>
                    <w:rPr>
                      <w:rFonts w:hint="eastAsia"/>
                      <w:highlight w:val="none"/>
                      <w:lang w:val="en-US" w:eastAsia="zh-CN"/>
                    </w:rPr>
                    <w:t>属于允许类，</w:t>
                  </w:r>
                  <w:r>
                    <w:rPr>
                      <w:rFonts w:hint="default"/>
                      <w:highlight w:val="none"/>
                      <w:lang w:val="en-US" w:eastAsia="zh-CN"/>
                    </w:rPr>
                    <w:t>符合国家产业政策</w:t>
                  </w:r>
                  <w:r>
                    <w:rPr>
                      <w:rFonts w:hint="eastAsia"/>
                      <w:highlight w:val="none"/>
                      <w:lang w:val="en-US" w:eastAsia="zh-CN"/>
                    </w:rPr>
                    <w:t>；本项目不属于市场准入负面清单中禁止类项目。本项目不属于高耗水、高污染、高耗能项目，本项目不使用落后工艺和设备。</w:t>
                  </w:r>
                </w:p>
              </w:tc>
              <w:tc>
                <w:tcPr>
                  <w:tcW w:w="344" w:type="pct"/>
                  <w:noWrap w:val="0"/>
                  <w:vAlign w:val="center"/>
                </w:tcPr>
                <w:p w14:paraId="38CC82A0">
                  <w:pPr>
                    <w:pStyle w:val="61"/>
                    <w:bidi w:val="0"/>
                    <w:rPr>
                      <w:rFonts w:hint="default"/>
                      <w:highlight w:val="none"/>
                      <w:lang w:val="en-US" w:eastAsia="zh-CN"/>
                    </w:rPr>
                  </w:pPr>
                  <w:r>
                    <w:rPr>
                      <w:rFonts w:hint="eastAsia"/>
                      <w:highlight w:val="none"/>
                      <w:lang w:val="en-US" w:eastAsia="zh-CN"/>
                    </w:rPr>
                    <w:t>符合</w:t>
                  </w:r>
                </w:p>
              </w:tc>
            </w:tr>
            <w:tr w14:paraId="33FE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noWrap w:val="0"/>
                  <w:vAlign w:val="top"/>
                </w:tcPr>
                <w:p w14:paraId="5C0D8BF3">
                  <w:pPr>
                    <w:pStyle w:val="61"/>
                    <w:bidi w:val="0"/>
                    <w:rPr>
                      <w:rFonts w:hint="default"/>
                      <w:highlight w:val="none"/>
                      <w:lang w:val="en-US" w:eastAsia="zh-CN"/>
                    </w:rPr>
                  </w:pPr>
                </w:p>
              </w:tc>
              <w:tc>
                <w:tcPr>
                  <w:tcW w:w="464" w:type="pct"/>
                  <w:noWrap w:val="0"/>
                  <w:vAlign w:val="center"/>
                </w:tcPr>
                <w:p w14:paraId="6A13994E">
                  <w:pPr>
                    <w:pStyle w:val="61"/>
                    <w:bidi w:val="0"/>
                    <w:rPr>
                      <w:rFonts w:hint="default"/>
                      <w:highlight w:val="none"/>
                      <w:lang w:val="en-US" w:eastAsia="zh-CN"/>
                    </w:rPr>
                  </w:pPr>
                  <w:r>
                    <w:rPr>
                      <w:rFonts w:hint="default"/>
                      <w:highlight w:val="none"/>
                      <w:lang w:val="en-US" w:eastAsia="zh-CN"/>
                    </w:rPr>
                    <w:t>污染物排放管控</w:t>
                  </w:r>
                </w:p>
              </w:tc>
              <w:tc>
                <w:tcPr>
                  <w:tcW w:w="2110" w:type="pct"/>
                  <w:noWrap w:val="0"/>
                  <w:vAlign w:val="center"/>
                </w:tcPr>
                <w:p w14:paraId="0D9EEA47">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highlight w:val="none"/>
                      <w:lang w:val="en-US" w:eastAsia="zh-CN"/>
                    </w:rPr>
                  </w:pPr>
                  <w:r>
                    <w:rPr>
                      <w:rFonts w:hint="eastAsia"/>
                      <w:highlight w:val="none"/>
                      <w:lang w:val="en-US" w:eastAsia="zh-CN"/>
                    </w:rPr>
                    <w:t>1.上库高新技术产业开发区的火电、钢铁、水泥、石化行业和燃煤锅炉实施大气污染物特别排放限值</w:t>
                  </w:r>
                  <w:r>
                    <w:rPr>
                      <w:rFonts w:hint="default"/>
                      <w:highlight w:val="none"/>
                      <w:lang w:val="en-US" w:eastAsia="zh-CN"/>
                    </w:rPr>
                    <w:t>。</w:t>
                  </w:r>
                </w:p>
                <w:p w14:paraId="77583C32">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highlight w:val="none"/>
                      <w:lang w:val="en-US" w:eastAsia="zh-CN"/>
                    </w:rPr>
                  </w:pPr>
                  <w:r>
                    <w:rPr>
                      <w:rFonts w:hint="eastAsia"/>
                      <w:highlight w:val="none"/>
                      <w:lang w:val="en-US" w:eastAsia="zh-CN"/>
                    </w:rPr>
                    <w:t>2.园区地下水质量不恶化</w:t>
                  </w:r>
                  <w:r>
                    <w:rPr>
                      <w:rFonts w:hint="default"/>
                      <w:highlight w:val="none"/>
                      <w:lang w:val="en-US" w:eastAsia="zh-CN"/>
                    </w:rPr>
                    <w:t>。</w:t>
                  </w:r>
                </w:p>
                <w:p w14:paraId="27BC14AE">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highlight w:val="none"/>
                      <w:lang w:val="en-US" w:eastAsia="zh-CN"/>
                    </w:rPr>
                  </w:pPr>
                  <w:r>
                    <w:rPr>
                      <w:rFonts w:hint="eastAsia"/>
                      <w:highlight w:val="none"/>
                      <w:lang w:val="en-US" w:eastAsia="zh-CN"/>
                    </w:rPr>
                    <w:t>3</w:t>
                  </w:r>
                  <w:r>
                    <w:rPr>
                      <w:rFonts w:hint="default"/>
                      <w:highlight w:val="none"/>
                      <w:lang w:val="en-US" w:eastAsia="zh-CN"/>
                    </w:rPr>
                    <w:t>.</w:t>
                  </w:r>
                  <w:r>
                    <w:rPr>
                      <w:rFonts w:hint="eastAsia"/>
                      <w:highlight w:val="none"/>
                      <w:lang w:val="en-US" w:eastAsia="zh-CN"/>
                    </w:rPr>
                    <w:t>园区</w:t>
                  </w:r>
                  <w:r>
                    <w:rPr>
                      <w:rFonts w:hint="default"/>
                      <w:highlight w:val="none"/>
                      <w:lang w:val="en-US" w:eastAsia="zh-CN"/>
                    </w:rPr>
                    <w:t>内土壤环境质量满足《土壤环境质量建设用地污染风险管控标准》</w:t>
                  </w:r>
                  <w:r>
                    <w:rPr>
                      <w:rFonts w:hint="eastAsia"/>
                      <w:highlight w:val="none"/>
                      <w:lang w:val="en-US" w:eastAsia="zh-CN"/>
                    </w:rPr>
                    <w:t>（</w:t>
                  </w:r>
                  <w:r>
                    <w:rPr>
                      <w:rFonts w:hint="default"/>
                      <w:highlight w:val="none"/>
                      <w:lang w:val="en-US" w:eastAsia="zh-CN"/>
                    </w:rPr>
                    <w:t>GB36600-2018</w:t>
                  </w:r>
                  <w:r>
                    <w:rPr>
                      <w:rFonts w:hint="eastAsia"/>
                      <w:highlight w:val="none"/>
                      <w:lang w:val="en-US" w:eastAsia="zh-CN"/>
                    </w:rPr>
                    <w:t>）</w:t>
                  </w:r>
                  <w:r>
                    <w:rPr>
                      <w:rFonts w:hint="default"/>
                      <w:highlight w:val="none"/>
                      <w:lang w:val="en-US" w:eastAsia="zh-CN"/>
                    </w:rPr>
                    <w:t>标准中质量底线要求。</w:t>
                  </w:r>
                </w:p>
                <w:p w14:paraId="75D1CAD0">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highlight w:val="none"/>
                      <w:lang w:val="en-US" w:eastAsia="zh-CN"/>
                    </w:rPr>
                  </w:pPr>
                  <w:r>
                    <w:rPr>
                      <w:rFonts w:hint="eastAsia"/>
                      <w:highlight w:val="none"/>
                      <w:lang w:val="en-US" w:eastAsia="zh-CN"/>
                    </w:rPr>
                    <w:t>4</w:t>
                  </w:r>
                  <w:r>
                    <w:rPr>
                      <w:rFonts w:hint="default"/>
                      <w:highlight w:val="none"/>
                      <w:lang w:val="en-US" w:eastAsia="zh-CN"/>
                    </w:rPr>
                    <w:t>.</w:t>
                  </w:r>
                  <w:r>
                    <w:rPr>
                      <w:rFonts w:hint="eastAsia"/>
                      <w:highlight w:val="none"/>
                      <w:lang w:val="en-US" w:eastAsia="zh-CN"/>
                    </w:rPr>
                    <w:t>园区内企业污水预处理达到污水处理厂纳管要求后进入污水处理厂处理。</w:t>
                  </w:r>
                </w:p>
              </w:tc>
              <w:tc>
                <w:tcPr>
                  <w:tcW w:w="1761" w:type="pct"/>
                  <w:noWrap w:val="0"/>
                  <w:vAlign w:val="center"/>
                </w:tcPr>
                <w:p w14:paraId="5AD64878">
                  <w:pPr>
                    <w:pStyle w:val="61"/>
                    <w:bidi w:val="0"/>
                    <w:jc w:val="both"/>
                    <w:rPr>
                      <w:rFonts w:hint="default"/>
                      <w:highlight w:val="none"/>
                      <w:lang w:val="en-US" w:eastAsia="zh-CN"/>
                    </w:rPr>
                  </w:pPr>
                  <w:r>
                    <w:rPr>
                      <w:color w:val="000000"/>
                      <w:kern w:val="0"/>
                      <w:szCs w:val="21"/>
                      <w:shd w:val="clear" w:color="auto" w:fill="auto"/>
                      <w:lang w:bidi="ar"/>
                    </w:rPr>
                    <w:t>本项目废气排放执行大气污染物控制特别排放</w:t>
                  </w:r>
                  <w:r>
                    <w:rPr>
                      <w:rFonts w:hint="eastAsia"/>
                      <w:color w:val="000000"/>
                      <w:kern w:val="0"/>
                      <w:szCs w:val="21"/>
                      <w:shd w:val="clear" w:color="auto" w:fill="auto"/>
                      <w:lang w:val="en-US" w:eastAsia="zh-CN" w:bidi="ar"/>
                    </w:rPr>
                    <w:t>限值</w:t>
                  </w:r>
                  <w:r>
                    <w:rPr>
                      <w:color w:val="000000"/>
                      <w:kern w:val="0"/>
                      <w:szCs w:val="21"/>
                      <w:shd w:val="clear" w:color="auto" w:fill="auto"/>
                      <w:lang w:bidi="ar"/>
                    </w:rPr>
                    <w:t>，经环境影响分析，废气排放可以满足特别排放限值要求。本项目的建设严格按照地下水污染防控分区防控原则，对项目各功能区采取有效污染渗漏防控措施，对地下水及土壤环境影响较小，不会降低区域水环境质量。</w:t>
                  </w:r>
                  <w:r>
                    <w:rPr>
                      <w:rFonts w:hint="eastAsia"/>
                      <w:color w:val="000000"/>
                      <w:kern w:val="0"/>
                      <w:szCs w:val="21"/>
                      <w:shd w:val="clear" w:color="auto" w:fill="auto"/>
                      <w:lang w:val="en-US" w:eastAsia="zh-CN" w:bidi="ar"/>
                    </w:rPr>
                    <w:t>本项目</w:t>
                  </w:r>
                  <w:r>
                    <w:rPr>
                      <w:rFonts w:hint="eastAsia"/>
                      <w:color w:val="000000"/>
                      <w:kern w:val="0"/>
                      <w:szCs w:val="21"/>
                      <w:shd w:val="clear" w:color="auto" w:fill="auto"/>
                      <w:lang w:bidi="ar"/>
                    </w:rPr>
                    <w:t>生活污水经化粪池处理后排入园区污水管网，最终由铁门关市污水处理厂处理</w:t>
                  </w:r>
                  <w:r>
                    <w:rPr>
                      <w:rFonts w:hint="eastAsia"/>
                      <w:color w:val="000000"/>
                      <w:kern w:val="0"/>
                      <w:szCs w:val="21"/>
                      <w:shd w:val="clear" w:color="auto" w:fill="auto"/>
                      <w:lang w:eastAsia="zh-CN" w:bidi="ar"/>
                    </w:rPr>
                    <w:t>，</w:t>
                  </w:r>
                  <w:r>
                    <w:rPr>
                      <w:rFonts w:hint="eastAsia"/>
                      <w:color w:val="000000"/>
                      <w:kern w:val="0"/>
                      <w:szCs w:val="21"/>
                      <w:shd w:val="clear" w:color="auto" w:fill="auto"/>
                      <w:lang w:val="en-US" w:eastAsia="zh-CN" w:bidi="ar"/>
                    </w:rPr>
                    <w:t>清洗废水经“絮凝+沉淀”处理后循环使用，不外排</w:t>
                  </w:r>
                  <w:r>
                    <w:rPr>
                      <w:rFonts w:hint="eastAsia"/>
                      <w:color w:val="000000"/>
                      <w:kern w:val="0"/>
                      <w:szCs w:val="21"/>
                      <w:shd w:val="clear" w:color="auto" w:fill="auto"/>
                      <w:lang w:bidi="ar"/>
                    </w:rPr>
                    <w:t>。</w:t>
                  </w:r>
                </w:p>
              </w:tc>
              <w:tc>
                <w:tcPr>
                  <w:tcW w:w="344" w:type="pct"/>
                  <w:noWrap w:val="0"/>
                  <w:vAlign w:val="center"/>
                </w:tcPr>
                <w:p w14:paraId="70CF3859">
                  <w:pPr>
                    <w:pStyle w:val="61"/>
                    <w:bidi w:val="0"/>
                    <w:rPr>
                      <w:rFonts w:hint="default"/>
                      <w:highlight w:val="none"/>
                      <w:lang w:val="en-US" w:eastAsia="zh-CN"/>
                    </w:rPr>
                  </w:pPr>
                  <w:r>
                    <w:rPr>
                      <w:rFonts w:hint="eastAsia"/>
                      <w:highlight w:val="none"/>
                      <w:lang w:val="en-US" w:eastAsia="zh-CN"/>
                    </w:rPr>
                    <w:t>符合</w:t>
                  </w:r>
                </w:p>
              </w:tc>
            </w:tr>
            <w:tr w14:paraId="23B1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noWrap w:val="0"/>
                  <w:vAlign w:val="top"/>
                </w:tcPr>
                <w:p w14:paraId="6A11C3A3">
                  <w:pPr>
                    <w:pStyle w:val="61"/>
                    <w:bidi w:val="0"/>
                    <w:rPr>
                      <w:rFonts w:hint="default"/>
                      <w:highlight w:val="none"/>
                      <w:lang w:val="en-US" w:eastAsia="zh-CN"/>
                    </w:rPr>
                  </w:pPr>
                </w:p>
              </w:tc>
              <w:tc>
                <w:tcPr>
                  <w:tcW w:w="464" w:type="pct"/>
                  <w:noWrap w:val="0"/>
                  <w:vAlign w:val="center"/>
                </w:tcPr>
                <w:p w14:paraId="4E952D23">
                  <w:pPr>
                    <w:pStyle w:val="61"/>
                    <w:bidi w:val="0"/>
                    <w:rPr>
                      <w:rFonts w:hint="default"/>
                      <w:highlight w:val="none"/>
                      <w:lang w:val="en-US" w:eastAsia="zh-CN"/>
                    </w:rPr>
                  </w:pPr>
                  <w:r>
                    <w:rPr>
                      <w:rFonts w:hint="default"/>
                      <w:highlight w:val="none"/>
                      <w:lang w:val="en-US" w:eastAsia="zh-CN"/>
                    </w:rPr>
                    <w:t>环境风险防控</w:t>
                  </w:r>
                </w:p>
              </w:tc>
              <w:tc>
                <w:tcPr>
                  <w:tcW w:w="2110" w:type="pct"/>
                  <w:noWrap w:val="0"/>
                  <w:vAlign w:val="center"/>
                </w:tcPr>
                <w:p w14:paraId="291597D2">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highlight w:val="none"/>
                      <w:lang w:val="en-US" w:eastAsia="zh-CN"/>
                    </w:rPr>
                  </w:pPr>
                  <w:r>
                    <w:rPr>
                      <w:rFonts w:hint="eastAsia"/>
                      <w:highlight w:val="none"/>
                      <w:lang w:val="en-US" w:eastAsia="zh-CN"/>
                    </w:rPr>
                    <w:t>1</w:t>
                  </w:r>
                  <w:r>
                    <w:rPr>
                      <w:rFonts w:hint="default"/>
                      <w:highlight w:val="none"/>
                      <w:lang w:val="en-US" w:eastAsia="zh-CN"/>
                    </w:rPr>
                    <w:t>.根据不同企业的生产特点，在规划居民住宅时要考虑卫生防护距离，项目卫生防护距离内不得规划、建设居民区、学校、医院等环境敏感目标，对于已存在的环境敏感目标要采取合理措施加以保护。</w:t>
                  </w:r>
                </w:p>
                <w:p w14:paraId="2117BF6C">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highlight w:val="none"/>
                      <w:lang w:val="en-US" w:eastAsia="zh-CN"/>
                    </w:rPr>
                  </w:pPr>
                  <w:r>
                    <w:rPr>
                      <w:rFonts w:hint="eastAsia"/>
                      <w:highlight w:val="none"/>
                      <w:lang w:val="en-US" w:eastAsia="zh-CN"/>
                    </w:rPr>
                    <w:t>2</w:t>
                  </w:r>
                  <w:r>
                    <w:rPr>
                      <w:rFonts w:hint="default"/>
                      <w:highlight w:val="none"/>
                      <w:lang w:val="en-US" w:eastAsia="zh-CN"/>
                    </w:rPr>
                    <w:t>.建立区域大气污染预警应急机制。加强重点控制区域极端不利气象条件下大气污染预警体系和区域大气环境质量预报系统建设，建立区域重污染事件应急预案，构建区域联动一体的应急响应体系。</w:t>
                  </w:r>
                </w:p>
              </w:tc>
              <w:tc>
                <w:tcPr>
                  <w:tcW w:w="1761" w:type="pct"/>
                  <w:noWrap w:val="0"/>
                  <w:vAlign w:val="top"/>
                </w:tcPr>
                <w:p w14:paraId="5E8EA02C">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highlight w:val="none"/>
                      <w:lang w:val="en-US" w:eastAsia="zh-CN"/>
                    </w:rPr>
                  </w:pPr>
                  <w:r>
                    <w:rPr>
                      <w:rFonts w:hint="eastAsia"/>
                      <w:highlight w:val="none"/>
                      <w:lang w:val="en-US" w:eastAsia="zh-CN"/>
                    </w:rPr>
                    <w:t>本工程建设地点位于新疆维吾尔自治区库尔勒市上库综合产业园区，项目周边无环境敏感保护目标。</w:t>
                  </w:r>
                  <w:r>
                    <w:rPr>
                      <w:kern w:val="0"/>
                      <w:szCs w:val="21"/>
                      <w:shd w:val="clear" w:color="auto" w:fill="auto"/>
                      <w:lang w:bidi="ar"/>
                    </w:rPr>
                    <w:t>本环评已要求建设单位建立大气污染预警应急机制</w:t>
                  </w:r>
                  <w:r>
                    <w:rPr>
                      <w:rFonts w:hint="eastAsia"/>
                      <w:highlight w:val="none"/>
                      <w:lang w:val="en-US" w:eastAsia="zh-CN"/>
                    </w:rPr>
                    <w:t>。</w:t>
                  </w:r>
                </w:p>
              </w:tc>
              <w:tc>
                <w:tcPr>
                  <w:tcW w:w="344" w:type="pct"/>
                  <w:noWrap w:val="0"/>
                  <w:vAlign w:val="center"/>
                </w:tcPr>
                <w:p w14:paraId="492FE60C">
                  <w:pPr>
                    <w:pStyle w:val="61"/>
                    <w:bidi w:val="0"/>
                    <w:rPr>
                      <w:rFonts w:hint="default"/>
                      <w:highlight w:val="none"/>
                      <w:lang w:val="en-US" w:eastAsia="zh-CN"/>
                    </w:rPr>
                  </w:pPr>
                  <w:r>
                    <w:rPr>
                      <w:rFonts w:hint="eastAsia"/>
                      <w:highlight w:val="none"/>
                      <w:lang w:val="en-US" w:eastAsia="zh-CN"/>
                    </w:rPr>
                    <w:t>符合</w:t>
                  </w:r>
                </w:p>
              </w:tc>
            </w:tr>
            <w:tr w14:paraId="0315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 w:type="pct"/>
                  <w:vMerge w:val="continue"/>
                  <w:noWrap w:val="0"/>
                  <w:vAlign w:val="top"/>
                </w:tcPr>
                <w:p w14:paraId="71DCE118">
                  <w:pPr>
                    <w:pStyle w:val="61"/>
                    <w:bidi w:val="0"/>
                    <w:rPr>
                      <w:rFonts w:hint="default"/>
                      <w:highlight w:val="none"/>
                      <w:lang w:val="en-US" w:eastAsia="zh-CN"/>
                    </w:rPr>
                  </w:pPr>
                </w:p>
              </w:tc>
              <w:tc>
                <w:tcPr>
                  <w:tcW w:w="464" w:type="pct"/>
                  <w:noWrap w:val="0"/>
                  <w:vAlign w:val="center"/>
                </w:tcPr>
                <w:p w14:paraId="604243AE">
                  <w:pPr>
                    <w:pStyle w:val="61"/>
                    <w:bidi w:val="0"/>
                    <w:rPr>
                      <w:rFonts w:hint="default"/>
                      <w:highlight w:val="none"/>
                      <w:lang w:val="en-US" w:eastAsia="zh-CN"/>
                    </w:rPr>
                  </w:pPr>
                  <w:r>
                    <w:rPr>
                      <w:rFonts w:hint="default"/>
                      <w:highlight w:val="none"/>
                      <w:lang w:val="en-US" w:eastAsia="zh-CN"/>
                    </w:rPr>
                    <w:t>资源利用效率</w:t>
                  </w:r>
                </w:p>
              </w:tc>
              <w:tc>
                <w:tcPr>
                  <w:tcW w:w="2110" w:type="pct"/>
                  <w:noWrap w:val="0"/>
                  <w:vAlign w:val="center"/>
                </w:tcPr>
                <w:p w14:paraId="7F09828E">
                  <w:pPr>
                    <w:pStyle w:val="61"/>
                    <w:bidi w:val="0"/>
                    <w:jc w:val="both"/>
                    <w:rPr>
                      <w:rFonts w:hint="default"/>
                      <w:highlight w:val="none"/>
                      <w:lang w:val="en-US" w:eastAsia="zh-CN"/>
                    </w:rPr>
                  </w:pPr>
                  <w:r>
                    <w:rPr>
                      <w:rFonts w:hint="eastAsia"/>
                      <w:highlight w:val="none"/>
                      <w:lang w:val="en-US" w:eastAsia="zh-CN"/>
                    </w:rPr>
                    <w:t>1</w:t>
                  </w:r>
                  <w:r>
                    <w:rPr>
                      <w:rFonts w:hint="default"/>
                      <w:highlight w:val="none"/>
                      <w:lang w:val="en-US" w:eastAsia="zh-CN"/>
                    </w:rPr>
                    <w:t>.提高水重复利用率，促进污水再生回用。严格控制企业用水定额，对排水系统首先实现清污分流，按质回收利用，符合用水要求的清水可直接回用于生产，其余废水则达标处理后经管网进入园区污水处理厂。</w:t>
                  </w:r>
                </w:p>
              </w:tc>
              <w:tc>
                <w:tcPr>
                  <w:tcW w:w="1761" w:type="pct"/>
                  <w:noWrap w:val="0"/>
                  <w:vAlign w:val="top"/>
                </w:tcPr>
                <w:p w14:paraId="0FE81020">
                  <w:pPr>
                    <w:pStyle w:val="61"/>
                    <w:bidi w:val="0"/>
                    <w:jc w:val="both"/>
                    <w:rPr>
                      <w:rFonts w:hint="default"/>
                      <w:highlight w:val="none"/>
                      <w:lang w:val="en-US" w:eastAsia="zh-CN"/>
                    </w:rPr>
                  </w:pPr>
                  <w:r>
                    <w:rPr>
                      <w:rFonts w:hint="eastAsia"/>
                      <w:highlight w:val="none"/>
                      <w:lang w:val="en-US" w:eastAsia="zh-CN"/>
                    </w:rPr>
                    <w:t>本项目</w:t>
                  </w:r>
                  <w:r>
                    <w:rPr>
                      <w:rFonts w:hint="eastAsia"/>
                      <w:color w:val="000000"/>
                      <w:kern w:val="0"/>
                      <w:szCs w:val="21"/>
                      <w:shd w:val="clear" w:color="auto" w:fill="auto"/>
                      <w:lang w:val="en-US" w:eastAsia="zh-CN" w:bidi="ar"/>
                    </w:rPr>
                    <w:t>生活污水经化粪池处理后排入园区污水管网，最终由铁门关市污水处理厂处理，清洗废水经“絮凝+沉淀”处理后循环使用，不外排。</w:t>
                  </w:r>
                </w:p>
              </w:tc>
              <w:tc>
                <w:tcPr>
                  <w:tcW w:w="344" w:type="pct"/>
                  <w:noWrap w:val="0"/>
                  <w:vAlign w:val="center"/>
                </w:tcPr>
                <w:p w14:paraId="7CD5768A">
                  <w:pPr>
                    <w:pStyle w:val="61"/>
                    <w:bidi w:val="0"/>
                    <w:rPr>
                      <w:rFonts w:hint="default"/>
                      <w:highlight w:val="none"/>
                      <w:lang w:val="en-US" w:eastAsia="zh-CN"/>
                    </w:rPr>
                  </w:pPr>
                  <w:r>
                    <w:rPr>
                      <w:rFonts w:hint="eastAsia"/>
                      <w:highlight w:val="none"/>
                      <w:lang w:val="en-US" w:eastAsia="zh-CN"/>
                    </w:rPr>
                    <w:t>符合</w:t>
                  </w:r>
                </w:p>
              </w:tc>
            </w:tr>
          </w:tbl>
          <w:p w14:paraId="3D96CEA1">
            <w:pPr>
              <w:pStyle w:val="60"/>
              <w:bidi w:val="0"/>
              <w:rPr>
                <w:rFonts w:hint="default"/>
                <w:lang w:val="en-US" w:eastAsia="zh-CN"/>
              </w:rPr>
            </w:pPr>
            <w:r>
              <w:rPr>
                <w:rFonts w:hint="eastAsia"/>
                <w:lang w:val="en-US" w:eastAsia="zh-CN"/>
              </w:rPr>
              <w:t>3.《巴音郭楞蒙古自治州生态环境“十四五”规划》符合性分析</w:t>
            </w:r>
          </w:p>
          <w:p w14:paraId="4FBB6E56">
            <w:pPr>
              <w:pStyle w:val="54"/>
              <w:bidi w:val="0"/>
              <w:rPr>
                <w:rFonts w:hint="eastAsia"/>
                <w:highlight w:val="none"/>
                <w:lang w:val="en-US" w:eastAsia="zh-CN"/>
              </w:rPr>
            </w:pPr>
            <w:r>
              <w:rPr>
                <w:rFonts w:hint="eastAsia"/>
                <w:highlight w:val="none"/>
                <w:lang w:val="en-US" w:eastAsia="zh-CN"/>
              </w:rPr>
              <w:t>本工程与《巴音郭楞蒙古自治州生态环境“十四五”规划》符合性分析详细情况见表1-5。</w:t>
            </w:r>
          </w:p>
          <w:p w14:paraId="76F557D2">
            <w:pPr>
              <w:pStyle w:val="62"/>
              <w:bidi w:val="0"/>
              <w:rPr>
                <w:rFonts w:hint="default" w:cs="Times New Roman"/>
                <w:highlight w:val="none"/>
                <w:lang w:val="en-US" w:eastAsia="zh-CN"/>
              </w:rPr>
            </w:pPr>
            <w:r>
              <w:rPr>
                <w:rFonts w:hint="eastAsia"/>
                <w:lang w:val="en-US" w:eastAsia="zh-CN"/>
              </w:rPr>
              <w:t>表1-5    《巴音郭楞蒙古自治州生态环境“十四五”规划》符合性分析</w:t>
            </w:r>
          </w:p>
          <w:tbl>
            <w:tblPr>
              <w:tblStyle w:val="24"/>
              <w:tblW w:w="7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3"/>
              <w:gridCol w:w="2770"/>
              <w:gridCol w:w="715"/>
            </w:tblGrid>
            <w:tr w14:paraId="1DFE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noWrap w:val="0"/>
                  <w:vAlign w:val="center"/>
                </w:tcPr>
                <w:p w14:paraId="54179CE9">
                  <w:pPr>
                    <w:pStyle w:val="61"/>
                    <w:bidi w:val="0"/>
                    <w:rPr>
                      <w:rFonts w:hint="default"/>
                      <w:highlight w:val="none"/>
                      <w:lang w:val="en-US" w:eastAsia="zh-CN"/>
                    </w:rPr>
                  </w:pPr>
                  <w:r>
                    <w:rPr>
                      <w:rFonts w:hint="default"/>
                      <w:highlight w:val="none"/>
                      <w:lang w:val="en-US" w:eastAsia="zh-CN"/>
                    </w:rPr>
                    <w:t>规划</w:t>
                  </w:r>
                  <w:r>
                    <w:rPr>
                      <w:rFonts w:hint="eastAsia"/>
                      <w:highlight w:val="none"/>
                      <w:lang w:val="en-US" w:eastAsia="zh-CN"/>
                    </w:rPr>
                    <w:t>要求</w:t>
                  </w:r>
                </w:p>
              </w:tc>
              <w:tc>
                <w:tcPr>
                  <w:tcW w:w="2770" w:type="dxa"/>
                  <w:noWrap w:val="0"/>
                  <w:vAlign w:val="center"/>
                </w:tcPr>
                <w:p w14:paraId="6628D514">
                  <w:pPr>
                    <w:pStyle w:val="61"/>
                    <w:bidi w:val="0"/>
                    <w:rPr>
                      <w:rFonts w:hint="default"/>
                      <w:highlight w:val="none"/>
                      <w:lang w:val="en-US" w:eastAsia="zh-CN"/>
                    </w:rPr>
                  </w:pPr>
                  <w:r>
                    <w:rPr>
                      <w:rFonts w:hint="eastAsia"/>
                      <w:highlight w:val="none"/>
                      <w:lang w:val="en-US" w:eastAsia="zh-CN"/>
                    </w:rPr>
                    <w:t>本项目情况</w:t>
                  </w:r>
                </w:p>
              </w:tc>
              <w:tc>
                <w:tcPr>
                  <w:tcW w:w="715" w:type="dxa"/>
                  <w:noWrap w:val="0"/>
                  <w:vAlign w:val="center"/>
                </w:tcPr>
                <w:p w14:paraId="69AAA9B9">
                  <w:pPr>
                    <w:pStyle w:val="61"/>
                    <w:bidi w:val="0"/>
                    <w:rPr>
                      <w:rFonts w:hint="default"/>
                      <w:highlight w:val="none"/>
                      <w:lang w:val="en-US" w:eastAsia="zh-CN"/>
                    </w:rPr>
                  </w:pPr>
                  <w:r>
                    <w:rPr>
                      <w:rFonts w:hint="eastAsia"/>
                      <w:highlight w:val="none"/>
                      <w:lang w:val="en-US" w:eastAsia="zh-CN"/>
                    </w:rPr>
                    <w:t>符合性分析</w:t>
                  </w:r>
                </w:p>
              </w:tc>
            </w:tr>
            <w:tr w14:paraId="2581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noWrap w:val="0"/>
                  <w:vAlign w:val="center"/>
                </w:tcPr>
                <w:p w14:paraId="7D58AD18">
                  <w:pPr>
                    <w:pStyle w:val="61"/>
                    <w:bidi w:val="0"/>
                    <w:jc w:val="both"/>
                    <w:rPr>
                      <w:rFonts w:hint="default"/>
                      <w:highlight w:val="none"/>
                      <w:lang w:val="en-US" w:eastAsia="zh-CN"/>
                    </w:rPr>
                  </w:pPr>
                  <w:r>
                    <w:rPr>
                      <w:rFonts w:hint="default"/>
                      <w:highlight w:val="none"/>
                      <w:lang w:val="en-US" w:eastAsia="zh-CN"/>
                    </w:rPr>
                    <w:t>强化大气污染分区控制和分类管理，加强污染源解析，实行差异化控制要求，制定有针对性的污染防治措施。库尔勒等大气复合型污染区域，重点针对不同时段PM</w:t>
                  </w:r>
                  <w:r>
                    <w:rPr>
                      <w:rFonts w:hint="default"/>
                      <w:highlight w:val="none"/>
                      <w:vertAlign w:val="subscript"/>
                      <w:lang w:val="en-US" w:eastAsia="zh-CN"/>
                    </w:rPr>
                    <w:t>10</w:t>
                  </w:r>
                  <w:r>
                    <w:rPr>
                      <w:rFonts w:hint="default"/>
                      <w:highlight w:val="none"/>
                      <w:lang w:val="en-US" w:eastAsia="zh-CN"/>
                    </w:rPr>
                    <w:t>、PM</w:t>
                  </w:r>
                  <w:r>
                    <w:rPr>
                      <w:rFonts w:hint="default"/>
                      <w:highlight w:val="none"/>
                      <w:vertAlign w:val="subscript"/>
                      <w:lang w:val="en-US" w:eastAsia="zh-CN"/>
                    </w:rPr>
                    <w:t>2.5</w:t>
                  </w:r>
                  <w:r>
                    <w:rPr>
                      <w:rFonts w:hint="default"/>
                      <w:highlight w:val="none"/>
                      <w:lang w:val="en-US" w:eastAsia="zh-CN"/>
                    </w:rPr>
                    <w:t>、O</w:t>
                  </w:r>
                  <w:r>
                    <w:rPr>
                      <w:rFonts w:hint="default"/>
                      <w:highlight w:val="none"/>
                      <w:vertAlign w:val="subscript"/>
                      <w:lang w:val="en-US" w:eastAsia="zh-CN"/>
                    </w:rPr>
                    <w:t>3</w:t>
                  </w:r>
                  <w:r>
                    <w:rPr>
                      <w:rFonts w:hint="default"/>
                      <w:highlight w:val="none"/>
                      <w:lang w:val="en-US" w:eastAsia="zh-CN"/>
                    </w:rPr>
                    <w:t>等突出问题，加强采暖季燃煤污染控制，以及机动车、VOCs（挥发性有机物）污染防治；库尉轮地区及且若区域沙尘污染严重区，重点做好防风固沙、生态环境保护修复等工作，同时持续加强传统煤烟型、扬尘污染的控制，实现空气质量持续改善</w:t>
                  </w:r>
                  <w:r>
                    <w:rPr>
                      <w:rFonts w:hint="eastAsia"/>
                      <w:highlight w:val="none"/>
                      <w:lang w:val="en-US" w:eastAsia="zh-CN"/>
                    </w:rPr>
                    <w:t>。</w:t>
                  </w:r>
                </w:p>
              </w:tc>
              <w:tc>
                <w:tcPr>
                  <w:tcW w:w="2770" w:type="dxa"/>
                  <w:noWrap w:val="0"/>
                  <w:vAlign w:val="center"/>
                </w:tcPr>
                <w:p w14:paraId="0AE9C67E">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highlight w:val="none"/>
                      <w:lang w:val="en-US" w:eastAsia="zh-CN"/>
                    </w:rPr>
                  </w:pPr>
                  <w:r>
                    <w:rPr>
                      <w:rFonts w:hint="eastAsia"/>
                      <w:highlight w:val="none"/>
                      <w:lang w:val="en-US" w:eastAsia="zh-CN"/>
                    </w:rPr>
                    <w:t>本项目属于C3333金属包装容器及材料制造，本项目</w:t>
                  </w:r>
                  <w:r>
                    <w:rPr>
                      <w:rFonts w:hint="eastAsia"/>
                      <w:lang w:val="en-US" w:eastAsia="zh-CN"/>
                    </w:rPr>
                    <w:t>喷漆废气经“干式过滤器+二级活性炭吸附”处理后经一根15m高排气筒（DA001）排放；清洗后烘干废气为天然气燃烧烟气，经低氮燃烧技术处理后经1根15m排气筒（DA002）排放；喷漆后烘干废气为天然气燃烧烟气和非甲烷总烃，经低氮燃烧和二级活性炭吸附后经1根15m高排气筒（DA003）排放，</w:t>
                  </w:r>
                  <w:r>
                    <w:rPr>
                      <w:rFonts w:hint="eastAsia"/>
                      <w:highlight w:val="none"/>
                      <w:lang w:val="en-US" w:eastAsia="zh-CN"/>
                    </w:rPr>
                    <w:t>对环境空气质量影响较小，不会降低区域环境空气质量。</w:t>
                  </w:r>
                </w:p>
              </w:tc>
              <w:tc>
                <w:tcPr>
                  <w:tcW w:w="715" w:type="dxa"/>
                  <w:noWrap w:val="0"/>
                  <w:vAlign w:val="center"/>
                </w:tcPr>
                <w:p w14:paraId="00DFF96A">
                  <w:pPr>
                    <w:pStyle w:val="61"/>
                    <w:bidi w:val="0"/>
                    <w:rPr>
                      <w:rFonts w:hint="default"/>
                      <w:highlight w:val="none"/>
                      <w:lang w:val="en-US" w:eastAsia="zh-CN"/>
                    </w:rPr>
                  </w:pPr>
                  <w:r>
                    <w:rPr>
                      <w:rFonts w:hint="eastAsia"/>
                      <w:highlight w:val="none"/>
                      <w:lang w:val="en-US" w:eastAsia="zh-CN"/>
                    </w:rPr>
                    <w:t>符合</w:t>
                  </w:r>
                </w:p>
              </w:tc>
            </w:tr>
            <w:tr w14:paraId="59AA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noWrap w:val="0"/>
                  <w:vAlign w:val="center"/>
                </w:tcPr>
                <w:p w14:paraId="520B3415">
                  <w:pPr>
                    <w:pStyle w:val="61"/>
                    <w:bidi w:val="0"/>
                    <w:jc w:val="both"/>
                    <w:rPr>
                      <w:rFonts w:hint="default"/>
                      <w:highlight w:val="none"/>
                      <w:lang w:val="en-US" w:eastAsia="zh-CN"/>
                    </w:rPr>
                  </w:pPr>
                  <w:r>
                    <w:rPr>
                      <w:rFonts w:hint="default"/>
                      <w:highlight w:val="none"/>
                      <w:lang w:val="en-US" w:eastAsia="zh-CN"/>
                    </w:rPr>
                    <w:t>加强环境噪声污染防控。加强噪声污染源监管，继续强化和深入推进交通运输、建筑施工、社会生活、工业企业、机场周边噪声污染防治，推进工业企业噪声纳入排污许可管理。优化重点</w:t>
                  </w:r>
                  <w:r>
                    <w:rPr>
                      <w:rFonts w:hint="eastAsia"/>
                      <w:highlight w:val="none"/>
                      <w:lang w:val="en-US" w:eastAsia="zh-CN"/>
                    </w:rPr>
                    <w:t>区域</w:t>
                  </w:r>
                  <w:r>
                    <w:rPr>
                      <w:rFonts w:hint="default"/>
                      <w:highlight w:val="none"/>
                      <w:lang w:val="en-US" w:eastAsia="zh-CN"/>
                    </w:rPr>
                    <w:t>声环境质量监测点位，加强城市环境、道路交通、功能区噪声例行监测与评价，推动库尔勒市功能区声环境质量自动监测，强化声环境功能区管理，适时调整完善声环境功能区</w:t>
                  </w:r>
                  <w:r>
                    <w:rPr>
                      <w:rFonts w:hint="eastAsia"/>
                      <w:highlight w:val="none"/>
                      <w:lang w:val="en-US" w:eastAsia="zh-CN"/>
                    </w:rPr>
                    <w:t>。</w:t>
                  </w:r>
                </w:p>
              </w:tc>
              <w:tc>
                <w:tcPr>
                  <w:tcW w:w="2770" w:type="dxa"/>
                  <w:noWrap w:val="0"/>
                  <w:vAlign w:val="center"/>
                </w:tcPr>
                <w:p w14:paraId="3CBA5645">
                  <w:pPr>
                    <w:pStyle w:val="61"/>
                    <w:bidi w:val="0"/>
                    <w:jc w:val="both"/>
                    <w:rPr>
                      <w:rFonts w:hint="default"/>
                      <w:highlight w:val="none"/>
                      <w:lang w:val="en-US" w:eastAsia="zh-CN"/>
                    </w:rPr>
                  </w:pPr>
                  <w:r>
                    <w:rPr>
                      <w:rFonts w:hint="eastAsia"/>
                      <w:highlight w:val="none"/>
                      <w:lang w:val="en-US" w:eastAsia="zh-CN"/>
                    </w:rPr>
                    <w:t>本项目噪声主要是机械、运输设备噪声。采用低噪声设备、合理布置设备位置，基础减震等措施，噪声可以达标排放；项目建设完成后，建设单位将按照排污许可管理办法，在排污行为发生之前，完成排污许可申报。</w:t>
                  </w:r>
                </w:p>
              </w:tc>
              <w:tc>
                <w:tcPr>
                  <w:tcW w:w="715" w:type="dxa"/>
                  <w:noWrap w:val="0"/>
                  <w:vAlign w:val="center"/>
                </w:tcPr>
                <w:p w14:paraId="18FB6AAF">
                  <w:pPr>
                    <w:pStyle w:val="61"/>
                    <w:bidi w:val="0"/>
                    <w:rPr>
                      <w:rFonts w:hint="default"/>
                      <w:highlight w:val="none"/>
                      <w:lang w:val="en-US" w:eastAsia="zh-CN"/>
                    </w:rPr>
                  </w:pPr>
                  <w:r>
                    <w:rPr>
                      <w:rFonts w:hint="eastAsia"/>
                      <w:highlight w:val="none"/>
                      <w:lang w:val="en-US" w:eastAsia="zh-CN"/>
                    </w:rPr>
                    <w:t>符合</w:t>
                  </w:r>
                </w:p>
              </w:tc>
            </w:tr>
            <w:tr w14:paraId="6BE3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noWrap w:val="0"/>
                  <w:vAlign w:val="center"/>
                </w:tcPr>
                <w:p w14:paraId="233C404B">
                  <w:pPr>
                    <w:pStyle w:val="61"/>
                    <w:bidi w:val="0"/>
                    <w:jc w:val="both"/>
                    <w:rPr>
                      <w:rFonts w:hint="default"/>
                      <w:highlight w:val="none"/>
                      <w:lang w:val="en-US" w:eastAsia="zh-CN"/>
                    </w:rPr>
                  </w:pPr>
                  <w:r>
                    <w:rPr>
                      <w:rFonts w:hint="default"/>
                      <w:highlight w:val="none"/>
                      <w:lang w:val="en-US" w:eastAsia="zh-CN"/>
                    </w:rPr>
                    <w:t>加强固体废物处置。加强固体废物源头减量和资源化利用，最大限度减少填埋量。持续开展固体废物非法转移和倾倒排查整治，推动开展塑料行业专项清理，持续推进废塑料加工利用行业整治，加强废塑料回收、利用、处置等环节的环境监管，降低污染风险。加强工业固体废物堆存场所环境整治。持续推进工业固体废物综合利用和环境整治，不断提高大宗工业固体废物资源化利用水平</w:t>
                  </w:r>
                  <w:r>
                    <w:rPr>
                      <w:rFonts w:hint="eastAsia"/>
                      <w:highlight w:val="none"/>
                      <w:lang w:val="en-US" w:eastAsia="zh-CN"/>
                    </w:rPr>
                    <w:t>。</w:t>
                  </w:r>
                </w:p>
              </w:tc>
              <w:tc>
                <w:tcPr>
                  <w:tcW w:w="2770" w:type="dxa"/>
                  <w:noWrap w:val="0"/>
                  <w:vAlign w:val="center"/>
                </w:tcPr>
                <w:p w14:paraId="08E9A0C3">
                  <w:pPr>
                    <w:pStyle w:val="61"/>
                    <w:bidi w:val="0"/>
                    <w:jc w:val="both"/>
                    <w:rPr>
                      <w:rFonts w:hint="default"/>
                      <w:highlight w:val="none"/>
                      <w:lang w:val="en-US" w:eastAsia="zh-CN"/>
                    </w:rPr>
                  </w:pPr>
                  <w:r>
                    <w:rPr>
                      <w:rFonts w:hint="eastAsia" w:cs="Times New Roman"/>
                      <w:highlight w:val="none"/>
                      <w:lang w:val="en-US" w:eastAsia="zh-CN"/>
                    </w:rPr>
                    <w:t>生活垃圾分类收集至垃圾箱内，定期交由环卫部门处理；废包装材料和废边角料收集后外售综合利用；危险废物暂存于危废暂存间，定期交由有资质的单位进行处理。</w:t>
                  </w:r>
                </w:p>
              </w:tc>
              <w:tc>
                <w:tcPr>
                  <w:tcW w:w="715" w:type="dxa"/>
                  <w:noWrap w:val="0"/>
                  <w:vAlign w:val="center"/>
                </w:tcPr>
                <w:p w14:paraId="6DAD7F75">
                  <w:pPr>
                    <w:pStyle w:val="61"/>
                    <w:bidi w:val="0"/>
                    <w:rPr>
                      <w:rFonts w:hint="default"/>
                      <w:highlight w:val="none"/>
                      <w:lang w:val="en-US" w:eastAsia="zh-CN"/>
                    </w:rPr>
                  </w:pPr>
                  <w:r>
                    <w:rPr>
                      <w:rFonts w:hint="eastAsia"/>
                      <w:highlight w:val="none"/>
                      <w:lang w:val="en-US" w:eastAsia="zh-CN"/>
                    </w:rPr>
                    <w:t>符合</w:t>
                  </w:r>
                </w:p>
              </w:tc>
            </w:tr>
            <w:tr w14:paraId="3998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3" w:type="dxa"/>
                  <w:noWrap w:val="0"/>
                  <w:vAlign w:val="center"/>
                </w:tcPr>
                <w:p w14:paraId="5BEE6FB7">
                  <w:pPr>
                    <w:pStyle w:val="61"/>
                    <w:bidi w:val="0"/>
                    <w:jc w:val="both"/>
                    <w:rPr>
                      <w:rFonts w:hint="default"/>
                      <w:highlight w:val="none"/>
                      <w:lang w:val="en-US" w:eastAsia="zh-CN"/>
                    </w:rPr>
                  </w:pPr>
                  <w:r>
                    <w:rPr>
                      <w:rFonts w:hint="default"/>
                      <w:highlight w:val="none"/>
                      <w:lang w:val="en-US" w:eastAsia="zh-CN"/>
                    </w:rPr>
                    <w:t>严格落实突发环境事件应急预案制度，提升涉危险废物突发环境事件应急处置水平</w:t>
                  </w:r>
                  <w:r>
                    <w:rPr>
                      <w:rFonts w:hint="eastAsia"/>
                      <w:highlight w:val="none"/>
                      <w:lang w:val="en-US" w:eastAsia="zh-CN"/>
                    </w:rPr>
                    <w:t>。</w:t>
                  </w:r>
                </w:p>
              </w:tc>
              <w:tc>
                <w:tcPr>
                  <w:tcW w:w="2770" w:type="dxa"/>
                  <w:noWrap w:val="0"/>
                  <w:vAlign w:val="center"/>
                </w:tcPr>
                <w:p w14:paraId="7E6CC187">
                  <w:pPr>
                    <w:pStyle w:val="61"/>
                    <w:bidi w:val="0"/>
                    <w:jc w:val="both"/>
                    <w:rPr>
                      <w:rFonts w:hint="default"/>
                      <w:highlight w:val="none"/>
                      <w:lang w:val="en-US" w:eastAsia="zh-CN"/>
                    </w:rPr>
                  </w:pPr>
                  <w:r>
                    <w:rPr>
                      <w:rFonts w:hint="default"/>
                      <w:highlight w:val="none"/>
                      <w:lang w:val="en-US" w:eastAsia="zh-CN"/>
                    </w:rPr>
                    <w:t>本</w:t>
                  </w:r>
                  <w:r>
                    <w:rPr>
                      <w:rFonts w:hint="eastAsia"/>
                      <w:highlight w:val="none"/>
                      <w:lang w:val="en-US" w:eastAsia="zh-CN"/>
                    </w:rPr>
                    <w:t>环评</w:t>
                  </w:r>
                  <w:r>
                    <w:rPr>
                      <w:rFonts w:hint="default"/>
                      <w:highlight w:val="none"/>
                      <w:lang w:val="en-US" w:eastAsia="zh-CN"/>
                    </w:rPr>
                    <w:t>要求建设单位编制突发环境事件应急预案，并上报生态环境</w:t>
                  </w:r>
                  <w:r>
                    <w:rPr>
                      <w:rFonts w:hint="eastAsia"/>
                      <w:highlight w:val="none"/>
                      <w:lang w:val="en-US" w:eastAsia="zh-CN"/>
                    </w:rPr>
                    <w:t>主管部门进行</w:t>
                  </w:r>
                  <w:r>
                    <w:rPr>
                      <w:rFonts w:hint="default"/>
                      <w:highlight w:val="none"/>
                      <w:lang w:val="en-US" w:eastAsia="zh-CN"/>
                    </w:rPr>
                    <w:t>备案，同时配备必要的应急措施和物资，并定期组织应急演练</w:t>
                  </w:r>
                  <w:r>
                    <w:rPr>
                      <w:rFonts w:hint="eastAsia"/>
                      <w:highlight w:val="none"/>
                      <w:lang w:val="en-US" w:eastAsia="zh-CN"/>
                    </w:rPr>
                    <w:t>。</w:t>
                  </w:r>
                </w:p>
              </w:tc>
              <w:tc>
                <w:tcPr>
                  <w:tcW w:w="715" w:type="dxa"/>
                  <w:noWrap w:val="0"/>
                  <w:vAlign w:val="center"/>
                </w:tcPr>
                <w:p w14:paraId="119105AE">
                  <w:pPr>
                    <w:pStyle w:val="61"/>
                    <w:bidi w:val="0"/>
                    <w:rPr>
                      <w:rFonts w:hint="default"/>
                      <w:highlight w:val="none"/>
                      <w:lang w:val="en-US" w:eastAsia="zh-CN"/>
                    </w:rPr>
                  </w:pPr>
                  <w:r>
                    <w:rPr>
                      <w:rFonts w:hint="eastAsia"/>
                      <w:highlight w:val="none"/>
                      <w:lang w:val="en-US" w:eastAsia="zh-CN"/>
                    </w:rPr>
                    <w:t>符合</w:t>
                  </w:r>
                </w:p>
              </w:tc>
            </w:tr>
          </w:tbl>
          <w:p w14:paraId="7B9ADC9D">
            <w:pPr>
              <w:pStyle w:val="60"/>
              <w:shd w:val="clear"/>
              <w:bidi w:val="0"/>
              <w:rPr>
                <w:rFonts w:hint="eastAsia"/>
                <w:lang w:val="en-US" w:eastAsia="zh-CN"/>
              </w:rPr>
            </w:pPr>
            <w:r>
              <w:rPr>
                <w:rFonts w:hint="eastAsia"/>
                <w:lang w:val="en-US" w:eastAsia="zh-CN"/>
              </w:rPr>
              <w:t>4.《关于印发重点行业挥发性有机物综合治理方案的通知》（环大气〔2019〕53号）符合性分析</w:t>
            </w:r>
          </w:p>
          <w:p w14:paraId="67BEB5D5">
            <w:pPr>
              <w:pStyle w:val="47"/>
              <w:shd w:val="clear"/>
              <w:bidi w:val="0"/>
              <w:rPr>
                <w:rFonts w:hint="eastAsia"/>
                <w:lang w:val="en-US" w:eastAsia="zh-CN"/>
              </w:rPr>
            </w:pPr>
            <w:r>
              <w:rPr>
                <w:rFonts w:hint="eastAsia"/>
                <w:lang w:val="en-US" w:eastAsia="zh-CN"/>
              </w:rPr>
              <w:t>本工程与《关于印发重点行业挥发性有机物综合治理方案的通知》（环大气〔2019〕53号）符合性分析见下表1-6。</w:t>
            </w:r>
          </w:p>
          <w:p w14:paraId="429E87BA">
            <w:pPr>
              <w:pStyle w:val="49"/>
              <w:bidi w:val="0"/>
              <w:rPr>
                <w:rFonts w:hint="eastAsia"/>
                <w:lang w:val="en-US" w:eastAsia="zh-CN"/>
              </w:rPr>
            </w:pPr>
            <w:r>
              <w:rPr>
                <w:rFonts w:hint="eastAsia"/>
                <w:lang w:val="en-US" w:eastAsia="zh-CN"/>
              </w:rPr>
              <w:t>表1-6    《关于印发重点行业挥发性有机物综合治理方案的通知》（环大气〔2019〕53号）符合性分析</w:t>
            </w:r>
          </w:p>
          <w:tbl>
            <w:tblPr>
              <w:tblStyle w:val="24"/>
              <w:tblW w:w="7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9"/>
              <w:gridCol w:w="2424"/>
              <w:gridCol w:w="701"/>
            </w:tblGrid>
            <w:tr w14:paraId="4E5B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019" w:type="dxa"/>
                  <w:vAlign w:val="center"/>
                </w:tcPr>
                <w:p w14:paraId="270E3C07">
                  <w:pPr>
                    <w:pStyle w:val="61"/>
                    <w:bidi w:val="0"/>
                    <w:rPr>
                      <w:rFonts w:hint="default"/>
                      <w:lang w:val="en-US" w:eastAsia="zh-CN"/>
                    </w:rPr>
                  </w:pPr>
                  <w:r>
                    <w:rPr>
                      <w:rFonts w:hint="eastAsia"/>
                      <w:lang w:val="en-US" w:eastAsia="zh-CN"/>
                    </w:rPr>
                    <w:t>治理要求</w:t>
                  </w:r>
                </w:p>
              </w:tc>
              <w:tc>
                <w:tcPr>
                  <w:tcW w:w="2424" w:type="dxa"/>
                  <w:vAlign w:val="center"/>
                </w:tcPr>
                <w:p w14:paraId="1AB9A1C6">
                  <w:pPr>
                    <w:pStyle w:val="61"/>
                    <w:bidi w:val="0"/>
                    <w:rPr>
                      <w:rFonts w:hint="default"/>
                      <w:lang w:val="en-US" w:eastAsia="zh-CN"/>
                    </w:rPr>
                  </w:pPr>
                  <w:r>
                    <w:rPr>
                      <w:rFonts w:hint="eastAsia"/>
                      <w:lang w:val="en-US" w:eastAsia="zh-CN"/>
                    </w:rPr>
                    <w:t>本项目情况</w:t>
                  </w:r>
                </w:p>
              </w:tc>
              <w:tc>
                <w:tcPr>
                  <w:tcW w:w="701" w:type="dxa"/>
                  <w:vAlign w:val="center"/>
                </w:tcPr>
                <w:p w14:paraId="096C5EDF">
                  <w:pPr>
                    <w:pStyle w:val="61"/>
                    <w:bidi w:val="0"/>
                    <w:rPr>
                      <w:rFonts w:hint="default"/>
                      <w:lang w:val="en-US" w:eastAsia="zh-CN"/>
                    </w:rPr>
                  </w:pPr>
                  <w:r>
                    <w:rPr>
                      <w:rFonts w:hint="eastAsia"/>
                      <w:lang w:val="en-US" w:eastAsia="zh-CN"/>
                    </w:rPr>
                    <w:t>符合性分析</w:t>
                  </w:r>
                </w:p>
              </w:tc>
            </w:tr>
            <w:tr w14:paraId="6762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4019" w:type="dxa"/>
                  <w:vAlign w:val="center"/>
                </w:tcPr>
                <w:p w14:paraId="79B7A19C">
                  <w:pPr>
                    <w:pStyle w:val="61"/>
                    <w:bidi w:val="0"/>
                    <w:rPr>
                      <w:rFonts w:hint="default"/>
                      <w:lang w:val="en-US" w:eastAsia="zh-CN"/>
                    </w:rPr>
                  </w:pPr>
                  <w:r>
                    <w:rPr>
                      <w:rFonts w:hint="default"/>
                      <w:lang w:val="en-US" w:eastAsia="zh-CN"/>
                    </w:rPr>
                    <w:t>提高废气收集率。遵循</w:t>
                  </w:r>
                  <w:r>
                    <w:rPr>
                      <w:rFonts w:hint="eastAsia"/>
                      <w:lang w:val="en-US" w:eastAsia="zh-CN"/>
                    </w:rPr>
                    <w:t>“</w:t>
                  </w:r>
                  <w:r>
                    <w:rPr>
                      <w:rFonts w:hint="default"/>
                      <w:lang w:val="en-US" w:eastAsia="zh-CN"/>
                    </w:rPr>
                    <w:t>应收尽收、分质收集</w:t>
                  </w:r>
                  <w:r>
                    <w:rPr>
                      <w:rFonts w:hint="eastAsia"/>
                      <w:lang w:val="en-US" w:eastAsia="zh-CN"/>
                    </w:rPr>
                    <w:t>”</w:t>
                  </w:r>
                  <w:r>
                    <w:rPr>
                      <w:rFonts w:hint="default"/>
                      <w:lang w:val="en-US" w:eastAsia="zh-CN"/>
                    </w:rPr>
                    <w:t>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r>
                    <w:rPr>
                      <w:rFonts w:hint="eastAsia"/>
                      <w:lang w:val="en-US" w:eastAsia="zh-CN"/>
                    </w:rPr>
                    <w:t>；在反应期间，反应设备的进料口、出料口、检修口、搅拌口、观察孔等开口（孔）在不操作时应保持密闭；有机聚合物产品用于制品生产的过程，在混合/混炼、塑炼/塑化/熔化、加工成型（挤出、注射、压制、压延、发泡、纺丝等）等作业中应采用密闭设备或在密闭空间内操作，废气应排至VOCs废气收集处理系统；无法密闭的，应采取局部气体收集措施，废气应排至VOCs废气收集处理系统。</w:t>
                  </w:r>
                </w:p>
              </w:tc>
              <w:tc>
                <w:tcPr>
                  <w:tcW w:w="2424" w:type="dxa"/>
                  <w:vAlign w:val="center"/>
                </w:tcPr>
                <w:p w14:paraId="76A2405D">
                  <w:pPr>
                    <w:pStyle w:val="61"/>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本项目在喷漆房设置集气罩，通过微负压形式收集非甲烷总烃，提高废气的捕集效率，集气罩面积为（0.5</w:t>
                  </w:r>
                  <w:r>
                    <w:rPr>
                      <w:rFonts w:hint="default"/>
                      <w:lang w:val="en-US" w:eastAsia="zh-CN"/>
                    </w:rPr>
                    <w:t>×</w:t>
                  </w:r>
                  <w:r>
                    <w:rPr>
                      <w:rFonts w:hint="eastAsia"/>
                      <w:lang w:val="en-US" w:eastAsia="zh-CN"/>
                    </w:rPr>
                    <w:t>1.0）m</w:t>
                  </w:r>
                  <w:r>
                    <w:rPr>
                      <w:rFonts w:hint="eastAsia"/>
                      <w:vertAlign w:val="superscript"/>
                      <w:lang w:val="en-US" w:eastAsia="zh-CN"/>
                    </w:rPr>
                    <w:t>2</w:t>
                  </w:r>
                  <w:r>
                    <w:rPr>
                      <w:rFonts w:hint="eastAsia"/>
                      <w:lang w:val="en-US" w:eastAsia="zh-CN"/>
                    </w:rPr>
                    <w:t>，集气罩安装位置距离最大控制点为1m，设计风速不小于0.3m/s，符合《挥发性有机物无组织排放控制标准》（GB37822-2019）中废气收集系统控制风速的要求。</w:t>
                  </w:r>
                </w:p>
              </w:tc>
              <w:tc>
                <w:tcPr>
                  <w:tcW w:w="701" w:type="dxa"/>
                  <w:vAlign w:val="center"/>
                </w:tcPr>
                <w:p w14:paraId="5845C8FD">
                  <w:pPr>
                    <w:pStyle w:val="61"/>
                    <w:bidi w:val="0"/>
                    <w:rPr>
                      <w:rFonts w:hint="default"/>
                      <w:lang w:val="en-US" w:eastAsia="zh-CN"/>
                    </w:rPr>
                  </w:pPr>
                  <w:r>
                    <w:rPr>
                      <w:rFonts w:hint="eastAsia"/>
                      <w:lang w:val="en-US" w:eastAsia="zh-CN"/>
                    </w:rPr>
                    <w:t>符合</w:t>
                  </w:r>
                </w:p>
              </w:tc>
            </w:tr>
            <w:tr w14:paraId="3B2F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9" w:type="dxa"/>
                  <w:vAlign w:val="center"/>
                </w:tcPr>
                <w:p w14:paraId="4F20C48E">
                  <w:pPr>
                    <w:pStyle w:val="61"/>
                    <w:bidi w:val="0"/>
                    <w:rPr>
                      <w:rFonts w:hint="default"/>
                      <w:lang w:val="en-US" w:eastAsia="zh-CN"/>
                    </w:rPr>
                  </w:pPr>
                  <w:r>
                    <w:rPr>
                      <w:rFonts w:hint="default"/>
                      <w:lang w:val="en-US" w:eastAsia="zh-CN"/>
                    </w:rPr>
                    <w:t>推进建设适宜高效的治污设施。企业新建治污设施或对现有治污设施实施改造，应依据排放废气的浓度、组分、风量</w:t>
                  </w:r>
                  <w:r>
                    <w:rPr>
                      <w:rFonts w:hint="eastAsia"/>
                      <w:lang w:val="en-US" w:eastAsia="zh-CN"/>
                    </w:rPr>
                    <w:t>、</w:t>
                  </w:r>
                  <w:r>
                    <w:rPr>
                      <w:rFonts w:hint="default"/>
                      <w:lang w:val="en-US" w:eastAsia="zh-CN"/>
                    </w:rPr>
                    <w:t>温度、湿度、压力，以及生产工况等，合理选择治理技术。鼓励企业采用多种技术的组合工艺，提高VOCs治理效率。低浓度、大风量废气，宜采用沸石转轮吸附、活性炭吸附、减风增浓等浓缩技术，提高VOCs浓度后净化处理；高浓度废气，优先进行溶剂回收，难以回收的，宜采用高温焚烧、催化燃烧等技术。油气（溶剂）回收宜采用冷凝+吸附、吸附+吸收、膜分离+吸附等技术。低温等离子、光催化、光氧化技术主要适用于恶臭异味等治理；生物法主要适用于低浓度VOCs废气治理和恶臭异味治理。非水溶性的VOCs废气禁止采用水或水溶液喷淋吸收处理。采用一次性活性炭吸附技术的，应定期更换活性炭，废旧活性炭应再生或处理处置。有条件的工业园区和产业集群等，推广集中喷涂、溶剂集中回收、活性炭集中再生等，加强资源共享，提高VOCs治理效率。</w:t>
                  </w:r>
                </w:p>
              </w:tc>
              <w:tc>
                <w:tcPr>
                  <w:tcW w:w="2424" w:type="dxa"/>
                  <w:vAlign w:val="center"/>
                </w:tcPr>
                <w:p w14:paraId="17ED449B">
                  <w:pPr>
                    <w:pStyle w:val="61"/>
                    <w:bidi w:val="0"/>
                    <w:rPr>
                      <w:rFonts w:hint="default"/>
                      <w:lang w:val="en-US" w:eastAsia="zh-CN"/>
                    </w:rPr>
                  </w:pPr>
                  <w:r>
                    <w:rPr>
                      <w:rFonts w:hint="default"/>
                      <w:lang w:val="en-US" w:eastAsia="zh-CN"/>
                    </w:rPr>
                    <w:t>本项目</w:t>
                  </w:r>
                  <w:r>
                    <w:rPr>
                      <w:rFonts w:hint="eastAsia"/>
                      <w:lang w:val="en-US" w:eastAsia="zh-CN"/>
                    </w:rPr>
                    <w:t>喷漆工序产生的漆雾（颗粒物）及非甲烷总烃经“干式过滤器+二级活性炭吸附”组合技术进行废气治理，企业根据使用要求，按照更换周期及时更换活性炭。</w:t>
                  </w:r>
                </w:p>
              </w:tc>
              <w:tc>
                <w:tcPr>
                  <w:tcW w:w="701" w:type="dxa"/>
                  <w:vAlign w:val="center"/>
                </w:tcPr>
                <w:p w14:paraId="185422F8">
                  <w:pPr>
                    <w:pStyle w:val="61"/>
                    <w:bidi w:val="0"/>
                    <w:rPr>
                      <w:rFonts w:hint="default"/>
                      <w:lang w:val="en-US" w:eastAsia="zh-CN"/>
                    </w:rPr>
                  </w:pPr>
                  <w:r>
                    <w:rPr>
                      <w:rFonts w:hint="eastAsia"/>
                      <w:lang w:val="en-US" w:eastAsia="zh-CN"/>
                    </w:rPr>
                    <w:t>符合</w:t>
                  </w:r>
                </w:p>
              </w:tc>
            </w:tr>
          </w:tbl>
          <w:p w14:paraId="271718AC">
            <w:pPr>
              <w:pStyle w:val="60"/>
              <w:bidi w:val="0"/>
              <w:rPr>
                <w:rFonts w:hint="eastAsia"/>
                <w:lang w:val="en-US" w:eastAsia="zh-CN"/>
              </w:rPr>
            </w:pPr>
            <w:r>
              <w:rPr>
                <w:rFonts w:hint="eastAsia"/>
                <w:lang w:val="en-US" w:eastAsia="zh-CN"/>
              </w:rPr>
              <w:t>5.环境管理政策分析</w:t>
            </w:r>
          </w:p>
          <w:p w14:paraId="5FA3BC52">
            <w:pPr>
              <w:pStyle w:val="54"/>
              <w:bidi w:val="0"/>
              <w:rPr>
                <w:rFonts w:hint="eastAsia"/>
                <w:lang w:val="en-US" w:eastAsia="zh-CN"/>
              </w:rPr>
            </w:pPr>
            <w:r>
              <w:rPr>
                <w:rFonts w:hint="eastAsia"/>
                <w:lang w:val="en-US" w:eastAsia="zh-CN"/>
              </w:rPr>
              <w:t>本项目环境管理政策分析见下表1-7。</w:t>
            </w:r>
          </w:p>
          <w:p w14:paraId="33E03AE4">
            <w:pPr>
              <w:pStyle w:val="62"/>
              <w:bidi w:val="0"/>
              <w:rPr>
                <w:rFonts w:hint="default"/>
                <w:lang w:val="en-US" w:eastAsia="zh-CN"/>
              </w:rPr>
            </w:pPr>
            <w:r>
              <w:rPr>
                <w:rFonts w:hint="eastAsia"/>
                <w:lang w:val="en-US" w:eastAsia="zh-CN"/>
              </w:rPr>
              <w:t>表1-7    环境管理政策符合性分析</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263"/>
              <w:gridCol w:w="2870"/>
              <w:gridCol w:w="566"/>
            </w:tblGrid>
            <w:tr w14:paraId="3358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 w:type="pct"/>
                  <w:noWrap w:val="0"/>
                  <w:vAlign w:val="center"/>
                </w:tcPr>
                <w:p w14:paraId="5DC57B3B">
                  <w:pPr>
                    <w:pStyle w:val="61"/>
                    <w:bidi w:val="0"/>
                    <w:rPr>
                      <w:rFonts w:hint="eastAsia"/>
                      <w:lang w:val="en-US" w:eastAsia="zh-CN"/>
                    </w:rPr>
                  </w:pPr>
                  <w:r>
                    <w:rPr>
                      <w:rFonts w:hint="eastAsia"/>
                      <w:lang w:val="en-US" w:eastAsia="zh-CN"/>
                    </w:rPr>
                    <w:t>文件</w:t>
                  </w:r>
                </w:p>
              </w:tc>
              <w:tc>
                <w:tcPr>
                  <w:tcW w:w="1619" w:type="pct"/>
                  <w:noWrap w:val="0"/>
                  <w:vAlign w:val="center"/>
                </w:tcPr>
                <w:p w14:paraId="2EEA0BA3">
                  <w:pPr>
                    <w:pStyle w:val="61"/>
                    <w:bidi w:val="0"/>
                    <w:rPr>
                      <w:rFonts w:hint="default"/>
                    </w:rPr>
                  </w:pPr>
                  <w:r>
                    <w:rPr>
                      <w:rFonts w:hint="default"/>
                    </w:rPr>
                    <w:t>环境管理政策要求</w:t>
                  </w:r>
                </w:p>
              </w:tc>
              <w:tc>
                <w:tcPr>
                  <w:tcW w:w="2054" w:type="pct"/>
                  <w:noWrap w:val="0"/>
                  <w:vAlign w:val="center"/>
                </w:tcPr>
                <w:p w14:paraId="380A3AD7">
                  <w:pPr>
                    <w:pStyle w:val="61"/>
                    <w:bidi w:val="0"/>
                    <w:rPr>
                      <w:rFonts w:hint="default"/>
                      <w:lang w:val="en-US" w:eastAsia="zh-CN"/>
                    </w:rPr>
                  </w:pPr>
                  <w:r>
                    <w:rPr>
                      <w:rFonts w:hint="eastAsia"/>
                      <w:lang w:val="en-US" w:eastAsia="zh-CN"/>
                    </w:rPr>
                    <w:t>本项目情况</w:t>
                  </w:r>
                </w:p>
              </w:tc>
              <w:tc>
                <w:tcPr>
                  <w:tcW w:w="405" w:type="pct"/>
                  <w:noWrap w:val="0"/>
                  <w:vAlign w:val="center"/>
                </w:tcPr>
                <w:p w14:paraId="0D62EBCD">
                  <w:pPr>
                    <w:pStyle w:val="61"/>
                    <w:bidi w:val="0"/>
                    <w:rPr>
                      <w:rFonts w:hint="default"/>
                      <w:lang w:val="en-US" w:eastAsia="zh-CN"/>
                    </w:rPr>
                  </w:pPr>
                  <w:r>
                    <w:rPr>
                      <w:rFonts w:hint="eastAsia"/>
                      <w:lang w:val="en-US" w:eastAsia="zh-CN"/>
                    </w:rPr>
                    <w:t>符合性分析</w:t>
                  </w:r>
                </w:p>
              </w:tc>
            </w:tr>
            <w:tr w14:paraId="5266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noWrap w:val="0"/>
                  <w:vAlign w:val="center"/>
                </w:tcPr>
                <w:p w14:paraId="4A898A8B">
                  <w:pPr>
                    <w:pStyle w:val="61"/>
                    <w:keepNext w:val="0"/>
                    <w:keepLines w:val="0"/>
                    <w:pageBreakBefore w:val="0"/>
                    <w:widowControl w:val="0"/>
                    <w:kinsoku/>
                    <w:wordWrap w:val="0"/>
                    <w:overflowPunct/>
                    <w:topLinePunct w:val="0"/>
                    <w:autoSpaceDE/>
                    <w:autoSpaceDN/>
                    <w:bidi w:val="0"/>
                    <w:adjustRightInd/>
                    <w:snapToGrid/>
                    <w:textAlignment w:val="auto"/>
                    <w:rPr>
                      <w:rFonts w:hint="eastAsia"/>
                      <w:lang w:eastAsia="zh-CN"/>
                    </w:rPr>
                  </w:pPr>
                  <w:r>
                    <w:rPr>
                      <w:rFonts w:hint="eastAsia"/>
                    </w:rPr>
                    <w:t>《中</w:t>
                  </w:r>
                  <w:r>
                    <w:rPr>
                      <w:rFonts w:hint="eastAsia"/>
                      <w:lang w:eastAsia="zh-CN"/>
                    </w:rPr>
                    <w:t>华</w:t>
                  </w:r>
                  <w:r>
                    <w:rPr>
                      <w:rFonts w:hint="eastAsia"/>
                    </w:rPr>
                    <w:t>人民共和国大气污染防治法》</w:t>
                  </w:r>
                  <w:r>
                    <w:rPr>
                      <w:rFonts w:hint="eastAsia"/>
                      <w:lang w:eastAsia="zh-CN"/>
                    </w:rPr>
                    <w:t>（</w:t>
                  </w:r>
                  <w:r>
                    <w:rPr>
                      <w:rFonts w:hint="eastAsia"/>
                      <w:lang w:val="en-US" w:eastAsia="zh-CN"/>
                    </w:rPr>
                    <w:t>2018-11-13</w:t>
                  </w:r>
                  <w:r>
                    <w:rPr>
                      <w:rFonts w:hint="eastAsia"/>
                      <w:lang w:eastAsia="zh-CN"/>
                    </w:rPr>
                    <w:t>）</w:t>
                  </w:r>
                </w:p>
              </w:tc>
              <w:tc>
                <w:tcPr>
                  <w:tcW w:w="1619" w:type="pct"/>
                  <w:noWrap w:val="0"/>
                  <w:vAlign w:val="center"/>
                </w:tcPr>
                <w:p w14:paraId="32C01F31">
                  <w:pPr>
                    <w:pStyle w:val="61"/>
                    <w:bidi w:val="0"/>
                    <w:jc w:val="both"/>
                    <w:rPr>
                      <w:rFonts w:hint="eastAsia"/>
                      <w:lang w:eastAsia="zh-CN"/>
                    </w:rPr>
                  </w:pPr>
                  <w:r>
                    <w:rPr>
                      <w:rFonts w:hint="eastAsia"/>
                    </w:rPr>
                    <w:t>第七条：企业事业单位和其他生产经营者，应当采取有效措施，防止、减少大气污染，对所造成的损害依法承担责任</w:t>
                  </w:r>
                  <w:r>
                    <w:rPr>
                      <w:rFonts w:hint="eastAsia"/>
                      <w:lang w:eastAsia="zh-CN"/>
                    </w:rPr>
                    <w:t>。</w:t>
                  </w:r>
                </w:p>
              </w:tc>
              <w:tc>
                <w:tcPr>
                  <w:tcW w:w="2054" w:type="pct"/>
                  <w:noWrap w:val="0"/>
                  <w:vAlign w:val="center"/>
                </w:tcPr>
                <w:p w14:paraId="4FFFADB1">
                  <w:pPr>
                    <w:pStyle w:val="61"/>
                    <w:keepNext w:val="0"/>
                    <w:keepLines w:val="0"/>
                    <w:pageBreakBefore w:val="0"/>
                    <w:widowControl w:val="0"/>
                    <w:kinsoku/>
                    <w:wordWrap w:val="0"/>
                    <w:overflowPunct/>
                    <w:topLinePunct w:val="0"/>
                    <w:autoSpaceDE/>
                    <w:autoSpaceDN/>
                    <w:bidi w:val="0"/>
                    <w:adjustRightInd/>
                    <w:snapToGrid/>
                    <w:jc w:val="both"/>
                    <w:textAlignment w:val="auto"/>
                    <w:rPr>
                      <w:rFonts w:hint="eastAsia" w:eastAsia="宋体"/>
                      <w:lang w:eastAsia="zh-CN"/>
                    </w:rPr>
                  </w:pPr>
                  <w:r>
                    <w:rPr>
                      <w:rFonts w:hint="default"/>
                    </w:rPr>
                    <w:t>本项目</w:t>
                  </w:r>
                  <w:r>
                    <w:rPr>
                      <w:rFonts w:hint="eastAsia"/>
                      <w:lang w:val="en-US" w:eastAsia="zh-CN"/>
                    </w:rPr>
                    <w:t>喷漆</w:t>
                  </w:r>
                  <w:r>
                    <w:rPr>
                      <w:rFonts w:hint="default"/>
                    </w:rPr>
                    <w:t>废气经</w:t>
                  </w:r>
                  <w:r>
                    <w:rPr>
                      <w:rFonts w:hint="eastAsia"/>
                      <w:lang w:val="en-US" w:eastAsia="zh-CN"/>
                    </w:rPr>
                    <w:t>干式过滤器+</w:t>
                  </w:r>
                  <w:r>
                    <w:rPr>
                      <w:rFonts w:hint="eastAsia"/>
                      <w:lang w:eastAsia="zh-CN"/>
                    </w:rPr>
                    <w:t>二级</w:t>
                  </w:r>
                  <w:r>
                    <w:rPr>
                      <w:rFonts w:hint="default"/>
                    </w:rPr>
                    <w:t>活性炭处理后通过1根15m排气筒（DA001）达标排放；</w:t>
                  </w:r>
                  <w:r>
                    <w:rPr>
                      <w:rFonts w:hint="eastAsia"/>
                      <w:lang w:val="en-US" w:eastAsia="zh-CN"/>
                    </w:rPr>
                    <w:t>清洗后烘干废气为天然气燃烧烟气，经低氮燃烧技术处理后经1根15m排气筒（DA002）排放；喷漆后烘干废气为天然气燃烧烟气和非甲烷总烃，经低氮燃烧和二级活性炭吸附后经1根15m高排气筒（DA003）排放</w:t>
                  </w:r>
                  <w:r>
                    <w:rPr>
                      <w:rFonts w:hint="eastAsia"/>
                      <w:lang w:eastAsia="zh-CN"/>
                    </w:rPr>
                    <w:t>。</w:t>
                  </w:r>
                </w:p>
              </w:tc>
              <w:tc>
                <w:tcPr>
                  <w:tcW w:w="405" w:type="pct"/>
                  <w:noWrap w:val="0"/>
                  <w:vAlign w:val="center"/>
                </w:tcPr>
                <w:p w14:paraId="511FBBE8">
                  <w:pPr>
                    <w:pStyle w:val="61"/>
                    <w:bidi w:val="0"/>
                    <w:rPr>
                      <w:rFonts w:hint="default"/>
                      <w:lang w:val="en-US" w:eastAsia="zh-CN"/>
                    </w:rPr>
                  </w:pPr>
                  <w:r>
                    <w:rPr>
                      <w:rFonts w:hint="eastAsia"/>
                      <w:lang w:val="en-US" w:eastAsia="zh-CN"/>
                    </w:rPr>
                    <w:t>符合</w:t>
                  </w:r>
                </w:p>
              </w:tc>
            </w:tr>
            <w:tr w14:paraId="2DAD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1" w:type="pct"/>
                  <w:noWrap w:val="0"/>
                  <w:vAlign w:val="center"/>
                </w:tcPr>
                <w:p w14:paraId="53F9637B">
                  <w:pPr>
                    <w:pStyle w:val="61"/>
                    <w:keepNext w:val="0"/>
                    <w:keepLines w:val="0"/>
                    <w:pageBreakBefore w:val="0"/>
                    <w:widowControl w:val="0"/>
                    <w:kinsoku/>
                    <w:wordWrap w:val="0"/>
                    <w:overflowPunct/>
                    <w:topLinePunct w:val="0"/>
                    <w:autoSpaceDE/>
                    <w:autoSpaceDN/>
                    <w:bidi w:val="0"/>
                    <w:adjustRightInd/>
                    <w:snapToGrid/>
                    <w:textAlignment w:val="auto"/>
                    <w:rPr>
                      <w:rFonts w:hint="eastAsia"/>
                      <w:lang w:eastAsia="zh-CN"/>
                    </w:rPr>
                  </w:pPr>
                  <w:r>
                    <w:rPr>
                      <w:rFonts w:hint="eastAsia"/>
                    </w:rPr>
                    <w:t>《中华人民共和国环境噪声污染防治法》</w:t>
                  </w:r>
                  <w:r>
                    <w:rPr>
                      <w:rFonts w:hint="eastAsia"/>
                      <w:lang w:eastAsia="zh-CN"/>
                    </w:rPr>
                    <w:t>（</w:t>
                  </w:r>
                  <w:r>
                    <w:rPr>
                      <w:rFonts w:hint="eastAsia"/>
                      <w:lang w:val="en-US" w:eastAsia="zh-CN"/>
                    </w:rPr>
                    <w:t>2021-12-25</w:t>
                  </w:r>
                  <w:r>
                    <w:rPr>
                      <w:rFonts w:hint="eastAsia"/>
                      <w:lang w:eastAsia="zh-CN"/>
                    </w:rPr>
                    <w:t>）</w:t>
                  </w:r>
                </w:p>
              </w:tc>
              <w:tc>
                <w:tcPr>
                  <w:tcW w:w="1619" w:type="pct"/>
                  <w:noWrap w:val="0"/>
                  <w:vAlign w:val="center"/>
                </w:tcPr>
                <w:p w14:paraId="6910FDB7">
                  <w:pPr>
                    <w:pStyle w:val="61"/>
                    <w:bidi w:val="0"/>
                    <w:jc w:val="both"/>
                    <w:rPr>
                      <w:rFonts w:hint="default"/>
                    </w:rPr>
                  </w:pPr>
                  <w:r>
                    <w:rPr>
                      <w:rFonts w:hint="default"/>
                    </w:rPr>
                    <w:t>第三十六条</w:t>
                  </w:r>
                  <w:r>
                    <w:rPr>
                      <w:rFonts w:hint="eastAsia"/>
                      <w:lang w:eastAsia="zh-CN"/>
                    </w:rPr>
                    <w:t>：</w:t>
                  </w:r>
                  <w:r>
                    <w:rPr>
                      <w:rFonts w:hint="default"/>
                    </w:rPr>
                    <w:t>排放工业噪声的企业事业单位和其他生产经营者，应当采取有效措施，减少振动、降低噪声，依法取得排污许可证或者填报排污登记表。</w:t>
                  </w:r>
                </w:p>
              </w:tc>
              <w:tc>
                <w:tcPr>
                  <w:tcW w:w="2054" w:type="pct"/>
                  <w:noWrap w:val="0"/>
                  <w:vAlign w:val="center"/>
                </w:tcPr>
                <w:p w14:paraId="0A387244">
                  <w:pPr>
                    <w:pStyle w:val="61"/>
                    <w:bidi w:val="0"/>
                    <w:jc w:val="both"/>
                    <w:rPr>
                      <w:rFonts w:hint="default"/>
                      <w:lang w:val="en-US" w:eastAsia="zh-CN"/>
                    </w:rPr>
                  </w:pPr>
                  <w:r>
                    <w:rPr>
                      <w:rFonts w:hint="default"/>
                    </w:rPr>
                    <w:t>对各类主要噪声源采用低噪声源设备、并采取减振、隔声等措施</w:t>
                  </w:r>
                  <w:r>
                    <w:rPr>
                      <w:rFonts w:hint="eastAsia"/>
                      <w:lang w:eastAsia="zh-CN"/>
                    </w:rPr>
                    <w:t>，</w:t>
                  </w:r>
                  <w:r>
                    <w:rPr>
                      <w:rFonts w:hint="eastAsia"/>
                      <w:lang w:val="en-US" w:eastAsia="zh-CN"/>
                    </w:rPr>
                    <w:t>可正常使用，符合相关标准。企业在生产前完成排污许可证的申请。</w:t>
                  </w:r>
                </w:p>
              </w:tc>
              <w:tc>
                <w:tcPr>
                  <w:tcW w:w="405" w:type="pct"/>
                  <w:noWrap w:val="0"/>
                  <w:vAlign w:val="center"/>
                </w:tcPr>
                <w:p w14:paraId="0133D81A">
                  <w:pPr>
                    <w:pStyle w:val="61"/>
                    <w:bidi w:val="0"/>
                    <w:rPr>
                      <w:rFonts w:hint="default"/>
                    </w:rPr>
                  </w:pPr>
                  <w:r>
                    <w:rPr>
                      <w:rFonts w:hint="eastAsia"/>
                      <w:lang w:val="en-US" w:eastAsia="zh-CN"/>
                    </w:rPr>
                    <w:t>符合</w:t>
                  </w:r>
                </w:p>
              </w:tc>
            </w:tr>
            <w:tr w14:paraId="460F6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noWrap w:val="0"/>
                  <w:vAlign w:val="center"/>
                </w:tcPr>
                <w:p w14:paraId="5177151E">
                  <w:pPr>
                    <w:pStyle w:val="61"/>
                    <w:keepNext w:val="0"/>
                    <w:keepLines w:val="0"/>
                    <w:pageBreakBefore w:val="0"/>
                    <w:widowControl w:val="0"/>
                    <w:kinsoku/>
                    <w:wordWrap w:val="0"/>
                    <w:overflowPunct/>
                    <w:topLinePunct w:val="0"/>
                    <w:autoSpaceDE/>
                    <w:autoSpaceDN/>
                    <w:bidi w:val="0"/>
                    <w:adjustRightInd/>
                    <w:snapToGrid/>
                    <w:textAlignment w:val="auto"/>
                    <w:rPr>
                      <w:rFonts w:hint="eastAsia"/>
                      <w:lang w:eastAsia="zh-CN"/>
                    </w:rPr>
                  </w:pPr>
                  <w:r>
                    <w:rPr>
                      <w:rFonts w:hint="eastAsia"/>
                    </w:rPr>
                    <w:t>《中华人民共和国固体废物污染环境防治法》</w:t>
                  </w:r>
                  <w:r>
                    <w:rPr>
                      <w:rFonts w:hint="eastAsia"/>
                      <w:lang w:eastAsia="zh-CN"/>
                    </w:rPr>
                    <w:t>（</w:t>
                  </w:r>
                  <w:r>
                    <w:rPr>
                      <w:rFonts w:hint="eastAsia"/>
                      <w:lang w:val="en-US" w:eastAsia="zh-CN"/>
                    </w:rPr>
                    <w:t>2020-04-30</w:t>
                  </w:r>
                  <w:r>
                    <w:rPr>
                      <w:rFonts w:hint="eastAsia"/>
                      <w:lang w:eastAsia="zh-CN"/>
                    </w:rPr>
                    <w:t>）</w:t>
                  </w:r>
                </w:p>
              </w:tc>
              <w:tc>
                <w:tcPr>
                  <w:tcW w:w="1619" w:type="pct"/>
                  <w:noWrap w:val="0"/>
                  <w:vAlign w:val="center"/>
                </w:tcPr>
                <w:p w14:paraId="7E854004">
                  <w:pPr>
                    <w:pStyle w:val="61"/>
                    <w:bidi w:val="0"/>
                    <w:jc w:val="both"/>
                    <w:rPr>
                      <w:rFonts w:hint="default"/>
                    </w:rPr>
                  </w:pPr>
                  <w:r>
                    <w:rPr>
                      <w:rFonts w:hint="eastAsia"/>
                    </w:rPr>
                    <w:t>第十九条：收集、贮存、运输、利用、处置固体废物的单位和其他生产经营者，应当加强对相关设施、设备和场所的管理和维护，保证其正常运行和使用。</w:t>
                  </w:r>
                </w:p>
              </w:tc>
              <w:tc>
                <w:tcPr>
                  <w:tcW w:w="2054" w:type="pct"/>
                  <w:noWrap w:val="0"/>
                  <w:vAlign w:val="center"/>
                </w:tcPr>
                <w:p w14:paraId="5BC48448">
                  <w:pPr>
                    <w:pStyle w:val="61"/>
                    <w:bidi w:val="0"/>
                    <w:jc w:val="both"/>
                    <w:rPr>
                      <w:rFonts w:hint="eastAsia"/>
                      <w:lang w:val="en-US" w:eastAsia="zh-CN"/>
                    </w:rPr>
                  </w:pPr>
                  <w:r>
                    <w:rPr>
                      <w:rFonts w:hint="eastAsia"/>
                      <w:lang w:val="en-US" w:eastAsia="zh-CN"/>
                    </w:rPr>
                    <w:t>废包装材料和废边角料收集后外售综合利用；危险废物暂存于危险废物贮存间后定期委托有资质的单位进行处理；生活垃圾</w:t>
                  </w:r>
                  <w:r>
                    <w:rPr>
                      <w:rFonts w:hint="eastAsia"/>
                    </w:rPr>
                    <w:t>分类收集后委托环卫部门及时清运</w:t>
                  </w:r>
                  <w:r>
                    <w:rPr>
                      <w:rFonts w:hint="eastAsia"/>
                      <w:lang w:eastAsia="zh-CN"/>
                    </w:rPr>
                    <w:t>。</w:t>
                  </w:r>
                </w:p>
              </w:tc>
              <w:tc>
                <w:tcPr>
                  <w:tcW w:w="405" w:type="pct"/>
                  <w:noWrap w:val="0"/>
                  <w:vAlign w:val="center"/>
                </w:tcPr>
                <w:p w14:paraId="72E7F98A">
                  <w:pPr>
                    <w:pStyle w:val="61"/>
                    <w:bidi w:val="0"/>
                    <w:rPr>
                      <w:rFonts w:hint="default"/>
                    </w:rPr>
                  </w:pPr>
                  <w:r>
                    <w:rPr>
                      <w:rFonts w:hint="eastAsia"/>
                      <w:lang w:val="en-US" w:eastAsia="zh-CN"/>
                    </w:rPr>
                    <w:t>符合</w:t>
                  </w:r>
                </w:p>
              </w:tc>
            </w:tr>
            <w:tr w14:paraId="165E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noWrap w:val="0"/>
                  <w:vAlign w:val="center"/>
                </w:tcPr>
                <w:p w14:paraId="2194B89F">
                  <w:pPr>
                    <w:pStyle w:val="61"/>
                    <w:keepNext w:val="0"/>
                    <w:keepLines w:val="0"/>
                    <w:pageBreakBefore w:val="0"/>
                    <w:widowControl w:val="0"/>
                    <w:kinsoku/>
                    <w:wordWrap w:val="0"/>
                    <w:overflowPunct/>
                    <w:topLinePunct w:val="0"/>
                    <w:autoSpaceDE/>
                    <w:autoSpaceDN/>
                    <w:bidi w:val="0"/>
                    <w:adjustRightInd/>
                    <w:snapToGrid/>
                    <w:textAlignment w:val="auto"/>
                    <w:rPr>
                      <w:rFonts w:hint="eastAsia"/>
                      <w:lang w:eastAsia="zh-CN"/>
                    </w:rPr>
                  </w:pPr>
                  <w:r>
                    <w:rPr>
                      <w:rFonts w:hint="eastAsia"/>
                    </w:rPr>
                    <w:t>《中华人民共和国水污染防治法》</w:t>
                  </w:r>
                  <w:r>
                    <w:rPr>
                      <w:rFonts w:hint="eastAsia"/>
                      <w:lang w:eastAsia="zh-CN"/>
                    </w:rPr>
                    <w:t>（</w:t>
                  </w:r>
                  <w:r>
                    <w:rPr>
                      <w:rFonts w:hint="eastAsia"/>
                      <w:lang w:val="en-US" w:eastAsia="zh-CN"/>
                    </w:rPr>
                    <w:t>2018-01-01</w:t>
                  </w:r>
                  <w:r>
                    <w:rPr>
                      <w:rFonts w:hint="eastAsia"/>
                      <w:lang w:eastAsia="zh-CN"/>
                    </w:rPr>
                    <w:t>）</w:t>
                  </w:r>
                </w:p>
              </w:tc>
              <w:tc>
                <w:tcPr>
                  <w:tcW w:w="1619" w:type="pct"/>
                  <w:noWrap w:val="0"/>
                  <w:vAlign w:val="center"/>
                </w:tcPr>
                <w:p w14:paraId="58C39607">
                  <w:pPr>
                    <w:pStyle w:val="61"/>
                    <w:bidi w:val="0"/>
                    <w:jc w:val="both"/>
                    <w:rPr>
                      <w:rFonts w:hint="default"/>
                    </w:rPr>
                  </w:pPr>
                  <w:r>
                    <w:rPr>
                      <w:rFonts w:hint="eastAsia"/>
                    </w:rPr>
                    <w:t>第五十条</w:t>
                  </w:r>
                  <w:r>
                    <w:rPr>
                      <w:rFonts w:hint="eastAsia"/>
                      <w:lang w:eastAsia="zh-CN"/>
                    </w:rPr>
                    <w:t>：</w:t>
                  </w:r>
                  <w:r>
                    <w:rPr>
                      <w:rFonts w:hint="eastAsia"/>
                    </w:rPr>
                    <w:t>向城镇污水集中处理设施排放水污染物，应当符合国家或者地方规定的水污染物排放标准。</w:t>
                  </w:r>
                </w:p>
              </w:tc>
              <w:tc>
                <w:tcPr>
                  <w:tcW w:w="2054" w:type="pct"/>
                  <w:noWrap w:val="0"/>
                  <w:vAlign w:val="center"/>
                </w:tcPr>
                <w:p w14:paraId="1D17EDCA">
                  <w:pPr>
                    <w:pStyle w:val="61"/>
                    <w:bidi w:val="0"/>
                    <w:jc w:val="both"/>
                    <w:rPr>
                      <w:rFonts w:hint="default"/>
                      <w:lang w:val="en-US" w:eastAsia="zh-CN"/>
                    </w:rPr>
                  </w:pPr>
                  <w:r>
                    <w:rPr>
                      <w:rFonts w:hint="eastAsia"/>
                      <w:lang w:val="en-US" w:eastAsia="zh-CN"/>
                    </w:rPr>
                    <w:t>本项目</w:t>
                  </w:r>
                  <w:r>
                    <w:rPr>
                      <w:rFonts w:hint="eastAsia"/>
                      <w:color w:val="000000"/>
                      <w:kern w:val="0"/>
                      <w:szCs w:val="21"/>
                      <w:shd w:val="clear" w:color="auto" w:fill="auto"/>
                      <w:lang w:bidi="ar"/>
                    </w:rPr>
                    <w:t>生活污水经化粪池处理后排入园区污水管网，最终由铁门关市污水处理厂处理</w:t>
                  </w:r>
                  <w:r>
                    <w:rPr>
                      <w:rFonts w:hint="eastAsia"/>
                      <w:color w:val="000000"/>
                      <w:kern w:val="0"/>
                      <w:szCs w:val="21"/>
                      <w:shd w:val="clear" w:color="auto" w:fill="auto"/>
                      <w:lang w:eastAsia="zh-CN" w:bidi="ar"/>
                    </w:rPr>
                    <w:t>，</w:t>
                  </w:r>
                  <w:r>
                    <w:rPr>
                      <w:rFonts w:hint="eastAsia"/>
                      <w:color w:val="000000"/>
                      <w:kern w:val="0"/>
                      <w:szCs w:val="21"/>
                      <w:shd w:val="clear" w:color="auto" w:fill="auto"/>
                      <w:lang w:val="en-US" w:eastAsia="zh-CN" w:bidi="ar"/>
                    </w:rPr>
                    <w:t>清洗废水经“絮凝+沉淀”处理后循环使用不外排</w:t>
                  </w:r>
                  <w:r>
                    <w:rPr>
                      <w:rFonts w:hint="eastAsia"/>
                      <w:lang w:val="en-US" w:eastAsia="zh-CN"/>
                    </w:rPr>
                    <w:t>。</w:t>
                  </w:r>
                </w:p>
              </w:tc>
              <w:tc>
                <w:tcPr>
                  <w:tcW w:w="405" w:type="pct"/>
                  <w:noWrap w:val="0"/>
                  <w:vAlign w:val="center"/>
                </w:tcPr>
                <w:p w14:paraId="1B5B4C1D">
                  <w:pPr>
                    <w:pStyle w:val="61"/>
                    <w:bidi w:val="0"/>
                    <w:rPr>
                      <w:rFonts w:hint="default"/>
                    </w:rPr>
                  </w:pPr>
                  <w:r>
                    <w:rPr>
                      <w:rFonts w:hint="eastAsia"/>
                      <w:lang w:val="en-US" w:eastAsia="zh-CN"/>
                    </w:rPr>
                    <w:t>符合</w:t>
                  </w:r>
                </w:p>
              </w:tc>
            </w:tr>
            <w:tr w14:paraId="778E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noWrap w:val="0"/>
                  <w:vAlign w:val="center"/>
                </w:tcPr>
                <w:p w14:paraId="7672E554">
                  <w:pPr>
                    <w:pStyle w:val="61"/>
                    <w:keepNext w:val="0"/>
                    <w:keepLines w:val="0"/>
                    <w:pageBreakBefore w:val="0"/>
                    <w:widowControl w:val="0"/>
                    <w:kinsoku/>
                    <w:wordWrap w:val="0"/>
                    <w:overflowPunct/>
                    <w:topLinePunct w:val="0"/>
                    <w:autoSpaceDE/>
                    <w:autoSpaceDN/>
                    <w:bidi w:val="0"/>
                    <w:adjustRightInd/>
                    <w:snapToGrid/>
                    <w:textAlignment w:val="auto"/>
                    <w:rPr>
                      <w:rFonts w:hint="eastAsia"/>
                    </w:rPr>
                  </w:pPr>
                  <w:r>
                    <w:rPr>
                      <w:rFonts w:hint="default"/>
                      <w:lang w:val="en-US" w:eastAsia="zh-CN"/>
                    </w:rPr>
                    <w:t>《自治州大气污染防治三年攻坚行动方案</w:t>
                  </w:r>
                  <w:r>
                    <w:rPr>
                      <w:rFonts w:hint="eastAsia"/>
                      <w:lang w:val="en-US" w:eastAsia="zh-CN"/>
                    </w:rPr>
                    <w:t>》（2023-2025年）</w:t>
                  </w:r>
                </w:p>
              </w:tc>
              <w:tc>
                <w:tcPr>
                  <w:tcW w:w="1619" w:type="pct"/>
                  <w:noWrap w:val="0"/>
                  <w:vAlign w:val="center"/>
                </w:tcPr>
                <w:p w14:paraId="1060E047">
                  <w:pPr>
                    <w:pStyle w:val="61"/>
                    <w:bidi w:val="0"/>
                    <w:jc w:val="both"/>
                    <w:rPr>
                      <w:rFonts w:hint="default"/>
                      <w:lang w:val="en-US" w:eastAsia="zh-CN"/>
                    </w:rPr>
                  </w:pPr>
                  <w:r>
                    <w:rPr>
                      <w:rFonts w:hint="eastAsia"/>
                      <w:lang w:val="en-US" w:eastAsia="zh-CN"/>
                    </w:rPr>
                    <w:t>严格项目准入关。坚决遏制高耗能、高排放、低水平项目盲目发展，严把高耗能高排放项目准入关口，依法依规淘汰落后产能和化解过剩产能。严禁新增水泥熟料、平板玻璃等产能。</w:t>
                  </w:r>
                </w:p>
              </w:tc>
              <w:tc>
                <w:tcPr>
                  <w:tcW w:w="2054" w:type="pct"/>
                  <w:noWrap w:val="0"/>
                  <w:vAlign w:val="center"/>
                </w:tcPr>
                <w:p w14:paraId="21EFC74C">
                  <w:pPr>
                    <w:pStyle w:val="61"/>
                    <w:bidi w:val="0"/>
                    <w:jc w:val="both"/>
                    <w:rPr>
                      <w:rFonts w:hint="default"/>
                    </w:rPr>
                  </w:pPr>
                  <w:r>
                    <w:rPr>
                      <w:rFonts w:hint="default"/>
                      <w:lang w:val="en-US" w:eastAsia="zh-CN"/>
                    </w:rPr>
                    <w:t>本工程</w:t>
                  </w:r>
                  <w:r>
                    <w:rPr>
                      <w:rFonts w:hint="eastAsia"/>
                      <w:lang w:val="en-US" w:eastAsia="zh-CN"/>
                    </w:rPr>
                    <w:t>不</w:t>
                  </w:r>
                  <w:r>
                    <w:rPr>
                      <w:rFonts w:hint="default"/>
                      <w:lang w:val="en-US" w:eastAsia="zh-CN"/>
                    </w:rPr>
                    <w:t>属</w:t>
                  </w:r>
                  <w:r>
                    <w:rPr>
                      <w:rFonts w:hint="eastAsia"/>
                      <w:lang w:val="en-US" w:eastAsia="zh-CN"/>
                    </w:rPr>
                    <w:t>于</w:t>
                  </w:r>
                  <w:r>
                    <w:rPr>
                      <w:rFonts w:hint="default"/>
                      <w:lang w:val="en-US" w:eastAsia="zh-CN"/>
                    </w:rPr>
                    <w:t>《产业结构调整指导目录</w:t>
                  </w:r>
                  <w:r>
                    <w:rPr>
                      <w:rFonts w:hint="eastAsia"/>
                      <w:lang w:val="en-US" w:eastAsia="zh-CN"/>
                    </w:rPr>
                    <w:t>（2024年本）</w:t>
                  </w:r>
                  <w:r>
                    <w:rPr>
                      <w:rFonts w:hint="default"/>
                      <w:lang w:val="en-US" w:eastAsia="zh-CN"/>
                    </w:rPr>
                    <w:t>》中</w:t>
                  </w:r>
                  <w:r>
                    <w:rPr>
                      <w:rFonts w:hint="eastAsia"/>
                      <w:lang w:val="en-US" w:eastAsia="zh-CN"/>
                    </w:rPr>
                    <w:t>鼓励类、限制类和淘汰类</w:t>
                  </w:r>
                  <w:r>
                    <w:rPr>
                      <w:rFonts w:hint="default"/>
                      <w:lang w:val="en-US" w:eastAsia="zh-CN"/>
                    </w:rPr>
                    <w:t>，</w:t>
                  </w:r>
                  <w:r>
                    <w:rPr>
                      <w:rFonts w:hint="eastAsia"/>
                      <w:lang w:val="en-US" w:eastAsia="zh-CN"/>
                    </w:rPr>
                    <w:t>属于允许类；本项目不属于高耗水、高污染、高耗能项目。</w:t>
                  </w:r>
                </w:p>
              </w:tc>
              <w:tc>
                <w:tcPr>
                  <w:tcW w:w="405" w:type="pct"/>
                  <w:noWrap w:val="0"/>
                  <w:vAlign w:val="center"/>
                </w:tcPr>
                <w:p w14:paraId="7675C0F3">
                  <w:pPr>
                    <w:pStyle w:val="61"/>
                    <w:bidi w:val="0"/>
                    <w:rPr>
                      <w:rFonts w:hint="default"/>
                    </w:rPr>
                  </w:pPr>
                  <w:r>
                    <w:rPr>
                      <w:rFonts w:hint="eastAsia"/>
                      <w:lang w:val="en-US" w:eastAsia="zh-CN"/>
                    </w:rPr>
                    <w:t>符合</w:t>
                  </w:r>
                </w:p>
              </w:tc>
            </w:tr>
            <w:tr w14:paraId="14D4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shd w:val="clear" w:color="auto" w:fill="auto"/>
                  <w:noWrap w:val="0"/>
                  <w:vAlign w:val="center"/>
                </w:tcPr>
                <w:p w14:paraId="4ADB6B9C">
                  <w:pPr>
                    <w:pStyle w:val="61"/>
                    <w:keepNext w:val="0"/>
                    <w:keepLines w:val="0"/>
                    <w:pageBreakBefore w:val="0"/>
                    <w:widowControl w:val="0"/>
                    <w:kinsoku/>
                    <w:wordWrap w:val="0"/>
                    <w:overflowPunct/>
                    <w:topLinePunct w:val="0"/>
                    <w:autoSpaceDE/>
                    <w:autoSpaceDN/>
                    <w:bidi w:val="0"/>
                    <w:adjustRightInd/>
                    <w:snapToGrid/>
                    <w:textAlignment w:val="auto"/>
                    <w:rPr>
                      <w:rFonts w:hint="default"/>
                      <w:lang w:val="en-US" w:eastAsia="zh-CN"/>
                    </w:rPr>
                  </w:pPr>
                  <w:r>
                    <w:rPr>
                      <w:rFonts w:hint="default"/>
                      <w:lang w:val="en-US" w:eastAsia="zh-CN"/>
                    </w:rPr>
                    <w:t>《挥发性有机物（VOCs）污染防治技术政策》（标准号：公告2013年第31号）</w:t>
                  </w:r>
                </w:p>
              </w:tc>
              <w:tc>
                <w:tcPr>
                  <w:tcW w:w="1619" w:type="pct"/>
                  <w:shd w:val="clear" w:color="auto" w:fill="auto"/>
                  <w:noWrap w:val="0"/>
                  <w:vAlign w:val="center"/>
                </w:tcPr>
                <w:p w14:paraId="2F5E10C8">
                  <w:pPr>
                    <w:pStyle w:val="61"/>
                    <w:bidi w:val="0"/>
                    <w:jc w:val="both"/>
                    <w:rPr>
                      <w:rFonts w:hint="eastAsia"/>
                      <w:lang w:val="en-US" w:eastAsia="zh-CN"/>
                    </w:rPr>
                  </w:pPr>
                  <w:r>
                    <w:rPr>
                      <w:rFonts w:hint="eastAsia"/>
                      <w:lang w:val="en-US" w:eastAsia="zh-CN"/>
                    </w:rPr>
                    <w:t>1.在工业生产过程中鼓励VOCs的回收利用，并优先鼓励在生产系统内回用。2.对于含低浓度VOCs的废气，有回收价值时可采用吸附技术、吸收技术对有机溶剂回收后达标排放；不宜回收时，可采用吸附浓缩燃烧技术、生物技术、吸收技术、等离子体技术或紫外光高级氧化技术等净化后达标排放。3.严格控制VOCs处理过程中产生的二次污染，对于催化燃烧和热力焚烧过程中产生的含硫、氮、氯等无机废气，以及吸附、吸收、冷凝、生物等治理过程中所产生的含有机物废水，应处理后达标排放。4.对于不能再生的过滤材料、吸附剂及催化剂等净化材料，应按照国家固体废物管理的相关规定处理处置。</w:t>
                  </w:r>
                </w:p>
              </w:tc>
              <w:tc>
                <w:tcPr>
                  <w:tcW w:w="2054" w:type="pct"/>
                  <w:shd w:val="clear" w:color="auto" w:fill="auto"/>
                  <w:noWrap w:val="0"/>
                  <w:vAlign w:val="center"/>
                </w:tcPr>
                <w:p w14:paraId="51E002EA">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喷漆废气经“干式过滤器+二级活性炭吸附”处理后经一根15m高排气筒（DA001）排放；清洗后烘干废气为天然气燃烧烟气，经低氮燃烧技术处理后经1根15m排气筒（DA002）排放；喷漆后烘干废气为天然气燃烧烟气和非甲烷总烃，经低氮燃烧和二级活性炭吸附后经1根15m高排气筒（DA003）排放</w:t>
                  </w:r>
                  <w:r>
                    <w:rPr>
                      <w:rFonts w:hint="eastAsia"/>
                      <w:lang w:eastAsia="zh-CN"/>
                    </w:rPr>
                    <w:t>。</w:t>
                  </w:r>
                  <w:r>
                    <w:rPr>
                      <w:rFonts w:hint="default"/>
                    </w:rPr>
                    <w:t>活性炭吸附过程中产生的废活性炭，收集后暂存于危险废物贮存间，定期交由有资质的单位进行处理。符合《危险废物贮存污染控制标准》（GB18597-2023）相关规定。</w:t>
                  </w:r>
                </w:p>
              </w:tc>
              <w:tc>
                <w:tcPr>
                  <w:tcW w:w="405" w:type="pct"/>
                  <w:noWrap w:val="0"/>
                  <w:vAlign w:val="center"/>
                </w:tcPr>
                <w:p w14:paraId="510E6F40">
                  <w:pPr>
                    <w:pStyle w:val="61"/>
                    <w:bidi w:val="0"/>
                    <w:rPr>
                      <w:rFonts w:hint="eastAsia"/>
                      <w:lang w:val="en-US" w:eastAsia="zh-CN"/>
                    </w:rPr>
                  </w:pPr>
                  <w:r>
                    <w:rPr>
                      <w:rFonts w:hint="eastAsia"/>
                      <w:lang w:val="en-US" w:eastAsia="zh-CN"/>
                    </w:rPr>
                    <w:t>符合</w:t>
                  </w:r>
                </w:p>
              </w:tc>
            </w:tr>
            <w:tr w14:paraId="38D7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shd w:val="clear" w:color="auto" w:fill="auto"/>
                  <w:noWrap w:val="0"/>
                  <w:vAlign w:val="center"/>
                </w:tcPr>
                <w:p w14:paraId="1CC1845C">
                  <w:pPr>
                    <w:pStyle w:val="61"/>
                    <w:keepNext w:val="0"/>
                    <w:keepLines w:val="0"/>
                    <w:pageBreakBefore w:val="0"/>
                    <w:widowControl w:val="0"/>
                    <w:kinsoku/>
                    <w:wordWrap w:val="0"/>
                    <w:overflowPunct/>
                    <w:topLinePunct w:val="0"/>
                    <w:autoSpaceDE/>
                    <w:autoSpaceDN/>
                    <w:bidi w:val="0"/>
                    <w:adjustRightInd/>
                    <w:snapToGrid/>
                    <w:textAlignment w:val="auto"/>
                    <w:rPr>
                      <w:rFonts w:hint="default"/>
                      <w:lang w:val="en-US" w:eastAsia="zh-CN"/>
                    </w:rPr>
                  </w:pPr>
                  <w:r>
                    <w:rPr>
                      <w:rFonts w:hint="default"/>
                      <w:lang w:val="en-US" w:eastAsia="zh-CN"/>
                    </w:rPr>
                    <w:t>《库尔勒区域大气污染防治总体方案》（2014-2017年度）</w:t>
                  </w:r>
                </w:p>
              </w:tc>
              <w:tc>
                <w:tcPr>
                  <w:tcW w:w="1619" w:type="pct"/>
                  <w:shd w:val="clear" w:color="auto" w:fill="auto"/>
                  <w:noWrap w:val="0"/>
                  <w:vAlign w:val="center"/>
                </w:tcPr>
                <w:p w14:paraId="5A4CB9F5">
                  <w:pPr>
                    <w:pStyle w:val="61"/>
                    <w:bidi w:val="0"/>
                    <w:jc w:val="both"/>
                    <w:rPr>
                      <w:rFonts w:hint="eastAsia"/>
                      <w:lang w:val="en-US" w:eastAsia="zh-CN"/>
                    </w:rPr>
                  </w:pPr>
                  <w:r>
                    <w:rPr>
                      <w:rFonts w:hint="eastAsia"/>
                      <w:lang w:val="en-US" w:eastAsia="zh-CN"/>
                    </w:rPr>
                    <w:t>库尔勒大气联防联控区域是以人民广场为中心点，半径50公里的范围，面积7850平方公里，主要包括库尔勒市和焉耆县、博湖县、和静县、尉犁县的部分行政区域；重点区域是以库尔勒人民广场为中心点，半径25公里范围，面积1962.5平方公里，包括库尔勒市城市建成区、库尔勒经济技术开发区、库尔勒上库综合产业园区和库尔勒塔什店循环经济产业园区。</w:t>
                  </w:r>
                </w:p>
              </w:tc>
              <w:tc>
                <w:tcPr>
                  <w:tcW w:w="2054" w:type="pct"/>
                  <w:shd w:val="clear" w:color="auto" w:fill="auto"/>
                  <w:noWrap w:val="0"/>
                  <w:vAlign w:val="center"/>
                </w:tcPr>
                <w:p w14:paraId="6018D821">
                  <w:pPr>
                    <w:pStyle w:val="61"/>
                    <w:keepNext w:val="0"/>
                    <w:keepLines w:val="0"/>
                    <w:pageBreakBefore w:val="0"/>
                    <w:widowControl w:val="0"/>
                    <w:kinsoku/>
                    <w:wordWrap w:val="0"/>
                    <w:overflowPunct/>
                    <w:topLinePunct w:val="0"/>
                    <w:autoSpaceDE/>
                    <w:autoSpaceDN/>
                    <w:bidi w:val="0"/>
                    <w:adjustRightInd/>
                    <w:snapToGrid/>
                    <w:jc w:val="both"/>
                    <w:textAlignment w:val="auto"/>
                    <w:rPr>
                      <w:rFonts w:hint="eastAsia"/>
                      <w:lang w:val="en-US" w:eastAsia="zh-CN"/>
                    </w:rPr>
                  </w:pPr>
                  <w:r>
                    <w:rPr>
                      <w:rFonts w:hint="eastAsia"/>
                      <w:lang w:val="en-US" w:eastAsia="zh-CN"/>
                    </w:rPr>
                    <w:t>本项目位于库尔勒大气联防联控区的重点控制区域。根据《推进库尔勒区域大气污染联防联控工作方案的通知》，要求提高重点区域大气污染防治水平。新建项目一律执行大气污染物特别排放限值，现有项目在规定时限内完成提标改造，达到大气污染物特别排放限值要求，对达不到要求的，采取限期治理、关停等措施。项目生产过程中产生的废气严格按照本项目所提出的环保措施处理后可以满足对应的大气污染物特别排放限值，项目在审批前，将严格按照总量控制要求，对挥发性有机物和氮氧化物提出总量申请，本项目的建设符合《推进库尔勒区域大气污染联防联控工作方案的通知》的要求。</w:t>
                  </w:r>
                </w:p>
              </w:tc>
              <w:tc>
                <w:tcPr>
                  <w:tcW w:w="405" w:type="pct"/>
                  <w:noWrap w:val="0"/>
                  <w:vAlign w:val="center"/>
                </w:tcPr>
                <w:p w14:paraId="3495D656">
                  <w:pPr>
                    <w:pStyle w:val="61"/>
                    <w:bidi w:val="0"/>
                    <w:rPr>
                      <w:rFonts w:hint="eastAsia"/>
                      <w:lang w:val="en-US" w:eastAsia="zh-CN"/>
                    </w:rPr>
                  </w:pPr>
                </w:p>
              </w:tc>
            </w:tr>
            <w:tr w14:paraId="4118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vMerge w:val="restart"/>
                  <w:shd w:val="clear" w:color="auto" w:fill="auto"/>
                  <w:noWrap w:val="0"/>
                  <w:vAlign w:val="center"/>
                </w:tcPr>
                <w:p w14:paraId="6BEEE882">
                  <w:pPr>
                    <w:pStyle w:val="61"/>
                    <w:keepNext w:val="0"/>
                    <w:keepLines w:val="0"/>
                    <w:pageBreakBefore w:val="0"/>
                    <w:widowControl w:val="0"/>
                    <w:kinsoku/>
                    <w:wordWrap w:val="0"/>
                    <w:overflowPunct/>
                    <w:topLinePunct w:val="0"/>
                    <w:autoSpaceDE/>
                    <w:autoSpaceDN/>
                    <w:bidi w:val="0"/>
                    <w:adjustRightInd/>
                    <w:snapToGrid/>
                    <w:textAlignment w:val="auto"/>
                    <w:rPr>
                      <w:rFonts w:hint="default"/>
                      <w:lang w:val="en-US" w:eastAsia="zh-CN"/>
                    </w:rPr>
                  </w:pPr>
                  <w:r>
                    <w:rPr>
                      <w:rFonts w:hint="default"/>
                      <w:lang w:val="en-US" w:eastAsia="zh-CN"/>
                    </w:rPr>
                    <w:t>《关于印发</w:t>
                  </w:r>
                  <w:r>
                    <w:rPr>
                      <w:rFonts w:hint="eastAsia"/>
                      <w:lang w:val="en-US" w:eastAsia="zh-CN"/>
                    </w:rPr>
                    <w:t>〈</w:t>
                  </w:r>
                  <w:r>
                    <w:rPr>
                      <w:rFonts w:hint="default"/>
                      <w:lang w:val="en-US" w:eastAsia="zh-CN"/>
                    </w:rPr>
                    <w:t>空气质量持续改善行动计划</w:t>
                  </w:r>
                  <w:r>
                    <w:rPr>
                      <w:rFonts w:hint="eastAsia"/>
                      <w:lang w:val="en-US" w:eastAsia="zh-CN"/>
                    </w:rPr>
                    <w:t>〉</w:t>
                  </w:r>
                  <w:r>
                    <w:rPr>
                      <w:rFonts w:hint="default"/>
                      <w:lang w:val="en-US" w:eastAsia="zh-CN"/>
                    </w:rPr>
                    <w:t>的通知》</w:t>
                  </w:r>
                  <w:r>
                    <w:rPr>
                      <w:rFonts w:hint="eastAsia"/>
                      <w:lang w:val="en-US" w:eastAsia="zh-CN"/>
                    </w:rPr>
                    <w:t>（国发〔2023〕24号）</w:t>
                  </w:r>
                </w:p>
              </w:tc>
              <w:tc>
                <w:tcPr>
                  <w:tcW w:w="1619" w:type="pct"/>
                  <w:shd w:val="clear" w:color="auto" w:fill="auto"/>
                  <w:noWrap w:val="0"/>
                  <w:vAlign w:val="center"/>
                </w:tcPr>
                <w:p w14:paraId="7AD5D261">
                  <w:pPr>
                    <w:pStyle w:val="61"/>
                    <w:bidi w:val="0"/>
                    <w:jc w:val="both"/>
                    <w:rPr>
                      <w:rFonts w:hint="eastAsia"/>
                      <w:lang w:val="en-US" w:eastAsia="zh-CN"/>
                    </w:rPr>
                  </w:pPr>
                  <w:r>
                    <w:rPr>
                      <w:rFonts w:hint="eastAsia"/>
                      <w:lang w:val="en-US" w:eastAsia="zh-CN"/>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tc>
              <w:tc>
                <w:tcPr>
                  <w:tcW w:w="2054" w:type="pct"/>
                  <w:shd w:val="clear" w:color="auto" w:fill="auto"/>
                  <w:noWrap w:val="0"/>
                  <w:vAlign w:val="center"/>
                </w:tcPr>
                <w:p w14:paraId="0BD13272">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本项目不属于高耗能、高排放、低水平项目；根据上文分析，本项目</w:t>
                  </w:r>
                  <w:r>
                    <w:rPr>
                      <w:rFonts w:hint="eastAsia"/>
                      <w:highlight w:val="none"/>
                      <w:lang w:val="en-US" w:eastAsia="zh-CN"/>
                    </w:rPr>
                    <w:t>不</w:t>
                  </w:r>
                  <w:r>
                    <w:rPr>
                      <w:rFonts w:hint="default"/>
                      <w:highlight w:val="none"/>
                      <w:lang w:val="en-US" w:eastAsia="zh-CN"/>
                    </w:rPr>
                    <w:t>属</w:t>
                  </w:r>
                  <w:r>
                    <w:rPr>
                      <w:rFonts w:hint="eastAsia"/>
                      <w:highlight w:val="none"/>
                      <w:lang w:val="en-US" w:eastAsia="zh-CN"/>
                    </w:rPr>
                    <w:t>于</w:t>
                  </w:r>
                  <w:r>
                    <w:rPr>
                      <w:rFonts w:hint="default"/>
                      <w:highlight w:val="none"/>
                      <w:lang w:val="en-US" w:eastAsia="zh-CN"/>
                    </w:rPr>
                    <w:t>《产业结构调整指导目录</w:t>
                  </w:r>
                  <w:r>
                    <w:rPr>
                      <w:rFonts w:hint="eastAsia"/>
                      <w:highlight w:val="none"/>
                      <w:lang w:val="en-US" w:eastAsia="zh-CN"/>
                    </w:rPr>
                    <w:t>（2024年本）</w:t>
                  </w:r>
                  <w:r>
                    <w:rPr>
                      <w:rFonts w:hint="default"/>
                      <w:highlight w:val="none"/>
                      <w:lang w:val="en-US" w:eastAsia="zh-CN"/>
                    </w:rPr>
                    <w:t>》中</w:t>
                  </w:r>
                  <w:r>
                    <w:rPr>
                      <w:rFonts w:hint="eastAsia"/>
                      <w:highlight w:val="none"/>
                      <w:lang w:val="en-US" w:eastAsia="zh-CN"/>
                    </w:rPr>
                    <w:t>鼓励类、限制类和淘汰类</w:t>
                  </w:r>
                  <w:r>
                    <w:rPr>
                      <w:rFonts w:hint="default"/>
                      <w:highlight w:val="none"/>
                      <w:lang w:val="en-US" w:eastAsia="zh-CN"/>
                    </w:rPr>
                    <w:t>，</w:t>
                  </w:r>
                  <w:r>
                    <w:rPr>
                      <w:rFonts w:hint="eastAsia"/>
                      <w:highlight w:val="none"/>
                      <w:lang w:val="en-US" w:eastAsia="zh-CN"/>
                    </w:rPr>
                    <w:t>属于允许类，</w:t>
                  </w:r>
                  <w:r>
                    <w:rPr>
                      <w:rFonts w:hint="default"/>
                      <w:highlight w:val="none"/>
                      <w:lang w:val="en-US" w:eastAsia="zh-CN"/>
                    </w:rPr>
                    <w:t>符合国家产业政策</w:t>
                  </w:r>
                  <w:r>
                    <w:rPr>
                      <w:rFonts w:hint="eastAsia"/>
                      <w:highlight w:val="none"/>
                      <w:lang w:val="en-US" w:eastAsia="zh-CN"/>
                    </w:rPr>
                    <w:t>，同时也符合生态环境分区管控方案及园区规划要求。</w:t>
                  </w:r>
                </w:p>
              </w:tc>
              <w:tc>
                <w:tcPr>
                  <w:tcW w:w="405" w:type="pct"/>
                  <w:noWrap w:val="0"/>
                  <w:vAlign w:val="center"/>
                </w:tcPr>
                <w:p w14:paraId="12E5006B">
                  <w:pPr>
                    <w:pStyle w:val="61"/>
                    <w:bidi w:val="0"/>
                    <w:rPr>
                      <w:rFonts w:hint="default"/>
                      <w:lang w:val="en-US" w:eastAsia="zh-CN"/>
                    </w:rPr>
                  </w:pPr>
                  <w:r>
                    <w:rPr>
                      <w:rFonts w:hint="eastAsia"/>
                      <w:lang w:val="en-US" w:eastAsia="zh-CN"/>
                    </w:rPr>
                    <w:t>符合</w:t>
                  </w:r>
                </w:p>
              </w:tc>
            </w:tr>
            <w:tr w14:paraId="667A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vMerge w:val="continue"/>
                  <w:shd w:val="clear" w:color="auto" w:fill="auto"/>
                  <w:noWrap w:val="0"/>
                  <w:vAlign w:val="center"/>
                </w:tcPr>
                <w:p w14:paraId="45A885C6">
                  <w:pPr>
                    <w:pStyle w:val="61"/>
                    <w:keepNext w:val="0"/>
                    <w:keepLines w:val="0"/>
                    <w:pageBreakBefore w:val="0"/>
                    <w:widowControl w:val="0"/>
                    <w:kinsoku/>
                    <w:wordWrap w:val="0"/>
                    <w:overflowPunct/>
                    <w:topLinePunct w:val="0"/>
                    <w:autoSpaceDE/>
                    <w:autoSpaceDN/>
                    <w:bidi w:val="0"/>
                    <w:adjustRightInd/>
                    <w:snapToGrid/>
                    <w:textAlignment w:val="auto"/>
                    <w:rPr>
                      <w:rFonts w:hint="default"/>
                      <w:lang w:val="en-US" w:eastAsia="zh-CN"/>
                    </w:rPr>
                  </w:pPr>
                </w:p>
              </w:tc>
              <w:tc>
                <w:tcPr>
                  <w:tcW w:w="1619" w:type="pct"/>
                  <w:shd w:val="clear" w:color="auto" w:fill="auto"/>
                  <w:noWrap w:val="0"/>
                  <w:vAlign w:val="center"/>
                </w:tcPr>
                <w:p w14:paraId="220C8E55">
                  <w:pPr>
                    <w:pStyle w:val="61"/>
                    <w:bidi w:val="0"/>
                    <w:jc w:val="both"/>
                    <w:rPr>
                      <w:rFonts w:hint="eastAsia"/>
                      <w:lang w:val="en-US" w:eastAsia="zh-CN"/>
                    </w:rPr>
                  </w:pPr>
                  <w:r>
                    <w:rPr>
                      <w:rFonts w:hint="eastAsia"/>
                      <w:lang w:val="en-US" w:eastAsia="zh-CN"/>
                    </w:rPr>
                    <w:t>实施工业炉窑清洁能源替代。有序推进以电代煤，积极稳妥推进以气代煤。重点区域不再新增燃料类煤气发生炉，新改扩建加热炉、热处理炉、干燥炉、熔化炉原则上采用清洁低碳能源；安全稳妥推进使用高污染燃料的工业炉窑改用工业余热、电能、天然气等；燃料类煤气发生炉实行清洁能源替代，或因地制宜采取园区（集群）集中供气、分散使用方式；逐步淘汰固定床间歇式煤气发生炉。</w:t>
                  </w:r>
                </w:p>
              </w:tc>
              <w:tc>
                <w:tcPr>
                  <w:tcW w:w="2054" w:type="pct"/>
                  <w:shd w:val="clear" w:color="auto" w:fill="auto"/>
                  <w:noWrap w:val="0"/>
                  <w:vAlign w:val="center"/>
                </w:tcPr>
                <w:p w14:paraId="570DFBA6">
                  <w:pPr>
                    <w:pStyle w:val="61"/>
                    <w:keepNext w:val="0"/>
                    <w:keepLines w:val="0"/>
                    <w:pageBreakBefore w:val="0"/>
                    <w:widowControl w:val="0"/>
                    <w:kinsoku/>
                    <w:wordWrap w:val="0"/>
                    <w:overflowPunct/>
                    <w:topLinePunct w:val="0"/>
                    <w:autoSpaceDE/>
                    <w:autoSpaceDN/>
                    <w:bidi w:val="0"/>
                    <w:adjustRightInd/>
                    <w:snapToGrid/>
                    <w:jc w:val="both"/>
                    <w:textAlignment w:val="auto"/>
                    <w:rPr>
                      <w:rFonts w:hint="default"/>
                      <w:lang w:val="en-US" w:eastAsia="zh-CN"/>
                    </w:rPr>
                  </w:pPr>
                  <w:r>
                    <w:rPr>
                      <w:rFonts w:hint="eastAsia"/>
                      <w:lang w:val="en-US" w:eastAsia="zh-CN"/>
                    </w:rPr>
                    <w:t>本项目使用天然气工业炉窑，属于清洁能源。</w:t>
                  </w:r>
                </w:p>
              </w:tc>
              <w:tc>
                <w:tcPr>
                  <w:tcW w:w="405" w:type="pct"/>
                  <w:noWrap w:val="0"/>
                  <w:vAlign w:val="center"/>
                </w:tcPr>
                <w:p w14:paraId="73C192F2">
                  <w:pPr>
                    <w:pStyle w:val="61"/>
                    <w:bidi w:val="0"/>
                    <w:rPr>
                      <w:rFonts w:hint="default"/>
                      <w:lang w:val="en-US" w:eastAsia="zh-CN"/>
                    </w:rPr>
                  </w:pPr>
                  <w:r>
                    <w:rPr>
                      <w:rFonts w:hint="eastAsia"/>
                      <w:lang w:val="en-US" w:eastAsia="zh-CN"/>
                    </w:rPr>
                    <w:t>符合</w:t>
                  </w:r>
                </w:p>
              </w:tc>
            </w:tr>
          </w:tbl>
          <w:p w14:paraId="6BDE9C70">
            <w:pPr>
              <w:pStyle w:val="47"/>
              <w:bidi w:val="0"/>
              <w:rPr>
                <w:rFonts w:hint="default" w:cs="Times New Roman"/>
                <w:highlight w:val="none"/>
                <w:lang w:val="en-US" w:eastAsia="zh-CN"/>
              </w:rPr>
            </w:pPr>
          </w:p>
          <w:p w14:paraId="5A7F7164">
            <w:pPr>
              <w:pStyle w:val="47"/>
              <w:bidi w:val="0"/>
              <w:ind w:left="0" w:leftChars="0" w:firstLine="0" w:firstLineChars="0"/>
              <w:rPr>
                <w:rFonts w:hint="default" w:cs="Times New Roman"/>
                <w:highlight w:val="none"/>
                <w:lang w:val="en-US" w:eastAsia="zh-CN"/>
              </w:rPr>
            </w:pPr>
          </w:p>
        </w:tc>
      </w:tr>
    </w:tbl>
    <w:p w14:paraId="41FEABF8">
      <w:pPr>
        <w:spacing w:line="360" w:lineRule="auto"/>
        <w:outlineLvl w:val="0"/>
        <w:rPr>
          <w:rFonts w:eastAsia="黑体"/>
          <w:sz w:val="30"/>
        </w:rPr>
        <w:sectPr>
          <w:footerReference r:id="rId6" w:type="default"/>
          <w:pgSz w:w="11906" w:h="16838"/>
          <w:pgMar w:top="1701" w:right="1531" w:bottom="1701" w:left="1531" w:header="851" w:footer="1077" w:gutter="0"/>
          <w:pgNumType w:fmt="decimal" w:start="1"/>
          <w:cols w:space="720" w:num="1"/>
          <w:docGrid w:linePitch="312" w:charSpace="0"/>
        </w:sectPr>
      </w:pPr>
    </w:p>
    <w:p w14:paraId="7A6B9456">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8346"/>
      </w:tblGrid>
      <w:tr w14:paraId="794248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430" w:hRule="atLeast"/>
          <w:jc w:val="center"/>
        </w:trPr>
        <w:tc>
          <w:tcPr>
            <w:tcW w:w="722" w:type="dxa"/>
            <w:noWrap w:val="0"/>
            <w:vAlign w:val="center"/>
          </w:tcPr>
          <w:p w14:paraId="3E314842">
            <w:pPr>
              <w:pStyle w:val="19"/>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338" w:type="dxa"/>
            <w:noWrap w:val="0"/>
            <w:vAlign w:val="top"/>
          </w:tcPr>
          <w:p w14:paraId="22D0DC64">
            <w:pPr>
              <w:pStyle w:val="48"/>
              <w:bidi w:val="0"/>
              <w:jc w:val="left"/>
              <w:rPr>
                <w:rFonts w:hint="eastAsia"/>
                <w:lang w:val="en-US" w:eastAsia="zh-CN"/>
              </w:rPr>
            </w:pPr>
            <w:r>
              <w:rPr>
                <w:rFonts w:hint="eastAsia"/>
                <w:lang w:val="en-US" w:eastAsia="zh-CN"/>
              </w:rPr>
              <w:t>1.项目背景及介绍</w:t>
            </w:r>
          </w:p>
          <w:p w14:paraId="297A84EC">
            <w:pPr>
              <w:pStyle w:val="47"/>
              <w:bidi w:val="0"/>
              <w:rPr>
                <w:rFonts w:hint="eastAsia"/>
                <w:lang w:val="en-US" w:eastAsia="zh-CN"/>
              </w:rPr>
            </w:pPr>
            <w:r>
              <w:rPr>
                <w:rFonts w:hint="eastAsia"/>
                <w:lang w:val="en-US" w:eastAsia="zh-CN"/>
              </w:rPr>
              <w:t>新疆金诚凯瑞包装桶制造有限公司</w:t>
            </w:r>
            <w:r>
              <w:rPr>
                <w:rFonts w:hint="default"/>
                <w:lang w:val="en-US" w:eastAsia="zh-CN"/>
              </w:rPr>
              <w:t>成立于20</w:t>
            </w:r>
            <w:r>
              <w:rPr>
                <w:rFonts w:hint="eastAsia"/>
                <w:lang w:val="en-US" w:eastAsia="zh-CN"/>
              </w:rPr>
              <w:t>21年</w:t>
            </w:r>
            <w:r>
              <w:rPr>
                <w:rFonts w:hint="default"/>
                <w:lang w:val="en-US" w:eastAsia="zh-CN"/>
              </w:rPr>
              <w:t>4</w:t>
            </w:r>
            <w:r>
              <w:rPr>
                <w:rFonts w:hint="eastAsia"/>
                <w:lang w:val="en-US" w:eastAsia="zh-CN"/>
              </w:rPr>
              <w:t>月19日，法定代表人为王勇，统一社会信用代码为91652801MA796C3U8H</w:t>
            </w:r>
            <w:r>
              <w:rPr>
                <w:rFonts w:hint="eastAsia" w:ascii="Times New Roman" w:hAnsi="Times New Roman" w:cs="Times New Roman"/>
                <w:szCs w:val="21"/>
                <w:lang w:val="en-US" w:eastAsia="zh-CN"/>
              </w:rPr>
              <w:t>。</w:t>
            </w:r>
            <w:r>
              <w:rPr>
                <w:rFonts w:hint="eastAsia" w:cs="Times New Roman"/>
                <w:szCs w:val="21"/>
                <w:lang w:val="en-US" w:eastAsia="zh-CN"/>
              </w:rPr>
              <w:t>近年来包装桶需求量逐年增加，产品市场前景良好，</w:t>
            </w:r>
            <w:r>
              <w:rPr>
                <w:rFonts w:hint="eastAsia"/>
                <w:lang w:val="en-US" w:eastAsia="zh-CN"/>
              </w:rPr>
              <w:t>新疆金诚凯瑞包装桶制造有限公司于2021年5月租赁库尔勒恒瑞商贸有限责任公司院内一栋2700m</w:t>
            </w:r>
            <w:r>
              <w:rPr>
                <w:rFonts w:hint="eastAsia"/>
                <w:vertAlign w:val="superscript"/>
                <w:lang w:val="en-US" w:eastAsia="zh-CN"/>
              </w:rPr>
              <w:t>2</w:t>
            </w:r>
            <w:r>
              <w:rPr>
                <w:rFonts w:hint="eastAsia"/>
                <w:lang w:val="en-US" w:eastAsia="zh-CN"/>
              </w:rPr>
              <w:t>厂房以及两栋标准库房（合计2400m</w:t>
            </w:r>
            <w:r>
              <w:rPr>
                <w:rFonts w:hint="eastAsia"/>
                <w:vertAlign w:val="superscript"/>
                <w:lang w:val="en-US" w:eastAsia="zh-CN"/>
              </w:rPr>
              <w:t>2</w:t>
            </w:r>
            <w:r>
              <w:rPr>
                <w:rFonts w:hint="eastAsia"/>
                <w:lang w:val="en-US" w:eastAsia="zh-CN"/>
              </w:rPr>
              <w:t>）建设一条近期年产200000个金属包装容器生产线。</w:t>
            </w:r>
          </w:p>
          <w:p w14:paraId="008743F2">
            <w:pPr>
              <w:pStyle w:val="47"/>
              <w:bidi w:val="0"/>
              <w:rPr>
                <w:rFonts w:hint="default"/>
                <w:lang w:val="en-US" w:eastAsia="zh-CN"/>
              </w:rPr>
            </w:pPr>
            <w:r>
              <w:rPr>
                <w:rFonts w:hint="eastAsia"/>
                <w:lang w:val="en-US" w:eastAsia="zh-CN"/>
              </w:rPr>
              <w:t>本项目于2021年租赁库尔勒恒瑞商贸有限责任公司院内一栋2700㎡厂房作为生产车间、两栋厂房（合计2400㎡）作为成品库房，目前生产设备已安装完成，2023年5月进行试生产。建设前未履行相关环保手续，属于未批先建项目，目前正在补办相关环保手续。</w:t>
            </w:r>
          </w:p>
          <w:p w14:paraId="22D12DC5">
            <w:pPr>
              <w:pStyle w:val="48"/>
              <w:bidi w:val="0"/>
              <w:rPr>
                <w:rFonts w:hint="default"/>
                <w:lang w:val="en-US" w:eastAsia="zh-CN"/>
              </w:rPr>
            </w:pPr>
            <w:r>
              <w:rPr>
                <w:rFonts w:hint="eastAsia"/>
                <w:lang w:val="en-US" w:eastAsia="zh-CN"/>
              </w:rPr>
              <w:t>2.编制依据</w:t>
            </w:r>
          </w:p>
          <w:p w14:paraId="74D35D8D">
            <w:pPr>
              <w:pStyle w:val="51"/>
              <w:keepNext w:val="0"/>
              <w:keepLines w:val="0"/>
              <w:suppressLineNumbers w:val="0"/>
              <w:bidi w:val="0"/>
              <w:spacing w:before="0" w:beforeAutospacing="0" w:after="0" w:afterAutospacing="0"/>
              <w:ind w:left="0" w:right="0"/>
              <w:rPr>
                <w:rFonts w:cs="Times New Roman"/>
              </w:rPr>
            </w:pPr>
            <w:r>
              <w:rPr>
                <w:rFonts w:hint="eastAsia" w:cs="Times New Roman"/>
              </w:rPr>
              <w:t>按照《中华人民共和国环境保护法》，《建设项目环境保护管理条例》和《建设项目环境影响评价分类管理名录》等有关法律、法规规定</w:t>
            </w:r>
            <w:r>
              <w:rPr>
                <w:rFonts w:hint="eastAsia" w:cs="Times New Roman"/>
                <w:lang w:eastAsia="zh-CN"/>
              </w:rPr>
              <w:t>，</w:t>
            </w:r>
            <w:r>
              <w:rPr>
                <w:rFonts w:hint="eastAsia" w:cs="Times New Roman"/>
              </w:rPr>
              <w:t>项目属《名录》所列</w:t>
            </w:r>
            <w:r>
              <w:rPr>
                <w:rFonts w:hint="eastAsia" w:asciiTheme="minorEastAsia" w:hAnsiTheme="minorEastAsia" w:eastAsiaTheme="minorEastAsia" w:cstheme="minorEastAsia"/>
                <w:b w:val="0"/>
                <w:bCs/>
                <w:sz w:val="24"/>
                <w:szCs w:val="24"/>
                <w:lang w:val="en-US" w:eastAsia="zh-CN"/>
              </w:rPr>
              <w:t>“三十、金属制品业33-集装箱及金属包装容器制造333-其他（仅分割、焊接、组装的除外；年用非溶剂型低VOCs含量涂料10吨以下的除外）”</w:t>
            </w:r>
            <w:r>
              <w:rPr>
                <w:rFonts w:hint="eastAsia" w:cs="Times New Roman"/>
              </w:rPr>
              <w:t>应编制环境影响报告表</w:t>
            </w:r>
            <w:r>
              <w:rPr>
                <w:rFonts w:cs="Times New Roman"/>
              </w:rPr>
              <w:t>。</w:t>
            </w:r>
            <w:r>
              <w:rPr>
                <w:rFonts w:hint="eastAsia" w:cs="Times New Roman"/>
              </w:rPr>
              <w:t>受建设单位委托，新疆领畅环保科技有限公司承担了本项目的环境影响评价工作。接受委托后，环评单位在现场踏勘和资料收集的基础上，编制完成了《</w:t>
            </w:r>
            <w:r>
              <w:rPr>
                <w:rFonts w:hint="eastAsia" w:cs="Times New Roman"/>
                <w:lang w:eastAsia="zh-CN"/>
              </w:rPr>
              <w:t>新疆金诚凯瑞包装桶制造有限公司220L*990开口锥形金属包装桶</w:t>
            </w:r>
            <w:r>
              <w:rPr>
                <w:rFonts w:hint="eastAsia" w:cs="Times New Roman"/>
              </w:rPr>
              <w:t>环境影响报告表》，审批后作为</w:t>
            </w:r>
            <w:r>
              <w:rPr>
                <w:rFonts w:hint="eastAsia" w:cs="Times New Roman"/>
                <w:lang w:val="en-US" w:eastAsia="zh-CN"/>
              </w:rPr>
              <w:t>生态环境主管部门</w:t>
            </w:r>
            <w:r>
              <w:rPr>
                <w:rFonts w:hint="eastAsia" w:cs="Times New Roman"/>
              </w:rPr>
              <w:t>和该企业进行环境管理的依据。</w:t>
            </w:r>
          </w:p>
          <w:p w14:paraId="22F8B594">
            <w:pPr>
              <w:pStyle w:val="48"/>
              <w:bidi w:val="0"/>
              <w:rPr>
                <w:rFonts w:hint="eastAsia"/>
                <w:lang w:val="en-US" w:eastAsia="zh-CN"/>
              </w:rPr>
            </w:pPr>
            <w:r>
              <w:rPr>
                <w:rFonts w:hint="eastAsia"/>
                <w:lang w:val="en-US" w:eastAsia="zh-CN"/>
              </w:rPr>
              <w:t>3.项目位置</w:t>
            </w:r>
          </w:p>
          <w:p w14:paraId="0B622AD8">
            <w:pPr>
              <w:pStyle w:val="47"/>
              <w:bidi w:val="0"/>
              <w:rPr>
                <w:rFonts w:hint="eastAsia" w:ascii="Times New Roman" w:hAnsi="Times New Roman" w:cs="Times New Roman"/>
                <w:szCs w:val="21"/>
                <w:lang w:val="en-US" w:eastAsia="zh-CN"/>
              </w:rPr>
            </w:pPr>
            <w:r>
              <w:rPr>
                <w:rFonts w:hint="eastAsia"/>
                <w:lang w:val="en-US" w:eastAsia="zh-CN"/>
              </w:rPr>
              <w:t>本项目位于</w:t>
            </w:r>
            <w:r>
              <w:rPr>
                <w:rFonts w:hint="eastAsia" w:ascii="宋体" w:hAnsi="宋体" w:cs="宋体"/>
                <w:szCs w:val="21"/>
                <w:lang w:val="en-US" w:eastAsia="zh-CN"/>
              </w:rPr>
              <w:t>新疆维吾尔自治区库尔勒市上库综合产业园区上和大道北侧215号院内，中心地理坐标为</w:t>
            </w:r>
            <w:r>
              <w:rPr>
                <w:rFonts w:hint="default" w:ascii="Times New Roman" w:hAnsi="Times New Roman" w:cs="Times New Roman"/>
                <w:szCs w:val="21"/>
                <w:lang w:val="en-US" w:eastAsia="zh-CN"/>
              </w:rPr>
              <w:t>E</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85°5</w:t>
            </w:r>
            <w:r>
              <w:rPr>
                <w:rFonts w:hint="eastAsia" w:cs="Times New Roman"/>
                <w:szCs w:val="21"/>
                <w:lang w:val="en-US" w:eastAsia="zh-CN"/>
              </w:rPr>
              <w:t>5</w:t>
            </w:r>
            <w:r>
              <w:rPr>
                <w:rFonts w:hint="default" w:ascii="Times New Roman" w:hAnsi="Times New Roman" w:cs="Times New Roman"/>
                <w:szCs w:val="21"/>
                <w:lang w:val="en-US" w:eastAsia="zh-CN"/>
              </w:rPr>
              <w:t>′</w:t>
            </w:r>
            <w:r>
              <w:rPr>
                <w:rFonts w:hint="eastAsia" w:cs="Times New Roman"/>
                <w:szCs w:val="21"/>
                <w:lang w:val="en-US" w:eastAsia="zh-CN"/>
              </w:rPr>
              <w:t>51.446</w:t>
            </w:r>
            <w:r>
              <w:rPr>
                <w:rFonts w:hint="default" w:ascii="Times New Roman" w:hAnsi="Times New Roman" w:cs="Times New Roman"/>
                <w:szCs w:val="21"/>
                <w:lang w:val="en-US" w:eastAsia="zh-CN"/>
              </w:rPr>
              <w:t>″，N：41°51′</w:t>
            </w:r>
            <w:r>
              <w:rPr>
                <w:rFonts w:hint="eastAsia" w:cs="Times New Roman"/>
                <w:szCs w:val="21"/>
                <w:lang w:val="en-US" w:eastAsia="zh-CN"/>
              </w:rPr>
              <w:t>26.193</w:t>
            </w:r>
            <w:r>
              <w:rPr>
                <w:rFonts w:hint="default" w:ascii="Times New Roman" w:hAnsi="Times New Roman" w:cs="Times New Roman"/>
                <w:szCs w:val="21"/>
                <w:lang w:val="en-US" w:eastAsia="zh-CN"/>
              </w:rPr>
              <w:t>″</w:t>
            </w:r>
            <w:r>
              <w:rPr>
                <w:rFonts w:hint="eastAsia" w:ascii="Times New Roman" w:hAnsi="Times New Roman" w:cs="Times New Roman"/>
                <w:szCs w:val="21"/>
                <w:lang w:val="en-US" w:eastAsia="zh-CN"/>
              </w:rPr>
              <w:t>。地理位置见附图1。</w:t>
            </w:r>
          </w:p>
          <w:p w14:paraId="72927DD0">
            <w:pPr>
              <w:pStyle w:val="47"/>
              <w:bidi w:val="0"/>
              <w:rPr>
                <w:rFonts w:hint="eastAsia" w:asciiTheme="minorEastAsia" w:hAnsiTheme="minorEastAsia" w:eastAsiaTheme="minorEastAsia" w:cstheme="minorEastAsia"/>
                <w:b w:val="0"/>
                <w:bCs w:val="0"/>
                <w:sz w:val="24"/>
                <w:szCs w:val="24"/>
                <w:lang w:val="en-US" w:eastAsia="zh-CN"/>
              </w:rPr>
            </w:pPr>
            <w:r>
              <w:rPr>
                <w:rFonts w:hint="eastAsia" w:ascii="Times New Roman" w:hAnsi="Times New Roman" w:cs="Times New Roman"/>
                <w:szCs w:val="21"/>
                <w:lang w:val="en-US" w:eastAsia="zh-CN"/>
              </w:rPr>
              <w:t>本项目</w:t>
            </w:r>
            <w:r>
              <w:rPr>
                <w:rFonts w:hint="eastAsia" w:cs="Times New Roman"/>
                <w:szCs w:val="21"/>
                <w:lang w:val="en-US" w:eastAsia="zh-CN"/>
              </w:rPr>
              <w:t>东侧、南侧及西侧均为空地，北侧隔空地约150米为巴州凤丹建材有限责任公司，东北侧约100米为巴州欧诺建材有限公司，</w:t>
            </w:r>
            <w:r>
              <w:rPr>
                <w:rFonts w:hint="eastAsia" w:asciiTheme="minorEastAsia" w:hAnsiTheme="minorEastAsia" w:eastAsiaTheme="minorEastAsia" w:cstheme="minorEastAsia"/>
                <w:b w:val="0"/>
                <w:bCs w:val="0"/>
                <w:sz w:val="24"/>
                <w:szCs w:val="24"/>
                <w:lang w:val="en-US" w:eastAsia="zh-CN"/>
              </w:rPr>
              <w:t>周边环境关系见附图</w:t>
            </w:r>
            <w:r>
              <w:rPr>
                <w:rFonts w:hint="default" w:ascii="Times New Roman" w:hAnsi="Times New Roman" w:cs="Times New Roman" w:eastAsia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val="en-US" w:eastAsia="zh-CN"/>
              </w:rPr>
              <w:t>。</w:t>
            </w:r>
          </w:p>
          <w:p w14:paraId="4FD18D3C">
            <w:pPr>
              <w:pStyle w:val="48"/>
              <w:bidi w:val="0"/>
              <w:rPr>
                <w:rFonts w:hint="eastAsia"/>
                <w:lang w:val="en-US" w:eastAsia="zh-CN"/>
              </w:rPr>
            </w:pPr>
            <w:r>
              <w:rPr>
                <w:rFonts w:hint="eastAsia"/>
                <w:lang w:val="en-US" w:eastAsia="zh-CN"/>
              </w:rPr>
              <w:t>4.建设内容与规模</w:t>
            </w:r>
          </w:p>
          <w:p w14:paraId="0D88C613">
            <w:pPr>
              <w:pStyle w:val="47"/>
              <w:bidi w:val="0"/>
              <w:rPr>
                <w:rFonts w:hint="eastAsia"/>
                <w:lang w:val="en-US" w:eastAsia="zh-CN"/>
              </w:rPr>
            </w:pPr>
            <w:r>
              <w:rPr>
                <w:rFonts w:hint="eastAsia"/>
                <w:lang w:val="en-US" w:eastAsia="zh-CN"/>
              </w:rPr>
              <w:t>本项目租赁库尔勒恒瑞商贸有限责任公司院内1栋2700m</w:t>
            </w:r>
            <w:r>
              <w:rPr>
                <w:rFonts w:hint="eastAsia"/>
                <w:vertAlign w:val="superscript"/>
                <w:lang w:val="en-US" w:eastAsia="zh-CN"/>
              </w:rPr>
              <w:t>2</w:t>
            </w:r>
            <w:r>
              <w:rPr>
                <w:rFonts w:hint="eastAsia"/>
                <w:lang w:val="en-US" w:eastAsia="zh-CN"/>
              </w:rPr>
              <w:t>车间以及2栋合计2400m</w:t>
            </w:r>
            <w:r>
              <w:rPr>
                <w:rFonts w:hint="eastAsia"/>
                <w:vertAlign w:val="superscript"/>
                <w:lang w:val="en-US" w:eastAsia="zh-CN"/>
              </w:rPr>
              <w:t>2</w:t>
            </w:r>
            <w:r>
              <w:rPr>
                <w:rFonts w:hint="eastAsia"/>
                <w:lang w:val="en-US" w:eastAsia="zh-CN"/>
              </w:rPr>
              <w:t>标准库房建设1条近期年产200000个金属包装容器生产线。本项目工程组成见表2-1。</w:t>
            </w:r>
          </w:p>
          <w:p w14:paraId="26E5F57F">
            <w:pPr>
              <w:pStyle w:val="49"/>
              <w:bidi w:val="0"/>
              <w:rPr>
                <w:rFonts w:hint="eastAsia"/>
                <w:lang w:val="en-US" w:eastAsia="zh-CN"/>
              </w:rPr>
            </w:pPr>
            <w:r>
              <w:rPr>
                <w:rFonts w:hint="eastAsia"/>
                <w:lang w:val="en-US" w:eastAsia="zh-CN"/>
              </w:rPr>
              <w:t>表2-1    项目组成一览表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619"/>
              <w:gridCol w:w="1228"/>
              <w:gridCol w:w="2762"/>
              <w:gridCol w:w="1819"/>
            </w:tblGrid>
            <w:tr w14:paraId="2828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pct"/>
                  <w:gridSpan w:val="2"/>
                  <w:shd w:val="clear" w:color="auto" w:fill="auto"/>
                  <w:vAlign w:val="center"/>
                </w:tcPr>
                <w:p w14:paraId="6184AEE9">
                  <w:pPr>
                    <w:pStyle w:val="50"/>
                    <w:bidi w:val="0"/>
                    <w:rPr>
                      <w:rFonts w:hint="default"/>
                      <w:lang w:val="en-US" w:eastAsia="zh-CN"/>
                    </w:rPr>
                  </w:pPr>
                  <w:r>
                    <w:rPr>
                      <w:rFonts w:hint="eastAsia"/>
                      <w:lang w:val="en-US" w:eastAsia="zh-CN"/>
                    </w:rPr>
                    <w:t>工程内容</w:t>
                  </w:r>
                </w:p>
              </w:tc>
              <w:tc>
                <w:tcPr>
                  <w:tcW w:w="2457" w:type="pct"/>
                  <w:gridSpan w:val="2"/>
                  <w:shd w:val="clear" w:color="auto" w:fill="auto"/>
                  <w:vAlign w:val="center"/>
                </w:tcPr>
                <w:p w14:paraId="1623C30F">
                  <w:pPr>
                    <w:pStyle w:val="50"/>
                    <w:bidi w:val="0"/>
                    <w:rPr>
                      <w:rFonts w:hint="default"/>
                      <w:lang w:val="en-US" w:eastAsia="zh-CN"/>
                    </w:rPr>
                  </w:pPr>
                  <w:r>
                    <w:rPr>
                      <w:rFonts w:hint="eastAsia"/>
                      <w:lang w:val="en-US" w:eastAsia="zh-CN"/>
                    </w:rPr>
                    <w:t>项目组成</w:t>
                  </w:r>
                </w:p>
              </w:tc>
              <w:tc>
                <w:tcPr>
                  <w:tcW w:w="1120" w:type="pct"/>
                  <w:shd w:val="clear" w:color="auto" w:fill="auto"/>
                  <w:vAlign w:val="center"/>
                </w:tcPr>
                <w:p w14:paraId="63266067">
                  <w:pPr>
                    <w:pStyle w:val="50"/>
                    <w:bidi w:val="0"/>
                    <w:rPr>
                      <w:rFonts w:hint="eastAsia" w:eastAsiaTheme="minorEastAsia"/>
                      <w:lang w:val="en-US" w:eastAsia="zh-CN"/>
                    </w:rPr>
                  </w:pPr>
                  <w:r>
                    <w:rPr>
                      <w:rFonts w:hint="eastAsia"/>
                      <w:shd w:val="clear"/>
                      <w:lang w:val="en-US" w:eastAsia="zh-CN"/>
                    </w:rPr>
                    <w:t>备注</w:t>
                  </w:r>
                </w:p>
              </w:tc>
            </w:tr>
            <w:tr w14:paraId="08D5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shd w:val="clear" w:color="auto" w:fill="auto"/>
                  <w:vAlign w:val="center"/>
                </w:tcPr>
                <w:p w14:paraId="4A5ACA44">
                  <w:pPr>
                    <w:pStyle w:val="50"/>
                    <w:bidi w:val="0"/>
                    <w:rPr>
                      <w:rFonts w:hint="default"/>
                      <w:lang w:val="en-US" w:eastAsia="zh-CN"/>
                    </w:rPr>
                  </w:pPr>
                  <w:r>
                    <w:rPr>
                      <w:rFonts w:hint="eastAsia"/>
                      <w:lang w:val="en-US" w:eastAsia="zh-CN"/>
                    </w:rPr>
                    <w:t>主体工程</w:t>
                  </w:r>
                </w:p>
              </w:tc>
              <w:tc>
                <w:tcPr>
                  <w:tcW w:w="997" w:type="pct"/>
                  <w:shd w:val="clear" w:color="auto" w:fill="auto"/>
                  <w:vAlign w:val="center"/>
                </w:tcPr>
                <w:p w14:paraId="3A612AAF">
                  <w:pPr>
                    <w:pStyle w:val="50"/>
                    <w:bidi w:val="0"/>
                    <w:rPr>
                      <w:rFonts w:hint="default"/>
                      <w:lang w:val="en-US" w:eastAsia="zh-CN"/>
                    </w:rPr>
                  </w:pPr>
                  <w:r>
                    <w:rPr>
                      <w:rFonts w:hint="eastAsia"/>
                      <w:lang w:val="en-US" w:eastAsia="zh-CN"/>
                    </w:rPr>
                    <w:t>金属包装桶生产车间</w:t>
                  </w:r>
                </w:p>
              </w:tc>
              <w:tc>
                <w:tcPr>
                  <w:tcW w:w="2457" w:type="pct"/>
                  <w:gridSpan w:val="2"/>
                  <w:shd w:val="clear" w:color="auto" w:fill="auto"/>
                  <w:vAlign w:val="center"/>
                </w:tcPr>
                <w:p w14:paraId="4612B6EB">
                  <w:pPr>
                    <w:pStyle w:val="50"/>
                    <w:bidi w:val="0"/>
                    <w:rPr>
                      <w:rFonts w:hint="default"/>
                      <w:lang w:val="en-US" w:eastAsia="zh-CN"/>
                    </w:rPr>
                  </w:pPr>
                  <w:r>
                    <w:rPr>
                      <w:rFonts w:hint="eastAsia"/>
                      <w:lang w:val="en-US" w:eastAsia="zh-CN"/>
                    </w:rPr>
                    <w:t>占地面积2700㎡，1F，内设1条年产200000个金属包装桶生产线。</w:t>
                  </w:r>
                </w:p>
              </w:tc>
              <w:tc>
                <w:tcPr>
                  <w:tcW w:w="1120" w:type="pct"/>
                  <w:shd w:val="clear" w:color="auto" w:fill="auto"/>
                  <w:vAlign w:val="center"/>
                </w:tcPr>
                <w:p w14:paraId="50B1C171">
                  <w:pPr>
                    <w:pStyle w:val="50"/>
                    <w:bidi w:val="0"/>
                    <w:rPr>
                      <w:rFonts w:hint="default"/>
                      <w:lang w:val="en-US" w:eastAsia="zh-CN"/>
                    </w:rPr>
                  </w:pPr>
                  <w:r>
                    <w:rPr>
                      <w:rFonts w:hint="eastAsia"/>
                      <w:lang w:val="en-US" w:eastAsia="zh-CN"/>
                    </w:rPr>
                    <w:t>已建</w:t>
                  </w:r>
                </w:p>
              </w:tc>
            </w:tr>
            <w:tr w14:paraId="5958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4" w:type="pct"/>
                  <w:vMerge w:val="restart"/>
                  <w:shd w:val="clear" w:color="auto" w:fill="auto"/>
                  <w:vAlign w:val="center"/>
                </w:tcPr>
                <w:p w14:paraId="38E9F2EE">
                  <w:pPr>
                    <w:pStyle w:val="50"/>
                    <w:bidi w:val="0"/>
                    <w:rPr>
                      <w:rFonts w:hint="default"/>
                      <w:lang w:val="en-US" w:eastAsia="zh-CN"/>
                    </w:rPr>
                  </w:pPr>
                  <w:r>
                    <w:rPr>
                      <w:rFonts w:hint="eastAsia"/>
                      <w:lang w:val="en-US" w:eastAsia="zh-CN"/>
                    </w:rPr>
                    <w:t>储运工程</w:t>
                  </w:r>
                </w:p>
              </w:tc>
              <w:tc>
                <w:tcPr>
                  <w:tcW w:w="997" w:type="pct"/>
                  <w:shd w:val="clear" w:color="auto" w:fill="auto"/>
                  <w:vAlign w:val="center"/>
                </w:tcPr>
                <w:p w14:paraId="5561F534">
                  <w:pPr>
                    <w:pStyle w:val="50"/>
                    <w:bidi w:val="0"/>
                    <w:rPr>
                      <w:rFonts w:hint="default"/>
                      <w:lang w:val="en-US" w:eastAsia="zh-CN"/>
                    </w:rPr>
                  </w:pPr>
                  <w:r>
                    <w:rPr>
                      <w:rFonts w:hint="eastAsia"/>
                      <w:lang w:val="en-US" w:eastAsia="zh-CN"/>
                    </w:rPr>
                    <w:t>1#库房</w:t>
                  </w:r>
                </w:p>
              </w:tc>
              <w:tc>
                <w:tcPr>
                  <w:tcW w:w="2457" w:type="pct"/>
                  <w:gridSpan w:val="2"/>
                  <w:shd w:val="clear" w:color="auto" w:fill="auto"/>
                  <w:vAlign w:val="center"/>
                </w:tcPr>
                <w:p w14:paraId="1873BD1A">
                  <w:pPr>
                    <w:pStyle w:val="50"/>
                    <w:bidi w:val="0"/>
                    <w:rPr>
                      <w:rFonts w:hint="default"/>
                      <w:vertAlign w:val="baseline"/>
                      <w:lang w:val="en-US" w:eastAsia="zh-CN"/>
                    </w:rPr>
                  </w:pPr>
                  <w:r>
                    <w:rPr>
                      <w:rFonts w:hint="eastAsia"/>
                      <w:lang w:val="en-US" w:eastAsia="zh-CN"/>
                    </w:rPr>
                    <w:t>占地面积1200m</w:t>
                  </w:r>
                  <w:r>
                    <w:rPr>
                      <w:rFonts w:hint="eastAsia"/>
                      <w:vertAlign w:val="superscript"/>
                      <w:lang w:val="en-US" w:eastAsia="zh-CN"/>
                    </w:rPr>
                    <w:t>2</w:t>
                  </w:r>
                  <w:r>
                    <w:rPr>
                      <w:rFonts w:hint="eastAsia"/>
                      <w:vertAlign w:val="baseline"/>
                      <w:lang w:val="en-US" w:eastAsia="zh-CN"/>
                    </w:rPr>
                    <w:t>，</w:t>
                  </w:r>
                  <w:r>
                    <w:rPr>
                      <w:rFonts w:hint="eastAsia"/>
                      <w:lang w:val="en-US" w:eastAsia="zh-CN"/>
                    </w:rPr>
                    <w:t>1F，主要用于成品堆放。</w:t>
                  </w:r>
                </w:p>
              </w:tc>
              <w:tc>
                <w:tcPr>
                  <w:tcW w:w="1120" w:type="pct"/>
                  <w:shd w:val="clear" w:color="auto" w:fill="auto"/>
                  <w:vAlign w:val="center"/>
                </w:tcPr>
                <w:p w14:paraId="2A185AF9">
                  <w:pPr>
                    <w:bidi w:val="0"/>
                    <w:jc w:val="center"/>
                    <w:rPr>
                      <w:rFonts w:hint="default"/>
                      <w:lang w:val="en-US" w:eastAsia="zh-CN"/>
                    </w:rPr>
                  </w:pPr>
                  <w:r>
                    <w:rPr>
                      <w:rFonts w:hint="eastAsia"/>
                      <w:lang w:val="en-US" w:eastAsia="zh-CN"/>
                    </w:rPr>
                    <w:t>已建</w:t>
                  </w:r>
                </w:p>
              </w:tc>
            </w:tr>
            <w:tr w14:paraId="39C6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shd w:val="clear" w:color="auto" w:fill="auto"/>
                  <w:vAlign w:val="center"/>
                </w:tcPr>
                <w:p w14:paraId="1A595AAE">
                  <w:pPr>
                    <w:pStyle w:val="50"/>
                    <w:bidi w:val="0"/>
                    <w:rPr>
                      <w:rFonts w:hint="eastAsia"/>
                      <w:lang w:val="en-US" w:eastAsia="zh-CN"/>
                    </w:rPr>
                  </w:pPr>
                </w:p>
              </w:tc>
              <w:tc>
                <w:tcPr>
                  <w:tcW w:w="997" w:type="pct"/>
                  <w:shd w:val="clear" w:color="auto" w:fill="auto"/>
                  <w:vAlign w:val="center"/>
                </w:tcPr>
                <w:p w14:paraId="5971EAAE">
                  <w:pPr>
                    <w:pStyle w:val="50"/>
                    <w:bidi w:val="0"/>
                    <w:rPr>
                      <w:rFonts w:hint="default"/>
                      <w:lang w:val="en-US" w:eastAsia="zh-CN"/>
                    </w:rPr>
                  </w:pPr>
                  <w:r>
                    <w:rPr>
                      <w:rFonts w:hint="eastAsia"/>
                      <w:lang w:val="en-US" w:eastAsia="zh-CN"/>
                    </w:rPr>
                    <w:t>2#库房</w:t>
                  </w:r>
                </w:p>
              </w:tc>
              <w:tc>
                <w:tcPr>
                  <w:tcW w:w="2457" w:type="pct"/>
                  <w:gridSpan w:val="2"/>
                  <w:shd w:val="clear" w:color="auto" w:fill="auto"/>
                  <w:vAlign w:val="center"/>
                </w:tcPr>
                <w:p w14:paraId="188C4E6D">
                  <w:pPr>
                    <w:pStyle w:val="50"/>
                    <w:bidi w:val="0"/>
                    <w:rPr>
                      <w:rFonts w:hint="default"/>
                      <w:lang w:val="en-US" w:eastAsia="zh-CN"/>
                    </w:rPr>
                  </w:pPr>
                  <w:r>
                    <w:rPr>
                      <w:rFonts w:hint="eastAsia"/>
                      <w:lang w:val="en-US" w:eastAsia="zh-CN"/>
                    </w:rPr>
                    <w:t>占地面积1200m</w:t>
                  </w:r>
                  <w:r>
                    <w:rPr>
                      <w:rFonts w:hint="eastAsia"/>
                      <w:vertAlign w:val="superscript"/>
                      <w:lang w:val="en-US" w:eastAsia="zh-CN"/>
                    </w:rPr>
                    <w:t>2</w:t>
                  </w:r>
                  <w:r>
                    <w:rPr>
                      <w:rFonts w:hint="eastAsia"/>
                      <w:vertAlign w:val="baseline"/>
                      <w:lang w:val="en-US" w:eastAsia="zh-CN"/>
                    </w:rPr>
                    <w:t>，</w:t>
                  </w:r>
                  <w:r>
                    <w:rPr>
                      <w:rFonts w:hint="eastAsia"/>
                      <w:lang w:val="en-US" w:eastAsia="zh-CN"/>
                    </w:rPr>
                    <w:t>1F，主要用于原辅料及成品堆放。</w:t>
                  </w:r>
                </w:p>
              </w:tc>
              <w:tc>
                <w:tcPr>
                  <w:tcW w:w="1120" w:type="pct"/>
                  <w:shd w:val="clear" w:color="auto" w:fill="auto"/>
                  <w:vAlign w:val="center"/>
                </w:tcPr>
                <w:p w14:paraId="1EA6468B">
                  <w:pPr>
                    <w:bidi w:val="0"/>
                    <w:jc w:val="center"/>
                    <w:rPr>
                      <w:rFonts w:hint="default"/>
                      <w:lang w:val="en-US" w:eastAsia="zh-CN"/>
                    </w:rPr>
                  </w:pPr>
                  <w:r>
                    <w:rPr>
                      <w:rFonts w:hint="eastAsia"/>
                      <w:lang w:val="en-US" w:eastAsia="zh-CN"/>
                    </w:rPr>
                    <w:t>已建</w:t>
                  </w:r>
                </w:p>
              </w:tc>
            </w:tr>
            <w:tr w14:paraId="3FAA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shd w:val="clear" w:color="auto" w:fill="auto"/>
                  <w:vAlign w:val="center"/>
                </w:tcPr>
                <w:p w14:paraId="50408A92">
                  <w:pPr>
                    <w:pStyle w:val="50"/>
                    <w:bidi w:val="0"/>
                    <w:rPr>
                      <w:rFonts w:hint="default"/>
                      <w:lang w:val="en-US" w:eastAsia="zh-CN"/>
                    </w:rPr>
                  </w:pPr>
                  <w:r>
                    <w:rPr>
                      <w:rFonts w:hint="eastAsia"/>
                      <w:lang w:val="en-US" w:eastAsia="zh-CN"/>
                    </w:rPr>
                    <w:t>辅助工程</w:t>
                  </w:r>
                </w:p>
              </w:tc>
              <w:tc>
                <w:tcPr>
                  <w:tcW w:w="997" w:type="pct"/>
                  <w:shd w:val="clear" w:color="auto" w:fill="auto"/>
                  <w:vAlign w:val="center"/>
                </w:tcPr>
                <w:p w14:paraId="20ED0A3C">
                  <w:pPr>
                    <w:pStyle w:val="50"/>
                    <w:bidi w:val="0"/>
                    <w:rPr>
                      <w:rFonts w:hint="default"/>
                      <w:lang w:val="en-US" w:eastAsia="zh-CN"/>
                    </w:rPr>
                  </w:pPr>
                  <w:r>
                    <w:rPr>
                      <w:rFonts w:hint="eastAsia"/>
                      <w:lang w:val="en-US" w:eastAsia="zh-CN"/>
                    </w:rPr>
                    <w:t>办公生活楼</w:t>
                  </w:r>
                </w:p>
              </w:tc>
              <w:tc>
                <w:tcPr>
                  <w:tcW w:w="2457" w:type="pct"/>
                  <w:gridSpan w:val="2"/>
                  <w:shd w:val="clear" w:color="auto" w:fill="auto"/>
                  <w:vAlign w:val="center"/>
                </w:tcPr>
                <w:p w14:paraId="7C9BB26F">
                  <w:pPr>
                    <w:pStyle w:val="50"/>
                    <w:bidi w:val="0"/>
                    <w:rPr>
                      <w:rFonts w:hint="default"/>
                      <w:lang w:val="en-US" w:eastAsia="zh-CN"/>
                    </w:rPr>
                  </w:pPr>
                  <w:r>
                    <w:rPr>
                      <w:rFonts w:hint="eastAsia"/>
                      <w:lang w:val="en-US" w:eastAsia="zh-CN"/>
                    </w:rPr>
                    <w:t>占地面积700m</w:t>
                  </w:r>
                  <w:r>
                    <w:rPr>
                      <w:rFonts w:hint="eastAsia"/>
                      <w:vertAlign w:val="superscript"/>
                      <w:lang w:val="en-US" w:eastAsia="zh-CN"/>
                    </w:rPr>
                    <w:t>2</w:t>
                  </w:r>
                  <w:r>
                    <w:rPr>
                      <w:rFonts w:hint="eastAsia"/>
                      <w:vertAlign w:val="baseline"/>
                      <w:lang w:val="en-US" w:eastAsia="zh-CN"/>
                    </w:rPr>
                    <w:t>，3F，</w:t>
                  </w:r>
                  <w:r>
                    <w:rPr>
                      <w:rFonts w:hint="eastAsia"/>
                      <w:lang w:val="en-US" w:eastAsia="zh-CN"/>
                    </w:rPr>
                    <w:t>内含办公室、员工宿舍、员工食堂。</w:t>
                  </w:r>
                </w:p>
              </w:tc>
              <w:tc>
                <w:tcPr>
                  <w:tcW w:w="1120" w:type="pct"/>
                  <w:shd w:val="clear" w:color="auto" w:fill="auto"/>
                  <w:vAlign w:val="center"/>
                </w:tcPr>
                <w:p w14:paraId="1B173F73">
                  <w:pPr>
                    <w:pStyle w:val="50"/>
                    <w:bidi w:val="0"/>
                    <w:rPr>
                      <w:rFonts w:hint="default"/>
                      <w:lang w:val="en-US" w:eastAsia="zh-CN"/>
                    </w:rPr>
                  </w:pPr>
                  <w:r>
                    <w:rPr>
                      <w:rFonts w:hint="eastAsia"/>
                      <w:lang w:val="en-US" w:eastAsia="zh-CN"/>
                    </w:rPr>
                    <w:t>已建</w:t>
                  </w:r>
                </w:p>
              </w:tc>
            </w:tr>
            <w:tr w14:paraId="77A7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shd w:val="clear" w:color="auto" w:fill="auto"/>
                  <w:vAlign w:val="center"/>
                </w:tcPr>
                <w:p w14:paraId="5E12763D">
                  <w:pPr>
                    <w:pStyle w:val="50"/>
                    <w:bidi w:val="0"/>
                    <w:rPr>
                      <w:rFonts w:hint="default"/>
                      <w:lang w:val="en-US" w:eastAsia="zh-CN"/>
                    </w:rPr>
                  </w:pPr>
                  <w:r>
                    <w:rPr>
                      <w:rFonts w:hint="eastAsia"/>
                      <w:lang w:val="en-US" w:eastAsia="zh-CN"/>
                    </w:rPr>
                    <w:t>公用工程</w:t>
                  </w:r>
                </w:p>
              </w:tc>
              <w:tc>
                <w:tcPr>
                  <w:tcW w:w="997" w:type="pct"/>
                  <w:shd w:val="clear" w:color="auto" w:fill="auto"/>
                  <w:vAlign w:val="center"/>
                </w:tcPr>
                <w:p w14:paraId="50497920">
                  <w:pPr>
                    <w:pStyle w:val="50"/>
                    <w:bidi w:val="0"/>
                    <w:rPr>
                      <w:rFonts w:hint="default"/>
                      <w:lang w:val="en-US" w:eastAsia="zh-CN"/>
                    </w:rPr>
                  </w:pPr>
                  <w:r>
                    <w:rPr>
                      <w:rFonts w:hint="eastAsia"/>
                      <w:lang w:val="en-US" w:eastAsia="zh-CN"/>
                    </w:rPr>
                    <w:t>供水</w:t>
                  </w:r>
                </w:p>
              </w:tc>
              <w:tc>
                <w:tcPr>
                  <w:tcW w:w="2457" w:type="pct"/>
                  <w:gridSpan w:val="2"/>
                  <w:shd w:val="clear" w:color="auto" w:fill="auto"/>
                  <w:vAlign w:val="center"/>
                </w:tcPr>
                <w:p w14:paraId="25B8D13E">
                  <w:pPr>
                    <w:pStyle w:val="50"/>
                    <w:bidi w:val="0"/>
                    <w:rPr>
                      <w:rFonts w:hint="default"/>
                      <w:lang w:val="en-US" w:eastAsia="zh-CN"/>
                    </w:rPr>
                  </w:pPr>
                  <w:r>
                    <w:rPr>
                      <w:rFonts w:hint="eastAsia"/>
                      <w:lang w:val="en-US" w:eastAsia="zh-CN"/>
                    </w:rPr>
                    <w:t>园区供水。</w:t>
                  </w:r>
                </w:p>
              </w:tc>
              <w:tc>
                <w:tcPr>
                  <w:tcW w:w="1120" w:type="pct"/>
                  <w:shd w:val="clear" w:color="auto" w:fill="auto"/>
                  <w:vAlign w:val="center"/>
                </w:tcPr>
                <w:p w14:paraId="219E0607">
                  <w:pPr>
                    <w:pStyle w:val="50"/>
                    <w:bidi w:val="0"/>
                    <w:rPr>
                      <w:rFonts w:hint="default"/>
                      <w:lang w:val="en-US" w:eastAsia="zh-CN"/>
                    </w:rPr>
                  </w:pPr>
                  <w:r>
                    <w:rPr>
                      <w:rFonts w:hint="eastAsia"/>
                      <w:lang w:val="en-US" w:eastAsia="zh-CN"/>
                    </w:rPr>
                    <w:t>/</w:t>
                  </w:r>
                </w:p>
              </w:tc>
            </w:tr>
            <w:tr w14:paraId="2586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shd w:val="clear" w:color="auto" w:fill="auto"/>
                  <w:vAlign w:val="center"/>
                </w:tcPr>
                <w:p w14:paraId="7387FDC7">
                  <w:pPr>
                    <w:pStyle w:val="50"/>
                    <w:bidi w:val="0"/>
                    <w:rPr>
                      <w:rFonts w:hint="eastAsia"/>
                      <w:lang w:val="en-US" w:eastAsia="zh-CN"/>
                    </w:rPr>
                  </w:pPr>
                </w:p>
              </w:tc>
              <w:tc>
                <w:tcPr>
                  <w:tcW w:w="997" w:type="pct"/>
                  <w:shd w:val="clear" w:color="auto" w:fill="auto"/>
                  <w:vAlign w:val="center"/>
                </w:tcPr>
                <w:p w14:paraId="10195FC7">
                  <w:pPr>
                    <w:pStyle w:val="50"/>
                    <w:bidi w:val="0"/>
                    <w:rPr>
                      <w:rFonts w:hint="default"/>
                      <w:lang w:val="en-US" w:eastAsia="zh-CN"/>
                    </w:rPr>
                  </w:pPr>
                  <w:r>
                    <w:rPr>
                      <w:rFonts w:hint="eastAsia"/>
                      <w:lang w:val="en-US" w:eastAsia="zh-CN"/>
                    </w:rPr>
                    <w:t>供电</w:t>
                  </w:r>
                </w:p>
              </w:tc>
              <w:tc>
                <w:tcPr>
                  <w:tcW w:w="2457" w:type="pct"/>
                  <w:gridSpan w:val="2"/>
                  <w:shd w:val="clear" w:color="auto" w:fill="auto"/>
                  <w:vAlign w:val="center"/>
                </w:tcPr>
                <w:p w14:paraId="5A5E4823">
                  <w:pPr>
                    <w:pStyle w:val="50"/>
                    <w:bidi w:val="0"/>
                    <w:rPr>
                      <w:rFonts w:hint="default"/>
                      <w:lang w:val="en-US" w:eastAsia="zh-CN"/>
                    </w:rPr>
                  </w:pPr>
                  <w:r>
                    <w:rPr>
                      <w:rFonts w:hint="eastAsia"/>
                      <w:lang w:val="en-US" w:eastAsia="zh-CN"/>
                    </w:rPr>
                    <w:t>园区供电。</w:t>
                  </w:r>
                </w:p>
              </w:tc>
              <w:tc>
                <w:tcPr>
                  <w:tcW w:w="1120" w:type="pct"/>
                  <w:shd w:val="clear" w:color="auto" w:fill="auto"/>
                  <w:vAlign w:val="center"/>
                </w:tcPr>
                <w:p w14:paraId="7A14DCCA">
                  <w:pPr>
                    <w:bidi w:val="0"/>
                    <w:jc w:val="center"/>
                    <w:rPr>
                      <w:rFonts w:hint="default"/>
                      <w:lang w:val="en-US" w:eastAsia="zh-CN"/>
                    </w:rPr>
                  </w:pPr>
                  <w:r>
                    <w:rPr>
                      <w:rFonts w:hint="eastAsia"/>
                      <w:lang w:val="en-US" w:eastAsia="zh-CN"/>
                    </w:rPr>
                    <w:t>/</w:t>
                  </w:r>
                </w:p>
              </w:tc>
            </w:tr>
            <w:tr w14:paraId="6EF3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shd w:val="clear" w:color="auto" w:fill="auto"/>
                  <w:vAlign w:val="center"/>
                </w:tcPr>
                <w:p w14:paraId="0915560F">
                  <w:pPr>
                    <w:pStyle w:val="50"/>
                    <w:bidi w:val="0"/>
                    <w:rPr>
                      <w:rFonts w:hint="eastAsia"/>
                      <w:lang w:val="en-US" w:eastAsia="zh-CN"/>
                    </w:rPr>
                  </w:pPr>
                </w:p>
              </w:tc>
              <w:tc>
                <w:tcPr>
                  <w:tcW w:w="997" w:type="pct"/>
                  <w:shd w:val="clear" w:color="auto" w:fill="auto"/>
                  <w:vAlign w:val="center"/>
                </w:tcPr>
                <w:p w14:paraId="5BAE2ABA">
                  <w:pPr>
                    <w:pStyle w:val="50"/>
                    <w:bidi w:val="0"/>
                    <w:rPr>
                      <w:rFonts w:hint="default"/>
                      <w:lang w:val="en-US" w:eastAsia="zh-CN"/>
                    </w:rPr>
                  </w:pPr>
                  <w:r>
                    <w:rPr>
                      <w:rFonts w:hint="eastAsia"/>
                      <w:lang w:val="en-US" w:eastAsia="zh-CN"/>
                    </w:rPr>
                    <w:t>供气</w:t>
                  </w:r>
                </w:p>
              </w:tc>
              <w:tc>
                <w:tcPr>
                  <w:tcW w:w="2457" w:type="pct"/>
                  <w:gridSpan w:val="2"/>
                  <w:shd w:val="clear" w:color="auto" w:fill="auto"/>
                  <w:vAlign w:val="center"/>
                </w:tcPr>
                <w:p w14:paraId="22461AE7">
                  <w:pPr>
                    <w:pStyle w:val="50"/>
                    <w:bidi w:val="0"/>
                    <w:rPr>
                      <w:rFonts w:hint="default"/>
                      <w:lang w:val="en-US" w:eastAsia="zh-CN"/>
                    </w:rPr>
                  </w:pPr>
                  <w:r>
                    <w:rPr>
                      <w:rFonts w:hint="eastAsia"/>
                      <w:lang w:val="en-US" w:eastAsia="zh-CN"/>
                    </w:rPr>
                    <w:t>园区供气。</w:t>
                  </w:r>
                </w:p>
              </w:tc>
              <w:tc>
                <w:tcPr>
                  <w:tcW w:w="1120" w:type="pct"/>
                  <w:shd w:val="clear" w:color="auto" w:fill="auto"/>
                  <w:vAlign w:val="center"/>
                </w:tcPr>
                <w:p w14:paraId="5786CCCD">
                  <w:pPr>
                    <w:pStyle w:val="50"/>
                    <w:bidi w:val="0"/>
                    <w:rPr>
                      <w:rFonts w:hint="default"/>
                      <w:lang w:val="en-US" w:eastAsia="zh-CN"/>
                    </w:rPr>
                  </w:pPr>
                  <w:r>
                    <w:rPr>
                      <w:rFonts w:hint="eastAsia"/>
                      <w:lang w:val="en-US" w:eastAsia="zh-CN"/>
                    </w:rPr>
                    <w:t>/</w:t>
                  </w:r>
                </w:p>
              </w:tc>
            </w:tr>
            <w:tr w14:paraId="2E62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shd w:val="clear" w:color="auto" w:fill="auto"/>
                  <w:vAlign w:val="center"/>
                </w:tcPr>
                <w:p w14:paraId="4C9D59C1">
                  <w:pPr>
                    <w:pStyle w:val="50"/>
                    <w:bidi w:val="0"/>
                    <w:rPr>
                      <w:rFonts w:hint="eastAsia"/>
                      <w:lang w:val="en-US" w:eastAsia="zh-CN"/>
                    </w:rPr>
                  </w:pPr>
                </w:p>
              </w:tc>
              <w:tc>
                <w:tcPr>
                  <w:tcW w:w="997" w:type="pct"/>
                  <w:shd w:val="clear" w:color="auto" w:fill="auto"/>
                  <w:vAlign w:val="center"/>
                </w:tcPr>
                <w:p w14:paraId="6B026165">
                  <w:pPr>
                    <w:pStyle w:val="50"/>
                    <w:bidi w:val="0"/>
                    <w:rPr>
                      <w:rFonts w:hint="default"/>
                      <w:lang w:val="en-US" w:eastAsia="zh-CN"/>
                    </w:rPr>
                  </w:pPr>
                  <w:r>
                    <w:rPr>
                      <w:rFonts w:hint="eastAsia"/>
                      <w:lang w:val="en-US" w:eastAsia="zh-CN"/>
                    </w:rPr>
                    <w:t>排水</w:t>
                  </w:r>
                </w:p>
              </w:tc>
              <w:tc>
                <w:tcPr>
                  <w:tcW w:w="2457" w:type="pct"/>
                  <w:gridSpan w:val="2"/>
                  <w:shd w:val="clear" w:color="auto" w:fill="auto"/>
                  <w:vAlign w:val="center"/>
                </w:tcPr>
                <w:p w14:paraId="1FAC1EA3">
                  <w:pPr>
                    <w:pStyle w:val="50"/>
                    <w:bidi w:val="0"/>
                    <w:rPr>
                      <w:rFonts w:hint="default"/>
                      <w:lang w:val="en-US" w:eastAsia="zh-CN"/>
                    </w:rPr>
                  </w:pPr>
                  <w:r>
                    <w:rPr>
                      <w:rFonts w:hint="eastAsia"/>
                      <w:lang w:val="en-US" w:eastAsia="zh-CN"/>
                    </w:rPr>
                    <w:t>生活污水经化粪池预处理后通过园区污水管网排入铁门关市污水处理厂。</w:t>
                  </w:r>
                </w:p>
              </w:tc>
              <w:tc>
                <w:tcPr>
                  <w:tcW w:w="1120" w:type="pct"/>
                  <w:shd w:val="clear" w:color="auto" w:fill="auto"/>
                  <w:vAlign w:val="center"/>
                </w:tcPr>
                <w:p w14:paraId="7B4993A4">
                  <w:pPr>
                    <w:pStyle w:val="50"/>
                    <w:bidi w:val="0"/>
                    <w:jc w:val="center"/>
                    <w:rPr>
                      <w:rFonts w:hint="default"/>
                      <w:lang w:val="en-US" w:eastAsia="zh-CN"/>
                    </w:rPr>
                  </w:pPr>
                  <w:r>
                    <w:rPr>
                      <w:rFonts w:hint="eastAsia"/>
                      <w:lang w:val="en-US" w:eastAsia="zh-CN"/>
                    </w:rPr>
                    <w:t>/</w:t>
                  </w:r>
                </w:p>
              </w:tc>
            </w:tr>
            <w:tr w14:paraId="5135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restart"/>
                  <w:shd w:val="clear" w:color="auto" w:fill="auto"/>
                  <w:vAlign w:val="center"/>
                </w:tcPr>
                <w:p w14:paraId="36547487">
                  <w:pPr>
                    <w:pStyle w:val="50"/>
                    <w:bidi w:val="0"/>
                    <w:rPr>
                      <w:rFonts w:hint="default"/>
                      <w:lang w:val="en-US" w:eastAsia="zh-CN"/>
                    </w:rPr>
                  </w:pPr>
                  <w:r>
                    <w:rPr>
                      <w:rFonts w:hint="eastAsia"/>
                      <w:lang w:val="en-US" w:eastAsia="zh-CN"/>
                    </w:rPr>
                    <w:t>环保工程</w:t>
                  </w:r>
                </w:p>
              </w:tc>
              <w:tc>
                <w:tcPr>
                  <w:tcW w:w="997" w:type="pct"/>
                  <w:vMerge w:val="restart"/>
                  <w:shd w:val="clear" w:color="auto" w:fill="auto"/>
                  <w:vAlign w:val="center"/>
                </w:tcPr>
                <w:p w14:paraId="445FD123">
                  <w:pPr>
                    <w:pStyle w:val="50"/>
                    <w:bidi w:val="0"/>
                    <w:rPr>
                      <w:rFonts w:hint="default"/>
                      <w:lang w:val="en-US" w:eastAsia="zh-CN"/>
                    </w:rPr>
                  </w:pPr>
                  <w:r>
                    <w:rPr>
                      <w:rFonts w:hint="eastAsia"/>
                      <w:lang w:val="en-US" w:eastAsia="zh-CN"/>
                    </w:rPr>
                    <w:t>废气治理</w:t>
                  </w:r>
                </w:p>
              </w:tc>
              <w:tc>
                <w:tcPr>
                  <w:tcW w:w="756" w:type="pct"/>
                  <w:shd w:val="clear" w:color="auto" w:fill="auto"/>
                  <w:vAlign w:val="center"/>
                </w:tcPr>
                <w:p w14:paraId="22E9AF52">
                  <w:pPr>
                    <w:pStyle w:val="50"/>
                    <w:bidi w:val="0"/>
                    <w:rPr>
                      <w:rFonts w:hint="default"/>
                      <w:lang w:val="en-US" w:eastAsia="zh-CN"/>
                    </w:rPr>
                  </w:pPr>
                  <w:r>
                    <w:rPr>
                      <w:rFonts w:hint="eastAsia"/>
                      <w:lang w:val="en-US" w:eastAsia="zh-CN"/>
                    </w:rPr>
                    <w:t>喷漆废气</w:t>
                  </w:r>
                </w:p>
              </w:tc>
              <w:tc>
                <w:tcPr>
                  <w:tcW w:w="1701" w:type="pct"/>
                  <w:shd w:val="clear" w:color="auto" w:fill="auto"/>
                  <w:vAlign w:val="center"/>
                </w:tcPr>
                <w:p w14:paraId="1BFAC4A5">
                  <w:pPr>
                    <w:pStyle w:val="50"/>
                    <w:bidi w:val="0"/>
                    <w:rPr>
                      <w:rFonts w:hint="default"/>
                      <w:lang w:val="en-US" w:eastAsia="zh-CN"/>
                    </w:rPr>
                  </w:pPr>
                  <w:r>
                    <w:rPr>
                      <w:rFonts w:hint="eastAsia"/>
                      <w:lang w:val="en-US" w:eastAsia="zh-CN"/>
                    </w:rPr>
                    <w:t>经干式过滤器+二级活性炭吸附后通过一根15m高排气筒（DA001）排放。</w:t>
                  </w:r>
                </w:p>
              </w:tc>
              <w:tc>
                <w:tcPr>
                  <w:tcW w:w="1120" w:type="pct"/>
                  <w:shd w:val="clear" w:color="auto" w:fill="auto"/>
                  <w:vAlign w:val="center"/>
                </w:tcPr>
                <w:p w14:paraId="7700E4DD">
                  <w:pPr>
                    <w:bidi w:val="0"/>
                    <w:jc w:val="center"/>
                    <w:rPr>
                      <w:rFonts w:hint="default"/>
                      <w:lang w:val="en-US" w:eastAsia="zh-CN"/>
                    </w:rPr>
                  </w:pPr>
                  <w:r>
                    <w:rPr>
                      <w:rFonts w:hint="eastAsia"/>
                      <w:lang w:val="en-US" w:eastAsia="zh-CN"/>
                    </w:rPr>
                    <w:t>未建</w:t>
                  </w:r>
                </w:p>
              </w:tc>
            </w:tr>
            <w:tr w14:paraId="295A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shd w:val="clear" w:color="auto" w:fill="auto"/>
                  <w:vAlign w:val="center"/>
                </w:tcPr>
                <w:p w14:paraId="0318B632">
                  <w:pPr>
                    <w:pStyle w:val="50"/>
                    <w:bidi w:val="0"/>
                    <w:rPr>
                      <w:rFonts w:hint="eastAsia"/>
                      <w:lang w:val="en-US" w:eastAsia="zh-CN"/>
                    </w:rPr>
                  </w:pPr>
                </w:p>
              </w:tc>
              <w:tc>
                <w:tcPr>
                  <w:tcW w:w="997" w:type="pct"/>
                  <w:vMerge w:val="continue"/>
                  <w:shd w:val="clear" w:color="auto" w:fill="auto"/>
                  <w:vAlign w:val="center"/>
                </w:tcPr>
                <w:p w14:paraId="103B1068">
                  <w:pPr>
                    <w:pStyle w:val="50"/>
                    <w:bidi w:val="0"/>
                    <w:rPr>
                      <w:rFonts w:hint="eastAsia"/>
                      <w:lang w:val="en-US" w:eastAsia="zh-CN"/>
                    </w:rPr>
                  </w:pPr>
                </w:p>
              </w:tc>
              <w:tc>
                <w:tcPr>
                  <w:tcW w:w="756" w:type="pct"/>
                  <w:shd w:val="clear" w:color="auto" w:fill="auto"/>
                  <w:vAlign w:val="center"/>
                </w:tcPr>
                <w:p w14:paraId="456699DD">
                  <w:pPr>
                    <w:pStyle w:val="50"/>
                    <w:bidi w:val="0"/>
                    <w:rPr>
                      <w:rFonts w:hint="eastAsia"/>
                      <w:lang w:val="en-US" w:eastAsia="zh-CN"/>
                    </w:rPr>
                  </w:pPr>
                  <w:r>
                    <w:rPr>
                      <w:rFonts w:hint="eastAsia"/>
                      <w:lang w:val="en-US" w:eastAsia="zh-CN"/>
                    </w:rPr>
                    <w:t>烘干废气</w:t>
                  </w:r>
                </w:p>
              </w:tc>
              <w:tc>
                <w:tcPr>
                  <w:tcW w:w="1701" w:type="pct"/>
                  <w:shd w:val="clear" w:color="auto" w:fill="auto"/>
                  <w:vAlign w:val="center"/>
                </w:tcPr>
                <w:p w14:paraId="0CC3C3BF">
                  <w:pPr>
                    <w:pStyle w:val="50"/>
                    <w:bidi w:val="0"/>
                    <w:rPr>
                      <w:rFonts w:hint="default"/>
                      <w:lang w:val="en-US" w:eastAsia="zh-CN"/>
                    </w:rPr>
                  </w:pPr>
                  <w:r>
                    <w:rPr>
                      <w:rFonts w:hint="eastAsia"/>
                      <w:lang w:val="en-US" w:eastAsia="zh-CN"/>
                    </w:rPr>
                    <w:t>清洗后烘干废气为天然气燃烧烟气，经低氮燃烧技术处理后经1根15m排气筒（DA002）排放；喷漆后烘干废气经二级活性炭吸附处理后和采用低氮燃烧技术处理的天然气燃烧废气一起经1根15m高排气筒（DA003）排放。</w:t>
                  </w:r>
                </w:p>
              </w:tc>
              <w:tc>
                <w:tcPr>
                  <w:tcW w:w="1120" w:type="pct"/>
                  <w:shd w:val="clear" w:color="auto" w:fill="auto"/>
                  <w:vAlign w:val="center"/>
                </w:tcPr>
                <w:p w14:paraId="51116749">
                  <w:pPr>
                    <w:bidi w:val="0"/>
                    <w:jc w:val="center"/>
                    <w:rPr>
                      <w:rFonts w:hint="default"/>
                      <w:lang w:val="en-US" w:eastAsia="zh-CN"/>
                    </w:rPr>
                  </w:pPr>
                  <w:r>
                    <w:rPr>
                      <w:rFonts w:hint="eastAsia"/>
                      <w:lang w:val="en-US" w:eastAsia="zh-CN"/>
                    </w:rPr>
                    <w:t>未建</w:t>
                  </w:r>
                </w:p>
              </w:tc>
            </w:tr>
            <w:tr w14:paraId="2585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shd w:val="clear" w:color="auto" w:fill="auto"/>
                  <w:vAlign w:val="center"/>
                </w:tcPr>
                <w:p w14:paraId="606B062F">
                  <w:pPr>
                    <w:pStyle w:val="50"/>
                    <w:bidi w:val="0"/>
                    <w:rPr>
                      <w:rFonts w:hint="eastAsia"/>
                      <w:lang w:val="en-US" w:eastAsia="zh-CN"/>
                    </w:rPr>
                  </w:pPr>
                </w:p>
              </w:tc>
              <w:tc>
                <w:tcPr>
                  <w:tcW w:w="997" w:type="pct"/>
                  <w:vMerge w:val="continue"/>
                  <w:shd w:val="clear" w:color="auto" w:fill="auto"/>
                  <w:vAlign w:val="center"/>
                </w:tcPr>
                <w:p w14:paraId="68274B22">
                  <w:pPr>
                    <w:pStyle w:val="50"/>
                    <w:bidi w:val="0"/>
                    <w:rPr>
                      <w:rFonts w:hint="eastAsia"/>
                      <w:lang w:val="en-US" w:eastAsia="zh-CN"/>
                    </w:rPr>
                  </w:pPr>
                </w:p>
              </w:tc>
              <w:tc>
                <w:tcPr>
                  <w:tcW w:w="756" w:type="pct"/>
                  <w:shd w:val="clear" w:color="auto" w:fill="auto"/>
                  <w:vAlign w:val="center"/>
                </w:tcPr>
                <w:p w14:paraId="2B0FC81E">
                  <w:pPr>
                    <w:pStyle w:val="50"/>
                    <w:bidi w:val="0"/>
                    <w:rPr>
                      <w:rFonts w:hint="default"/>
                      <w:lang w:val="en-US" w:eastAsia="zh-CN"/>
                    </w:rPr>
                  </w:pPr>
                  <w:r>
                    <w:rPr>
                      <w:rFonts w:hint="eastAsia"/>
                      <w:lang w:val="en-US" w:eastAsia="zh-CN"/>
                    </w:rPr>
                    <w:t>食堂油烟</w:t>
                  </w:r>
                </w:p>
              </w:tc>
              <w:tc>
                <w:tcPr>
                  <w:tcW w:w="1701" w:type="pct"/>
                  <w:shd w:val="clear" w:color="auto" w:fill="auto"/>
                  <w:vAlign w:val="center"/>
                </w:tcPr>
                <w:p w14:paraId="2184135A">
                  <w:pPr>
                    <w:pStyle w:val="50"/>
                    <w:bidi w:val="0"/>
                    <w:rPr>
                      <w:rFonts w:hint="default"/>
                      <w:lang w:val="en-US" w:eastAsia="zh-CN"/>
                    </w:rPr>
                  </w:pPr>
                  <w:r>
                    <w:rPr>
                      <w:rFonts w:hint="eastAsia"/>
                      <w:lang w:val="en-US" w:eastAsia="zh-CN"/>
                    </w:rPr>
                    <w:t>食堂油烟经1台抽油烟机处理后经屋顶排放。</w:t>
                  </w:r>
                </w:p>
              </w:tc>
              <w:tc>
                <w:tcPr>
                  <w:tcW w:w="1120" w:type="pct"/>
                  <w:shd w:val="clear" w:color="auto" w:fill="auto"/>
                  <w:vAlign w:val="center"/>
                </w:tcPr>
                <w:p w14:paraId="6C600B8B">
                  <w:pPr>
                    <w:bidi w:val="0"/>
                    <w:jc w:val="center"/>
                    <w:rPr>
                      <w:rFonts w:hint="default"/>
                      <w:lang w:val="en-US" w:eastAsia="zh-CN"/>
                    </w:rPr>
                  </w:pPr>
                  <w:r>
                    <w:rPr>
                      <w:rFonts w:hint="eastAsia"/>
                      <w:lang w:val="en-US" w:eastAsia="zh-CN"/>
                    </w:rPr>
                    <w:t>已建</w:t>
                  </w:r>
                </w:p>
              </w:tc>
            </w:tr>
            <w:tr w14:paraId="4980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24" w:type="pct"/>
                  <w:vMerge w:val="continue"/>
                  <w:shd w:val="clear" w:color="auto" w:fill="auto"/>
                  <w:vAlign w:val="center"/>
                </w:tcPr>
                <w:p w14:paraId="5B5D0AED">
                  <w:pPr>
                    <w:pStyle w:val="50"/>
                    <w:bidi w:val="0"/>
                    <w:rPr>
                      <w:rFonts w:hint="eastAsia"/>
                      <w:lang w:val="en-US" w:eastAsia="zh-CN"/>
                    </w:rPr>
                  </w:pPr>
                </w:p>
              </w:tc>
              <w:tc>
                <w:tcPr>
                  <w:tcW w:w="997" w:type="pct"/>
                  <w:vMerge w:val="restart"/>
                  <w:shd w:val="clear" w:color="auto" w:fill="auto"/>
                  <w:vAlign w:val="center"/>
                </w:tcPr>
                <w:p w14:paraId="11F743B3">
                  <w:pPr>
                    <w:pStyle w:val="50"/>
                    <w:bidi w:val="0"/>
                    <w:rPr>
                      <w:rFonts w:hint="default"/>
                      <w:lang w:val="en-US" w:eastAsia="zh-CN"/>
                    </w:rPr>
                  </w:pPr>
                  <w:r>
                    <w:rPr>
                      <w:rFonts w:hint="eastAsia"/>
                      <w:lang w:val="en-US" w:eastAsia="zh-CN"/>
                    </w:rPr>
                    <w:t>废水治理</w:t>
                  </w:r>
                </w:p>
              </w:tc>
              <w:tc>
                <w:tcPr>
                  <w:tcW w:w="756" w:type="pct"/>
                  <w:shd w:val="clear" w:color="auto" w:fill="auto"/>
                  <w:vAlign w:val="center"/>
                </w:tcPr>
                <w:p w14:paraId="14DF05E2">
                  <w:pPr>
                    <w:pStyle w:val="50"/>
                    <w:bidi w:val="0"/>
                    <w:rPr>
                      <w:rFonts w:hint="default"/>
                      <w:lang w:val="en-US" w:eastAsia="zh-CN"/>
                    </w:rPr>
                  </w:pPr>
                  <w:r>
                    <w:rPr>
                      <w:rFonts w:hint="eastAsia"/>
                      <w:lang w:val="en-US" w:eastAsia="zh-CN"/>
                    </w:rPr>
                    <w:t>生活污水</w:t>
                  </w:r>
                </w:p>
              </w:tc>
              <w:tc>
                <w:tcPr>
                  <w:tcW w:w="1701" w:type="pct"/>
                  <w:shd w:val="clear" w:color="auto" w:fill="auto"/>
                  <w:vAlign w:val="center"/>
                </w:tcPr>
                <w:p w14:paraId="703FDD46">
                  <w:pPr>
                    <w:pStyle w:val="50"/>
                    <w:bidi w:val="0"/>
                    <w:rPr>
                      <w:rFonts w:hint="default"/>
                      <w:lang w:val="en-US" w:eastAsia="zh-CN"/>
                    </w:rPr>
                  </w:pPr>
                  <w:r>
                    <w:rPr>
                      <w:rFonts w:hint="eastAsia"/>
                      <w:lang w:val="en-US" w:eastAsia="zh-CN"/>
                    </w:rPr>
                    <w:t>经一座5m</w:t>
                  </w:r>
                  <w:r>
                    <w:rPr>
                      <w:rFonts w:hint="eastAsia"/>
                      <w:vertAlign w:val="superscript"/>
                      <w:lang w:val="en-US" w:eastAsia="zh-CN"/>
                    </w:rPr>
                    <w:t>3</w:t>
                  </w:r>
                  <w:r>
                    <w:rPr>
                      <w:rFonts w:hint="eastAsia"/>
                      <w:lang w:val="en-US" w:eastAsia="zh-CN"/>
                    </w:rPr>
                    <w:t>的化粪池预处理后，经园区污水管网进入铁门关污水处理厂。</w:t>
                  </w:r>
                </w:p>
              </w:tc>
              <w:tc>
                <w:tcPr>
                  <w:tcW w:w="1120" w:type="pct"/>
                  <w:shd w:val="clear" w:color="auto" w:fill="auto"/>
                  <w:vAlign w:val="center"/>
                </w:tcPr>
                <w:p w14:paraId="49E40E2E">
                  <w:pPr>
                    <w:bidi w:val="0"/>
                    <w:jc w:val="center"/>
                    <w:rPr>
                      <w:rFonts w:hint="default"/>
                      <w:lang w:val="en-US" w:eastAsia="zh-CN"/>
                    </w:rPr>
                  </w:pPr>
                  <w:r>
                    <w:rPr>
                      <w:rFonts w:hint="eastAsia"/>
                      <w:lang w:val="en-US" w:eastAsia="zh-CN"/>
                    </w:rPr>
                    <w:t>已建</w:t>
                  </w:r>
                </w:p>
              </w:tc>
            </w:tr>
            <w:tr w14:paraId="63B4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24" w:type="pct"/>
                  <w:vMerge w:val="continue"/>
                  <w:shd w:val="clear" w:color="auto" w:fill="auto"/>
                  <w:vAlign w:val="center"/>
                </w:tcPr>
                <w:p w14:paraId="1D5CC0E2">
                  <w:pPr>
                    <w:pStyle w:val="50"/>
                    <w:bidi w:val="0"/>
                  </w:pPr>
                </w:p>
              </w:tc>
              <w:tc>
                <w:tcPr>
                  <w:tcW w:w="997" w:type="pct"/>
                  <w:vMerge w:val="continue"/>
                  <w:shd w:val="clear" w:color="auto" w:fill="auto"/>
                  <w:vAlign w:val="center"/>
                </w:tcPr>
                <w:p w14:paraId="179F6488">
                  <w:pPr>
                    <w:pStyle w:val="50"/>
                    <w:bidi w:val="0"/>
                  </w:pPr>
                </w:p>
              </w:tc>
              <w:tc>
                <w:tcPr>
                  <w:tcW w:w="756" w:type="pct"/>
                  <w:shd w:val="clear" w:color="auto" w:fill="auto"/>
                  <w:vAlign w:val="center"/>
                </w:tcPr>
                <w:p w14:paraId="3B92B956">
                  <w:pPr>
                    <w:pStyle w:val="50"/>
                    <w:bidi w:val="0"/>
                    <w:rPr>
                      <w:rFonts w:hint="default"/>
                      <w:lang w:val="en-US" w:eastAsia="zh-CN"/>
                    </w:rPr>
                  </w:pPr>
                  <w:r>
                    <w:rPr>
                      <w:rFonts w:hint="eastAsia"/>
                      <w:lang w:val="en-US" w:eastAsia="zh-CN"/>
                    </w:rPr>
                    <w:t>清洗废水</w:t>
                  </w:r>
                </w:p>
              </w:tc>
              <w:tc>
                <w:tcPr>
                  <w:tcW w:w="1701" w:type="pct"/>
                  <w:shd w:val="clear" w:color="auto" w:fill="auto"/>
                  <w:vAlign w:val="center"/>
                </w:tcPr>
                <w:p w14:paraId="216EF96A">
                  <w:pPr>
                    <w:pStyle w:val="50"/>
                    <w:bidi w:val="0"/>
                    <w:rPr>
                      <w:rFonts w:hint="default"/>
                      <w:lang w:val="en-US" w:eastAsia="zh-CN"/>
                    </w:rPr>
                  </w:pPr>
                  <w:r>
                    <w:rPr>
                      <w:rFonts w:hint="eastAsia"/>
                      <w:lang w:val="en-US" w:eastAsia="zh-CN"/>
                    </w:rPr>
                    <w:t>清洗废水经“絮凝+沉淀”处理后循环使用，不外排。</w:t>
                  </w:r>
                </w:p>
              </w:tc>
              <w:tc>
                <w:tcPr>
                  <w:tcW w:w="1120" w:type="pct"/>
                  <w:shd w:val="clear" w:color="auto" w:fill="auto"/>
                  <w:vAlign w:val="center"/>
                </w:tcPr>
                <w:p w14:paraId="448EB0A8">
                  <w:pPr>
                    <w:pStyle w:val="50"/>
                    <w:bidi w:val="0"/>
                    <w:jc w:val="center"/>
                    <w:rPr>
                      <w:rFonts w:hint="default"/>
                      <w:lang w:val="en-US" w:eastAsia="zh-CN"/>
                    </w:rPr>
                  </w:pPr>
                  <w:r>
                    <w:rPr>
                      <w:rFonts w:hint="eastAsia"/>
                      <w:lang w:val="en-US" w:eastAsia="zh-CN"/>
                    </w:rPr>
                    <w:t>已建</w:t>
                  </w:r>
                </w:p>
              </w:tc>
            </w:tr>
            <w:tr w14:paraId="2C4E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shd w:val="clear" w:color="auto" w:fill="auto"/>
                  <w:vAlign w:val="center"/>
                </w:tcPr>
                <w:p w14:paraId="79AB5312">
                  <w:pPr>
                    <w:pStyle w:val="50"/>
                    <w:bidi w:val="0"/>
                    <w:rPr>
                      <w:rFonts w:hint="eastAsia"/>
                      <w:lang w:val="en-US" w:eastAsia="zh-CN"/>
                    </w:rPr>
                  </w:pPr>
                </w:p>
              </w:tc>
              <w:tc>
                <w:tcPr>
                  <w:tcW w:w="997" w:type="pct"/>
                  <w:shd w:val="clear" w:color="auto" w:fill="auto"/>
                  <w:vAlign w:val="center"/>
                </w:tcPr>
                <w:p w14:paraId="7D5E634C">
                  <w:pPr>
                    <w:pStyle w:val="50"/>
                    <w:bidi w:val="0"/>
                    <w:rPr>
                      <w:rFonts w:hint="default"/>
                      <w:lang w:val="en-US" w:eastAsia="zh-CN"/>
                    </w:rPr>
                  </w:pPr>
                  <w:r>
                    <w:rPr>
                      <w:rFonts w:hint="eastAsia"/>
                      <w:lang w:val="en-US" w:eastAsia="zh-CN"/>
                    </w:rPr>
                    <w:t>噪声治理</w:t>
                  </w:r>
                </w:p>
              </w:tc>
              <w:tc>
                <w:tcPr>
                  <w:tcW w:w="2457" w:type="pct"/>
                  <w:gridSpan w:val="2"/>
                  <w:shd w:val="clear" w:color="auto" w:fill="auto"/>
                  <w:vAlign w:val="center"/>
                </w:tcPr>
                <w:p w14:paraId="0AEEB2D0">
                  <w:pPr>
                    <w:pStyle w:val="50"/>
                    <w:bidi w:val="0"/>
                    <w:rPr>
                      <w:rFonts w:hint="eastAsia"/>
                      <w:lang w:val="en-US" w:eastAsia="zh-CN"/>
                    </w:rPr>
                  </w:pPr>
                  <w:r>
                    <w:t>低噪声设备、基础减振、厂房隔声和距离衰减等。</w:t>
                  </w:r>
                </w:p>
              </w:tc>
              <w:tc>
                <w:tcPr>
                  <w:tcW w:w="1120" w:type="pct"/>
                  <w:shd w:val="clear" w:color="auto" w:fill="auto"/>
                  <w:vAlign w:val="center"/>
                </w:tcPr>
                <w:p w14:paraId="5B906C85">
                  <w:pPr>
                    <w:pStyle w:val="50"/>
                    <w:bidi w:val="0"/>
                    <w:jc w:val="center"/>
                    <w:rPr>
                      <w:rFonts w:hint="default"/>
                      <w:lang w:val="en-US" w:eastAsia="zh-CN"/>
                    </w:rPr>
                  </w:pPr>
                  <w:r>
                    <w:rPr>
                      <w:rFonts w:hint="eastAsia"/>
                      <w:lang w:val="en-US" w:eastAsia="zh-CN"/>
                    </w:rPr>
                    <w:t>/</w:t>
                  </w:r>
                </w:p>
              </w:tc>
            </w:tr>
            <w:tr w14:paraId="165B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shd w:val="clear" w:color="auto" w:fill="auto"/>
                  <w:vAlign w:val="center"/>
                </w:tcPr>
                <w:p w14:paraId="2EA36E40">
                  <w:pPr>
                    <w:pStyle w:val="50"/>
                    <w:bidi w:val="0"/>
                    <w:rPr>
                      <w:rFonts w:hint="eastAsia"/>
                      <w:lang w:val="en-US" w:eastAsia="zh-CN"/>
                    </w:rPr>
                  </w:pPr>
                </w:p>
              </w:tc>
              <w:tc>
                <w:tcPr>
                  <w:tcW w:w="997" w:type="pct"/>
                  <w:vMerge w:val="restart"/>
                  <w:shd w:val="clear" w:color="auto" w:fill="auto"/>
                  <w:vAlign w:val="center"/>
                </w:tcPr>
                <w:p w14:paraId="1AC75B4F">
                  <w:pPr>
                    <w:pStyle w:val="50"/>
                    <w:bidi w:val="0"/>
                    <w:rPr>
                      <w:rFonts w:hint="default"/>
                      <w:lang w:val="en-US" w:eastAsia="zh-CN"/>
                    </w:rPr>
                  </w:pPr>
                  <w:r>
                    <w:rPr>
                      <w:rFonts w:hint="eastAsia"/>
                      <w:lang w:val="en-US" w:eastAsia="zh-CN"/>
                    </w:rPr>
                    <w:t>固废治理</w:t>
                  </w:r>
                </w:p>
              </w:tc>
              <w:tc>
                <w:tcPr>
                  <w:tcW w:w="756" w:type="pct"/>
                  <w:shd w:val="clear" w:color="auto" w:fill="auto"/>
                  <w:vAlign w:val="center"/>
                </w:tcPr>
                <w:p w14:paraId="62F04BC5">
                  <w:pPr>
                    <w:pStyle w:val="50"/>
                    <w:bidi w:val="0"/>
                    <w:rPr>
                      <w:rFonts w:hint="default"/>
                      <w:lang w:val="en-US" w:eastAsia="zh-CN"/>
                    </w:rPr>
                  </w:pPr>
                  <w:r>
                    <w:rPr>
                      <w:rFonts w:hint="eastAsia"/>
                      <w:lang w:val="en-US" w:eastAsia="zh-CN"/>
                    </w:rPr>
                    <w:t>生活垃圾</w:t>
                  </w:r>
                </w:p>
              </w:tc>
              <w:tc>
                <w:tcPr>
                  <w:tcW w:w="1701" w:type="pct"/>
                  <w:shd w:val="clear" w:color="auto" w:fill="auto"/>
                  <w:vAlign w:val="center"/>
                </w:tcPr>
                <w:p w14:paraId="15FDFEC7">
                  <w:pPr>
                    <w:pStyle w:val="50"/>
                    <w:bidi w:val="0"/>
                    <w:rPr>
                      <w:rFonts w:hint="default"/>
                      <w:lang w:val="en-US" w:eastAsia="zh-CN"/>
                    </w:rPr>
                  </w:pPr>
                  <w:r>
                    <w:rPr>
                      <w:rFonts w:hint="eastAsia"/>
                      <w:lang w:val="en-US" w:eastAsia="zh-CN"/>
                    </w:rPr>
                    <w:t>经厂内垃圾桶、垃圾箱收集后交由环卫部门定期清理</w:t>
                  </w:r>
                </w:p>
              </w:tc>
              <w:tc>
                <w:tcPr>
                  <w:tcW w:w="1120" w:type="pct"/>
                  <w:shd w:val="clear" w:color="auto" w:fill="auto"/>
                  <w:vAlign w:val="center"/>
                </w:tcPr>
                <w:p w14:paraId="2F88A9E6">
                  <w:pPr>
                    <w:bidi w:val="0"/>
                    <w:jc w:val="center"/>
                    <w:rPr>
                      <w:rFonts w:hint="eastAsia"/>
                      <w:lang w:val="en-US" w:eastAsia="zh-CN"/>
                    </w:rPr>
                  </w:pPr>
                  <w:r>
                    <w:rPr>
                      <w:rFonts w:hint="eastAsia"/>
                      <w:lang w:val="en-US" w:eastAsia="zh-CN"/>
                    </w:rPr>
                    <w:t>/</w:t>
                  </w:r>
                </w:p>
              </w:tc>
            </w:tr>
            <w:tr w14:paraId="2B26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shd w:val="clear" w:color="auto" w:fill="auto"/>
                  <w:vAlign w:val="center"/>
                </w:tcPr>
                <w:p w14:paraId="3AAB63F9">
                  <w:pPr>
                    <w:pStyle w:val="50"/>
                    <w:bidi w:val="0"/>
                    <w:rPr>
                      <w:rFonts w:hint="eastAsia"/>
                      <w:lang w:val="en-US" w:eastAsia="zh-CN"/>
                    </w:rPr>
                  </w:pPr>
                </w:p>
              </w:tc>
              <w:tc>
                <w:tcPr>
                  <w:tcW w:w="997" w:type="pct"/>
                  <w:vMerge w:val="continue"/>
                  <w:shd w:val="clear" w:color="auto" w:fill="auto"/>
                  <w:vAlign w:val="center"/>
                </w:tcPr>
                <w:p w14:paraId="51D37745">
                  <w:pPr>
                    <w:pStyle w:val="50"/>
                    <w:bidi w:val="0"/>
                    <w:rPr>
                      <w:rFonts w:hint="eastAsia"/>
                      <w:lang w:val="en-US" w:eastAsia="zh-CN"/>
                    </w:rPr>
                  </w:pPr>
                </w:p>
              </w:tc>
              <w:tc>
                <w:tcPr>
                  <w:tcW w:w="756" w:type="pct"/>
                  <w:shd w:val="clear" w:color="auto" w:fill="auto"/>
                  <w:vAlign w:val="center"/>
                </w:tcPr>
                <w:p w14:paraId="59E6379D">
                  <w:pPr>
                    <w:pStyle w:val="50"/>
                    <w:bidi w:val="0"/>
                    <w:jc w:val="center"/>
                    <w:rPr>
                      <w:rFonts w:hint="default"/>
                      <w:lang w:val="en-US" w:eastAsia="zh-CN"/>
                    </w:rPr>
                  </w:pPr>
                  <w:r>
                    <w:rPr>
                      <w:rFonts w:hint="eastAsia"/>
                      <w:lang w:val="en-US" w:eastAsia="zh-CN"/>
                    </w:rPr>
                    <w:t>一般固废</w:t>
                  </w:r>
                </w:p>
              </w:tc>
              <w:tc>
                <w:tcPr>
                  <w:tcW w:w="1701" w:type="pct"/>
                  <w:shd w:val="clear" w:color="auto" w:fill="auto"/>
                  <w:vAlign w:val="center"/>
                </w:tcPr>
                <w:p w14:paraId="7618117C">
                  <w:pPr>
                    <w:pStyle w:val="50"/>
                    <w:bidi w:val="0"/>
                    <w:jc w:val="left"/>
                    <w:rPr>
                      <w:rFonts w:hint="default"/>
                      <w:lang w:val="en-US" w:eastAsia="zh-CN"/>
                    </w:rPr>
                  </w:pPr>
                  <w:r>
                    <w:rPr>
                      <w:rFonts w:hint="eastAsia"/>
                      <w:lang w:val="en-US" w:eastAsia="zh-CN"/>
                    </w:rPr>
                    <w:t>在1#库房设置一座15㎡一般固废暂存间，</w:t>
                  </w:r>
                  <w:r>
                    <w:rPr>
                      <w:rFonts w:hint="default"/>
                      <w:lang w:val="en-US" w:eastAsia="zh-CN"/>
                    </w:rPr>
                    <w:t>废包装材料</w:t>
                  </w:r>
                  <w:r>
                    <w:rPr>
                      <w:rFonts w:hint="eastAsia"/>
                      <w:lang w:val="en-US" w:eastAsia="zh-CN"/>
                    </w:rPr>
                    <w:t>、水性涂料包装桶和</w:t>
                  </w:r>
                  <w:r>
                    <w:rPr>
                      <w:rFonts w:hint="default"/>
                      <w:lang w:val="en-US" w:eastAsia="zh-CN"/>
                    </w:rPr>
                    <w:t>废边角料收集后外售综合利用</w:t>
                  </w:r>
                  <w:r>
                    <w:rPr>
                      <w:rFonts w:hint="eastAsia"/>
                      <w:lang w:val="en-US" w:eastAsia="zh-CN"/>
                    </w:rPr>
                    <w:t>。</w:t>
                  </w:r>
                </w:p>
              </w:tc>
              <w:tc>
                <w:tcPr>
                  <w:tcW w:w="1120" w:type="pct"/>
                  <w:shd w:val="clear" w:color="auto" w:fill="auto"/>
                  <w:vAlign w:val="center"/>
                </w:tcPr>
                <w:p w14:paraId="0A0ED017">
                  <w:pPr>
                    <w:bidi w:val="0"/>
                    <w:jc w:val="center"/>
                    <w:rPr>
                      <w:rFonts w:hint="default"/>
                      <w:lang w:val="en-US" w:eastAsia="zh-CN"/>
                    </w:rPr>
                  </w:pPr>
                  <w:r>
                    <w:rPr>
                      <w:rFonts w:hint="eastAsia"/>
                      <w:lang w:val="en-US" w:eastAsia="zh-CN"/>
                    </w:rPr>
                    <w:t>未建</w:t>
                  </w:r>
                </w:p>
              </w:tc>
            </w:tr>
            <w:tr w14:paraId="70E1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shd w:val="clear" w:color="auto" w:fill="auto"/>
                  <w:vAlign w:val="center"/>
                </w:tcPr>
                <w:p w14:paraId="2D3B931F">
                  <w:pPr>
                    <w:pStyle w:val="50"/>
                    <w:bidi w:val="0"/>
                    <w:rPr>
                      <w:rFonts w:hint="eastAsia"/>
                      <w:lang w:val="en-US" w:eastAsia="zh-CN"/>
                    </w:rPr>
                  </w:pPr>
                </w:p>
              </w:tc>
              <w:tc>
                <w:tcPr>
                  <w:tcW w:w="997" w:type="pct"/>
                  <w:vMerge w:val="continue"/>
                  <w:shd w:val="clear" w:color="auto" w:fill="auto"/>
                  <w:vAlign w:val="center"/>
                </w:tcPr>
                <w:p w14:paraId="2A8F6329">
                  <w:pPr>
                    <w:pStyle w:val="50"/>
                    <w:bidi w:val="0"/>
                    <w:rPr>
                      <w:rFonts w:hint="eastAsia"/>
                      <w:lang w:val="en-US" w:eastAsia="zh-CN"/>
                    </w:rPr>
                  </w:pPr>
                </w:p>
              </w:tc>
              <w:tc>
                <w:tcPr>
                  <w:tcW w:w="756" w:type="pct"/>
                  <w:shd w:val="clear" w:color="auto" w:fill="auto"/>
                  <w:vAlign w:val="center"/>
                </w:tcPr>
                <w:p w14:paraId="65595DE1">
                  <w:pPr>
                    <w:pStyle w:val="50"/>
                    <w:bidi w:val="0"/>
                    <w:rPr>
                      <w:rFonts w:hint="default"/>
                      <w:lang w:val="en-US" w:eastAsia="zh-CN"/>
                    </w:rPr>
                  </w:pPr>
                  <w:r>
                    <w:rPr>
                      <w:rFonts w:hint="eastAsia"/>
                      <w:lang w:val="en-US" w:eastAsia="zh-CN"/>
                    </w:rPr>
                    <w:t>危险废物</w:t>
                  </w:r>
                </w:p>
              </w:tc>
              <w:tc>
                <w:tcPr>
                  <w:tcW w:w="1701" w:type="pct"/>
                  <w:shd w:val="clear" w:color="auto" w:fill="auto"/>
                  <w:vAlign w:val="center"/>
                </w:tcPr>
                <w:p w14:paraId="39373FA4">
                  <w:pPr>
                    <w:pStyle w:val="50"/>
                    <w:bidi w:val="0"/>
                    <w:jc w:val="both"/>
                    <w:rPr>
                      <w:rFonts w:hint="default"/>
                      <w:lang w:val="en-US" w:eastAsia="zh-CN"/>
                    </w:rPr>
                  </w:pPr>
                  <w:r>
                    <w:rPr>
                      <w:rFonts w:hint="eastAsia"/>
                      <w:lang w:val="en-US" w:eastAsia="zh-CN"/>
                    </w:rPr>
                    <w:t>在1#库房设置一座15㎡危废暂存间，</w:t>
                  </w:r>
                  <w:r>
                    <w:rPr>
                      <w:rFonts w:hint="default"/>
                      <w:lang w:val="en-US" w:eastAsia="zh-CN"/>
                    </w:rPr>
                    <w:t>废活性炭</w:t>
                  </w:r>
                  <w:r>
                    <w:rPr>
                      <w:rFonts w:hint="eastAsia"/>
                      <w:lang w:val="en-US" w:eastAsia="zh-CN"/>
                    </w:rPr>
                    <w:t>、</w:t>
                  </w:r>
                  <w:r>
                    <w:rPr>
                      <w:rFonts w:hint="default"/>
                      <w:lang w:val="en-US" w:eastAsia="zh-CN"/>
                    </w:rPr>
                    <w:t>废润滑油、废润滑油桶</w:t>
                  </w:r>
                  <w:r>
                    <w:rPr>
                      <w:rFonts w:hint="eastAsia"/>
                      <w:lang w:val="en-US" w:eastAsia="zh-CN"/>
                    </w:rPr>
                    <w:t>、清洗废渣</w:t>
                  </w:r>
                  <w:r>
                    <w:rPr>
                      <w:rFonts w:hint="default"/>
                      <w:lang w:val="en-US" w:eastAsia="zh-CN"/>
                    </w:rPr>
                    <w:t>暂存于危险废物暂存间，定期委托有资质的单位运走处置。</w:t>
                  </w:r>
                </w:p>
              </w:tc>
              <w:tc>
                <w:tcPr>
                  <w:tcW w:w="1120" w:type="pct"/>
                  <w:shd w:val="clear" w:color="auto" w:fill="auto"/>
                  <w:vAlign w:val="center"/>
                </w:tcPr>
                <w:p w14:paraId="0ADEC656">
                  <w:pPr>
                    <w:bidi w:val="0"/>
                    <w:jc w:val="center"/>
                    <w:rPr>
                      <w:rFonts w:hint="default"/>
                      <w:lang w:val="en-US" w:eastAsia="zh-CN"/>
                    </w:rPr>
                  </w:pPr>
                  <w:r>
                    <w:rPr>
                      <w:rFonts w:hint="eastAsia"/>
                      <w:lang w:val="en-US" w:eastAsia="zh-CN"/>
                    </w:rPr>
                    <w:t>未建</w:t>
                  </w:r>
                </w:p>
              </w:tc>
            </w:tr>
          </w:tbl>
          <w:p w14:paraId="4ECB3195">
            <w:pPr>
              <w:pStyle w:val="48"/>
              <w:bidi w:val="0"/>
              <w:rPr>
                <w:rFonts w:hint="eastAsia"/>
                <w:lang w:val="en-US" w:eastAsia="zh-CN"/>
              </w:rPr>
            </w:pPr>
            <w:r>
              <w:rPr>
                <w:rFonts w:hint="eastAsia"/>
                <w:lang w:val="en-US" w:eastAsia="zh-CN"/>
              </w:rPr>
              <w:t>5.产品方案</w:t>
            </w:r>
          </w:p>
          <w:p w14:paraId="235C1E49">
            <w:pPr>
              <w:pStyle w:val="47"/>
              <w:bidi w:val="0"/>
              <w:rPr>
                <w:rFonts w:hint="eastAsia"/>
                <w:lang w:val="en-US" w:eastAsia="zh-CN"/>
              </w:rPr>
            </w:pPr>
            <w:r>
              <w:rPr>
                <w:rFonts w:hint="eastAsia"/>
                <w:lang w:val="en-US" w:eastAsia="zh-CN"/>
              </w:rPr>
              <w:t>本项目建成后产品为钢桶，产品详细情况见表2-2。</w:t>
            </w:r>
          </w:p>
          <w:p w14:paraId="403F152F">
            <w:pPr>
              <w:pStyle w:val="49"/>
              <w:bidi w:val="0"/>
              <w:rPr>
                <w:rFonts w:hint="eastAsia"/>
                <w:lang w:val="en-US" w:eastAsia="zh-CN"/>
              </w:rPr>
            </w:pPr>
            <w:r>
              <w:rPr>
                <w:rFonts w:hint="eastAsia"/>
                <w:lang w:val="en-US" w:eastAsia="zh-CN"/>
              </w:rPr>
              <w:t>表2-2    项目产品方案一览表</w:t>
            </w:r>
          </w:p>
          <w:tbl>
            <w:tblPr>
              <w:tblStyle w:val="24"/>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740"/>
              <w:gridCol w:w="2378"/>
              <w:gridCol w:w="1507"/>
              <w:gridCol w:w="1359"/>
            </w:tblGrid>
            <w:tr w14:paraId="0FB9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452367C3">
                  <w:pPr>
                    <w:pStyle w:val="50"/>
                    <w:bidi w:val="0"/>
                    <w:jc w:val="center"/>
                    <w:rPr>
                      <w:rFonts w:hint="default"/>
                      <w:lang w:val="en-US" w:eastAsia="zh-CN"/>
                    </w:rPr>
                  </w:pPr>
                  <w:r>
                    <w:rPr>
                      <w:rFonts w:hint="eastAsia"/>
                      <w:lang w:val="en-US" w:eastAsia="zh-CN"/>
                    </w:rPr>
                    <w:t>序号</w:t>
                  </w:r>
                </w:p>
              </w:tc>
              <w:tc>
                <w:tcPr>
                  <w:tcW w:w="1740" w:type="dxa"/>
                  <w:vAlign w:val="center"/>
                </w:tcPr>
                <w:p w14:paraId="6E5BDEAC">
                  <w:pPr>
                    <w:pStyle w:val="50"/>
                    <w:bidi w:val="0"/>
                    <w:jc w:val="center"/>
                    <w:rPr>
                      <w:rFonts w:hint="default"/>
                      <w:lang w:val="en-US" w:eastAsia="zh-CN"/>
                    </w:rPr>
                  </w:pPr>
                  <w:r>
                    <w:rPr>
                      <w:rFonts w:hint="eastAsia"/>
                      <w:lang w:val="en-US" w:eastAsia="zh-CN"/>
                    </w:rPr>
                    <w:t>产品名称</w:t>
                  </w:r>
                </w:p>
              </w:tc>
              <w:tc>
                <w:tcPr>
                  <w:tcW w:w="2378" w:type="dxa"/>
                  <w:vAlign w:val="center"/>
                </w:tcPr>
                <w:p w14:paraId="37F216ED">
                  <w:pPr>
                    <w:pStyle w:val="50"/>
                    <w:bidi w:val="0"/>
                    <w:jc w:val="center"/>
                    <w:rPr>
                      <w:rFonts w:hint="default"/>
                      <w:lang w:val="en-US" w:eastAsia="zh-CN"/>
                    </w:rPr>
                  </w:pPr>
                  <w:r>
                    <w:rPr>
                      <w:rFonts w:hint="eastAsia"/>
                      <w:lang w:val="en-US" w:eastAsia="zh-CN"/>
                    </w:rPr>
                    <w:t>本产品规格</w:t>
                  </w:r>
                </w:p>
              </w:tc>
              <w:tc>
                <w:tcPr>
                  <w:tcW w:w="1507" w:type="dxa"/>
                  <w:vAlign w:val="center"/>
                </w:tcPr>
                <w:p w14:paraId="7C3EEE44">
                  <w:pPr>
                    <w:pStyle w:val="50"/>
                    <w:bidi w:val="0"/>
                    <w:jc w:val="center"/>
                    <w:rPr>
                      <w:rFonts w:hint="default"/>
                      <w:lang w:val="en-US" w:eastAsia="zh-CN"/>
                    </w:rPr>
                  </w:pPr>
                  <w:r>
                    <w:rPr>
                      <w:rFonts w:hint="eastAsia"/>
                      <w:lang w:val="en-US" w:eastAsia="zh-CN"/>
                    </w:rPr>
                    <w:t>产能</w:t>
                  </w:r>
                </w:p>
              </w:tc>
              <w:tc>
                <w:tcPr>
                  <w:tcW w:w="1359" w:type="dxa"/>
                  <w:vAlign w:val="center"/>
                </w:tcPr>
                <w:p w14:paraId="163DA8A5">
                  <w:pPr>
                    <w:pStyle w:val="50"/>
                    <w:bidi w:val="0"/>
                    <w:jc w:val="center"/>
                    <w:rPr>
                      <w:rFonts w:hint="default"/>
                      <w:lang w:val="en-US" w:eastAsia="zh-CN"/>
                    </w:rPr>
                  </w:pPr>
                  <w:r>
                    <w:rPr>
                      <w:rFonts w:hint="eastAsia"/>
                      <w:lang w:val="en-US" w:eastAsia="zh-CN"/>
                    </w:rPr>
                    <w:t>年运行天数、时数</w:t>
                  </w:r>
                </w:p>
              </w:tc>
            </w:tr>
            <w:tr w14:paraId="1AFD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14:paraId="1C124A0F">
                  <w:pPr>
                    <w:pStyle w:val="50"/>
                    <w:bidi w:val="0"/>
                    <w:jc w:val="center"/>
                    <w:rPr>
                      <w:rFonts w:hint="default"/>
                      <w:lang w:val="en-US" w:eastAsia="zh-CN"/>
                    </w:rPr>
                  </w:pPr>
                  <w:r>
                    <w:rPr>
                      <w:rFonts w:hint="eastAsia"/>
                      <w:lang w:val="en-US" w:eastAsia="zh-CN"/>
                    </w:rPr>
                    <w:t>1</w:t>
                  </w:r>
                </w:p>
              </w:tc>
              <w:tc>
                <w:tcPr>
                  <w:tcW w:w="1740" w:type="dxa"/>
                  <w:vAlign w:val="center"/>
                </w:tcPr>
                <w:p w14:paraId="57D19970">
                  <w:pPr>
                    <w:pStyle w:val="50"/>
                    <w:bidi w:val="0"/>
                    <w:jc w:val="center"/>
                    <w:rPr>
                      <w:rFonts w:hint="default"/>
                      <w:lang w:val="en-US" w:eastAsia="zh-CN"/>
                    </w:rPr>
                  </w:pPr>
                  <w:r>
                    <w:rPr>
                      <w:rFonts w:hint="eastAsia"/>
                      <w:lang w:val="en-US" w:eastAsia="zh-CN"/>
                    </w:rPr>
                    <w:t>钢桶</w:t>
                  </w:r>
                </w:p>
              </w:tc>
              <w:tc>
                <w:tcPr>
                  <w:tcW w:w="2378" w:type="dxa"/>
                  <w:vAlign w:val="center"/>
                </w:tcPr>
                <w:p w14:paraId="61342732">
                  <w:pPr>
                    <w:pStyle w:val="50"/>
                    <w:bidi w:val="0"/>
                    <w:jc w:val="center"/>
                    <w:rPr>
                      <w:rFonts w:hint="default"/>
                      <w:lang w:val="en-US" w:eastAsia="zh-CN"/>
                    </w:rPr>
                  </w:pPr>
                  <w:r>
                    <w:rPr>
                      <w:rFonts w:hint="eastAsia"/>
                      <w:lang w:val="en-US" w:eastAsia="zh-CN"/>
                    </w:rPr>
                    <w:t>内径55cm，桶高99cm，容积200L。</w:t>
                  </w:r>
                </w:p>
              </w:tc>
              <w:tc>
                <w:tcPr>
                  <w:tcW w:w="1507" w:type="dxa"/>
                  <w:vAlign w:val="center"/>
                </w:tcPr>
                <w:p w14:paraId="420922AC">
                  <w:pPr>
                    <w:pStyle w:val="50"/>
                    <w:bidi w:val="0"/>
                    <w:jc w:val="center"/>
                    <w:rPr>
                      <w:rFonts w:hint="default"/>
                      <w:lang w:val="en-US" w:eastAsia="zh-CN"/>
                    </w:rPr>
                  </w:pPr>
                  <w:r>
                    <w:rPr>
                      <w:rFonts w:hint="eastAsia"/>
                      <w:lang w:val="en-US" w:eastAsia="zh-CN"/>
                    </w:rPr>
                    <w:t>200000个/a</w:t>
                  </w:r>
                </w:p>
              </w:tc>
              <w:tc>
                <w:tcPr>
                  <w:tcW w:w="1359" w:type="dxa"/>
                  <w:vAlign w:val="center"/>
                </w:tcPr>
                <w:p w14:paraId="18BB3693">
                  <w:pPr>
                    <w:pStyle w:val="50"/>
                    <w:bidi w:val="0"/>
                    <w:jc w:val="center"/>
                    <w:rPr>
                      <w:rFonts w:hint="default"/>
                      <w:lang w:val="en-US" w:eastAsia="zh-CN"/>
                    </w:rPr>
                  </w:pPr>
                  <w:r>
                    <w:rPr>
                      <w:rFonts w:hint="eastAsia"/>
                      <w:lang w:val="en-US" w:eastAsia="zh-CN"/>
                    </w:rPr>
                    <w:t>180d,1440h</w:t>
                  </w:r>
                </w:p>
              </w:tc>
            </w:tr>
          </w:tbl>
          <w:p w14:paraId="3DAF2C98">
            <w:pPr>
              <w:pStyle w:val="48"/>
              <w:shd w:val="clear"/>
              <w:bidi w:val="0"/>
              <w:rPr>
                <w:rFonts w:hint="eastAsia"/>
                <w:highlight w:val="none"/>
                <w:lang w:val="en-US" w:eastAsia="zh-CN"/>
              </w:rPr>
            </w:pPr>
            <w:r>
              <w:rPr>
                <w:rFonts w:hint="eastAsia"/>
                <w:highlight w:val="none"/>
                <w:lang w:val="en-US" w:eastAsia="zh-CN"/>
              </w:rPr>
              <w:t>6.主要设备</w:t>
            </w:r>
          </w:p>
          <w:p w14:paraId="039CE474">
            <w:pPr>
              <w:pStyle w:val="47"/>
              <w:bidi w:val="0"/>
              <w:rPr>
                <w:rFonts w:hint="eastAsia"/>
                <w:lang w:val="en-US" w:eastAsia="zh-CN"/>
              </w:rPr>
            </w:pPr>
            <w:r>
              <w:rPr>
                <w:rFonts w:hint="eastAsia"/>
                <w:lang w:val="en-US" w:eastAsia="zh-CN"/>
              </w:rPr>
              <w:t>本项目主要生产设备见下表2-3。</w:t>
            </w:r>
          </w:p>
          <w:p w14:paraId="0360B982">
            <w:pPr>
              <w:pStyle w:val="49"/>
              <w:bidi w:val="0"/>
              <w:rPr>
                <w:rFonts w:hint="eastAsia"/>
                <w:lang w:val="en-US" w:eastAsia="zh-CN"/>
              </w:rPr>
            </w:pPr>
            <w:r>
              <w:rPr>
                <w:rFonts w:hint="eastAsia"/>
                <w:lang w:val="en-US" w:eastAsia="zh-CN"/>
              </w:rPr>
              <w:t>表2-3    项目主要生产设备一览表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610"/>
              <w:gridCol w:w="2239"/>
              <w:gridCol w:w="2050"/>
            </w:tblGrid>
            <w:tr w14:paraId="7602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66538CAC">
                  <w:pPr>
                    <w:pStyle w:val="50"/>
                    <w:bidi w:val="0"/>
                    <w:jc w:val="center"/>
                    <w:rPr>
                      <w:rFonts w:hint="default"/>
                      <w:lang w:val="en-US" w:eastAsia="zh-CN"/>
                    </w:rPr>
                  </w:pPr>
                  <w:r>
                    <w:rPr>
                      <w:rFonts w:hint="eastAsia"/>
                      <w:lang w:val="en-US" w:eastAsia="zh-CN"/>
                    </w:rPr>
                    <w:t>序号</w:t>
                  </w:r>
                </w:p>
              </w:tc>
              <w:tc>
                <w:tcPr>
                  <w:tcW w:w="1607" w:type="pct"/>
                  <w:vAlign w:val="center"/>
                </w:tcPr>
                <w:p w14:paraId="09284BAD">
                  <w:pPr>
                    <w:pStyle w:val="50"/>
                    <w:bidi w:val="0"/>
                    <w:jc w:val="center"/>
                    <w:rPr>
                      <w:rFonts w:hint="default"/>
                      <w:lang w:val="en-US" w:eastAsia="zh-CN"/>
                    </w:rPr>
                  </w:pPr>
                  <w:r>
                    <w:rPr>
                      <w:rFonts w:hint="eastAsia"/>
                      <w:lang w:val="en-US" w:eastAsia="zh-CN"/>
                    </w:rPr>
                    <w:t>设备名称</w:t>
                  </w:r>
                </w:p>
              </w:tc>
              <w:tc>
                <w:tcPr>
                  <w:tcW w:w="1379" w:type="pct"/>
                  <w:vAlign w:val="center"/>
                </w:tcPr>
                <w:p w14:paraId="7FFFB4DF">
                  <w:pPr>
                    <w:pStyle w:val="50"/>
                    <w:bidi w:val="0"/>
                    <w:jc w:val="center"/>
                    <w:rPr>
                      <w:rFonts w:hint="default"/>
                      <w:lang w:val="en-US" w:eastAsia="zh-CN"/>
                    </w:rPr>
                  </w:pPr>
                  <w:r>
                    <w:rPr>
                      <w:rFonts w:hint="eastAsia"/>
                      <w:lang w:val="en-US" w:eastAsia="zh-CN"/>
                    </w:rPr>
                    <w:t>型号规格</w:t>
                  </w:r>
                </w:p>
              </w:tc>
              <w:tc>
                <w:tcPr>
                  <w:tcW w:w="1262" w:type="pct"/>
                  <w:vAlign w:val="center"/>
                </w:tcPr>
                <w:p w14:paraId="254EABCF">
                  <w:pPr>
                    <w:pStyle w:val="50"/>
                    <w:bidi w:val="0"/>
                    <w:jc w:val="center"/>
                    <w:rPr>
                      <w:rFonts w:hint="default"/>
                      <w:lang w:val="en-US" w:eastAsia="zh-CN"/>
                    </w:rPr>
                  </w:pPr>
                  <w:r>
                    <w:rPr>
                      <w:rFonts w:hint="eastAsia"/>
                      <w:lang w:val="en-US" w:eastAsia="zh-CN"/>
                    </w:rPr>
                    <w:t>数量</w:t>
                  </w:r>
                </w:p>
              </w:tc>
            </w:tr>
            <w:tr w14:paraId="1099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435C99BE">
                  <w:pPr>
                    <w:pStyle w:val="61"/>
                    <w:bidi w:val="0"/>
                    <w:rPr>
                      <w:rFonts w:hint="default"/>
                      <w:lang w:val="en-US" w:eastAsia="zh-CN"/>
                    </w:rPr>
                  </w:pPr>
                  <w:r>
                    <w:rPr>
                      <w:rFonts w:hint="eastAsia"/>
                      <w:lang w:val="en-US" w:eastAsia="zh-CN"/>
                    </w:rPr>
                    <w:t>1</w:t>
                  </w:r>
                </w:p>
              </w:tc>
              <w:tc>
                <w:tcPr>
                  <w:tcW w:w="1607" w:type="pct"/>
                  <w:vAlign w:val="center"/>
                </w:tcPr>
                <w:p w14:paraId="6196296C">
                  <w:pPr>
                    <w:pStyle w:val="61"/>
                    <w:bidi w:val="0"/>
                    <w:rPr>
                      <w:rFonts w:hint="default"/>
                      <w:lang w:val="en-US" w:eastAsia="zh-CN"/>
                    </w:rPr>
                  </w:pPr>
                  <w:r>
                    <w:rPr>
                      <w:rFonts w:hint="eastAsia"/>
                      <w:lang w:val="en-US" w:eastAsia="zh-CN"/>
                    </w:rPr>
                    <w:t>开平机</w:t>
                  </w:r>
                </w:p>
              </w:tc>
              <w:tc>
                <w:tcPr>
                  <w:tcW w:w="1379" w:type="pct"/>
                  <w:vAlign w:val="center"/>
                </w:tcPr>
                <w:p w14:paraId="5813CA86">
                  <w:pPr>
                    <w:pStyle w:val="61"/>
                    <w:bidi w:val="0"/>
                    <w:rPr>
                      <w:rFonts w:hint="default"/>
                      <w:lang w:val="en-US" w:eastAsia="zh-CN"/>
                    </w:rPr>
                  </w:pPr>
                  <w:r>
                    <w:rPr>
                      <w:rFonts w:hint="eastAsia"/>
                      <w:lang w:val="en-US" w:eastAsia="zh-CN"/>
                    </w:rPr>
                    <w:t>/</w:t>
                  </w:r>
                </w:p>
              </w:tc>
              <w:tc>
                <w:tcPr>
                  <w:tcW w:w="1262" w:type="pct"/>
                  <w:vAlign w:val="center"/>
                </w:tcPr>
                <w:p w14:paraId="54EA64F8">
                  <w:pPr>
                    <w:pStyle w:val="61"/>
                    <w:bidi w:val="0"/>
                    <w:rPr>
                      <w:rFonts w:hint="default"/>
                      <w:lang w:val="en-US" w:eastAsia="zh-CN"/>
                    </w:rPr>
                  </w:pPr>
                  <w:r>
                    <w:rPr>
                      <w:rFonts w:hint="eastAsia"/>
                      <w:lang w:val="en-US" w:eastAsia="zh-CN"/>
                    </w:rPr>
                    <w:t>1台</w:t>
                  </w:r>
                </w:p>
              </w:tc>
            </w:tr>
            <w:tr w14:paraId="485F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775FCB17">
                  <w:pPr>
                    <w:pStyle w:val="61"/>
                    <w:bidi w:val="0"/>
                    <w:rPr>
                      <w:rFonts w:hint="default"/>
                      <w:lang w:val="en-US" w:eastAsia="zh-CN"/>
                    </w:rPr>
                  </w:pPr>
                  <w:r>
                    <w:rPr>
                      <w:rFonts w:hint="eastAsia"/>
                      <w:lang w:val="en-US" w:eastAsia="zh-CN"/>
                    </w:rPr>
                    <w:t>2</w:t>
                  </w:r>
                </w:p>
              </w:tc>
              <w:tc>
                <w:tcPr>
                  <w:tcW w:w="1607" w:type="pct"/>
                  <w:vAlign w:val="center"/>
                </w:tcPr>
                <w:p w14:paraId="2C49390D">
                  <w:pPr>
                    <w:pStyle w:val="61"/>
                    <w:bidi w:val="0"/>
                    <w:rPr>
                      <w:rFonts w:hint="default"/>
                      <w:lang w:val="en-US" w:eastAsia="zh-CN"/>
                    </w:rPr>
                  </w:pPr>
                  <w:r>
                    <w:rPr>
                      <w:rFonts w:hint="eastAsia"/>
                      <w:lang w:val="en-US" w:eastAsia="zh-CN"/>
                    </w:rPr>
                    <w:t>剪板机</w:t>
                  </w:r>
                </w:p>
              </w:tc>
              <w:tc>
                <w:tcPr>
                  <w:tcW w:w="1379" w:type="pct"/>
                  <w:vAlign w:val="center"/>
                </w:tcPr>
                <w:p w14:paraId="76FEBD20">
                  <w:pPr>
                    <w:pStyle w:val="61"/>
                    <w:bidi w:val="0"/>
                    <w:rPr>
                      <w:rFonts w:hint="default"/>
                      <w:lang w:val="en-US" w:eastAsia="zh-CN"/>
                    </w:rPr>
                  </w:pPr>
                  <w:r>
                    <w:rPr>
                      <w:rFonts w:hint="eastAsia"/>
                      <w:lang w:val="en-US" w:eastAsia="zh-CN"/>
                    </w:rPr>
                    <w:t>/</w:t>
                  </w:r>
                </w:p>
              </w:tc>
              <w:tc>
                <w:tcPr>
                  <w:tcW w:w="1262" w:type="pct"/>
                  <w:vAlign w:val="center"/>
                </w:tcPr>
                <w:p w14:paraId="30C76014">
                  <w:pPr>
                    <w:pStyle w:val="61"/>
                    <w:bidi w:val="0"/>
                    <w:rPr>
                      <w:rFonts w:hint="default"/>
                      <w:lang w:val="en-US" w:eastAsia="zh-CN"/>
                    </w:rPr>
                  </w:pPr>
                  <w:r>
                    <w:rPr>
                      <w:rFonts w:hint="eastAsia"/>
                      <w:lang w:val="en-US" w:eastAsia="zh-CN"/>
                    </w:rPr>
                    <w:t>1台</w:t>
                  </w:r>
                </w:p>
              </w:tc>
            </w:tr>
            <w:tr w14:paraId="15AEF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98F31FE">
                  <w:pPr>
                    <w:pStyle w:val="61"/>
                    <w:bidi w:val="0"/>
                    <w:rPr>
                      <w:rFonts w:hint="default"/>
                      <w:lang w:val="en-US" w:eastAsia="zh-CN"/>
                    </w:rPr>
                  </w:pPr>
                  <w:r>
                    <w:rPr>
                      <w:rFonts w:hint="eastAsia"/>
                      <w:lang w:val="en-US" w:eastAsia="zh-CN"/>
                    </w:rPr>
                    <w:t>3</w:t>
                  </w:r>
                </w:p>
              </w:tc>
              <w:tc>
                <w:tcPr>
                  <w:tcW w:w="1607" w:type="pct"/>
                  <w:vAlign w:val="center"/>
                </w:tcPr>
                <w:p w14:paraId="46B11169">
                  <w:pPr>
                    <w:pStyle w:val="61"/>
                    <w:bidi w:val="0"/>
                    <w:rPr>
                      <w:rFonts w:hint="default"/>
                      <w:lang w:val="en-US" w:eastAsia="zh-CN"/>
                    </w:rPr>
                  </w:pPr>
                  <w:r>
                    <w:rPr>
                      <w:rFonts w:hint="eastAsia"/>
                      <w:lang w:val="en-US" w:eastAsia="zh-CN"/>
                    </w:rPr>
                    <w:t>冲床</w:t>
                  </w:r>
                </w:p>
              </w:tc>
              <w:tc>
                <w:tcPr>
                  <w:tcW w:w="1379" w:type="pct"/>
                  <w:vAlign w:val="center"/>
                </w:tcPr>
                <w:p w14:paraId="0BA9CD10">
                  <w:pPr>
                    <w:pStyle w:val="61"/>
                    <w:bidi w:val="0"/>
                    <w:rPr>
                      <w:rFonts w:hint="default"/>
                      <w:lang w:val="en-US" w:eastAsia="zh-CN"/>
                    </w:rPr>
                  </w:pPr>
                  <w:r>
                    <w:rPr>
                      <w:rFonts w:hint="eastAsia"/>
                      <w:lang w:val="en-US" w:eastAsia="zh-CN"/>
                    </w:rPr>
                    <w:t>JF21-125</w:t>
                  </w:r>
                </w:p>
              </w:tc>
              <w:tc>
                <w:tcPr>
                  <w:tcW w:w="1262" w:type="pct"/>
                  <w:vAlign w:val="center"/>
                </w:tcPr>
                <w:p w14:paraId="641BAB95">
                  <w:pPr>
                    <w:pStyle w:val="61"/>
                    <w:bidi w:val="0"/>
                    <w:rPr>
                      <w:rFonts w:hint="default"/>
                      <w:lang w:val="en-US" w:eastAsia="zh-CN"/>
                    </w:rPr>
                  </w:pPr>
                  <w:r>
                    <w:rPr>
                      <w:rFonts w:hint="eastAsia"/>
                      <w:lang w:val="en-US" w:eastAsia="zh-CN"/>
                    </w:rPr>
                    <w:t>2台</w:t>
                  </w:r>
                </w:p>
              </w:tc>
            </w:tr>
            <w:tr w14:paraId="1D4D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53543935">
                  <w:pPr>
                    <w:pStyle w:val="61"/>
                    <w:bidi w:val="0"/>
                    <w:rPr>
                      <w:rFonts w:hint="default"/>
                      <w:lang w:val="en-US" w:eastAsia="zh-CN"/>
                    </w:rPr>
                  </w:pPr>
                  <w:r>
                    <w:rPr>
                      <w:rFonts w:hint="eastAsia"/>
                      <w:lang w:val="en-US" w:eastAsia="zh-CN"/>
                    </w:rPr>
                    <w:t>4</w:t>
                  </w:r>
                </w:p>
              </w:tc>
              <w:tc>
                <w:tcPr>
                  <w:tcW w:w="1607" w:type="pct"/>
                  <w:vAlign w:val="center"/>
                </w:tcPr>
                <w:p w14:paraId="7CCC143D">
                  <w:pPr>
                    <w:pStyle w:val="61"/>
                    <w:bidi w:val="0"/>
                    <w:rPr>
                      <w:rFonts w:hint="default"/>
                      <w:lang w:val="en-US" w:eastAsia="zh-CN"/>
                    </w:rPr>
                  </w:pPr>
                  <w:r>
                    <w:rPr>
                      <w:rFonts w:hint="eastAsia"/>
                      <w:lang w:val="en-US" w:eastAsia="zh-CN"/>
                    </w:rPr>
                    <w:t>胀筋机</w:t>
                  </w:r>
                </w:p>
              </w:tc>
              <w:tc>
                <w:tcPr>
                  <w:tcW w:w="1379" w:type="pct"/>
                  <w:vAlign w:val="center"/>
                </w:tcPr>
                <w:p w14:paraId="40E6F7EE">
                  <w:pPr>
                    <w:pStyle w:val="61"/>
                    <w:bidi w:val="0"/>
                    <w:rPr>
                      <w:rFonts w:hint="default"/>
                      <w:lang w:val="en-US" w:eastAsia="zh-CN"/>
                    </w:rPr>
                  </w:pPr>
                  <w:r>
                    <w:rPr>
                      <w:rFonts w:hint="eastAsia"/>
                      <w:lang w:val="en-US" w:eastAsia="zh-CN"/>
                    </w:rPr>
                    <w:t>/</w:t>
                  </w:r>
                </w:p>
              </w:tc>
              <w:tc>
                <w:tcPr>
                  <w:tcW w:w="1262" w:type="pct"/>
                  <w:vAlign w:val="center"/>
                </w:tcPr>
                <w:p w14:paraId="3B64625D">
                  <w:pPr>
                    <w:pStyle w:val="61"/>
                    <w:bidi w:val="0"/>
                    <w:rPr>
                      <w:rFonts w:hint="default"/>
                      <w:lang w:val="en-US" w:eastAsia="zh-CN"/>
                    </w:rPr>
                  </w:pPr>
                  <w:r>
                    <w:rPr>
                      <w:rFonts w:hint="eastAsia"/>
                      <w:lang w:val="en-US" w:eastAsia="zh-CN"/>
                    </w:rPr>
                    <w:t>1台</w:t>
                  </w:r>
                </w:p>
              </w:tc>
            </w:tr>
            <w:tr w14:paraId="534A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44869794">
                  <w:pPr>
                    <w:pStyle w:val="61"/>
                    <w:bidi w:val="0"/>
                    <w:rPr>
                      <w:rFonts w:hint="default"/>
                      <w:lang w:val="en-US" w:eastAsia="zh-CN"/>
                    </w:rPr>
                  </w:pPr>
                  <w:r>
                    <w:rPr>
                      <w:rFonts w:hint="eastAsia"/>
                      <w:lang w:val="en-US" w:eastAsia="zh-CN"/>
                    </w:rPr>
                    <w:t>5</w:t>
                  </w:r>
                </w:p>
              </w:tc>
              <w:tc>
                <w:tcPr>
                  <w:tcW w:w="1607" w:type="pct"/>
                  <w:vAlign w:val="center"/>
                </w:tcPr>
                <w:p w14:paraId="2A14A33A">
                  <w:pPr>
                    <w:pStyle w:val="61"/>
                    <w:bidi w:val="0"/>
                    <w:rPr>
                      <w:rFonts w:hint="default"/>
                      <w:lang w:val="en-US" w:eastAsia="zh-CN"/>
                    </w:rPr>
                  </w:pPr>
                  <w:r>
                    <w:rPr>
                      <w:rFonts w:hint="eastAsia"/>
                      <w:lang w:val="en-US" w:eastAsia="zh-CN"/>
                    </w:rPr>
                    <w:t>自动激光缝焊机</w:t>
                  </w:r>
                </w:p>
              </w:tc>
              <w:tc>
                <w:tcPr>
                  <w:tcW w:w="1379" w:type="pct"/>
                  <w:vAlign w:val="center"/>
                </w:tcPr>
                <w:p w14:paraId="0FE4B4E7">
                  <w:pPr>
                    <w:pStyle w:val="61"/>
                    <w:bidi w:val="0"/>
                    <w:rPr>
                      <w:rFonts w:hint="default"/>
                      <w:lang w:val="en-US" w:eastAsia="zh-CN"/>
                    </w:rPr>
                  </w:pPr>
                  <w:r>
                    <w:rPr>
                      <w:rFonts w:hint="eastAsia"/>
                      <w:lang w:val="en-US" w:eastAsia="zh-CN"/>
                    </w:rPr>
                    <w:t>/</w:t>
                  </w:r>
                </w:p>
              </w:tc>
              <w:tc>
                <w:tcPr>
                  <w:tcW w:w="1262" w:type="pct"/>
                  <w:vAlign w:val="center"/>
                </w:tcPr>
                <w:p w14:paraId="3CFB86EA">
                  <w:pPr>
                    <w:pStyle w:val="61"/>
                    <w:bidi w:val="0"/>
                    <w:rPr>
                      <w:rFonts w:hint="default"/>
                      <w:lang w:val="en-US" w:eastAsia="zh-CN"/>
                    </w:rPr>
                  </w:pPr>
                  <w:r>
                    <w:rPr>
                      <w:rFonts w:hint="eastAsia"/>
                      <w:lang w:val="en-US" w:eastAsia="zh-CN"/>
                    </w:rPr>
                    <w:t>1台</w:t>
                  </w:r>
                </w:p>
              </w:tc>
            </w:tr>
            <w:tr w14:paraId="2091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D28AFC4">
                  <w:pPr>
                    <w:pStyle w:val="61"/>
                    <w:bidi w:val="0"/>
                    <w:rPr>
                      <w:rFonts w:hint="default"/>
                      <w:lang w:val="en-US" w:eastAsia="zh-CN"/>
                    </w:rPr>
                  </w:pPr>
                  <w:r>
                    <w:rPr>
                      <w:rFonts w:hint="eastAsia"/>
                      <w:lang w:val="en-US" w:eastAsia="zh-CN"/>
                    </w:rPr>
                    <w:t>6</w:t>
                  </w:r>
                </w:p>
              </w:tc>
              <w:tc>
                <w:tcPr>
                  <w:tcW w:w="1607" w:type="pct"/>
                  <w:vAlign w:val="center"/>
                </w:tcPr>
                <w:p w14:paraId="43D56CC7">
                  <w:pPr>
                    <w:pStyle w:val="61"/>
                    <w:bidi w:val="0"/>
                    <w:rPr>
                      <w:rFonts w:hint="default"/>
                      <w:lang w:val="en-US" w:eastAsia="zh-CN"/>
                    </w:rPr>
                  </w:pPr>
                  <w:r>
                    <w:rPr>
                      <w:rFonts w:hint="eastAsia"/>
                      <w:lang w:val="en-US" w:eastAsia="zh-CN"/>
                    </w:rPr>
                    <w:t>清洗、陶化烘干线</w:t>
                  </w:r>
                </w:p>
              </w:tc>
              <w:tc>
                <w:tcPr>
                  <w:tcW w:w="1379" w:type="pct"/>
                  <w:vAlign w:val="center"/>
                </w:tcPr>
                <w:p w14:paraId="320AFEB7">
                  <w:pPr>
                    <w:pStyle w:val="61"/>
                    <w:bidi w:val="0"/>
                    <w:rPr>
                      <w:rFonts w:hint="default"/>
                      <w:lang w:val="en-US" w:eastAsia="zh-CN"/>
                    </w:rPr>
                  </w:pPr>
                  <w:r>
                    <w:rPr>
                      <w:rFonts w:hint="eastAsia"/>
                      <w:lang w:val="en-US" w:eastAsia="zh-CN"/>
                    </w:rPr>
                    <w:t>/</w:t>
                  </w:r>
                </w:p>
              </w:tc>
              <w:tc>
                <w:tcPr>
                  <w:tcW w:w="1262" w:type="pct"/>
                  <w:vAlign w:val="center"/>
                </w:tcPr>
                <w:p w14:paraId="44FF9027">
                  <w:pPr>
                    <w:pStyle w:val="61"/>
                    <w:bidi w:val="0"/>
                    <w:rPr>
                      <w:rFonts w:hint="eastAsia"/>
                      <w:lang w:val="en-US" w:eastAsia="zh-CN"/>
                    </w:rPr>
                  </w:pPr>
                  <w:r>
                    <w:rPr>
                      <w:rFonts w:hint="eastAsia"/>
                      <w:lang w:val="en-US" w:eastAsia="zh-CN"/>
                    </w:rPr>
                    <w:t>1套</w:t>
                  </w:r>
                </w:p>
              </w:tc>
            </w:tr>
            <w:tr w14:paraId="04D2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0CE2476E">
                  <w:pPr>
                    <w:pStyle w:val="61"/>
                    <w:bidi w:val="0"/>
                    <w:rPr>
                      <w:rFonts w:hint="default"/>
                      <w:lang w:val="en-US" w:eastAsia="zh-CN"/>
                    </w:rPr>
                  </w:pPr>
                  <w:r>
                    <w:rPr>
                      <w:rFonts w:hint="eastAsia"/>
                      <w:lang w:val="en-US" w:eastAsia="zh-CN"/>
                    </w:rPr>
                    <w:t>7</w:t>
                  </w:r>
                </w:p>
              </w:tc>
              <w:tc>
                <w:tcPr>
                  <w:tcW w:w="1607" w:type="pct"/>
                  <w:vAlign w:val="center"/>
                </w:tcPr>
                <w:p w14:paraId="7AAD0E80">
                  <w:pPr>
                    <w:pStyle w:val="61"/>
                    <w:bidi w:val="0"/>
                    <w:rPr>
                      <w:rFonts w:hint="default"/>
                      <w:lang w:val="en-US" w:eastAsia="zh-CN"/>
                    </w:rPr>
                  </w:pPr>
                  <w:r>
                    <w:rPr>
                      <w:rFonts w:hint="eastAsia"/>
                      <w:lang w:val="en-US" w:eastAsia="zh-CN"/>
                    </w:rPr>
                    <w:t>喷漆烘干线</w:t>
                  </w:r>
                </w:p>
              </w:tc>
              <w:tc>
                <w:tcPr>
                  <w:tcW w:w="1379" w:type="pct"/>
                  <w:vAlign w:val="center"/>
                </w:tcPr>
                <w:p w14:paraId="277BE35D">
                  <w:pPr>
                    <w:pStyle w:val="61"/>
                    <w:bidi w:val="0"/>
                    <w:rPr>
                      <w:rFonts w:hint="default"/>
                      <w:lang w:val="en-US" w:eastAsia="zh-CN"/>
                    </w:rPr>
                  </w:pPr>
                  <w:r>
                    <w:rPr>
                      <w:rFonts w:hint="eastAsia"/>
                      <w:lang w:val="en-US" w:eastAsia="zh-CN"/>
                    </w:rPr>
                    <w:t>/</w:t>
                  </w:r>
                </w:p>
              </w:tc>
              <w:tc>
                <w:tcPr>
                  <w:tcW w:w="1262" w:type="pct"/>
                  <w:vAlign w:val="center"/>
                </w:tcPr>
                <w:p w14:paraId="45BBD3D8">
                  <w:pPr>
                    <w:pStyle w:val="61"/>
                    <w:bidi w:val="0"/>
                    <w:rPr>
                      <w:rFonts w:hint="eastAsia"/>
                      <w:lang w:val="en-US" w:eastAsia="zh-CN"/>
                    </w:rPr>
                  </w:pPr>
                  <w:r>
                    <w:rPr>
                      <w:rFonts w:hint="eastAsia"/>
                      <w:lang w:val="en-US" w:eastAsia="zh-CN"/>
                    </w:rPr>
                    <w:t>1套</w:t>
                  </w:r>
                </w:p>
              </w:tc>
            </w:tr>
          </w:tbl>
          <w:p w14:paraId="65B1423E">
            <w:pPr>
              <w:pStyle w:val="52"/>
              <w:keepNext w:val="0"/>
              <w:keepLines w:val="0"/>
              <w:suppressLineNumbers w:val="0"/>
              <w:bidi w:val="0"/>
              <w:spacing w:before="0" w:beforeAutospacing="0" w:after="0" w:afterAutospacing="0"/>
              <w:ind w:left="0" w:right="0"/>
              <w:rPr>
                <w:rFonts w:hint="default" w:cs="Times New Roman"/>
                <w:lang w:val="en-US" w:eastAsia="zh-CN"/>
              </w:rPr>
            </w:pPr>
            <w:r>
              <w:rPr>
                <w:rFonts w:hint="eastAsia" w:cs="Times New Roman"/>
                <w:lang w:val="en-US" w:eastAsia="zh-CN"/>
              </w:rPr>
              <w:t>7.主要原辅材料</w:t>
            </w:r>
          </w:p>
          <w:p w14:paraId="748395F7">
            <w:pPr>
              <w:pStyle w:val="51"/>
              <w:bidi w:val="0"/>
              <w:rPr>
                <w:rFonts w:hint="eastAsia"/>
                <w:lang w:val="en-US" w:eastAsia="zh-CN"/>
              </w:rPr>
            </w:pPr>
            <w:r>
              <w:rPr>
                <w:rFonts w:hint="eastAsia"/>
              </w:rPr>
              <w:t>本项目所需主要原辅材料消耗及来源见下表</w:t>
            </w:r>
            <w:r>
              <w:rPr>
                <w:rFonts w:hint="eastAsia"/>
                <w:lang w:val="en-US" w:eastAsia="zh-CN"/>
              </w:rPr>
              <w:t>2-4。</w:t>
            </w:r>
          </w:p>
          <w:p w14:paraId="2B83D41E">
            <w:pPr>
              <w:pStyle w:val="49"/>
              <w:bidi w:val="0"/>
              <w:rPr>
                <w:rFonts w:hint="eastAsia"/>
                <w:highlight w:val="none"/>
                <w:lang w:val="en-US" w:eastAsia="zh-CN"/>
              </w:rPr>
            </w:pPr>
            <w:r>
              <w:rPr>
                <w:rFonts w:hint="eastAsia"/>
                <w:highlight w:val="none"/>
              </w:rPr>
              <w:t>表</w:t>
            </w:r>
            <w:r>
              <w:rPr>
                <w:rFonts w:hint="eastAsia"/>
                <w:highlight w:val="none"/>
                <w:lang w:val="en-US" w:eastAsia="zh-CN"/>
              </w:rPr>
              <w:t>2-4    项目主要原辅材料、能源消耗和来源一览表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884"/>
              <w:gridCol w:w="1715"/>
              <w:gridCol w:w="1611"/>
              <w:gridCol w:w="1819"/>
            </w:tblGrid>
            <w:tr w14:paraId="6AC9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tcPr>
                <w:p w14:paraId="43A6A39D">
                  <w:pPr>
                    <w:pStyle w:val="50"/>
                    <w:bidi w:val="0"/>
                    <w:rPr>
                      <w:rFonts w:hint="default"/>
                      <w:lang w:val="en-US" w:eastAsia="zh-CN"/>
                    </w:rPr>
                  </w:pPr>
                  <w:r>
                    <w:rPr>
                      <w:rFonts w:hint="eastAsia"/>
                      <w:lang w:val="en-US" w:eastAsia="zh-CN"/>
                    </w:rPr>
                    <w:t>序号</w:t>
                  </w:r>
                </w:p>
              </w:tc>
              <w:tc>
                <w:tcPr>
                  <w:tcW w:w="1160" w:type="pct"/>
                </w:tcPr>
                <w:p w14:paraId="5D967F11">
                  <w:pPr>
                    <w:pStyle w:val="50"/>
                    <w:bidi w:val="0"/>
                    <w:rPr>
                      <w:rFonts w:hint="default"/>
                      <w:lang w:val="en-US" w:eastAsia="zh-CN"/>
                    </w:rPr>
                  </w:pPr>
                  <w:r>
                    <w:rPr>
                      <w:rFonts w:hint="eastAsia"/>
                      <w:lang w:val="en-US" w:eastAsia="zh-CN"/>
                    </w:rPr>
                    <w:t>名称</w:t>
                  </w:r>
                </w:p>
              </w:tc>
              <w:tc>
                <w:tcPr>
                  <w:tcW w:w="1056" w:type="pct"/>
                </w:tcPr>
                <w:p w14:paraId="5F31EDEE">
                  <w:pPr>
                    <w:pStyle w:val="50"/>
                    <w:bidi w:val="0"/>
                    <w:rPr>
                      <w:rFonts w:hint="default"/>
                      <w:lang w:val="en-US" w:eastAsia="zh-CN"/>
                    </w:rPr>
                  </w:pPr>
                  <w:r>
                    <w:rPr>
                      <w:rFonts w:hint="eastAsia"/>
                      <w:lang w:val="en-US" w:eastAsia="zh-CN"/>
                    </w:rPr>
                    <w:t>用量</w:t>
                  </w:r>
                </w:p>
              </w:tc>
              <w:tc>
                <w:tcPr>
                  <w:tcW w:w="992" w:type="pct"/>
                </w:tcPr>
                <w:p w14:paraId="7B20CEEB">
                  <w:pPr>
                    <w:pStyle w:val="50"/>
                    <w:bidi w:val="0"/>
                    <w:rPr>
                      <w:rFonts w:hint="default"/>
                      <w:lang w:val="en-US" w:eastAsia="zh-CN"/>
                    </w:rPr>
                  </w:pPr>
                  <w:r>
                    <w:rPr>
                      <w:rFonts w:hint="eastAsia"/>
                      <w:lang w:val="en-US" w:eastAsia="zh-CN"/>
                    </w:rPr>
                    <w:t>来源</w:t>
                  </w:r>
                </w:p>
              </w:tc>
              <w:tc>
                <w:tcPr>
                  <w:tcW w:w="1120" w:type="pct"/>
                </w:tcPr>
                <w:p w14:paraId="46753864">
                  <w:pPr>
                    <w:pStyle w:val="50"/>
                    <w:bidi w:val="0"/>
                    <w:rPr>
                      <w:rFonts w:hint="default"/>
                      <w:lang w:val="en-US" w:eastAsia="zh-CN"/>
                    </w:rPr>
                  </w:pPr>
                  <w:r>
                    <w:rPr>
                      <w:rFonts w:hint="eastAsia"/>
                      <w:lang w:val="en-US" w:eastAsia="zh-CN"/>
                    </w:rPr>
                    <w:t>备注</w:t>
                  </w:r>
                </w:p>
              </w:tc>
            </w:tr>
            <w:tr w14:paraId="622C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5212B7F0">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1</w:t>
                  </w:r>
                </w:p>
              </w:tc>
              <w:tc>
                <w:tcPr>
                  <w:tcW w:w="1160" w:type="pct"/>
                  <w:vAlign w:val="center"/>
                </w:tcPr>
                <w:p w14:paraId="68AA58A1">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钢卷</w:t>
                  </w:r>
                </w:p>
              </w:tc>
              <w:tc>
                <w:tcPr>
                  <w:tcW w:w="1056" w:type="pct"/>
                  <w:vAlign w:val="center"/>
                </w:tcPr>
                <w:p w14:paraId="5B66188E">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1000t/a</w:t>
                  </w:r>
                </w:p>
              </w:tc>
              <w:tc>
                <w:tcPr>
                  <w:tcW w:w="992" w:type="pct"/>
                  <w:vAlign w:val="center"/>
                </w:tcPr>
                <w:p w14:paraId="664D70B9">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外购</w:t>
                  </w:r>
                </w:p>
              </w:tc>
              <w:tc>
                <w:tcPr>
                  <w:tcW w:w="1120" w:type="pct"/>
                </w:tcPr>
                <w:p w14:paraId="2646A8F8">
                  <w:pPr>
                    <w:pStyle w:val="50"/>
                    <w:bidi w:val="0"/>
                    <w:rPr>
                      <w:rFonts w:hint="default"/>
                      <w:lang w:val="en-US" w:eastAsia="zh-CN"/>
                    </w:rPr>
                  </w:pPr>
                  <w:r>
                    <w:rPr>
                      <w:rFonts w:hint="eastAsia"/>
                      <w:lang w:val="en-US" w:eastAsia="zh-CN"/>
                    </w:rPr>
                    <w:t>用于筒体及桶盖制造</w:t>
                  </w:r>
                </w:p>
              </w:tc>
            </w:tr>
            <w:tr w14:paraId="0B9B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78E242C1">
                  <w:pPr>
                    <w:jc w:val="center"/>
                    <w:rPr>
                      <w:rFonts w:hint="default"/>
                      <w:b w:val="0"/>
                      <w:bCs w:val="0"/>
                      <w:vertAlign w:val="baseline"/>
                      <w:lang w:val="en-US" w:eastAsia="zh-CN"/>
                    </w:rPr>
                  </w:pPr>
                  <w:r>
                    <w:rPr>
                      <w:rFonts w:hint="eastAsia"/>
                      <w:b w:val="0"/>
                      <w:bCs w:val="0"/>
                      <w:vertAlign w:val="baseline"/>
                      <w:lang w:val="en-US" w:eastAsia="zh-CN"/>
                    </w:rPr>
                    <w:t>2</w:t>
                  </w:r>
                </w:p>
              </w:tc>
              <w:tc>
                <w:tcPr>
                  <w:tcW w:w="1160" w:type="pct"/>
                  <w:vAlign w:val="center"/>
                </w:tcPr>
                <w:p w14:paraId="080B8068">
                  <w:pPr>
                    <w:jc w:val="center"/>
                    <w:rPr>
                      <w:rFonts w:hint="default"/>
                      <w:b w:val="0"/>
                      <w:bCs w:val="0"/>
                      <w:vertAlign w:val="baseline"/>
                      <w:lang w:val="en-US" w:eastAsia="zh-CN"/>
                    </w:rPr>
                  </w:pPr>
                  <w:r>
                    <w:rPr>
                      <w:rFonts w:hint="eastAsia"/>
                      <w:b w:val="0"/>
                      <w:bCs w:val="0"/>
                      <w:vertAlign w:val="baseline"/>
                      <w:lang w:val="en-US" w:eastAsia="zh-CN"/>
                    </w:rPr>
                    <w:t>水性漆</w:t>
                  </w:r>
                </w:p>
              </w:tc>
              <w:tc>
                <w:tcPr>
                  <w:tcW w:w="1056" w:type="pct"/>
                  <w:vAlign w:val="center"/>
                </w:tcPr>
                <w:p w14:paraId="3AAE83DE">
                  <w:pPr>
                    <w:jc w:val="center"/>
                    <w:rPr>
                      <w:rFonts w:hint="default"/>
                      <w:b w:val="0"/>
                      <w:bCs w:val="0"/>
                      <w:vertAlign w:val="baseline"/>
                      <w:lang w:val="en-US" w:eastAsia="zh-CN"/>
                    </w:rPr>
                  </w:pPr>
                  <w:r>
                    <w:rPr>
                      <w:rFonts w:hint="eastAsia"/>
                      <w:b w:val="0"/>
                      <w:bCs w:val="0"/>
                      <w:vertAlign w:val="baseline"/>
                      <w:lang w:val="en-US" w:eastAsia="zh-CN"/>
                    </w:rPr>
                    <w:t>12.5t/a</w:t>
                  </w:r>
                </w:p>
              </w:tc>
              <w:tc>
                <w:tcPr>
                  <w:tcW w:w="992" w:type="pct"/>
                  <w:vAlign w:val="center"/>
                </w:tcPr>
                <w:p w14:paraId="59A50E76">
                  <w:pPr>
                    <w:jc w:val="center"/>
                    <w:rPr>
                      <w:rFonts w:hint="default"/>
                      <w:b w:val="0"/>
                      <w:bCs w:val="0"/>
                      <w:vertAlign w:val="baseline"/>
                      <w:lang w:val="en-US" w:eastAsia="zh-CN"/>
                    </w:rPr>
                  </w:pPr>
                  <w:r>
                    <w:rPr>
                      <w:rFonts w:hint="eastAsia"/>
                      <w:b w:val="0"/>
                      <w:bCs w:val="0"/>
                      <w:vertAlign w:val="baseline"/>
                      <w:lang w:val="en-US" w:eastAsia="zh-CN"/>
                    </w:rPr>
                    <w:t>外购</w:t>
                  </w:r>
                </w:p>
              </w:tc>
              <w:tc>
                <w:tcPr>
                  <w:tcW w:w="1120" w:type="pct"/>
                </w:tcPr>
                <w:p w14:paraId="42E16D70">
                  <w:pPr>
                    <w:pStyle w:val="50"/>
                    <w:bidi w:val="0"/>
                    <w:rPr>
                      <w:rFonts w:hint="default"/>
                      <w:lang w:val="en-US" w:eastAsia="zh-CN"/>
                    </w:rPr>
                  </w:pPr>
                  <w:r>
                    <w:rPr>
                      <w:rFonts w:hint="eastAsia"/>
                      <w:lang w:val="en-US" w:eastAsia="zh-CN"/>
                    </w:rPr>
                    <w:t>桶装，20kg/桶</w:t>
                  </w:r>
                </w:p>
              </w:tc>
            </w:tr>
            <w:tr w14:paraId="5367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70" w:type="pct"/>
                  <w:vAlign w:val="center"/>
                </w:tcPr>
                <w:p w14:paraId="3599D0FB">
                  <w:pPr>
                    <w:jc w:val="center"/>
                    <w:rPr>
                      <w:rFonts w:hint="eastAsia"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3</w:t>
                  </w:r>
                </w:p>
              </w:tc>
              <w:tc>
                <w:tcPr>
                  <w:tcW w:w="1160" w:type="pct"/>
                  <w:vAlign w:val="center"/>
                </w:tcPr>
                <w:p w14:paraId="7648171D">
                  <w:pPr>
                    <w:jc w:val="center"/>
                    <w:rPr>
                      <w:rFonts w:hint="default"/>
                      <w:b w:val="0"/>
                      <w:bCs w:val="0"/>
                      <w:vertAlign w:val="baseline"/>
                      <w:lang w:val="en-US" w:eastAsia="zh-CN"/>
                    </w:rPr>
                  </w:pPr>
                  <w:r>
                    <w:rPr>
                      <w:rFonts w:hint="eastAsia"/>
                      <w:b w:val="0"/>
                      <w:bCs w:val="0"/>
                      <w:vertAlign w:val="baseline"/>
                      <w:lang w:val="en-US" w:eastAsia="zh-CN"/>
                    </w:rPr>
                    <w:t>专用清洗剂</w:t>
                  </w:r>
                </w:p>
              </w:tc>
              <w:tc>
                <w:tcPr>
                  <w:tcW w:w="1056" w:type="pct"/>
                  <w:vAlign w:val="center"/>
                </w:tcPr>
                <w:p w14:paraId="4CC716B8">
                  <w:pPr>
                    <w:jc w:val="center"/>
                    <w:rPr>
                      <w:rFonts w:hint="default"/>
                      <w:b w:val="0"/>
                      <w:bCs w:val="0"/>
                      <w:vertAlign w:val="baseline"/>
                      <w:lang w:val="en-US" w:eastAsia="zh-CN"/>
                    </w:rPr>
                  </w:pPr>
                  <w:r>
                    <w:rPr>
                      <w:rFonts w:hint="eastAsia"/>
                      <w:b w:val="0"/>
                      <w:bCs w:val="0"/>
                      <w:vertAlign w:val="baseline"/>
                      <w:lang w:val="en-US" w:eastAsia="zh-CN"/>
                    </w:rPr>
                    <w:t>1.25t/a</w:t>
                  </w:r>
                </w:p>
              </w:tc>
              <w:tc>
                <w:tcPr>
                  <w:tcW w:w="992" w:type="pct"/>
                  <w:vAlign w:val="center"/>
                </w:tcPr>
                <w:p w14:paraId="34446850">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外购</w:t>
                  </w:r>
                </w:p>
              </w:tc>
              <w:tc>
                <w:tcPr>
                  <w:tcW w:w="1120" w:type="pct"/>
                  <w:vAlign w:val="top"/>
                </w:tcPr>
                <w:p w14:paraId="4179B76C">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cstheme="minorEastAsia"/>
                      <w:color w:val="auto"/>
                      <w:kern w:val="2"/>
                      <w:sz w:val="21"/>
                      <w:szCs w:val="21"/>
                      <w:lang w:val="en-US" w:eastAsia="zh-CN" w:bidi="ar-SA"/>
                    </w:rPr>
                    <w:t>桶装，25kg/桶</w:t>
                  </w:r>
                </w:p>
              </w:tc>
            </w:tr>
            <w:tr w14:paraId="2364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0EBC4917">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4</w:t>
                  </w:r>
                </w:p>
              </w:tc>
              <w:tc>
                <w:tcPr>
                  <w:tcW w:w="1160" w:type="pct"/>
                  <w:vAlign w:val="center"/>
                </w:tcPr>
                <w:p w14:paraId="6A067A58">
                  <w:pPr>
                    <w:jc w:val="center"/>
                    <w:rPr>
                      <w:rFonts w:hint="default"/>
                      <w:b w:val="0"/>
                      <w:bCs w:val="0"/>
                      <w:vertAlign w:val="baseline"/>
                      <w:lang w:val="en-US" w:eastAsia="zh-CN"/>
                    </w:rPr>
                  </w:pPr>
                  <w:r>
                    <w:rPr>
                      <w:rFonts w:hint="eastAsia"/>
                      <w:b w:val="0"/>
                      <w:bCs w:val="0"/>
                      <w:vertAlign w:val="baseline"/>
                      <w:lang w:val="en-US" w:eastAsia="zh-CN"/>
                    </w:rPr>
                    <w:t>陶化液</w:t>
                  </w:r>
                </w:p>
              </w:tc>
              <w:tc>
                <w:tcPr>
                  <w:tcW w:w="1056" w:type="pct"/>
                  <w:vAlign w:val="center"/>
                </w:tcPr>
                <w:p w14:paraId="7C1E2ECA">
                  <w:pPr>
                    <w:jc w:val="center"/>
                    <w:rPr>
                      <w:rFonts w:hint="default"/>
                      <w:b w:val="0"/>
                      <w:bCs w:val="0"/>
                      <w:vertAlign w:val="baseline"/>
                      <w:lang w:val="en-US" w:eastAsia="zh-CN"/>
                    </w:rPr>
                  </w:pPr>
                  <w:r>
                    <w:rPr>
                      <w:rFonts w:hint="eastAsia"/>
                      <w:b w:val="0"/>
                      <w:bCs w:val="0"/>
                      <w:vertAlign w:val="baseline"/>
                      <w:lang w:val="en-US" w:eastAsia="zh-CN"/>
                    </w:rPr>
                    <w:t>0.75t/a</w:t>
                  </w:r>
                </w:p>
              </w:tc>
              <w:tc>
                <w:tcPr>
                  <w:tcW w:w="992" w:type="pct"/>
                  <w:vAlign w:val="center"/>
                </w:tcPr>
                <w:p w14:paraId="453B028E">
                  <w:pPr>
                    <w:jc w:val="center"/>
                    <w:rPr>
                      <w:rFonts w:hint="default"/>
                      <w:b w:val="0"/>
                      <w:bCs w:val="0"/>
                      <w:vertAlign w:val="baseline"/>
                      <w:lang w:val="en-US" w:eastAsia="zh-CN"/>
                    </w:rPr>
                  </w:pPr>
                  <w:r>
                    <w:rPr>
                      <w:rFonts w:hint="eastAsia"/>
                      <w:b w:val="0"/>
                      <w:bCs w:val="0"/>
                      <w:vertAlign w:val="baseline"/>
                      <w:lang w:val="en-US" w:eastAsia="zh-CN"/>
                    </w:rPr>
                    <w:t>外购</w:t>
                  </w:r>
                </w:p>
              </w:tc>
              <w:tc>
                <w:tcPr>
                  <w:tcW w:w="1120" w:type="pct"/>
                </w:tcPr>
                <w:p w14:paraId="6B12A285">
                  <w:pPr>
                    <w:pStyle w:val="50"/>
                    <w:bidi w:val="0"/>
                    <w:rPr>
                      <w:rFonts w:hint="default"/>
                      <w:lang w:val="en-US" w:eastAsia="zh-CN"/>
                    </w:rPr>
                  </w:pPr>
                  <w:r>
                    <w:rPr>
                      <w:rFonts w:hint="eastAsia"/>
                      <w:lang w:val="en-US" w:eastAsia="zh-CN"/>
                    </w:rPr>
                    <w:t>桶装，25kg/桶</w:t>
                  </w:r>
                </w:p>
              </w:tc>
            </w:tr>
            <w:tr w14:paraId="4CAC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19ED9A22">
                  <w:pPr>
                    <w:jc w:val="center"/>
                    <w:rPr>
                      <w:rFonts w:hint="default"/>
                      <w:b w:val="0"/>
                      <w:bCs w:val="0"/>
                      <w:vertAlign w:val="baseline"/>
                      <w:lang w:val="en-US" w:eastAsia="zh-CN"/>
                    </w:rPr>
                  </w:pPr>
                  <w:r>
                    <w:rPr>
                      <w:rFonts w:hint="eastAsia"/>
                      <w:b w:val="0"/>
                      <w:bCs w:val="0"/>
                      <w:vertAlign w:val="baseline"/>
                      <w:lang w:val="en-US" w:eastAsia="zh-CN"/>
                    </w:rPr>
                    <w:t>5</w:t>
                  </w:r>
                </w:p>
              </w:tc>
              <w:tc>
                <w:tcPr>
                  <w:tcW w:w="1160" w:type="pct"/>
                  <w:vAlign w:val="center"/>
                </w:tcPr>
                <w:p w14:paraId="6252AE15">
                  <w:pPr>
                    <w:jc w:val="center"/>
                    <w:rPr>
                      <w:rFonts w:hint="default"/>
                      <w:b w:val="0"/>
                      <w:bCs w:val="0"/>
                      <w:vertAlign w:val="baseline"/>
                      <w:lang w:val="en-US" w:eastAsia="zh-CN"/>
                    </w:rPr>
                  </w:pPr>
                  <w:r>
                    <w:rPr>
                      <w:rFonts w:hint="eastAsia"/>
                      <w:b w:val="0"/>
                      <w:bCs w:val="0"/>
                      <w:vertAlign w:val="baseline"/>
                      <w:lang w:val="en-US" w:eastAsia="zh-CN"/>
                    </w:rPr>
                    <w:t>絮凝剂（PAM）</w:t>
                  </w:r>
                </w:p>
              </w:tc>
              <w:tc>
                <w:tcPr>
                  <w:tcW w:w="1056" w:type="pct"/>
                  <w:vAlign w:val="center"/>
                </w:tcPr>
                <w:p w14:paraId="66ADF2D2">
                  <w:pPr>
                    <w:jc w:val="center"/>
                    <w:rPr>
                      <w:rFonts w:hint="default"/>
                      <w:b w:val="0"/>
                      <w:bCs w:val="0"/>
                      <w:vertAlign w:val="baseline"/>
                      <w:lang w:val="en-US" w:eastAsia="zh-CN"/>
                    </w:rPr>
                  </w:pPr>
                  <w:r>
                    <w:rPr>
                      <w:rFonts w:hint="eastAsia"/>
                      <w:b w:val="0"/>
                      <w:bCs w:val="0"/>
                      <w:vertAlign w:val="baseline"/>
                      <w:lang w:val="en-US" w:eastAsia="zh-CN"/>
                    </w:rPr>
                    <w:t>0.1t/a</w:t>
                  </w:r>
                </w:p>
              </w:tc>
              <w:tc>
                <w:tcPr>
                  <w:tcW w:w="992" w:type="pct"/>
                  <w:vAlign w:val="center"/>
                </w:tcPr>
                <w:p w14:paraId="776AF1BD">
                  <w:pPr>
                    <w:jc w:val="center"/>
                    <w:rPr>
                      <w:rFonts w:hint="default"/>
                      <w:b w:val="0"/>
                      <w:bCs w:val="0"/>
                      <w:vertAlign w:val="baseline"/>
                      <w:lang w:val="en-US" w:eastAsia="zh-CN"/>
                    </w:rPr>
                  </w:pPr>
                  <w:r>
                    <w:rPr>
                      <w:rFonts w:hint="eastAsia"/>
                      <w:b w:val="0"/>
                      <w:bCs w:val="0"/>
                      <w:vertAlign w:val="baseline"/>
                      <w:lang w:val="en-US" w:eastAsia="zh-CN"/>
                    </w:rPr>
                    <w:t>外购</w:t>
                  </w:r>
                </w:p>
              </w:tc>
              <w:tc>
                <w:tcPr>
                  <w:tcW w:w="1120" w:type="pct"/>
                </w:tcPr>
                <w:p w14:paraId="6BB33884">
                  <w:pPr>
                    <w:pStyle w:val="50"/>
                    <w:bidi w:val="0"/>
                    <w:rPr>
                      <w:rFonts w:hint="default"/>
                      <w:lang w:val="en-US" w:eastAsia="zh-CN"/>
                    </w:rPr>
                  </w:pPr>
                  <w:r>
                    <w:rPr>
                      <w:rFonts w:hint="eastAsia"/>
                      <w:lang w:val="en-US" w:eastAsia="zh-CN"/>
                    </w:rPr>
                    <w:t>袋装，25kg/袋</w:t>
                  </w:r>
                </w:p>
              </w:tc>
            </w:tr>
            <w:tr w14:paraId="2F66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29AFDC02">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6</w:t>
                  </w:r>
                </w:p>
              </w:tc>
              <w:tc>
                <w:tcPr>
                  <w:tcW w:w="1160" w:type="pct"/>
                  <w:vAlign w:val="center"/>
                </w:tcPr>
                <w:p w14:paraId="1A83167A">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水</w:t>
                  </w:r>
                </w:p>
              </w:tc>
              <w:tc>
                <w:tcPr>
                  <w:tcW w:w="1056" w:type="pct"/>
                  <w:vAlign w:val="center"/>
                </w:tcPr>
                <w:p w14:paraId="24BB7D9C">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highlight w:val="none"/>
                      <w:vertAlign w:val="baseline"/>
                      <w:lang w:val="en-US" w:eastAsia="zh-CN"/>
                    </w:rPr>
                    <w:t>394.875</w:t>
                  </w:r>
                  <w:r>
                    <w:rPr>
                      <w:rFonts w:hint="eastAsia"/>
                      <w:b w:val="0"/>
                      <w:bCs w:val="0"/>
                      <w:vertAlign w:val="baseline"/>
                      <w:lang w:val="en-US" w:eastAsia="zh-CN"/>
                    </w:rPr>
                    <w:t>m</w:t>
                  </w:r>
                  <w:r>
                    <w:rPr>
                      <w:rFonts w:hint="eastAsia"/>
                      <w:b w:val="0"/>
                      <w:bCs w:val="0"/>
                      <w:vertAlign w:val="superscript"/>
                      <w:lang w:val="en-US" w:eastAsia="zh-CN"/>
                    </w:rPr>
                    <w:t>3</w:t>
                  </w:r>
                </w:p>
              </w:tc>
              <w:tc>
                <w:tcPr>
                  <w:tcW w:w="992" w:type="pct"/>
                  <w:vAlign w:val="center"/>
                </w:tcPr>
                <w:p w14:paraId="2A4A896F">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园区供水</w:t>
                  </w:r>
                </w:p>
              </w:tc>
              <w:tc>
                <w:tcPr>
                  <w:tcW w:w="1120" w:type="pct"/>
                </w:tcPr>
                <w:p w14:paraId="3DF8CE4B">
                  <w:pPr>
                    <w:pStyle w:val="50"/>
                    <w:bidi w:val="0"/>
                    <w:rPr>
                      <w:rFonts w:hint="default"/>
                      <w:lang w:val="en-US" w:eastAsia="zh-CN"/>
                    </w:rPr>
                  </w:pPr>
                  <w:r>
                    <w:rPr>
                      <w:rFonts w:hint="eastAsia"/>
                      <w:lang w:val="en-US" w:eastAsia="zh-CN"/>
                    </w:rPr>
                    <w:t>/</w:t>
                  </w:r>
                </w:p>
              </w:tc>
            </w:tr>
            <w:tr w14:paraId="3C16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46BE46BA">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7</w:t>
                  </w:r>
                </w:p>
              </w:tc>
              <w:tc>
                <w:tcPr>
                  <w:tcW w:w="1160" w:type="pct"/>
                  <w:vAlign w:val="center"/>
                </w:tcPr>
                <w:p w14:paraId="24C067C9">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天然气</w:t>
                  </w:r>
                </w:p>
              </w:tc>
              <w:tc>
                <w:tcPr>
                  <w:tcW w:w="1056" w:type="pct"/>
                  <w:vAlign w:val="center"/>
                </w:tcPr>
                <w:p w14:paraId="68579076">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10万m</w:t>
                  </w:r>
                  <w:r>
                    <w:rPr>
                      <w:rFonts w:hint="eastAsia"/>
                      <w:b w:val="0"/>
                      <w:bCs w:val="0"/>
                      <w:vertAlign w:val="superscript"/>
                      <w:lang w:val="en-US" w:eastAsia="zh-CN"/>
                    </w:rPr>
                    <w:t>3</w:t>
                  </w:r>
                </w:p>
              </w:tc>
              <w:tc>
                <w:tcPr>
                  <w:tcW w:w="992" w:type="pct"/>
                  <w:vAlign w:val="center"/>
                </w:tcPr>
                <w:p w14:paraId="06125DB9">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园区供气</w:t>
                  </w:r>
                </w:p>
              </w:tc>
              <w:tc>
                <w:tcPr>
                  <w:tcW w:w="1120" w:type="pct"/>
                </w:tcPr>
                <w:p w14:paraId="4781C990">
                  <w:pPr>
                    <w:pStyle w:val="50"/>
                    <w:bidi w:val="0"/>
                    <w:rPr>
                      <w:rFonts w:hint="default"/>
                      <w:lang w:val="en-US" w:eastAsia="zh-CN"/>
                    </w:rPr>
                  </w:pPr>
                  <w:r>
                    <w:rPr>
                      <w:rFonts w:hint="eastAsia"/>
                      <w:lang w:val="en-US" w:eastAsia="zh-CN"/>
                    </w:rPr>
                    <w:t>/</w:t>
                  </w:r>
                </w:p>
              </w:tc>
            </w:tr>
            <w:tr w14:paraId="3C1E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1BB6A732">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cs="Times New Roman"/>
                      <w:b w:val="0"/>
                      <w:bCs w:val="0"/>
                      <w:kern w:val="2"/>
                      <w:sz w:val="21"/>
                      <w:szCs w:val="24"/>
                      <w:vertAlign w:val="baseline"/>
                      <w:lang w:val="en-US" w:eastAsia="zh-CN" w:bidi="ar-SA"/>
                    </w:rPr>
                    <w:t>8</w:t>
                  </w:r>
                </w:p>
              </w:tc>
              <w:tc>
                <w:tcPr>
                  <w:tcW w:w="1160" w:type="pct"/>
                  <w:vAlign w:val="center"/>
                </w:tcPr>
                <w:p w14:paraId="5458BBA2">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电</w:t>
                  </w:r>
                </w:p>
              </w:tc>
              <w:tc>
                <w:tcPr>
                  <w:tcW w:w="1056" w:type="pct"/>
                  <w:vAlign w:val="center"/>
                </w:tcPr>
                <w:p w14:paraId="16F5715F">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30万KWh</w:t>
                  </w:r>
                </w:p>
              </w:tc>
              <w:tc>
                <w:tcPr>
                  <w:tcW w:w="992" w:type="pct"/>
                  <w:vAlign w:val="center"/>
                </w:tcPr>
                <w:p w14:paraId="4BBB0309">
                  <w:pPr>
                    <w:jc w:val="center"/>
                    <w:rPr>
                      <w:rFonts w:hint="default" w:ascii="Times New Roman" w:hAnsi="Times New Roman" w:eastAsia="宋体" w:cs="Times New Roman"/>
                      <w:b w:val="0"/>
                      <w:bCs w:val="0"/>
                      <w:kern w:val="2"/>
                      <w:sz w:val="21"/>
                      <w:szCs w:val="24"/>
                      <w:vertAlign w:val="baseline"/>
                      <w:lang w:val="en-US" w:eastAsia="zh-CN" w:bidi="ar-SA"/>
                    </w:rPr>
                  </w:pPr>
                  <w:r>
                    <w:rPr>
                      <w:rFonts w:hint="eastAsia"/>
                      <w:b w:val="0"/>
                      <w:bCs w:val="0"/>
                      <w:vertAlign w:val="baseline"/>
                      <w:lang w:val="en-US" w:eastAsia="zh-CN"/>
                    </w:rPr>
                    <w:t>园区供电</w:t>
                  </w:r>
                </w:p>
              </w:tc>
              <w:tc>
                <w:tcPr>
                  <w:tcW w:w="1120" w:type="pct"/>
                </w:tcPr>
                <w:p w14:paraId="04110404">
                  <w:pPr>
                    <w:pStyle w:val="50"/>
                    <w:bidi w:val="0"/>
                    <w:rPr>
                      <w:rFonts w:hint="default"/>
                      <w:lang w:val="en-US" w:eastAsia="zh-CN"/>
                    </w:rPr>
                  </w:pPr>
                  <w:r>
                    <w:rPr>
                      <w:rFonts w:hint="eastAsia"/>
                      <w:lang w:val="en-US" w:eastAsia="zh-CN"/>
                    </w:rPr>
                    <w:t>/</w:t>
                  </w:r>
                </w:p>
              </w:tc>
            </w:tr>
          </w:tbl>
          <w:p w14:paraId="431FBF77">
            <w:pPr>
              <w:pStyle w:val="47"/>
              <w:bidi w:val="0"/>
              <w:rPr>
                <w:rFonts w:hint="eastAsia"/>
                <w:lang w:val="en-US" w:eastAsia="zh-CN"/>
              </w:rPr>
            </w:pPr>
            <w:r>
              <w:rPr>
                <w:rFonts w:hint="eastAsia"/>
                <w:lang w:val="en-US" w:eastAsia="zh-CN"/>
              </w:rPr>
              <w:t>本项目原辅料理化性质见下表2-5。</w:t>
            </w:r>
          </w:p>
          <w:p w14:paraId="67D7A5E3">
            <w:pPr>
              <w:pStyle w:val="62"/>
              <w:bidi w:val="0"/>
              <w:rPr>
                <w:rFonts w:hint="default" w:eastAsia="宋体"/>
                <w:lang w:val="en-US" w:eastAsia="zh-CN"/>
              </w:rPr>
            </w:pPr>
            <w:r>
              <w:rPr>
                <w:rFonts w:hint="eastAsia"/>
                <w:lang w:val="en-US" w:eastAsia="zh-CN"/>
              </w:rPr>
              <w:t>表2-5    原辅料理化性质一览表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080"/>
              <w:gridCol w:w="6199"/>
            </w:tblGrid>
            <w:tr w14:paraId="479D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14:paraId="22C4FD4B">
                  <w:pPr>
                    <w:pStyle w:val="50"/>
                    <w:bidi w:val="0"/>
                    <w:rPr>
                      <w:rFonts w:hint="default"/>
                      <w:lang w:val="en-US" w:eastAsia="zh-CN"/>
                    </w:rPr>
                  </w:pPr>
                  <w:r>
                    <w:rPr>
                      <w:rFonts w:hint="eastAsia"/>
                      <w:lang w:val="en-US" w:eastAsia="zh-CN"/>
                    </w:rPr>
                    <w:t>序号</w:t>
                  </w:r>
                </w:p>
              </w:tc>
              <w:tc>
                <w:tcPr>
                  <w:tcW w:w="1080" w:type="dxa"/>
                </w:tcPr>
                <w:p w14:paraId="41E7B3C5">
                  <w:pPr>
                    <w:pStyle w:val="50"/>
                    <w:bidi w:val="0"/>
                    <w:rPr>
                      <w:rFonts w:hint="default"/>
                      <w:lang w:val="en-US" w:eastAsia="zh-CN"/>
                    </w:rPr>
                  </w:pPr>
                  <w:r>
                    <w:rPr>
                      <w:rFonts w:hint="eastAsia"/>
                      <w:lang w:val="en-US" w:eastAsia="zh-CN"/>
                    </w:rPr>
                    <w:t>名称</w:t>
                  </w:r>
                </w:p>
              </w:tc>
              <w:tc>
                <w:tcPr>
                  <w:tcW w:w="6199" w:type="dxa"/>
                </w:tcPr>
                <w:p w14:paraId="70E35D93">
                  <w:pPr>
                    <w:pStyle w:val="50"/>
                    <w:bidi w:val="0"/>
                    <w:rPr>
                      <w:rFonts w:hint="default"/>
                      <w:lang w:val="en-US" w:eastAsia="zh-CN"/>
                    </w:rPr>
                  </w:pPr>
                  <w:r>
                    <w:rPr>
                      <w:rFonts w:hint="eastAsia"/>
                      <w:lang w:val="en-US" w:eastAsia="zh-CN"/>
                    </w:rPr>
                    <w:t>理化性质</w:t>
                  </w:r>
                </w:p>
              </w:tc>
            </w:tr>
            <w:tr w14:paraId="3B31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6EDB822B">
                  <w:pPr>
                    <w:pStyle w:val="50"/>
                    <w:bidi w:val="0"/>
                    <w:jc w:val="center"/>
                    <w:rPr>
                      <w:rFonts w:hint="default"/>
                      <w:lang w:val="en-US" w:eastAsia="zh-CN"/>
                    </w:rPr>
                  </w:pPr>
                  <w:r>
                    <w:rPr>
                      <w:rFonts w:hint="eastAsia"/>
                      <w:lang w:val="en-US" w:eastAsia="zh-CN"/>
                    </w:rPr>
                    <w:t>1</w:t>
                  </w:r>
                </w:p>
              </w:tc>
              <w:tc>
                <w:tcPr>
                  <w:tcW w:w="1080" w:type="dxa"/>
                  <w:vAlign w:val="center"/>
                </w:tcPr>
                <w:p w14:paraId="0C8C18E3">
                  <w:pPr>
                    <w:pStyle w:val="50"/>
                    <w:bidi w:val="0"/>
                    <w:jc w:val="center"/>
                    <w:rPr>
                      <w:rFonts w:hint="default"/>
                      <w:lang w:val="en-US" w:eastAsia="zh-CN"/>
                    </w:rPr>
                  </w:pPr>
                  <w:r>
                    <w:rPr>
                      <w:rFonts w:hint="eastAsia"/>
                      <w:b w:val="0"/>
                      <w:bCs w:val="0"/>
                      <w:vertAlign w:val="baseline"/>
                      <w:lang w:val="en-US" w:eastAsia="zh-CN"/>
                    </w:rPr>
                    <w:t>水性漆</w:t>
                  </w:r>
                </w:p>
              </w:tc>
              <w:tc>
                <w:tcPr>
                  <w:tcW w:w="6199" w:type="dxa"/>
                </w:tcPr>
                <w:p w14:paraId="534426E3">
                  <w:pPr>
                    <w:widowControl/>
                    <w:snapToGrid w:val="0"/>
                    <w:jc w:val="center"/>
                    <w:rPr>
                      <w:rFonts w:hint="default"/>
                      <w:lang w:val="en-US" w:eastAsia="zh-CN"/>
                    </w:rPr>
                  </w:pPr>
                  <w:r>
                    <w:rPr>
                      <w:rFonts w:hint="eastAsia"/>
                      <w:lang w:val="en-US" w:eastAsia="zh-CN"/>
                    </w:rPr>
                    <w:t>固份含量60%（水性醇酸树脂50%、环保颜料10%）、水性助剂8%、去离子水32%。外观为蓝色液体，可燃，混溶于水。</w:t>
                  </w:r>
                </w:p>
              </w:tc>
            </w:tr>
            <w:tr w14:paraId="5FFB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7EC264B8">
                  <w:pPr>
                    <w:pStyle w:val="50"/>
                    <w:bidi w:val="0"/>
                    <w:jc w:val="center"/>
                    <w:rPr>
                      <w:rFonts w:hint="default"/>
                      <w:lang w:val="en-US" w:eastAsia="zh-CN"/>
                    </w:rPr>
                  </w:pPr>
                  <w:r>
                    <w:rPr>
                      <w:rFonts w:hint="eastAsia"/>
                      <w:lang w:val="en-US" w:eastAsia="zh-CN"/>
                    </w:rPr>
                    <w:t>2</w:t>
                  </w:r>
                </w:p>
              </w:tc>
              <w:tc>
                <w:tcPr>
                  <w:tcW w:w="1080" w:type="dxa"/>
                  <w:vAlign w:val="center"/>
                </w:tcPr>
                <w:p w14:paraId="51296C5B">
                  <w:pPr>
                    <w:pStyle w:val="50"/>
                    <w:bidi w:val="0"/>
                    <w:jc w:val="center"/>
                    <w:rPr>
                      <w:rFonts w:hint="default"/>
                      <w:b w:val="0"/>
                      <w:bCs w:val="0"/>
                      <w:vertAlign w:val="baseline"/>
                      <w:lang w:val="en-US" w:eastAsia="zh-CN"/>
                    </w:rPr>
                  </w:pPr>
                  <w:r>
                    <w:rPr>
                      <w:rFonts w:hint="eastAsia"/>
                      <w:b w:val="0"/>
                      <w:bCs w:val="0"/>
                      <w:vertAlign w:val="baseline"/>
                      <w:lang w:val="en-US" w:eastAsia="zh-CN"/>
                    </w:rPr>
                    <w:t>专用清洗剂</w:t>
                  </w:r>
                </w:p>
              </w:tc>
              <w:tc>
                <w:tcPr>
                  <w:tcW w:w="6199" w:type="dxa"/>
                </w:tcPr>
                <w:p w14:paraId="13910D7E">
                  <w:pPr>
                    <w:pStyle w:val="50"/>
                    <w:bidi w:val="0"/>
                    <w:rPr>
                      <w:rFonts w:hint="eastAsia"/>
                      <w:lang w:val="en-US" w:eastAsia="zh-CN"/>
                    </w:rPr>
                  </w:pPr>
                  <w:r>
                    <w:rPr>
                      <w:rFonts w:hint="eastAsia"/>
                      <w:lang w:val="en-US" w:eastAsia="zh-CN"/>
                    </w:rPr>
                    <w:t>主要成分为表面活性剂，无磷、无重金属、无毒、无味、不燃，易溶于水，不腐蚀金属。</w:t>
                  </w:r>
                </w:p>
              </w:tc>
            </w:tr>
            <w:tr w14:paraId="5B73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69C34EF">
                  <w:pPr>
                    <w:pStyle w:val="50"/>
                    <w:bidi w:val="0"/>
                    <w:jc w:val="center"/>
                    <w:rPr>
                      <w:rFonts w:hint="default"/>
                      <w:lang w:val="en-US" w:eastAsia="zh-CN"/>
                    </w:rPr>
                  </w:pPr>
                  <w:r>
                    <w:rPr>
                      <w:rFonts w:hint="eastAsia"/>
                      <w:lang w:val="en-US" w:eastAsia="zh-CN"/>
                    </w:rPr>
                    <w:t>3</w:t>
                  </w:r>
                </w:p>
              </w:tc>
              <w:tc>
                <w:tcPr>
                  <w:tcW w:w="1080" w:type="dxa"/>
                  <w:vAlign w:val="center"/>
                </w:tcPr>
                <w:p w14:paraId="318D233E">
                  <w:pPr>
                    <w:pStyle w:val="50"/>
                    <w:bidi w:val="0"/>
                    <w:jc w:val="center"/>
                    <w:rPr>
                      <w:rFonts w:hint="default"/>
                      <w:b w:val="0"/>
                      <w:bCs w:val="0"/>
                      <w:vertAlign w:val="baseline"/>
                      <w:lang w:val="en-US" w:eastAsia="zh-CN"/>
                    </w:rPr>
                  </w:pPr>
                  <w:r>
                    <w:rPr>
                      <w:rFonts w:hint="eastAsia"/>
                      <w:b w:val="0"/>
                      <w:bCs w:val="0"/>
                      <w:vertAlign w:val="baseline"/>
                      <w:lang w:val="en-US" w:eastAsia="zh-CN"/>
                    </w:rPr>
                    <w:t>陶化液</w:t>
                  </w:r>
                </w:p>
              </w:tc>
              <w:tc>
                <w:tcPr>
                  <w:tcW w:w="6199" w:type="dxa"/>
                </w:tcPr>
                <w:p w14:paraId="752E0C01">
                  <w:pPr>
                    <w:pStyle w:val="50"/>
                    <w:bidi w:val="0"/>
                    <w:rPr>
                      <w:rFonts w:hint="eastAsia"/>
                      <w:lang w:val="en-US" w:eastAsia="zh-CN"/>
                    </w:rPr>
                  </w:pPr>
                  <w:r>
                    <w:rPr>
                      <w:rFonts w:hint="eastAsia"/>
                      <w:lang w:val="en-US" w:eastAsia="zh-CN"/>
                    </w:rPr>
                    <w:t>陶化液的主要原料为氟锆酸盐和硅烷偶联剂，无磷、无重金属等有毒有害物质，陶化液能够在金属表面形成一层保护膜，</w:t>
                  </w:r>
                  <w:r>
                    <w:rPr>
                      <w:rFonts w:ascii="Arial" w:hAnsi="Arial" w:eastAsia="Arial" w:cs="Arial"/>
                      <w:i w:val="0"/>
                      <w:iCs w:val="0"/>
                      <w:caps w:val="0"/>
                      <w:color w:val="333333"/>
                      <w:spacing w:val="0"/>
                      <w:sz w:val="21"/>
                      <w:szCs w:val="21"/>
                      <w:shd w:val="clear" w:fill="FFFFFF"/>
                    </w:rPr>
                    <w:t>这种膜具有良好的耐腐蚀性能，并且与金属表面和随后的涂料之间有良好的附着力‌</w:t>
                  </w:r>
                  <w:r>
                    <w:rPr>
                      <w:rFonts w:hint="eastAsia"/>
                      <w:lang w:val="en-US" w:eastAsia="zh-CN"/>
                    </w:rPr>
                    <w:t>‌。</w:t>
                  </w:r>
                </w:p>
              </w:tc>
            </w:tr>
          </w:tbl>
          <w:p w14:paraId="2E0D0FE0">
            <w:pPr>
              <w:pStyle w:val="48"/>
              <w:bidi w:val="0"/>
              <w:rPr>
                <w:rFonts w:hint="eastAsia"/>
                <w:lang w:val="en-US" w:eastAsia="zh-CN"/>
              </w:rPr>
            </w:pPr>
            <w:r>
              <w:rPr>
                <w:rFonts w:hint="eastAsia"/>
                <w:lang w:val="en-US" w:eastAsia="zh-CN"/>
              </w:rPr>
              <w:t>8.劳动定员及工作制度</w:t>
            </w:r>
          </w:p>
          <w:p w14:paraId="2378EDA6">
            <w:pPr>
              <w:pStyle w:val="47"/>
              <w:bidi w:val="0"/>
              <w:rPr>
                <w:rFonts w:hint="eastAsia"/>
                <w:lang w:val="en-US" w:eastAsia="zh-CN"/>
              </w:rPr>
            </w:pPr>
            <w:r>
              <w:rPr>
                <w:rFonts w:hint="eastAsia"/>
                <w:lang w:val="en-US" w:eastAsia="zh-CN"/>
              </w:rPr>
              <w:t>劳动定员：本项目劳动定员总数为15人，均在厂区内食宿。</w:t>
            </w:r>
          </w:p>
          <w:p w14:paraId="08FE8008">
            <w:pPr>
              <w:pStyle w:val="47"/>
              <w:bidi w:val="0"/>
              <w:rPr>
                <w:rFonts w:hint="default"/>
                <w:lang w:val="en-US" w:eastAsia="zh-CN"/>
              </w:rPr>
            </w:pPr>
            <w:r>
              <w:rPr>
                <w:rFonts w:hint="eastAsia"/>
                <w:lang w:val="en-US" w:eastAsia="zh-CN"/>
              </w:rPr>
              <w:t>生产制度：年工作180天，每天一班工作制，每班运行8h，年运行时数为1440小时。</w:t>
            </w:r>
          </w:p>
          <w:p w14:paraId="23CC1823">
            <w:pPr>
              <w:pStyle w:val="48"/>
              <w:shd w:val="clear"/>
              <w:bidi w:val="0"/>
              <w:rPr>
                <w:rFonts w:hint="default"/>
                <w:lang w:val="en-US" w:eastAsia="zh-CN"/>
              </w:rPr>
            </w:pPr>
            <w:r>
              <w:rPr>
                <w:rFonts w:hint="eastAsia"/>
                <w:lang w:val="en-US" w:eastAsia="zh-CN"/>
              </w:rPr>
              <w:t>9.</w:t>
            </w:r>
            <w:r>
              <w:rPr>
                <w:rFonts w:hint="eastAsia" w:cs="Times New Roman"/>
                <w:lang w:val="en-US" w:eastAsia="zh-CN"/>
              </w:rPr>
              <w:t>厂区平面布置</w:t>
            </w:r>
          </w:p>
          <w:p w14:paraId="0EC410BC">
            <w:pPr>
              <w:pStyle w:val="47"/>
              <w:bidi w:val="0"/>
              <w:rPr>
                <w:rFonts w:hint="default"/>
                <w:lang w:val="en-US" w:eastAsia="zh-CN"/>
              </w:rPr>
            </w:pPr>
            <w:r>
              <w:rPr>
                <w:rFonts w:hint="eastAsia"/>
                <w:lang w:val="en-US" w:eastAsia="zh-CN"/>
              </w:rPr>
              <w:t>本项目租赁库尔勒恒瑞商贸有限责任公司现有厂房，出入口位于厂区南侧、生产车间及库房位于厂区北侧。本</w:t>
            </w:r>
            <w:r>
              <w:rPr>
                <w:rFonts w:hint="eastAsia"/>
              </w:rPr>
              <w:t>项目分区明确，总平面布置较好的满足了工艺流程的顺畅性，</w:t>
            </w:r>
            <w:r>
              <w:rPr>
                <w:rFonts w:hint="eastAsia"/>
                <w:lang w:val="en-US" w:eastAsia="zh-CN"/>
              </w:rPr>
              <w:t>车间布置紧凑，运输流畅</w:t>
            </w:r>
            <w:r>
              <w:rPr>
                <w:rFonts w:hint="eastAsia"/>
              </w:rPr>
              <w:t>，方便生产；</w:t>
            </w:r>
            <w:r>
              <w:rPr>
                <w:rFonts w:hint="eastAsia"/>
                <w:lang w:val="en-US" w:eastAsia="zh-CN"/>
              </w:rPr>
              <w:t>在</w:t>
            </w:r>
            <w:r>
              <w:rPr>
                <w:rFonts w:hint="eastAsia"/>
              </w:rPr>
              <w:t>采取有效的治理措施后，生产废气和设备运转噪声对办公生活区的影响较小</w:t>
            </w:r>
            <w:r>
              <w:rPr>
                <w:rFonts w:hint="eastAsia"/>
                <w:lang w:eastAsia="zh-CN"/>
              </w:rPr>
              <w:t>。</w:t>
            </w:r>
            <w:r>
              <w:rPr>
                <w:rFonts w:hint="eastAsia"/>
                <w:lang w:val="en-US" w:eastAsia="zh-CN"/>
              </w:rPr>
              <w:t>厂区平面布置图见附图3。</w:t>
            </w:r>
          </w:p>
          <w:p w14:paraId="2991AFA0">
            <w:pPr>
              <w:pStyle w:val="52"/>
              <w:bidi w:val="0"/>
              <w:rPr>
                <w:rFonts w:hint="default"/>
                <w:lang w:val="en-US" w:eastAsia="zh-CN"/>
              </w:rPr>
            </w:pPr>
            <w:r>
              <w:rPr>
                <w:rFonts w:hint="eastAsia"/>
                <w:lang w:val="en-US" w:eastAsia="zh-CN"/>
              </w:rPr>
              <w:t>10.公用工程</w:t>
            </w:r>
          </w:p>
          <w:p w14:paraId="3E5B07A6">
            <w:pPr>
              <w:pStyle w:val="51"/>
              <w:keepNext w:val="0"/>
              <w:keepLines w:val="0"/>
              <w:suppressLineNumbers w:val="0"/>
              <w:bidi w:val="0"/>
              <w:spacing w:before="0" w:beforeAutospacing="0" w:after="0" w:afterAutospacing="0"/>
              <w:ind w:left="0" w:right="0"/>
              <w:rPr>
                <w:rFonts w:hint="default"/>
                <w:lang w:val="en-US" w:eastAsia="zh-CN"/>
              </w:rPr>
            </w:pPr>
            <w:r>
              <w:rPr>
                <w:rFonts w:hint="eastAsia"/>
                <w:lang w:val="en-US" w:eastAsia="zh-CN"/>
              </w:rPr>
              <w:t>（1）给排水工程</w:t>
            </w:r>
          </w:p>
          <w:p w14:paraId="22349A96">
            <w:pPr>
              <w:pStyle w:val="51"/>
              <w:keepNext w:val="0"/>
              <w:keepLines w:val="0"/>
              <w:suppressLineNumbers w:val="0"/>
              <w:bidi w:val="0"/>
              <w:spacing w:before="0" w:beforeAutospacing="0" w:after="0" w:afterAutospacing="0"/>
              <w:ind w:left="0" w:right="0"/>
              <w:rPr>
                <w:rFonts w:hint="eastAsia" w:cs="Times New Roman"/>
                <w:lang w:val="en-US" w:eastAsia="zh-CN"/>
              </w:rPr>
            </w:pPr>
            <w:r>
              <w:rPr>
                <w:rFonts w:hint="eastAsia"/>
                <w:lang w:val="en-US" w:eastAsia="zh-CN"/>
              </w:rPr>
              <w:t>本项用水主要为员工生活用水和生产用水，供水</w:t>
            </w:r>
            <w:r>
              <w:rPr>
                <w:rFonts w:hint="default" w:cs="Times New Roman"/>
                <w:lang w:val="en-US" w:eastAsia="zh-CN"/>
              </w:rPr>
              <w:t>由</w:t>
            </w:r>
            <w:r>
              <w:rPr>
                <w:rFonts w:hint="eastAsia" w:cs="Times New Roman"/>
                <w:lang w:val="en-US" w:eastAsia="zh-CN"/>
              </w:rPr>
              <w:t>园区供水管网提供。</w:t>
            </w:r>
          </w:p>
          <w:p w14:paraId="2490D865">
            <w:pPr>
              <w:pStyle w:val="51"/>
              <w:keepNext w:val="0"/>
              <w:keepLines w:val="0"/>
              <w:suppressLineNumbers w:val="0"/>
              <w:bidi w:val="0"/>
              <w:spacing w:before="0" w:beforeAutospacing="0" w:after="0" w:afterAutospacing="0"/>
              <w:ind w:left="0" w:right="0"/>
              <w:rPr>
                <w:rFonts w:hint="eastAsia"/>
                <w:lang w:val="en-US" w:eastAsia="zh-CN"/>
              </w:rPr>
            </w:pPr>
            <w:r>
              <w:rPr>
                <w:rFonts w:hint="eastAsia" w:cs="Times New Roman"/>
                <w:b w:val="0"/>
                <w:bCs w:val="0"/>
                <w:lang w:val="en-US" w:eastAsia="zh-CN"/>
              </w:rPr>
              <w:t>生活用水：</w:t>
            </w:r>
            <w:r>
              <w:rPr>
                <w:rFonts w:hint="default"/>
                <w:lang w:val="en-US" w:eastAsia="zh-CN"/>
              </w:rPr>
              <w:t>项目运营期劳动定员</w:t>
            </w:r>
            <w:r>
              <w:rPr>
                <w:rFonts w:hint="eastAsia"/>
                <w:lang w:val="en-US" w:eastAsia="zh-CN"/>
              </w:rPr>
              <w:t>15</w:t>
            </w:r>
            <w:r>
              <w:rPr>
                <w:rFonts w:hint="default"/>
                <w:lang w:val="en-US" w:eastAsia="zh-CN"/>
              </w:rPr>
              <w:t>人，年工作</w:t>
            </w:r>
            <w:r>
              <w:rPr>
                <w:rFonts w:hint="eastAsia"/>
                <w:lang w:val="en-US" w:eastAsia="zh-CN"/>
              </w:rPr>
              <w:t>180</w:t>
            </w:r>
            <w:r>
              <w:rPr>
                <w:rFonts w:hint="default"/>
                <w:lang w:val="en-US" w:eastAsia="zh-CN"/>
              </w:rPr>
              <w:t>d</w:t>
            </w:r>
            <w:r>
              <w:rPr>
                <w:rFonts w:hint="eastAsia"/>
                <w:lang w:val="en-US" w:eastAsia="zh-CN"/>
              </w:rPr>
              <w:t>，根据《新疆维吾尔自治区生活用水定额》，生活用水定额取100L/人·d计，则职工生活用水量为1.5t/d（270t/a），生活污水产污系数按0.8计，则废水排放量为216t/a。</w:t>
            </w:r>
          </w:p>
          <w:p w14:paraId="0C9C13CB">
            <w:pPr>
              <w:pStyle w:val="51"/>
              <w:keepNext w:val="0"/>
              <w:keepLines w:val="0"/>
              <w:suppressLineNumbers w:val="0"/>
              <w:bidi w:val="0"/>
              <w:spacing w:before="0" w:beforeAutospacing="0" w:after="0" w:afterAutospacing="0"/>
              <w:ind w:left="0" w:right="0"/>
              <w:rPr>
                <w:rFonts w:hint="default"/>
                <w:lang w:val="en-US" w:eastAsia="zh-CN"/>
              </w:rPr>
            </w:pPr>
            <w:r>
              <w:rPr>
                <w:rFonts w:hint="eastAsia" w:cs="Times New Roman"/>
                <w:b w:val="0"/>
                <w:bCs w:val="0"/>
                <w:lang w:val="en-US" w:eastAsia="zh-CN"/>
              </w:rPr>
              <w:t>生产用水：</w:t>
            </w:r>
            <w:r>
              <w:rPr>
                <w:rFonts w:hint="default"/>
                <w:lang w:val="en-US" w:eastAsia="zh-CN"/>
              </w:rPr>
              <w:t>①</w:t>
            </w:r>
            <w:r>
              <w:rPr>
                <w:rFonts w:hint="eastAsia"/>
                <w:lang w:val="en-US" w:eastAsia="zh-CN"/>
              </w:rPr>
              <w:t>清洗用水：铁桶在进行喷漆前需使用专用清洗剂加水稀释进行清洗，去除表面少量浮尘及油脂，清洗用水经“絮凝+沉淀”处理后循环使用，补水量约为0.5m³/d（90m³/a）</w:t>
            </w:r>
            <w:r>
              <w:rPr>
                <w:rFonts w:hint="eastAsia" w:cs="Times New Roman"/>
                <w:lang w:val="en-US" w:eastAsia="zh-CN"/>
              </w:rPr>
              <w:t>。②陶化用水：根据建设单位提供的资料，陶化液稀释用水量约为25t/a，全部蒸发不外排。③调漆用水：本项目在调漆过程中需加水稀释，加水比例为每20kg水性漆加3kg水进行稀释，本项目水性漆用量为12.5t/a，则调漆用水量为1.875t/a，调漆用水自然蒸发不外排。</w:t>
            </w:r>
          </w:p>
          <w:p w14:paraId="722A396B">
            <w:pPr>
              <w:pStyle w:val="51"/>
              <w:keepNext w:val="0"/>
              <w:keepLines w:val="0"/>
              <w:suppressLineNumbers w:val="0"/>
              <w:shd w:val="clear"/>
              <w:bidi w:val="0"/>
              <w:spacing w:before="0" w:beforeAutospacing="0" w:after="0" w:afterAutospacing="0" w:line="240" w:lineRule="auto"/>
              <w:ind w:left="0" w:right="0"/>
              <w:rPr>
                <w:rFonts w:hint="default"/>
                <w:lang w:val="en-US" w:eastAsia="zh-CN"/>
              </w:rPr>
            </w:pPr>
            <w:r>
              <w:rPr>
                <w:rFonts w:hint="eastAsia"/>
                <w:lang w:val="en-US" w:eastAsia="zh-CN"/>
              </w:rPr>
              <w:t>本项目水平衡图见图2-2。</w:t>
            </w:r>
          </w:p>
          <w:p w14:paraId="0BCC9DE9">
            <w:pPr>
              <w:pStyle w:val="49"/>
              <w:bidi w:val="0"/>
              <w:rPr>
                <w:rFonts w:hint="eastAsia"/>
                <w:lang w:val="en-US" w:eastAsia="zh-CN"/>
              </w:rPr>
            </w:pPr>
          </w:p>
          <w:p w14:paraId="3B80AB3F">
            <w:pPr>
              <w:pStyle w:val="49"/>
              <w:bidi w:val="0"/>
              <w:rPr>
                <w:rFonts w:hint="default"/>
                <w:lang w:val="en-US" w:eastAsia="zh-CN"/>
              </w:rPr>
            </w:pPr>
            <w:r>
              <w:rPr>
                <w:rFonts w:hint="eastAsia"/>
                <w:lang w:val="en-US" w:eastAsia="zh-CN"/>
              </w:rPr>
              <w:drawing>
                <wp:inline distT="0" distB="0" distL="114300" distR="114300">
                  <wp:extent cx="5151755" cy="3874135"/>
                  <wp:effectExtent l="0" t="0" r="10795" b="0"/>
                  <wp:docPr id="7" name="图片 7" descr="水平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水平衡"/>
                          <pic:cNvPicPr>
                            <a:picLocks noChangeAspect="1"/>
                          </pic:cNvPicPr>
                        </pic:nvPicPr>
                        <pic:blipFill>
                          <a:blip r:embed="rId10"/>
                          <a:stretch>
                            <a:fillRect/>
                          </a:stretch>
                        </pic:blipFill>
                        <pic:spPr>
                          <a:xfrm>
                            <a:off x="0" y="0"/>
                            <a:ext cx="5151755" cy="3874135"/>
                          </a:xfrm>
                          <a:prstGeom prst="rect">
                            <a:avLst/>
                          </a:prstGeom>
                        </pic:spPr>
                      </pic:pic>
                    </a:graphicData>
                  </a:graphic>
                </wp:inline>
              </w:drawing>
            </w:r>
            <w:r>
              <w:rPr>
                <w:rFonts w:hint="eastAsia"/>
                <w:lang w:val="en-US" w:eastAsia="zh-CN"/>
              </w:rPr>
              <w:t>图2-2    本项目水平衡图（单位t/a）</w:t>
            </w:r>
          </w:p>
          <w:p w14:paraId="1C8FB815">
            <w:pPr>
              <w:pStyle w:val="47"/>
              <w:bidi w:val="0"/>
              <w:rPr>
                <w:rFonts w:hint="eastAsia"/>
                <w:lang w:val="en-US" w:eastAsia="zh-CN"/>
              </w:rPr>
            </w:pPr>
            <w:r>
              <w:rPr>
                <w:rFonts w:hint="eastAsia"/>
                <w:lang w:val="en-US" w:eastAsia="zh-CN"/>
              </w:rPr>
              <w:t>（2）供电</w:t>
            </w:r>
          </w:p>
          <w:p w14:paraId="1A6C8BC8">
            <w:pPr>
              <w:pStyle w:val="47"/>
              <w:bidi w:val="0"/>
              <w:rPr>
                <w:rFonts w:hint="default"/>
                <w:lang w:val="en-US" w:eastAsia="zh-CN"/>
              </w:rPr>
            </w:pPr>
            <w:r>
              <w:rPr>
                <w:rFonts w:hint="eastAsia"/>
                <w:lang w:val="en-US" w:eastAsia="zh-CN"/>
              </w:rPr>
              <w:t>本项目供电由园区供电管网提供</w:t>
            </w:r>
          </w:p>
          <w:p w14:paraId="31CF2C40">
            <w:pPr>
              <w:pStyle w:val="48"/>
              <w:bidi w:val="0"/>
              <w:rPr>
                <w:rFonts w:hint="default"/>
                <w:lang w:val="en-US" w:eastAsia="zh-CN"/>
              </w:rPr>
            </w:pPr>
            <w:r>
              <w:rPr>
                <w:rFonts w:hint="eastAsia"/>
                <w:lang w:val="en-US" w:eastAsia="zh-CN"/>
              </w:rPr>
              <w:t>11.</w:t>
            </w:r>
            <w:r>
              <w:rPr>
                <w:rFonts w:hint="eastAsia" w:cs="Times New Roman"/>
                <w:lang w:val="en-US" w:eastAsia="zh-CN"/>
              </w:rPr>
              <w:t>项目环保投资估算</w:t>
            </w:r>
          </w:p>
          <w:p w14:paraId="769A4FFC">
            <w:pPr>
              <w:pStyle w:val="51"/>
              <w:keepNext w:val="0"/>
              <w:keepLines w:val="0"/>
              <w:suppressLineNumbers w:val="0"/>
              <w:bidi w:val="0"/>
              <w:spacing w:before="0" w:beforeAutospacing="0" w:after="0" w:afterAutospacing="0"/>
              <w:ind w:left="0" w:right="0"/>
              <w:rPr>
                <w:rFonts w:cs="Times New Roman"/>
              </w:rPr>
            </w:pPr>
            <w:r>
              <w:rPr>
                <w:rFonts w:cs="Times New Roman"/>
              </w:rPr>
              <w:t>本项目总</w:t>
            </w:r>
            <w:r>
              <w:rPr>
                <w:rFonts w:hint="eastAsia" w:cs="Times New Roman"/>
              </w:rPr>
              <w:t>投资</w:t>
            </w:r>
            <w:r>
              <w:rPr>
                <w:rFonts w:hint="eastAsia" w:cs="Times New Roman"/>
                <w:lang w:val="en-US" w:eastAsia="zh-CN"/>
              </w:rPr>
              <w:t>290</w:t>
            </w:r>
            <w:r>
              <w:rPr>
                <w:rFonts w:cs="Times New Roman"/>
              </w:rPr>
              <w:t>万元，其中环保投资</w:t>
            </w:r>
            <w:r>
              <w:rPr>
                <w:rFonts w:hint="eastAsia" w:cs="Times New Roman"/>
                <w:lang w:val="en-US" w:eastAsia="zh-CN"/>
              </w:rPr>
              <w:t>42</w:t>
            </w:r>
            <w:r>
              <w:rPr>
                <w:rFonts w:hint="eastAsia" w:cs="Times New Roman"/>
              </w:rPr>
              <w:t>万元</w:t>
            </w:r>
            <w:r>
              <w:rPr>
                <w:rFonts w:cs="Times New Roman"/>
              </w:rPr>
              <w:t>，占投资的</w:t>
            </w:r>
            <w:r>
              <w:rPr>
                <w:rFonts w:hint="eastAsia" w:cs="Times New Roman"/>
                <w:lang w:val="en-US" w:eastAsia="zh-CN"/>
              </w:rPr>
              <w:t>14.48</w:t>
            </w:r>
            <w:r>
              <w:rPr>
                <w:rFonts w:hint="eastAsia" w:cs="Times New Roman"/>
              </w:rPr>
              <w:t>%</w:t>
            </w:r>
            <w:r>
              <w:rPr>
                <w:rFonts w:cs="Times New Roman"/>
              </w:rPr>
              <w:t>，具体情况</w:t>
            </w:r>
            <w:r>
              <w:rPr>
                <w:rFonts w:hint="eastAsia" w:cs="Times New Roman"/>
                <w:lang w:eastAsia="zh-CN"/>
              </w:rPr>
              <w:t>见表</w:t>
            </w:r>
            <w:r>
              <w:rPr>
                <w:rFonts w:hint="eastAsia" w:cs="Times New Roman"/>
                <w:lang w:val="en-US" w:eastAsia="zh-CN"/>
              </w:rPr>
              <w:t>2-6</w:t>
            </w:r>
            <w:r>
              <w:rPr>
                <w:rFonts w:cs="Times New Roman"/>
              </w:rPr>
              <w:t>。</w:t>
            </w:r>
          </w:p>
          <w:p w14:paraId="0E5DB54D">
            <w:pPr>
              <w:pStyle w:val="49"/>
              <w:bidi w:val="0"/>
              <w:rPr>
                <w:rFonts w:hint="default"/>
              </w:rPr>
            </w:pPr>
            <w:r>
              <w:rPr>
                <w:rFonts w:hint="eastAsia"/>
                <w:lang w:val="en-US" w:eastAsia="zh-CN"/>
              </w:rPr>
              <w:t xml:space="preserve">表2-6    </w:t>
            </w:r>
            <w:r>
              <w:rPr>
                <w:rFonts w:hint="default"/>
              </w:rPr>
              <w:t>环保设施（措施）及投资估算一览表</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690"/>
              <w:gridCol w:w="693"/>
              <w:gridCol w:w="1171"/>
              <w:gridCol w:w="4126"/>
              <w:gridCol w:w="857"/>
            </w:tblGrid>
            <w:tr w14:paraId="4429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55" w:type="pct"/>
                  <w:noWrap w:val="0"/>
                  <w:vAlign w:val="center"/>
                </w:tcPr>
                <w:p w14:paraId="4CBD285A">
                  <w:pPr>
                    <w:pStyle w:val="61"/>
                    <w:bidi w:val="0"/>
                    <w:rPr>
                      <w:rFonts w:hint="eastAsia"/>
                      <w:lang w:val="en-US" w:eastAsia="zh-CN"/>
                    </w:rPr>
                  </w:pPr>
                  <w:r>
                    <w:rPr>
                      <w:rFonts w:hint="eastAsia"/>
                      <w:lang w:val="en-US" w:eastAsia="zh-CN"/>
                    </w:rPr>
                    <w:t>时段</w:t>
                  </w:r>
                </w:p>
              </w:tc>
              <w:tc>
                <w:tcPr>
                  <w:tcW w:w="1574" w:type="pct"/>
                  <w:gridSpan w:val="3"/>
                  <w:noWrap w:val="0"/>
                  <w:vAlign w:val="center"/>
                </w:tcPr>
                <w:p w14:paraId="6000D4B2">
                  <w:pPr>
                    <w:pStyle w:val="61"/>
                    <w:bidi w:val="0"/>
                    <w:rPr>
                      <w:rFonts w:hint="default"/>
                    </w:rPr>
                  </w:pPr>
                  <w:r>
                    <w:rPr>
                      <w:rFonts w:hint="eastAsia"/>
                      <w:lang w:val="en-US" w:eastAsia="zh-CN"/>
                    </w:rPr>
                    <w:t>项目</w:t>
                  </w:r>
                </w:p>
              </w:tc>
              <w:tc>
                <w:tcPr>
                  <w:tcW w:w="2541" w:type="pct"/>
                  <w:noWrap w:val="0"/>
                  <w:vAlign w:val="center"/>
                </w:tcPr>
                <w:p w14:paraId="39014692">
                  <w:pPr>
                    <w:pStyle w:val="61"/>
                    <w:bidi w:val="0"/>
                    <w:rPr>
                      <w:rFonts w:hint="default"/>
                      <w:lang w:val="en-US" w:eastAsia="zh-CN"/>
                    </w:rPr>
                  </w:pPr>
                  <w:r>
                    <w:rPr>
                      <w:rFonts w:hint="eastAsia"/>
                      <w:lang w:val="en-US" w:eastAsia="zh-CN"/>
                    </w:rPr>
                    <w:t>环保措施</w:t>
                  </w:r>
                </w:p>
              </w:tc>
              <w:tc>
                <w:tcPr>
                  <w:tcW w:w="528" w:type="pct"/>
                  <w:noWrap w:val="0"/>
                  <w:vAlign w:val="center"/>
                </w:tcPr>
                <w:p w14:paraId="7795BAB9">
                  <w:pPr>
                    <w:pStyle w:val="61"/>
                    <w:bidi w:val="0"/>
                    <w:rPr>
                      <w:rFonts w:hint="eastAsia"/>
                      <w:lang w:val="en-US" w:eastAsia="zh-CN"/>
                    </w:rPr>
                  </w:pPr>
                  <w:r>
                    <w:rPr>
                      <w:rFonts w:hint="eastAsia"/>
                      <w:lang w:val="en-US" w:eastAsia="zh-CN"/>
                    </w:rPr>
                    <w:t>投资</w:t>
                  </w:r>
                </w:p>
                <w:p w14:paraId="4ED07B18">
                  <w:pPr>
                    <w:pStyle w:val="61"/>
                    <w:bidi w:val="0"/>
                    <w:rPr>
                      <w:rFonts w:hint="default"/>
                      <w:lang w:val="en-US" w:eastAsia="zh-CN"/>
                    </w:rPr>
                  </w:pPr>
                  <w:r>
                    <w:rPr>
                      <w:rFonts w:hint="eastAsia"/>
                      <w:lang w:val="en-US" w:eastAsia="zh-CN"/>
                    </w:rPr>
                    <w:t>（万元）</w:t>
                  </w:r>
                </w:p>
              </w:tc>
            </w:tr>
            <w:tr w14:paraId="013D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55" w:type="pct"/>
                  <w:vMerge w:val="restart"/>
                  <w:noWrap w:val="0"/>
                  <w:vAlign w:val="center"/>
                </w:tcPr>
                <w:p w14:paraId="6B6826ED">
                  <w:pPr>
                    <w:pStyle w:val="61"/>
                    <w:bidi w:val="0"/>
                    <w:rPr>
                      <w:rFonts w:hint="eastAsia"/>
                      <w:lang w:val="en-US" w:eastAsia="zh-CN"/>
                    </w:rPr>
                  </w:pPr>
                  <w:r>
                    <w:rPr>
                      <w:rFonts w:hint="eastAsia"/>
                      <w:lang w:val="en-US" w:eastAsia="zh-CN"/>
                    </w:rPr>
                    <w:t>运营期</w:t>
                  </w:r>
                </w:p>
              </w:tc>
              <w:tc>
                <w:tcPr>
                  <w:tcW w:w="425" w:type="pct"/>
                  <w:vMerge w:val="restart"/>
                  <w:noWrap w:val="0"/>
                  <w:vAlign w:val="center"/>
                </w:tcPr>
                <w:p w14:paraId="492582DC">
                  <w:pPr>
                    <w:pStyle w:val="61"/>
                    <w:bidi w:val="0"/>
                    <w:rPr>
                      <w:rFonts w:hint="default"/>
                      <w:lang w:val="en-US" w:eastAsia="zh-CN"/>
                    </w:rPr>
                  </w:pPr>
                  <w:r>
                    <w:rPr>
                      <w:rFonts w:hint="eastAsia"/>
                      <w:lang w:val="en-US" w:eastAsia="zh-CN"/>
                    </w:rPr>
                    <w:t>废气治理</w:t>
                  </w:r>
                </w:p>
              </w:tc>
              <w:tc>
                <w:tcPr>
                  <w:tcW w:w="427" w:type="pct"/>
                  <w:noWrap w:val="0"/>
                  <w:vAlign w:val="center"/>
                </w:tcPr>
                <w:p w14:paraId="2F713466">
                  <w:pPr>
                    <w:pStyle w:val="61"/>
                    <w:bidi w:val="0"/>
                    <w:rPr>
                      <w:rFonts w:hint="default"/>
                      <w:lang w:val="en-US" w:eastAsia="zh-CN"/>
                    </w:rPr>
                  </w:pPr>
                  <w:r>
                    <w:rPr>
                      <w:rFonts w:hint="eastAsia"/>
                      <w:lang w:val="en-US" w:eastAsia="zh-CN"/>
                    </w:rPr>
                    <w:t>喷漆废气</w:t>
                  </w:r>
                </w:p>
              </w:tc>
              <w:tc>
                <w:tcPr>
                  <w:tcW w:w="721" w:type="pct"/>
                  <w:noWrap w:val="0"/>
                  <w:vAlign w:val="center"/>
                </w:tcPr>
                <w:p w14:paraId="5EE7A8FB">
                  <w:pPr>
                    <w:pStyle w:val="61"/>
                    <w:bidi w:val="0"/>
                    <w:rPr>
                      <w:rFonts w:hint="default"/>
                      <w:lang w:val="en-US" w:eastAsia="zh-CN"/>
                    </w:rPr>
                  </w:pPr>
                  <w:r>
                    <w:rPr>
                      <w:rFonts w:hint="eastAsia"/>
                      <w:lang w:val="en-US" w:eastAsia="zh-CN"/>
                    </w:rPr>
                    <w:t>非甲烷总烃、颗粒物</w:t>
                  </w:r>
                </w:p>
              </w:tc>
              <w:tc>
                <w:tcPr>
                  <w:tcW w:w="2541" w:type="pct"/>
                  <w:noWrap w:val="0"/>
                  <w:vAlign w:val="center"/>
                </w:tcPr>
                <w:p w14:paraId="4B7FC4E3">
                  <w:pPr>
                    <w:pStyle w:val="61"/>
                    <w:bidi w:val="0"/>
                    <w:rPr>
                      <w:rFonts w:hint="default"/>
                      <w:lang w:val="en-US" w:eastAsia="zh-CN"/>
                    </w:rPr>
                  </w:pPr>
                  <w:r>
                    <w:rPr>
                      <w:rFonts w:hint="eastAsia"/>
                      <w:lang w:val="en-US" w:eastAsia="zh-CN"/>
                    </w:rPr>
                    <w:t>喷漆废气产生的颗粒物和非甲烷总烃经干式过滤+二级活性炭吸附装置+15m排气筒（DA001）进行有组织排放。</w:t>
                  </w:r>
                </w:p>
              </w:tc>
              <w:tc>
                <w:tcPr>
                  <w:tcW w:w="528" w:type="pct"/>
                  <w:noWrap w:val="0"/>
                  <w:vAlign w:val="center"/>
                </w:tcPr>
                <w:p w14:paraId="534B2A84">
                  <w:pPr>
                    <w:pStyle w:val="61"/>
                    <w:bidi w:val="0"/>
                    <w:rPr>
                      <w:rFonts w:hint="default"/>
                      <w:lang w:val="en-US" w:eastAsia="zh-CN"/>
                    </w:rPr>
                  </w:pPr>
                  <w:r>
                    <w:rPr>
                      <w:rFonts w:hint="eastAsia"/>
                      <w:lang w:val="en-US" w:eastAsia="zh-CN"/>
                    </w:rPr>
                    <w:t>8</w:t>
                  </w:r>
                </w:p>
              </w:tc>
            </w:tr>
            <w:tr w14:paraId="3016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55" w:type="pct"/>
                  <w:vMerge w:val="continue"/>
                  <w:noWrap w:val="0"/>
                  <w:vAlign w:val="center"/>
                </w:tcPr>
                <w:p w14:paraId="039E5274">
                  <w:pPr>
                    <w:pStyle w:val="61"/>
                    <w:bidi w:val="0"/>
                    <w:rPr>
                      <w:rFonts w:hint="eastAsia"/>
                      <w:lang w:val="en-US" w:eastAsia="zh-CN"/>
                    </w:rPr>
                  </w:pPr>
                </w:p>
              </w:tc>
              <w:tc>
                <w:tcPr>
                  <w:tcW w:w="425" w:type="pct"/>
                  <w:vMerge w:val="continue"/>
                  <w:noWrap w:val="0"/>
                  <w:vAlign w:val="center"/>
                </w:tcPr>
                <w:p w14:paraId="1B3D1D14">
                  <w:pPr>
                    <w:pStyle w:val="61"/>
                    <w:bidi w:val="0"/>
                    <w:rPr>
                      <w:rFonts w:hint="eastAsia"/>
                      <w:lang w:val="en-US" w:eastAsia="zh-CN"/>
                    </w:rPr>
                  </w:pPr>
                </w:p>
              </w:tc>
              <w:tc>
                <w:tcPr>
                  <w:tcW w:w="427" w:type="pct"/>
                  <w:noWrap w:val="0"/>
                  <w:vAlign w:val="center"/>
                </w:tcPr>
                <w:p w14:paraId="3BC5B777">
                  <w:pPr>
                    <w:pStyle w:val="61"/>
                    <w:bidi w:val="0"/>
                    <w:rPr>
                      <w:rFonts w:hint="default"/>
                      <w:lang w:val="en-US" w:eastAsia="zh-CN"/>
                    </w:rPr>
                  </w:pPr>
                  <w:r>
                    <w:rPr>
                      <w:rFonts w:hint="eastAsia"/>
                      <w:lang w:val="en-US" w:eastAsia="zh-CN"/>
                    </w:rPr>
                    <w:t>天然气烘干废气</w:t>
                  </w:r>
                </w:p>
              </w:tc>
              <w:tc>
                <w:tcPr>
                  <w:tcW w:w="721" w:type="pct"/>
                  <w:noWrap w:val="0"/>
                  <w:vAlign w:val="center"/>
                </w:tcPr>
                <w:p w14:paraId="59698646">
                  <w:pPr>
                    <w:pStyle w:val="61"/>
                    <w:bidi w:val="0"/>
                    <w:rPr>
                      <w:rFonts w:hint="default"/>
                      <w:lang w:val="en-US" w:eastAsia="zh-CN"/>
                    </w:rPr>
                  </w:pPr>
                  <w:r>
                    <w:rPr>
                      <w:rFonts w:hint="eastAsia"/>
                      <w:lang w:val="en-US" w:eastAsia="zh-CN"/>
                    </w:rPr>
                    <w:t>SO</w:t>
                  </w:r>
                  <w:r>
                    <w:rPr>
                      <w:rFonts w:hint="eastAsia"/>
                      <w:vertAlign w:val="subscript"/>
                      <w:lang w:val="en-US" w:eastAsia="zh-CN"/>
                    </w:rPr>
                    <w:t>2</w:t>
                  </w:r>
                  <w:r>
                    <w:rPr>
                      <w:rFonts w:hint="eastAsia"/>
                      <w:lang w:val="en-US" w:eastAsia="zh-CN"/>
                    </w:rPr>
                    <w:t>、NO</w:t>
                  </w:r>
                  <w:r>
                    <w:rPr>
                      <w:rFonts w:hint="eastAsia"/>
                      <w:vertAlign w:val="subscript"/>
                      <w:lang w:val="en-US" w:eastAsia="zh-CN"/>
                    </w:rPr>
                    <w:t>X</w:t>
                  </w:r>
                  <w:r>
                    <w:rPr>
                      <w:rFonts w:hint="eastAsia"/>
                      <w:lang w:val="en-US" w:eastAsia="zh-CN"/>
                    </w:rPr>
                    <w:t>、颗粒物、非甲烷总烃</w:t>
                  </w:r>
                </w:p>
              </w:tc>
              <w:tc>
                <w:tcPr>
                  <w:tcW w:w="2541" w:type="pct"/>
                  <w:noWrap w:val="0"/>
                  <w:vAlign w:val="center"/>
                </w:tcPr>
                <w:p w14:paraId="5B230F00">
                  <w:pPr>
                    <w:pStyle w:val="61"/>
                    <w:bidi w:val="0"/>
                    <w:rPr>
                      <w:rFonts w:hint="eastAsia"/>
                      <w:lang w:val="en-US" w:eastAsia="zh-CN"/>
                    </w:rPr>
                  </w:pPr>
                  <w:r>
                    <w:rPr>
                      <w:rFonts w:hint="eastAsia"/>
                      <w:lang w:val="en-US" w:eastAsia="zh-CN"/>
                    </w:rPr>
                    <w:t>清洗后烘干废气为天然气燃烧烟气，经低氮燃烧技术处理后经1根15m排气筒（DA002）排放；喷漆后烘干废气为天然气燃烧烟气和非甲烷总烃，经低氮燃烧和二级活性炭吸附后经1根15m高排气筒（DA003）排放。</w:t>
                  </w:r>
                </w:p>
              </w:tc>
              <w:tc>
                <w:tcPr>
                  <w:tcW w:w="528" w:type="pct"/>
                  <w:noWrap w:val="0"/>
                  <w:vAlign w:val="center"/>
                </w:tcPr>
                <w:p w14:paraId="53C7AA7D">
                  <w:pPr>
                    <w:pStyle w:val="61"/>
                    <w:bidi w:val="0"/>
                    <w:rPr>
                      <w:rFonts w:hint="default"/>
                      <w:lang w:val="en-US" w:eastAsia="zh-CN"/>
                    </w:rPr>
                  </w:pPr>
                  <w:r>
                    <w:rPr>
                      <w:rFonts w:hint="eastAsia"/>
                      <w:lang w:val="en-US" w:eastAsia="zh-CN"/>
                    </w:rPr>
                    <w:t>15</w:t>
                  </w:r>
                </w:p>
              </w:tc>
            </w:tr>
            <w:tr w14:paraId="08F0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55" w:type="pct"/>
                  <w:vMerge w:val="continue"/>
                  <w:noWrap w:val="0"/>
                  <w:vAlign w:val="center"/>
                </w:tcPr>
                <w:p w14:paraId="47DD2B1E">
                  <w:pPr>
                    <w:pStyle w:val="61"/>
                    <w:bidi w:val="0"/>
                    <w:rPr>
                      <w:rFonts w:hint="default"/>
                    </w:rPr>
                  </w:pPr>
                </w:p>
              </w:tc>
              <w:tc>
                <w:tcPr>
                  <w:tcW w:w="425" w:type="pct"/>
                  <w:noWrap w:val="0"/>
                  <w:vAlign w:val="center"/>
                </w:tcPr>
                <w:p w14:paraId="39C72C29">
                  <w:pPr>
                    <w:pStyle w:val="61"/>
                    <w:bidi w:val="0"/>
                    <w:rPr>
                      <w:rFonts w:hint="default"/>
                      <w:lang w:val="en-US" w:eastAsia="zh-CN"/>
                    </w:rPr>
                  </w:pPr>
                  <w:r>
                    <w:rPr>
                      <w:rFonts w:hint="eastAsia"/>
                      <w:lang w:val="en-US" w:eastAsia="zh-CN"/>
                    </w:rPr>
                    <w:t>噪声治理</w:t>
                  </w:r>
                </w:p>
              </w:tc>
              <w:tc>
                <w:tcPr>
                  <w:tcW w:w="3690" w:type="pct"/>
                  <w:gridSpan w:val="3"/>
                  <w:noWrap w:val="0"/>
                  <w:vAlign w:val="center"/>
                </w:tcPr>
                <w:p w14:paraId="0FC4E39A">
                  <w:pPr>
                    <w:pStyle w:val="61"/>
                    <w:bidi w:val="0"/>
                    <w:rPr>
                      <w:rFonts w:hint="default"/>
                      <w:lang w:val="en-US" w:eastAsia="zh-CN"/>
                    </w:rPr>
                  </w:pPr>
                  <w:r>
                    <w:rPr>
                      <w:rFonts w:hint="eastAsia"/>
                      <w:lang w:val="en-US" w:eastAsia="zh-CN"/>
                    </w:rPr>
                    <w:t>低噪声设备、基础减振、车间隔声、距离衰减、绿化厂区。</w:t>
                  </w:r>
                </w:p>
              </w:tc>
              <w:tc>
                <w:tcPr>
                  <w:tcW w:w="528" w:type="pct"/>
                  <w:noWrap w:val="0"/>
                  <w:vAlign w:val="center"/>
                </w:tcPr>
                <w:p w14:paraId="51EE389A">
                  <w:pPr>
                    <w:pStyle w:val="61"/>
                    <w:bidi w:val="0"/>
                    <w:rPr>
                      <w:rFonts w:hint="default"/>
                      <w:lang w:val="en-US" w:eastAsia="zh-CN"/>
                    </w:rPr>
                  </w:pPr>
                  <w:r>
                    <w:rPr>
                      <w:rFonts w:hint="eastAsia"/>
                      <w:lang w:val="en-US" w:eastAsia="zh-CN"/>
                    </w:rPr>
                    <w:t>3</w:t>
                  </w:r>
                </w:p>
              </w:tc>
            </w:tr>
            <w:tr w14:paraId="05C7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55" w:type="pct"/>
                  <w:vMerge w:val="continue"/>
                  <w:noWrap w:val="0"/>
                  <w:vAlign w:val="center"/>
                </w:tcPr>
                <w:p w14:paraId="3A2AF459">
                  <w:pPr>
                    <w:pStyle w:val="61"/>
                    <w:bidi w:val="0"/>
                    <w:rPr>
                      <w:rFonts w:hint="default"/>
                    </w:rPr>
                  </w:pPr>
                </w:p>
              </w:tc>
              <w:tc>
                <w:tcPr>
                  <w:tcW w:w="425" w:type="pct"/>
                  <w:vMerge w:val="restart"/>
                  <w:noWrap w:val="0"/>
                  <w:vAlign w:val="center"/>
                </w:tcPr>
                <w:p w14:paraId="7629B446">
                  <w:pPr>
                    <w:pStyle w:val="61"/>
                    <w:bidi w:val="0"/>
                    <w:rPr>
                      <w:rFonts w:hint="default"/>
                      <w:lang w:val="en-US" w:eastAsia="zh-CN"/>
                    </w:rPr>
                  </w:pPr>
                  <w:r>
                    <w:rPr>
                      <w:rFonts w:hint="eastAsia"/>
                      <w:lang w:val="en-US" w:eastAsia="zh-CN"/>
                    </w:rPr>
                    <w:t>废水治理</w:t>
                  </w:r>
                </w:p>
              </w:tc>
              <w:tc>
                <w:tcPr>
                  <w:tcW w:w="1148" w:type="pct"/>
                  <w:gridSpan w:val="2"/>
                  <w:noWrap w:val="0"/>
                  <w:vAlign w:val="center"/>
                </w:tcPr>
                <w:p w14:paraId="2E315319">
                  <w:pPr>
                    <w:pStyle w:val="61"/>
                    <w:bidi w:val="0"/>
                    <w:rPr>
                      <w:rFonts w:hint="default"/>
                      <w:lang w:val="en-US" w:eastAsia="zh-CN"/>
                    </w:rPr>
                  </w:pPr>
                  <w:r>
                    <w:rPr>
                      <w:rFonts w:hint="eastAsia"/>
                      <w:lang w:val="en-US" w:eastAsia="zh-CN"/>
                    </w:rPr>
                    <w:t>生活污水</w:t>
                  </w:r>
                </w:p>
              </w:tc>
              <w:tc>
                <w:tcPr>
                  <w:tcW w:w="2541" w:type="pct"/>
                  <w:noWrap w:val="0"/>
                  <w:vAlign w:val="center"/>
                </w:tcPr>
                <w:p w14:paraId="4B65CFDF">
                  <w:pPr>
                    <w:pStyle w:val="61"/>
                    <w:bidi w:val="0"/>
                    <w:rPr>
                      <w:rFonts w:hint="default"/>
                      <w:lang w:val="en-US" w:eastAsia="zh-CN"/>
                    </w:rPr>
                  </w:pPr>
                  <w:r>
                    <w:rPr>
                      <w:rFonts w:hint="eastAsia"/>
                      <w:lang w:val="en-US" w:eastAsia="zh-CN"/>
                    </w:rPr>
                    <w:t>经一座5m</w:t>
                  </w:r>
                  <w:r>
                    <w:rPr>
                      <w:rFonts w:hint="eastAsia"/>
                      <w:vertAlign w:val="superscript"/>
                      <w:lang w:val="en-US" w:eastAsia="zh-CN"/>
                    </w:rPr>
                    <w:t>3</w:t>
                  </w:r>
                  <w:r>
                    <w:rPr>
                      <w:rFonts w:hint="eastAsia"/>
                      <w:lang w:val="en-US" w:eastAsia="zh-CN"/>
                    </w:rPr>
                    <w:t>的化粪池预处理后，经园区污水管网进入铁门关污水处理厂。</w:t>
                  </w:r>
                </w:p>
              </w:tc>
              <w:tc>
                <w:tcPr>
                  <w:tcW w:w="528" w:type="pct"/>
                  <w:noWrap w:val="0"/>
                  <w:vAlign w:val="center"/>
                </w:tcPr>
                <w:p w14:paraId="02D6100E">
                  <w:pPr>
                    <w:pStyle w:val="61"/>
                    <w:bidi w:val="0"/>
                    <w:rPr>
                      <w:rFonts w:hint="default"/>
                      <w:lang w:val="en-US" w:eastAsia="zh-CN"/>
                    </w:rPr>
                  </w:pPr>
                  <w:r>
                    <w:rPr>
                      <w:rFonts w:hint="eastAsia"/>
                      <w:lang w:val="en-US" w:eastAsia="zh-CN"/>
                    </w:rPr>
                    <w:t>/</w:t>
                  </w:r>
                </w:p>
              </w:tc>
            </w:tr>
            <w:tr w14:paraId="4C88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355" w:type="pct"/>
                  <w:vMerge w:val="continue"/>
                  <w:noWrap w:val="0"/>
                  <w:vAlign w:val="center"/>
                </w:tcPr>
                <w:p w14:paraId="62AFA75C">
                  <w:pPr>
                    <w:pStyle w:val="61"/>
                    <w:bidi w:val="0"/>
                    <w:rPr>
                      <w:rFonts w:hint="default"/>
                    </w:rPr>
                  </w:pPr>
                </w:p>
              </w:tc>
              <w:tc>
                <w:tcPr>
                  <w:tcW w:w="425" w:type="pct"/>
                  <w:vMerge w:val="continue"/>
                  <w:noWrap w:val="0"/>
                  <w:vAlign w:val="center"/>
                </w:tcPr>
                <w:p w14:paraId="41219AB4">
                  <w:pPr>
                    <w:pStyle w:val="61"/>
                    <w:bidi w:val="0"/>
                    <w:rPr>
                      <w:rFonts w:hint="eastAsia"/>
                      <w:lang w:val="en-US" w:eastAsia="zh-CN"/>
                    </w:rPr>
                  </w:pPr>
                </w:p>
              </w:tc>
              <w:tc>
                <w:tcPr>
                  <w:tcW w:w="1148" w:type="pct"/>
                  <w:gridSpan w:val="2"/>
                  <w:noWrap w:val="0"/>
                  <w:vAlign w:val="center"/>
                </w:tcPr>
                <w:p w14:paraId="10545AA2">
                  <w:pPr>
                    <w:pStyle w:val="61"/>
                    <w:bidi w:val="0"/>
                    <w:rPr>
                      <w:rFonts w:hint="eastAsia"/>
                      <w:lang w:val="en-US" w:eastAsia="zh-CN"/>
                    </w:rPr>
                  </w:pPr>
                  <w:r>
                    <w:rPr>
                      <w:rFonts w:hint="eastAsia"/>
                      <w:lang w:val="en-US" w:eastAsia="zh-CN"/>
                    </w:rPr>
                    <w:t>生产废水</w:t>
                  </w:r>
                </w:p>
              </w:tc>
              <w:tc>
                <w:tcPr>
                  <w:tcW w:w="2541" w:type="pct"/>
                  <w:noWrap w:val="0"/>
                  <w:vAlign w:val="center"/>
                </w:tcPr>
                <w:p w14:paraId="5408AF55">
                  <w:pPr>
                    <w:pStyle w:val="61"/>
                    <w:bidi w:val="0"/>
                    <w:rPr>
                      <w:rFonts w:hint="default"/>
                      <w:lang w:val="en-US" w:eastAsia="zh-CN"/>
                    </w:rPr>
                  </w:pPr>
                  <w:r>
                    <w:rPr>
                      <w:rFonts w:hint="eastAsia"/>
                      <w:lang w:val="en-US" w:eastAsia="zh-CN"/>
                    </w:rPr>
                    <w:t>清洗废水经“絮凝+沉淀”处理后循环使用，不外排。</w:t>
                  </w:r>
                </w:p>
              </w:tc>
              <w:tc>
                <w:tcPr>
                  <w:tcW w:w="528" w:type="pct"/>
                  <w:noWrap w:val="0"/>
                  <w:vAlign w:val="center"/>
                </w:tcPr>
                <w:p w14:paraId="4B8EC510">
                  <w:pPr>
                    <w:pStyle w:val="61"/>
                    <w:bidi w:val="0"/>
                    <w:rPr>
                      <w:rFonts w:hint="default"/>
                      <w:lang w:val="en-US" w:eastAsia="zh-CN"/>
                    </w:rPr>
                  </w:pPr>
                  <w:r>
                    <w:rPr>
                      <w:rFonts w:hint="eastAsia"/>
                      <w:lang w:val="en-US" w:eastAsia="zh-CN"/>
                    </w:rPr>
                    <w:t>10</w:t>
                  </w:r>
                </w:p>
              </w:tc>
            </w:tr>
            <w:tr w14:paraId="0C483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55" w:type="pct"/>
                  <w:vMerge w:val="continue"/>
                  <w:noWrap w:val="0"/>
                  <w:vAlign w:val="center"/>
                </w:tcPr>
                <w:p w14:paraId="7654676B">
                  <w:pPr>
                    <w:pStyle w:val="61"/>
                    <w:bidi w:val="0"/>
                    <w:rPr>
                      <w:rFonts w:hint="default"/>
                    </w:rPr>
                  </w:pPr>
                </w:p>
              </w:tc>
              <w:tc>
                <w:tcPr>
                  <w:tcW w:w="425" w:type="pct"/>
                  <w:vMerge w:val="restart"/>
                  <w:tcBorders>
                    <w:bottom w:val="nil"/>
                  </w:tcBorders>
                  <w:noWrap w:val="0"/>
                  <w:vAlign w:val="center"/>
                </w:tcPr>
                <w:p w14:paraId="230FAE66">
                  <w:pPr>
                    <w:pStyle w:val="61"/>
                    <w:bidi w:val="0"/>
                    <w:rPr>
                      <w:rFonts w:hint="eastAsia"/>
                      <w:lang w:val="en-US" w:eastAsia="zh-CN"/>
                    </w:rPr>
                  </w:pPr>
                  <w:r>
                    <w:rPr>
                      <w:rFonts w:hint="eastAsia"/>
                      <w:lang w:val="en-US" w:eastAsia="zh-CN"/>
                    </w:rPr>
                    <w:t>固废治理</w:t>
                  </w:r>
                </w:p>
              </w:tc>
              <w:tc>
                <w:tcPr>
                  <w:tcW w:w="1148" w:type="pct"/>
                  <w:gridSpan w:val="2"/>
                  <w:noWrap w:val="0"/>
                  <w:vAlign w:val="center"/>
                </w:tcPr>
                <w:p w14:paraId="5C0BD239">
                  <w:pPr>
                    <w:pStyle w:val="61"/>
                    <w:bidi w:val="0"/>
                    <w:rPr>
                      <w:rFonts w:hint="default"/>
                      <w:lang w:val="en-US" w:eastAsia="zh-CN"/>
                    </w:rPr>
                  </w:pPr>
                  <w:r>
                    <w:rPr>
                      <w:rFonts w:hint="eastAsia"/>
                      <w:lang w:val="en-US" w:eastAsia="zh-CN"/>
                    </w:rPr>
                    <w:t>一般固废</w:t>
                  </w:r>
                </w:p>
              </w:tc>
              <w:tc>
                <w:tcPr>
                  <w:tcW w:w="2541" w:type="pct"/>
                  <w:noWrap w:val="0"/>
                  <w:vAlign w:val="center"/>
                </w:tcPr>
                <w:p w14:paraId="23337F2F">
                  <w:pPr>
                    <w:pStyle w:val="61"/>
                    <w:bidi w:val="0"/>
                    <w:rPr>
                      <w:rFonts w:hint="default"/>
                      <w:lang w:val="en-US" w:eastAsia="zh-CN"/>
                    </w:rPr>
                  </w:pPr>
                  <w:r>
                    <w:rPr>
                      <w:rFonts w:hint="default"/>
                      <w:lang w:val="en-US" w:eastAsia="zh-CN"/>
                    </w:rPr>
                    <w:t>废包装材料和废边角料收集后外售综合利用</w:t>
                  </w:r>
                  <w:r>
                    <w:rPr>
                      <w:rFonts w:hint="eastAsia"/>
                      <w:sz w:val="21"/>
                      <w:szCs w:val="21"/>
                      <w:lang w:val="en-US" w:eastAsia="zh-CN"/>
                    </w:rPr>
                    <w:t>。</w:t>
                  </w:r>
                </w:p>
              </w:tc>
              <w:tc>
                <w:tcPr>
                  <w:tcW w:w="528" w:type="pct"/>
                  <w:noWrap w:val="0"/>
                  <w:vAlign w:val="center"/>
                </w:tcPr>
                <w:p w14:paraId="4C37A663">
                  <w:pPr>
                    <w:pStyle w:val="61"/>
                    <w:bidi w:val="0"/>
                    <w:rPr>
                      <w:rFonts w:hint="default"/>
                      <w:lang w:val="en-US" w:eastAsia="zh-CN"/>
                    </w:rPr>
                  </w:pPr>
                  <w:r>
                    <w:rPr>
                      <w:rFonts w:hint="eastAsia"/>
                      <w:lang w:val="en-US" w:eastAsia="zh-CN"/>
                    </w:rPr>
                    <w:t>2</w:t>
                  </w:r>
                </w:p>
              </w:tc>
            </w:tr>
            <w:tr w14:paraId="27A5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55" w:type="pct"/>
                  <w:vMerge w:val="continue"/>
                  <w:noWrap w:val="0"/>
                  <w:vAlign w:val="center"/>
                </w:tcPr>
                <w:p w14:paraId="11292A58">
                  <w:pPr>
                    <w:pStyle w:val="61"/>
                    <w:bidi w:val="0"/>
                    <w:rPr>
                      <w:rFonts w:hint="default"/>
                    </w:rPr>
                  </w:pPr>
                </w:p>
              </w:tc>
              <w:tc>
                <w:tcPr>
                  <w:tcW w:w="425" w:type="pct"/>
                  <w:vMerge w:val="continue"/>
                  <w:tcBorders>
                    <w:top w:val="nil"/>
                  </w:tcBorders>
                  <w:noWrap w:val="0"/>
                  <w:vAlign w:val="center"/>
                </w:tcPr>
                <w:p w14:paraId="015366B2">
                  <w:pPr>
                    <w:pStyle w:val="61"/>
                    <w:bidi w:val="0"/>
                    <w:rPr>
                      <w:rFonts w:hint="eastAsia"/>
                      <w:lang w:val="en-US" w:eastAsia="zh-CN"/>
                    </w:rPr>
                  </w:pPr>
                </w:p>
              </w:tc>
              <w:tc>
                <w:tcPr>
                  <w:tcW w:w="1148" w:type="pct"/>
                  <w:gridSpan w:val="2"/>
                  <w:noWrap w:val="0"/>
                  <w:vAlign w:val="center"/>
                </w:tcPr>
                <w:p w14:paraId="209C9526">
                  <w:pPr>
                    <w:pStyle w:val="61"/>
                    <w:bidi w:val="0"/>
                    <w:rPr>
                      <w:rFonts w:hint="eastAsia"/>
                      <w:lang w:val="en-US" w:eastAsia="zh-CN"/>
                    </w:rPr>
                  </w:pPr>
                  <w:r>
                    <w:rPr>
                      <w:rFonts w:hint="eastAsia"/>
                      <w:lang w:val="en-US" w:eastAsia="zh-CN"/>
                    </w:rPr>
                    <w:t>危险废物</w:t>
                  </w:r>
                </w:p>
              </w:tc>
              <w:tc>
                <w:tcPr>
                  <w:tcW w:w="2541" w:type="pct"/>
                  <w:noWrap w:val="0"/>
                  <w:vAlign w:val="center"/>
                </w:tcPr>
                <w:p w14:paraId="735938CE">
                  <w:pPr>
                    <w:pStyle w:val="61"/>
                    <w:bidi w:val="0"/>
                    <w:rPr>
                      <w:rFonts w:hint="eastAsia"/>
                      <w:lang w:val="en-US" w:eastAsia="zh-CN"/>
                    </w:rPr>
                  </w:pPr>
                  <w:r>
                    <w:rPr>
                      <w:rFonts w:hint="default"/>
                      <w:lang w:val="en-US" w:eastAsia="zh-CN"/>
                    </w:rPr>
                    <w:t>废活性炭</w:t>
                  </w:r>
                  <w:r>
                    <w:rPr>
                      <w:rFonts w:hint="eastAsia"/>
                      <w:lang w:val="en-US" w:eastAsia="zh-CN"/>
                    </w:rPr>
                    <w:t>、</w:t>
                  </w:r>
                  <w:r>
                    <w:rPr>
                      <w:rFonts w:hint="default"/>
                      <w:lang w:val="en-US" w:eastAsia="zh-CN"/>
                    </w:rPr>
                    <w:t>废润滑油、废润滑油桶</w:t>
                  </w:r>
                  <w:r>
                    <w:rPr>
                      <w:rFonts w:hint="eastAsia"/>
                      <w:lang w:val="en-US" w:eastAsia="zh-CN"/>
                    </w:rPr>
                    <w:t>、清洗废渣</w:t>
                  </w:r>
                  <w:r>
                    <w:rPr>
                      <w:rFonts w:hint="default"/>
                      <w:lang w:val="en-US" w:eastAsia="zh-CN"/>
                    </w:rPr>
                    <w:t>暂存于危险废物暂存间，定期委托有资质的单位运走处置。</w:t>
                  </w:r>
                </w:p>
              </w:tc>
              <w:tc>
                <w:tcPr>
                  <w:tcW w:w="528" w:type="pct"/>
                  <w:noWrap w:val="0"/>
                  <w:vAlign w:val="center"/>
                </w:tcPr>
                <w:p w14:paraId="704712E2">
                  <w:pPr>
                    <w:pStyle w:val="61"/>
                    <w:bidi w:val="0"/>
                    <w:rPr>
                      <w:rFonts w:hint="default"/>
                      <w:lang w:val="en-US" w:eastAsia="zh-CN"/>
                    </w:rPr>
                  </w:pPr>
                  <w:r>
                    <w:rPr>
                      <w:rFonts w:hint="eastAsia"/>
                      <w:lang w:val="en-US" w:eastAsia="zh-CN"/>
                    </w:rPr>
                    <w:t>3</w:t>
                  </w:r>
                </w:p>
              </w:tc>
            </w:tr>
            <w:tr w14:paraId="6A2F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55" w:type="pct"/>
                  <w:vMerge w:val="continue"/>
                  <w:noWrap w:val="0"/>
                  <w:vAlign w:val="center"/>
                </w:tcPr>
                <w:p w14:paraId="5B526ED0">
                  <w:pPr>
                    <w:pStyle w:val="61"/>
                    <w:bidi w:val="0"/>
                    <w:rPr>
                      <w:rFonts w:hint="default"/>
                    </w:rPr>
                  </w:pPr>
                </w:p>
              </w:tc>
              <w:tc>
                <w:tcPr>
                  <w:tcW w:w="425" w:type="pct"/>
                  <w:vMerge w:val="continue"/>
                  <w:noWrap w:val="0"/>
                  <w:vAlign w:val="center"/>
                </w:tcPr>
                <w:p w14:paraId="22AEBC2A">
                  <w:pPr>
                    <w:pStyle w:val="61"/>
                    <w:bidi w:val="0"/>
                    <w:rPr>
                      <w:rFonts w:hint="eastAsia"/>
                      <w:lang w:val="en-US" w:eastAsia="zh-CN"/>
                    </w:rPr>
                  </w:pPr>
                </w:p>
              </w:tc>
              <w:tc>
                <w:tcPr>
                  <w:tcW w:w="1148" w:type="pct"/>
                  <w:gridSpan w:val="2"/>
                  <w:noWrap w:val="0"/>
                  <w:vAlign w:val="center"/>
                </w:tcPr>
                <w:p w14:paraId="0DEC0C6C">
                  <w:pPr>
                    <w:pStyle w:val="61"/>
                    <w:bidi w:val="0"/>
                    <w:rPr>
                      <w:rFonts w:hint="eastAsia"/>
                      <w:lang w:val="en-US" w:eastAsia="zh-CN"/>
                    </w:rPr>
                  </w:pPr>
                  <w:r>
                    <w:rPr>
                      <w:rFonts w:hint="eastAsia"/>
                      <w:lang w:val="en-US" w:eastAsia="zh-CN"/>
                    </w:rPr>
                    <w:t>生活垃圾</w:t>
                  </w:r>
                </w:p>
              </w:tc>
              <w:tc>
                <w:tcPr>
                  <w:tcW w:w="2541" w:type="pct"/>
                  <w:noWrap w:val="0"/>
                  <w:vAlign w:val="center"/>
                </w:tcPr>
                <w:p w14:paraId="7EFA26A0">
                  <w:pPr>
                    <w:pStyle w:val="61"/>
                    <w:bidi w:val="0"/>
                    <w:rPr>
                      <w:rFonts w:hint="eastAsia"/>
                      <w:lang w:val="en-US" w:eastAsia="zh-CN"/>
                    </w:rPr>
                  </w:pPr>
                  <w:r>
                    <w:rPr>
                      <w:rFonts w:hint="eastAsia"/>
                      <w:lang w:val="en-US" w:eastAsia="zh-CN"/>
                    </w:rPr>
                    <w:t>生活垃圾经垃圾箱收集后定期交由环卫部门清运。</w:t>
                  </w:r>
                </w:p>
              </w:tc>
              <w:tc>
                <w:tcPr>
                  <w:tcW w:w="528" w:type="pct"/>
                  <w:noWrap w:val="0"/>
                  <w:vAlign w:val="center"/>
                </w:tcPr>
                <w:p w14:paraId="1EDE2DF5">
                  <w:pPr>
                    <w:pStyle w:val="61"/>
                    <w:bidi w:val="0"/>
                    <w:rPr>
                      <w:rFonts w:hint="default"/>
                      <w:lang w:val="en-US" w:eastAsia="zh-CN"/>
                    </w:rPr>
                  </w:pPr>
                  <w:r>
                    <w:rPr>
                      <w:rFonts w:hint="eastAsia"/>
                      <w:lang w:val="en-US" w:eastAsia="zh-CN"/>
                    </w:rPr>
                    <w:t>1</w:t>
                  </w:r>
                </w:p>
              </w:tc>
            </w:tr>
            <w:tr w14:paraId="0A99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1" w:type="pct"/>
                  <w:gridSpan w:val="5"/>
                  <w:noWrap w:val="0"/>
                  <w:vAlign w:val="center"/>
                </w:tcPr>
                <w:p w14:paraId="57F61ABD">
                  <w:pPr>
                    <w:pStyle w:val="61"/>
                    <w:bidi w:val="0"/>
                    <w:rPr>
                      <w:rFonts w:hint="default"/>
                      <w:lang w:val="en-US" w:eastAsia="zh-CN"/>
                    </w:rPr>
                  </w:pPr>
                  <w:r>
                    <w:rPr>
                      <w:rFonts w:hint="eastAsia"/>
                      <w:lang w:val="en-US" w:eastAsia="zh-CN"/>
                    </w:rPr>
                    <w:t>合计</w:t>
                  </w:r>
                </w:p>
              </w:tc>
              <w:tc>
                <w:tcPr>
                  <w:tcW w:w="528" w:type="pct"/>
                  <w:noWrap w:val="0"/>
                  <w:vAlign w:val="center"/>
                </w:tcPr>
                <w:p w14:paraId="767DC663">
                  <w:pPr>
                    <w:pStyle w:val="61"/>
                    <w:bidi w:val="0"/>
                    <w:rPr>
                      <w:rFonts w:hint="default"/>
                      <w:lang w:val="en-US" w:eastAsia="zh-CN"/>
                    </w:rPr>
                  </w:pPr>
                  <w:r>
                    <w:rPr>
                      <w:rFonts w:hint="eastAsia"/>
                      <w:lang w:val="en-US" w:eastAsia="zh-CN"/>
                    </w:rPr>
                    <w:t>42</w:t>
                  </w:r>
                </w:p>
              </w:tc>
            </w:tr>
          </w:tbl>
          <w:p w14:paraId="5959FC58">
            <w:pPr>
              <w:pStyle w:val="49"/>
              <w:bidi w:val="0"/>
              <w:jc w:val="both"/>
              <w:rPr>
                <w:rFonts w:hint="default"/>
                <w:lang w:val="en-US" w:eastAsia="zh-CN"/>
              </w:rPr>
            </w:pPr>
          </w:p>
        </w:tc>
      </w:tr>
      <w:tr w14:paraId="27053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89" w:hRule="atLeast"/>
          <w:jc w:val="center"/>
        </w:trPr>
        <w:tc>
          <w:tcPr>
            <w:tcW w:w="722" w:type="dxa"/>
            <w:noWrap w:val="0"/>
            <w:vAlign w:val="center"/>
          </w:tcPr>
          <w:p w14:paraId="549697C5">
            <w:pPr>
              <w:pStyle w:val="19"/>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338" w:type="dxa"/>
            <w:noWrap w:val="0"/>
            <w:vAlign w:val="top"/>
          </w:tcPr>
          <w:p w14:paraId="465840A0">
            <w:pPr>
              <w:pStyle w:val="52"/>
              <w:bidi w:val="0"/>
              <w:rPr>
                <w:rFonts w:hint="default"/>
                <w:lang w:val="en-US" w:eastAsia="zh-CN"/>
              </w:rPr>
            </w:pPr>
            <w:r>
              <w:rPr>
                <w:rFonts w:hint="eastAsia"/>
                <w:lang w:val="en-US" w:eastAsia="zh-CN"/>
              </w:rPr>
              <w:t>1.施工期工艺流程及产排污环节分析</w:t>
            </w:r>
          </w:p>
          <w:p w14:paraId="778E57C3">
            <w:pPr>
              <w:pStyle w:val="51"/>
              <w:bidi w:val="0"/>
              <w:rPr>
                <w:rFonts w:hint="default"/>
              </w:rPr>
            </w:pPr>
            <w:r>
              <w:rPr>
                <w:rFonts w:hint="default"/>
              </w:rPr>
              <w:t>本项目</w:t>
            </w:r>
            <w:r>
              <w:rPr>
                <w:rFonts w:hint="eastAsia"/>
                <w:lang w:val="en-US" w:eastAsia="zh-CN"/>
              </w:rPr>
              <w:t>租赁现有厂房进行建设，施工期主要进行设备的安装调试，无土建施工，根据现场踏勘，本项目设备已基本安装完成，故本次评价不再对施工期进行分析</w:t>
            </w:r>
            <w:r>
              <w:rPr>
                <w:rFonts w:hint="default"/>
              </w:rPr>
              <w:t>。</w:t>
            </w:r>
          </w:p>
          <w:p w14:paraId="4376E289">
            <w:pPr>
              <w:pStyle w:val="52"/>
              <w:bidi w:val="0"/>
              <w:rPr>
                <w:rFonts w:hint="eastAsia"/>
                <w:lang w:val="en-US" w:eastAsia="zh-CN"/>
              </w:rPr>
            </w:pPr>
            <w:r>
              <w:rPr>
                <w:rFonts w:hint="eastAsia"/>
                <w:lang w:val="en-US" w:eastAsia="zh-CN"/>
              </w:rPr>
              <w:t>2.运营期工艺流程及产排污环节分析</w:t>
            </w:r>
          </w:p>
          <w:p w14:paraId="6FE94BC0">
            <w:pPr>
              <w:pStyle w:val="47"/>
              <w:bidi w:val="0"/>
              <w:rPr>
                <w:rFonts w:hint="eastAsia"/>
                <w:lang w:val="en-US" w:eastAsia="zh-CN"/>
              </w:rPr>
            </w:pPr>
            <w:r>
              <w:rPr>
                <w:rFonts w:hint="eastAsia"/>
                <w:lang w:val="en-US" w:eastAsia="zh-CN"/>
              </w:rPr>
              <w:t>本项目建成后金属桶工艺流程及产污情况见下图2-3。</w:t>
            </w:r>
          </w:p>
          <w:p w14:paraId="5BCE1035">
            <w:pPr>
              <w:pStyle w:val="49"/>
              <w:bidi w:val="0"/>
              <w:rPr>
                <w:rFonts w:hint="eastAsia"/>
                <w:lang w:val="en-US" w:eastAsia="zh-CN"/>
              </w:rPr>
            </w:pPr>
            <w:r>
              <w:rPr>
                <w:rFonts w:hint="eastAsia"/>
                <w:lang w:val="en-US" w:eastAsia="zh-CN"/>
              </w:rPr>
              <w:drawing>
                <wp:inline distT="0" distB="0" distL="114300" distR="114300">
                  <wp:extent cx="3200400" cy="3629025"/>
                  <wp:effectExtent l="0" t="0" r="0" b="9525"/>
                  <wp:docPr id="6" name="图片 6"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工艺流程"/>
                          <pic:cNvPicPr>
                            <a:picLocks noChangeAspect="1"/>
                          </pic:cNvPicPr>
                        </pic:nvPicPr>
                        <pic:blipFill>
                          <a:blip r:embed="rId11"/>
                          <a:stretch>
                            <a:fillRect/>
                          </a:stretch>
                        </pic:blipFill>
                        <pic:spPr>
                          <a:xfrm>
                            <a:off x="0" y="0"/>
                            <a:ext cx="3200400" cy="3629025"/>
                          </a:xfrm>
                          <a:prstGeom prst="rect">
                            <a:avLst/>
                          </a:prstGeom>
                        </pic:spPr>
                      </pic:pic>
                    </a:graphicData>
                  </a:graphic>
                </wp:inline>
              </w:drawing>
            </w:r>
          </w:p>
          <w:p w14:paraId="40CB5EF2">
            <w:pPr>
              <w:pStyle w:val="49"/>
              <w:bidi w:val="0"/>
              <w:rPr>
                <w:rFonts w:hint="default"/>
                <w:lang w:val="en-US" w:eastAsia="zh-CN"/>
              </w:rPr>
            </w:pPr>
            <w:r>
              <w:rPr>
                <w:rFonts w:hint="eastAsia"/>
                <w:lang w:val="en-US" w:eastAsia="zh-CN"/>
              </w:rPr>
              <w:t xml:space="preserve">图2-3    </w:t>
            </w:r>
            <w:r>
              <w:rPr>
                <w:rFonts w:hint="eastAsia"/>
                <w:highlight w:val="none"/>
                <w:lang w:val="en-US" w:eastAsia="zh-CN"/>
              </w:rPr>
              <w:t>金属桶工艺流程及产污环节图</w:t>
            </w:r>
          </w:p>
          <w:p w14:paraId="55D9D39F">
            <w:pPr>
              <w:pStyle w:val="47"/>
              <w:bidi w:val="0"/>
              <w:rPr>
                <w:rFonts w:hint="eastAsia"/>
                <w:lang w:val="en-US" w:eastAsia="zh-CN"/>
              </w:rPr>
            </w:pPr>
            <w:r>
              <w:rPr>
                <w:rFonts w:hint="eastAsia"/>
                <w:b/>
                <w:bCs w:val="0"/>
                <w:lang w:val="en-US" w:eastAsia="zh-CN"/>
              </w:rPr>
              <w:t>工艺流程：</w:t>
            </w:r>
          </w:p>
          <w:p w14:paraId="25A3E64C">
            <w:pPr>
              <w:pStyle w:val="51"/>
              <w:bidi w:val="0"/>
              <w:rPr>
                <w:rFonts w:hint="eastAsia"/>
                <w:lang w:eastAsia="zh-CN"/>
              </w:rPr>
            </w:pPr>
            <w:r>
              <w:rPr>
                <w:rFonts w:hint="eastAsia"/>
                <w:lang w:val="en-US" w:eastAsia="zh-CN"/>
              </w:rPr>
              <w:t>开平：将外购钢卷通过开平机展平，此工序有噪声产生</w:t>
            </w:r>
            <w:r>
              <w:rPr>
                <w:rFonts w:hint="eastAsia"/>
                <w:lang w:eastAsia="zh-CN"/>
              </w:rPr>
              <w:t>。</w:t>
            </w:r>
          </w:p>
          <w:p w14:paraId="0463BB64">
            <w:pPr>
              <w:pStyle w:val="51"/>
              <w:bidi w:val="0"/>
              <w:rPr>
                <w:rFonts w:hint="eastAsia"/>
                <w:lang w:val="en-US" w:eastAsia="zh-CN"/>
              </w:rPr>
            </w:pPr>
            <w:r>
              <w:rPr>
                <w:rFonts w:hint="eastAsia"/>
                <w:lang w:val="en-US" w:eastAsia="zh-CN"/>
              </w:rPr>
              <w:t>裁剪：展平后用剪板机将钢板裁剪成符合规格要求的桶身板和桶盖板，此工序有噪声和边角料产生。</w:t>
            </w:r>
          </w:p>
          <w:p w14:paraId="6B671274">
            <w:pPr>
              <w:pStyle w:val="51"/>
              <w:bidi w:val="0"/>
              <w:rPr>
                <w:rFonts w:hint="default"/>
              </w:rPr>
            </w:pPr>
            <w:r>
              <w:rPr>
                <w:rFonts w:hint="eastAsia"/>
                <w:lang w:val="en-US" w:eastAsia="zh-CN"/>
              </w:rPr>
              <w:t>冲压桶盖：将裁剪好的钢板使用冲床冲压成型</w:t>
            </w:r>
            <w:r>
              <w:rPr>
                <w:rFonts w:hint="default"/>
              </w:rPr>
              <w:t>，此</w:t>
            </w:r>
            <w:r>
              <w:rPr>
                <w:rFonts w:hint="eastAsia"/>
                <w:lang w:val="en-US" w:eastAsia="zh-CN"/>
              </w:rPr>
              <w:t>工序</w:t>
            </w:r>
            <w:r>
              <w:rPr>
                <w:rFonts w:hint="default"/>
              </w:rPr>
              <w:t>产生噪声</w:t>
            </w:r>
            <w:r>
              <w:rPr>
                <w:rFonts w:hint="eastAsia"/>
                <w:lang w:val="en-US" w:eastAsia="zh-CN"/>
              </w:rPr>
              <w:t>和边角料</w:t>
            </w:r>
            <w:r>
              <w:rPr>
                <w:rFonts w:hint="default"/>
              </w:rPr>
              <w:t>。</w:t>
            </w:r>
          </w:p>
          <w:p w14:paraId="5220E0D8">
            <w:pPr>
              <w:pStyle w:val="51"/>
              <w:bidi w:val="0"/>
              <w:rPr>
                <w:rFonts w:hint="default"/>
                <w:lang w:val="en-US" w:eastAsia="zh-CN"/>
              </w:rPr>
            </w:pPr>
            <w:r>
              <w:rPr>
                <w:rFonts w:hint="eastAsia"/>
                <w:lang w:val="en-US" w:eastAsia="zh-CN"/>
              </w:rPr>
              <w:t>焊接：将裁剪好的钢板使用全自动激光焊缝机进行焊接，此工序不使用焊条</w:t>
            </w:r>
            <w:r>
              <w:rPr>
                <w:rFonts w:hint="default"/>
              </w:rPr>
              <w:t>。</w:t>
            </w:r>
          </w:p>
          <w:p w14:paraId="42C7C6DF">
            <w:pPr>
              <w:pStyle w:val="51"/>
              <w:bidi w:val="0"/>
              <w:rPr>
                <w:rFonts w:hint="default"/>
                <w:lang w:val="en-US" w:eastAsia="zh-CN"/>
              </w:rPr>
            </w:pPr>
            <w:r>
              <w:rPr>
                <w:rFonts w:hint="eastAsia"/>
                <w:lang w:val="en-US" w:eastAsia="zh-CN"/>
              </w:rPr>
              <w:t>胀筋：将焊接好的桶身使用胀筋机通过液压的传动方式使桶身外胀出加强筋，此工序有噪声产生。</w:t>
            </w:r>
          </w:p>
          <w:p w14:paraId="7D14CC83">
            <w:pPr>
              <w:pStyle w:val="51"/>
              <w:bidi w:val="0"/>
              <w:rPr>
                <w:rFonts w:hint="default"/>
                <w:lang w:val="en-US" w:eastAsia="zh-CN"/>
              </w:rPr>
            </w:pPr>
            <w:r>
              <w:rPr>
                <w:rFonts w:hint="eastAsia"/>
                <w:lang w:val="en-US" w:eastAsia="zh-CN"/>
              </w:rPr>
              <w:t>清洗、陶化、烘干：使用专用清洗剂和水按照一定的比例混合后对桶身进行喷淋清洗，去除桶身表面灰尘，清洗线下方设水槽，清洗废水经“絮凝+沉淀”处理后循环使用，不外排，水槽中少量沉渣定期清掏。清洗后的桶进入陶化工序，将陶化液和水按照一定的比例混合后均匀的喷涂在桶身表面形成一层陶化膜以提高水性漆附着力，陶化完成后进入烘道，使用天然气烘干炉将空气加热后对桶身进行烘干。此工序产生天然气燃烧废气、噪声和沉渣。</w:t>
            </w:r>
          </w:p>
          <w:p w14:paraId="4B6FEDC6">
            <w:pPr>
              <w:pStyle w:val="51"/>
              <w:bidi w:val="0"/>
              <w:rPr>
                <w:rFonts w:hint="default"/>
                <w:lang w:val="en-US" w:eastAsia="zh-CN"/>
              </w:rPr>
            </w:pPr>
            <w:r>
              <w:rPr>
                <w:rFonts w:hint="eastAsia"/>
                <w:lang w:val="en-US" w:eastAsia="zh-CN"/>
              </w:rPr>
              <w:t>喷漆、烘干：工件经自动输送带连续进入喷漆房内自动喷涂水性漆，喷漆房进出口设置移门，喷漆时移门关闭，喷漆废气经收集后通过干式过滤器+二级活性炭吸附处理。喷涂完成的工件进入烘道，使用天然气烘干炉将空气加热后对桶身进行烘干。此工序产生有机废气、噪声和天然气燃烧废气。</w:t>
            </w:r>
          </w:p>
          <w:p w14:paraId="1367A3AD">
            <w:pPr>
              <w:pStyle w:val="54"/>
              <w:bidi w:val="0"/>
              <w:rPr>
                <w:rFonts w:hint="eastAsia"/>
                <w:b/>
                <w:bCs/>
                <w:lang w:val="en-US" w:eastAsia="zh-CN"/>
              </w:rPr>
            </w:pPr>
            <w:r>
              <w:rPr>
                <w:rFonts w:hint="eastAsia"/>
                <w:b/>
                <w:bCs/>
                <w:lang w:val="en-US" w:eastAsia="zh-CN"/>
              </w:rPr>
              <w:t>产排污环节：</w:t>
            </w:r>
          </w:p>
          <w:p w14:paraId="06E791E8">
            <w:pPr>
              <w:pStyle w:val="54"/>
              <w:bidi w:val="0"/>
              <w:rPr>
                <w:rFonts w:hint="eastAsia"/>
                <w:lang w:val="en-US" w:eastAsia="zh-CN"/>
              </w:rPr>
            </w:pPr>
            <w:r>
              <w:rPr>
                <w:rFonts w:hint="default"/>
                <w:lang w:val="en-US" w:eastAsia="zh-CN"/>
              </w:rPr>
              <w:t>本项目污染工序及污染因子汇总见表</w:t>
            </w:r>
            <w:r>
              <w:rPr>
                <w:rFonts w:hint="eastAsia"/>
                <w:lang w:val="en-US" w:eastAsia="zh-CN"/>
              </w:rPr>
              <w:t>2-7。</w:t>
            </w:r>
          </w:p>
          <w:p w14:paraId="7F5024F2">
            <w:pPr>
              <w:pStyle w:val="62"/>
              <w:bidi w:val="0"/>
              <w:rPr>
                <w:rFonts w:hint="eastAsia"/>
                <w:lang w:val="en-US" w:eastAsia="zh-CN"/>
              </w:rPr>
            </w:pPr>
            <w:r>
              <w:rPr>
                <w:rFonts w:hint="default"/>
                <w:lang w:val="en-US" w:eastAsia="zh-CN"/>
              </w:rPr>
              <w:t>表</w:t>
            </w:r>
            <w:r>
              <w:rPr>
                <w:rFonts w:hint="eastAsia"/>
                <w:lang w:val="en-US" w:eastAsia="zh-CN"/>
              </w:rPr>
              <w:t>2-7    本项目污染工序及污染因子汇总</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1575"/>
              <w:gridCol w:w="2295"/>
              <w:gridCol w:w="2694"/>
            </w:tblGrid>
            <w:tr w14:paraId="1221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Align w:val="center"/>
                </w:tcPr>
                <w:p w14:paraId="1792C1FF">
                  <w:pPr>
                    <w:pStyle w:val="61"/>
                    <w:bidi w:val="0"/>
                    <w:rPr>
                      <w:rFonts w:hint="default"/>
                      <w:lang w:val="en-US" w:eastAsia="zh-CN"/>
                    </w:rPr>
                  </w:pPr>
                  <w:r>
                    <w:rPr>
                      <w:rFonts w:hint="eastAsia"/>
                      <w:lang w:val="en-US" w:eastAsia="zh-CN"/>
                    </w:rPr>
                    <w:t>类别</w:t>
                  </w:r>
                </w:p>
              </w:tc>
              <w:tc>
                <w:tcPr>
                  <w:tcW w:w="1575" w:type="dxa"/>
                  <w:vAlign w:val="center"/>
                </w:tcPr>
                <w:p w14:paraId="749C68CD">
                  <w:pPr>
                    <w:pStyle w:val="61"/>
                    <w:bidi w:val="0"/>
                    <w:rPr>
                      <w:rFonts w:hint="default"/>
                      <w:lang w:val="en-US" w:eastAsia="zh-CN"/>
                    </w:rPr>
                  </w:pPr>
                  <w:r>
                    <w:rPr>
                      <w:rFonts w:hint="eastAsia"/>
                      <w:lang w:val="en-US" w:eastAsia="zh-CN"/>
                    </w:rPr>
                    <w:t>工序</w:t>
                  </w:r>
                </w:p>
              </w:tc>
              <w:tc>
                <w:tcPr>
                  <w:tcW w:w="2295" w:type="dxa"/>
                  <w:vAlign w:val="center"/>
                </w:tcPr>
                <w:p w14:paraId="348E297C">
                  <w:pPr>
                    <w:pStyle w:val="61"/>
                    <w:bidi w:val="0"/>
                    <w:rPr>
                      <w:rFonts w:hint="default"/>
                      <w:lang w:val="en-US" w:eastAsia="zh-CN"/>
                    </w:rPr>
                  </w:pPr>
                  <w:r>
                    <w:rPr>
                      <w:rFonts w:hint="eastAsia"/>
                      <w:lang w:val="en-US" w:eastAsia="zh-CN"/>
                    </w:rPr>
                    <w:t>主要污染因子</w:t>
                  </w:r>
                </w:p>
              </w:tc>
              <w:tc>
                <w:tcPr>
                  <w:tcW w:w="2694" w:type="dxa"/>
                  <w:vAlign w:val="center"/>
                </w:tcPr>
                <w:p w14:paraId="481245E3">
                  <w:pPr>
                    <w:pStyle w:val="61"/>
                    <w:bidi w:val="0"/>
                    <w:rPr>
                      <w:rFonts w:hint="default"/>
                      <w:lang w:val="en-US" w:eastAsia="zh-CN"/>
                    </w:rPr>
                  </w:pPr>
                  <w:r>
                    <w:rPr>
                      <w:rFonts w:hint="eastAsia"/>
                      <w:lang w:val="en-US" w:eastAsia="zh-CN"/>
                    </w:rPr>
                    <w:t>防治措施</w:t>
                  </w:r>
                </w:p>
              </w:tc>
            </w:tr>
            <w:tr w14:paraId="0E1B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Merge w:val="restart"/>
                  <w:vAlign w:val="center"/>
                </w:tcPr>
                <w:p w14:paraId="0B129CEE">
                  <w:pPr>
                    <w:pStyle w:val="61"/>
                    <w:bidi w:val="0"/>
                    <w:rPr>
                      <w:rFonts w:hint="default"/>
                      <w:lang w:val="en-US" w:eastAsia="zh-CN"/>
                    </w:rPr>
                  </w:pPr>
                  <w:r>
                    <w:rPr>
                      <w:rFonts w:hint="eastAsia"/>
                      <w:lang w:val="en-US" w:eastAsia="zh-CN"/>
                    </w:rPr>
                    <w:t>废气</w:t>
                  </w:r>
                </w:p>
              </w:tc>
              <w:tc>
                <w:tcPr>
                  <w:tcW w:w="1575" w:type="dxa"/>
                  <w:vAlign w:val="center"/>
                </w:tcPr>
                <w:p w14:paraId="4A408D82">
                  <w:pPr>
                    <w:pStyle w:val="61"/>
                    <w:bidi w:val="0"/>
                    <w:rPr>
                      <w:rFonts w:hint="default"/>
                      <w:lang w:val="en-US" w:eastAsia="zh-CN"/>
                    </w:rPr>
                  </w:pPr>
                  <w:r>
                    <w:rPr>
                      <w:rFonts w:hint="eastAsia"/>
                      <w:lang w:val="en-US" w:eastAsia="zh-CN"/>
                    </w:rPr>
                    <w:t>喷漆废气</w:t>
                  </w:r>
                </w:p>
              </w:tc>
              <w:tc>
                <w:tcPr>
                  <w:tcW w:w="2295" w:type="dxa"/>
                  <w:vAlign w:val="center"/>
                </w:tcPr>
                <w:p w14:paraId="0558CEED">
                  <w:pPr>
                    <w:pStyle w:val="61"/>
                    <w:bidi w:val="0"/>
                    <w:rPr>
                      <w:rFonts w:hint="default"/>
                      <w:lang w:val="en-US" w:eastAsia="zh-CN"/>
                    </w:rPr>
                  </w:pPr>
                  <w:r>
                    <w:rPr>
                      <w:rFonts w:hint="eastAsia"/>
                      <w:lang w:val="en-US" w:eastAsia="zh-CN"/>
                    </w:rPr>
                    <w:t>漆雾（颗粒物）、非甲烷总烃</w:t>
                  </w:r>
                </w:p>
              </w:tc>
              <w:tc>
                <w:tcPr>
                  <w:tcW w:w="2694" w:type="dxa"/>
                  <w:vAlign w:val="center"/>
                </w:tcPr>
                <w:p w14:paraId="0BD49234">
                  <w:pPr>
                    <w:pStyle w:val="61"/>
                    <w:bidi w:val="0"/>
                    <w:rPr>
                      <w:rFonts w:hint="default"/>
                      <w:lang w:val="en-US" w:eastAsia="zh-CN"/>
                    </w:rPr>
                  </w:pPr>
                  <w:r>
                    <w:rPr>
                      <w:rFonts w:hint="eastAsia"/>
                      <w:lang w:val="en-US" w:eastAsia="zh-CN"/>
                    </w:rPr>
                    <w:t>干式过滤器+二级</w:t>
                  </w:r>
                  <w:r>
                    <w:rPr>
                      <w:rFonts w:hint="default"/>
                      <w:lang w:val="en-US" w:eastAsia="zh-CN"/>
                    </w:rPr>
                    <w:t>活性炭吸附</w:t>
                  </w:r>
                  <w:r>
                    <w:rPr>
                      <w:rFonts w:hint="eastAsia"/>
                      <w:lang w:val="en-US" w:eastAsia="zh-CN"/>
                    </w:rPr>
                    <w:t>装置</w:t>
                  </w:r>
                  <w:r>
                    <w:rPr>
                      <w:rFonts w:hint="default"/>
                      <w:lang w:val="en-US" w:eastAsia="zh-CN"/>
                    </w:rPr>
                    <w:t>+15m排气筒</w:t>
                  </w:r>
                </w:p>
              </w:tc>
            </w:tr>
            <w:tr w14:paraId="4054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Merge w:val="continue"/>
                  <w:vAlign w:val="center"/>
                </w:tcPr>
                <w:p w14:paraId="66A70ED2">
                  <w:pPr>
                    <w:pStyle w:val="61"/>
                    <w:bidi w:val="0"/>
                    <w:rPr>
                      <w:rFonts w:hint="eastAsia"/>
                      <w:lang w:val="en-US" w:eastAsia="zh-CN"/>
                    </w:rPr>
                  </w:pPr>
                </w:p>
              </w:tc>
              <w:tc>
                <w:tcPr>
                  <w:tcW w:w="1575" w:type="dxa"/>
                  <w:vAlign w:val="center"/>
                </w:tcPr>
                <w:p w14:paraId="5AE697EA">
                  <w:pPr>
                    <w:pStyle w:val="61"/>
                    <w:bidi w:val="0"/>
                    <w:rPr>
                      <w:rFonts w:hint="eastAsia"/>
                      <w:lang w:val="en-US" w:eastAsia="zh-CN"/>
                    </w:rPr>
                  </w:pPr>
                  <w:r>
                    <w:rPr>
                      <w:rFonts w:hint="eastAsia"/>
                      <w:lang w:val="en-US" w:eastAsia="zh-CN"/>
                    </w:rPr>
                    <w:t>炉窑废气</w:t>
                  </w:r>
                </w:p>
              </w:tc>
              <w:tc>
                <w:tcPr>
                  <w:tcW w:w="2295" w:type="dxa"/>
                  <w:vAlign w:val="center"/>
                </w:tcPr>
                <w:p w14:paraId="2A204E60">
                  <w:pPr>
                    <w:pStyle w:val="61"/>
                    <w:bidi w:val="0"/>
                    <w:rPr>
                      <w:rFonts w:hint="eastAsia"/>
                      <w:lang w:val="en-US" w:eastAsia="zh-CN"/>
                    </w:rPr>
                  </w:pPr>
                  <w:r>
                    <w:rPr>
                      <w:rFonts w:hint="eastAsia"/>
                      <w:lang w:val="en-US" w:eastAsia="zh-CN"/>
                    </w:rPr>
                    <w:t>非甲烷总烃、颗粒物、NO</w:t>
                  </w:r>
                  <w:r>
                    <w:rPr>
                      <w:rFonts w:hint="eastAsia"/>
                      <w:vertAlign w:val="subscript"/>
                      <w:lang w:val="en-US" w:eastAsia="zh-CN"/>
                    </w:rPr>
                    <w:t>X</w:t>
                  </w:r>
                  <w:r>
                    <w:rPr>
                      <w:rFonts w:hint="eastAsia"/>
                      <w:vertAlign w:val="baseline"/>
                      <w:lang w:val="en-US" w:eastAsia="zh-CN"/>
                    </w:rPr>
                    <w:t>、</w:t>
                  </w:r>
                  <w:r>
                    <w:rPr>
                      <w:rFonts w:hint="eastAsia"/>
                      <w:lang w:val="en-US" w:eastAsia="zh-CN"/>
                    </w:rPr>
                    <w:t>SO</w:t>
                  </w:r>
                  <w:r>
                    <w:rPr>
                      <w:rFonts w:hint="eastAsia"/>
                      <w:vertAlign w:val="subscript"/>
                      <w:lang w:val="en-US" w:eastAsia="zh-CN"/>
                    </w:rPr>
                    <w:t>2</w:t>
                  </w:r>
                </w:p>
              </w:tc>
              <w:tc>
                <w:tcPr>
                  <w:tcW w:w="2694" w:type="dxa"/>
                  <w:vAlign w:val="center"/>
                </w:tcPr>
                <w:p w14:paraId="2FECE5B2">
                  <w:pPr>
                    <w:pStyle w:val="61"/>
                    <w:bidi w:val="0"/>
                    <w:rPr>
                      <w:rFonts w:hint="default"/>
                      <w:lang w:val="en-US" w:eastAsia="zh-CN"/>
                    </w:rPr>
                  </w:pPr>
                  <w:r>
                    <w:rPr>
                      <w:rFonts w:hint="eastAsia"/>
                      <w:lang w:val="en-US" w:eastAsia="zh-CN"/>
                    </w:rPr>
                    <w:t>二级活性炭吸附装置、低氮燃烧+15m排气筒</w:t>
                  </w:r>
                </w:p>
              </w:tc>
            </w:tr>
            <w:tr w14:paraId="59C8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36" w:type="dxa"/>
                  <w:vMerge w:val="restart"/>
                  <w:vAlign w:val="center"/>
                </w:tcPr>
                <w:p w14:paraId="20EC80A4">
                  <w:pPr>
                    <w:pStyle w:val="61"/>
                    <w:bidi w:val="0"/>
                    <w:rPr>
                      <w:rFonts w:hint="default"/>
                      <w:lang w:val="en-US" w:eastAsia="zh-CN"/>
                    </w:rPr>
                  </w:pPr>
                  <w:r>
                    <w:rPr>
                      <w:rFonts w:hint="eastAsia"/>
                      <w:lang w:val="en-US" w:eastAsia="zh-CN"/>
                    </w:rPr>
                    <w:t>废水</w:t>
                  </w:r>
                </w:p>
              </w:tc>
              <w:tc>
                <w:tcPr>
                  <w:tcW w:w="1575" w:type="dxa"/>
                  <w:vAlign w:val="center"/>
                </w:tcPr>
                <w:p w14:paraId="59D66529">
                  <w:pPr>
                    <w:pStyle w:val="61"/>
                    <w:bidi w:val="0"/>
                    <w:rPr>
                      <w:rFonts w:hint="default"/>
                      <w:lang w:val="en-US" w:eastAsia="zh-CN"/>
                    </w:rPr>
                  </w:pPr>
                  <w:r>
                    <w:rPr>
                      <w:rFonts w:hint="eastAsia"/>
                      <w:lang w:val="en-US" w:eastAsia="zh-CN"/>
                    </w:rPr>
                    <w:t>生活废水</w:t>
                  </w:r>
                </w:p>
              </w:tc>
              <w:tc>
                <w:tcPr>
                  <w:tcW w:w="2295" w:type="dxa"/>
                  <w:vAlign w:val="center"/>
                </w:tcPr>
                <w:p w14:paraId="402CA171">
                  <w:pPr>
                    <w:pStyle w:val="61"/>
                    <w:bidi w:val="0"/>
                    <w:rPr>
                      <w:rFonts w:hint="default"/>
                      <w:lang w:val="en-US" w:eastAsia="zh-CN"/>
                    </w:rPr>
                  </w:pPr>
                  <w:r>
                    <w:rPr>
                      <w:rFonts w:hint="eastAsia"/>
                      <w:lang w:val="en-US" w:eastAsia="zh-CN"/>
                    </w:rPr>
                    <w:t>pH、</w:t>
                  </w:r>
                  <w:r>
                    <w:rPr>
                      <w:rFonts w:hint="default"/>
                      <w:lang w:val="en-US" w:eastAsia="zh-CN"/>
                    </w:rPr>
                    <w:t>COD</w:t>
                  </w:r>
                  <w:r>
                    <w:rPr>
                      <w:rFonts w:hint="eastAsia"/>
                      <w:lang w:val="en-US" w:eastAsia="zh-CN"/>
                    </w:rPr>
                    <w:t>、</w:t>
                  </w:r>
                  <w:r>
                    <w:rPr>
                      <w:rFonts w:hint="default"/>
                      <w:lang w:val="en-US" w:eastAsia="zh-CN"/>
                    </w:rPr>
                    <w:t>BOD</w:t>
                  </w:r>
                  <w:r>
                    <w:rPr>
                      <w:rFonts w:hint="default"/>
                      <w:vertAlign w:val="subscript"/>
                      <w:lang w:val="en-US" w:eastAsia="zh-CN"/>
                    </w:rPr>
                    <w:t>5</w:t>
                  </w:r>
                  <w:r>
                    <w:rPr>
                      <w:rFonts w:hint="eastAsia"/>
                      <w:lang w:val="en-US" w:eastAsia="zh-CN"/>
                    </w:rPr>
                    <w:t>、</w:t>
                  </w:r>
                  <w:r>
                    <w:rPr>
                      <w:rFonts w:hint="default"/>
                      <w:lang w:val="en-US" w:eastAsia="zh-CN"/>
                    </w:rPr>
                    <w:t>SS</w:t>
                  </w:r>
                  <w:r>
                    <w:rPr>
                      <w:rFonts w:hint="eastAsia"/>
                      <w:lang w:val="en-US" w:eastAsia="zh-CN"/>
                    </w:rPr>
                    <w:t>、</w:t>
                  </w:r>
                  <w:r>
                    <w:rPr>
                      <w:rFonts w:hint="default"/>
                      <w:lang w:val="en-US" w:eastAsia="zh-CN"/>
                    </w:rPr>
                    <w:t>氨氮</w:t>
                  </w:r>
                  <w:r>
                    <w:rPr>
                      <w:rFonts w:hint="eastAsia"/>
                      <w:lang w:val="en-US" w:eastAsia="zh-CN"/>
                    </w:rPr>
                    <w:t>、动植物油</w:t>
                  </w:r>
                </w:p>
              </w:tc>
              <w:tc>
                <w:tcPr>
                  <w:tcW w:w="2694" w:type="dxa"/>
                  <w:vAlign w:val="center"/>
                </w:tcPr>
                <w:p w14:paraId="0A2FBABE">
                  <w:pPr>
                    <w:pStyle w:val="61"/>
                    <w:bidi w:val="0"/>
                    <w:rPr>
                      <w:rFonts w:hint="default"/>
                      <w:lang w:val="en-US" w:eastAsia="zh-CN"/>
                    </w:rPr>
                  </w:pPr>
                  <w:r>
                    <w:rPr>
                      <w:rFonts w:hint="eastAsia"/>
                      <w:lang w:val="en-US" w:eastAsia="zh-CN"/>
                    </w:rPr>
                    <w:t>化粪池处理后排入污水管网，最终进入铁门关污水处理厂</w:t>
                  </w:r>
                </w:p>
              </w:tc>
            </w:tr>
            <w:tr w14:paraId="506A9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36" w:type="dxa"/>
                  <w:vMerge w:val="continue"/>
                  <w:vAlign w:val="center"/>
                </w:tcPr>
                <w:p w14:paraId="37C85D2A">
                  <w:pPr>
                    <w:pStyle w:val="61"/>
                    <w:bidi w:val="0"/>
                    <w:rPr>
                      <w:rFonts w:hint="eastAsia"/>
                      <w:lang w:val="en-US" w:eastAsia="zh-CN"/>
                    </w:rPr>
                  </w:pPr>
                </w:p>
              </w:tc>
              <w:tc>
                <w:tcPr>
                  <w:tcW w:w="1575" w:type="dxa"/>
                  <w:vAlign w:val="center"/>
                </w:tcPr>
                <w:p w14:paraId="69340916">
                  <w:pPr>
                    <w:pStyle w:val="61"/>
                    <w:bidi w:val="0"/>
                    <w:rPr>
                      <w:rFonts w:hint="default"/>
                      <w:lang w:val="en-US" w:eastAsia="zh-CN"/>
                    </w:rPr>
                  </w:pPr>
                  <w:r>
                    <w:rPr>
                      <w:rFonts w:hint="eastAsia"/>
                      <w:lang w:val="en-US" w:eastAsia="zh-CN"/>
                    </w:rPr>
                    <w:t>生产废水</w:t>
                  </w:r>
                </w:p>
              </w:tc>
              <w:tc>
                <w:tcPr>
                  <w:tcW w:w="2295" w:type="dxa"/>
                  <w:vAlign w:val="center"/>
                </w:tcPr>
                <w:p w14:paraId="0D59E5AD">
                  <w:pPr>
                    <w:pStyle w:val="61"/>
                    <w:bidi w:val="0"/>
                    <w:rPr>
                      <w:rFonts w:hint="default"/>
                      <w:lang w:val="en-US" w:eastAsia="zh-CN"/>
                    </w:rPr>
                  </w:pPr>
                  <w:r>
                    <w:rPr>
                      <w:rFonts w:hint="eastAsia"/>
                      <w:lang w:val="en-US" w:eastAsia="zh-CN"/>
                    </w:rPr>
                    <w:t>悬浮物、石油类</w:t>
                  </w:r>
                </w:p>
              </w:tc>
              <w:tc>
                <w:tcPr>
                  <w:tcW w:w="2694" w:type="dxa"/>
                  <w:vAlign w:val="center"/>
                </w:tcPr>
                <w:p w14:paraId="1FD9332D">
                  <w:pPr>
                    <w:pStyle w:val="61"/>
                    <w:bidi w:val="0"/>
                    <w:rPr>
                      <w:rFonts w:hint="default"/>
                      <w:lang w:val="en-US" w:eastAsia="zh-CN"/>
                    </w:rPr>
                  </w:pPr>
                  <w:r>
                    <w:rPr>
                      <w:rFonts w:hint="eastAsia"/>
                      <w:lang w:val="en-US" w:eastAsia="zh-CN"/>
                    </w:rPr>
                    <w:t>经“絮凝+沉淀”处理后循环使用，不外排</w:t>
                  </w:r>
                </w:p>
              </w:tc>
            </w:tr>
            <w:tr w14:paraId="7E3F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36" w:type="dxa"/>
                  <w:vAlign w:val="center"/>
                </w:tcPr>
                <w:p w14:paraId="51CEB36B">
                  <w:pPr>
                    <w:pStyle w:val="61"/>
                    <w:bidi w:val="0"/>
                    <w:rPr>
                      <w:rFonts w:hint="default"/>
                      <w:lang w:val="en-US" w:eastAsia="zh-CN"/>
                    </w:rPr>
                  </w:pPr>
                  <w:r>
                    <w:rPr>
                      <w:rFonts w:hint="eastAsia"/>
                      <w:lang w:val="en-US" w:eastAsia="zh-CN"/>
                    </w:rPr>
                    <w:t>一般工业固废</w:t>
                  </w:r>
                </w:p>
              </w:tc>
              <w:tc>
                <w:tcPr>
                  <w:tcW w:w="3870" w:type="dxa"/>
                  <w:gridSpan w:val="2"/>
                  <w:vAlign w:val="center"/>
                </w:tcPr>
                <w:p w14:paraId="2A1CB35C">
                  <w:pPr>
                    <w:pStyle w:val="61"/>
                    <w:bidi w:val="0"/>
                    <w:rPr>
                      <w:rFonts w:hint="default"/>
                      <w:lang w:val="en-US" w:eastAsia="zh-CN"/>
                    </w:rPr>
                  </w:pPr>
                  <w:r>
                    <w:rPr>
                      <w:rFonts w:hint="default"/>
                      <w:lang w:val="en-US" w:eastAsia="zh-CN"/>
                    </w:rPr>
                    <w:t>废包装材料</w:t>
                  </w:r>
                  <w:r>
                    <w:rPr>
                      <w:rFonts w:hint="eastAsia"/>
                      <w:lang w:val="en-US" w:eastAsia="zh-CN"/>
                    </w:rPr>
                    <w:t>、水性涂料包装桶</w:t>
                  </w:r>
                  <w:r>
                    <w:rPr>
                      <w:rFonts w:hint="default"/>
                      <w:lang w:val="en-US" w:eastAsia="zh-CN"/>
                    </w:rPr>
                    <w:t>和废边角料</w:t>
                  </w:r>
                </w:p>
              </w:tc>
              <w:tc>
                <w:tcPr>
                  <w:tcW w:w="2694" w:type="dxa"/>
                  <w:vAlign w:val="center"/>
                </w:tcPr>
                <w:p w14:paraId="2A44A870">
                  <w:pPr>
                    <w:pStyle w:val="61"/>
                    <w:bidi w:val="0"/>
                    <w:rPr>
                      <w:rFonts w:hint="default"/>
                      <w:lang w:val="en-US" w:eastAsia="zh-CN"/>
                    </w:rPr>
                  </w:pPr>
                  <w:r>
                    <w:rPr>
                      <w:rFonts w:hint="eastAsia"/>
                      <w:lang w:val="en-US" w:eastAsia="zh-CN"/>
                    </w:rPr>
                    <w:t>外售综合利用</w:t>
                  </w:r>
                </w:p>
              </w:tc>
            </w:tr>
            <w:tr w14:paraId="14B1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36" w:type="dxa"/>
                  <w:vAlign w:val="center"/>
                </w:tcPr>
                <w:p w14:paraId="67844076">
                  <w:pPr>
                    <w:pStyle w:val="61"/>
                    <w:bidi w:val="0"/>
                    <w:rPr>
                      <w:rFonts w:hint="default"/>
                      <w:lang w:val="en-US" w:eastAsia="zh-CN"/>
                    </w:rPr>
                  </w:pPr>
                  <w:r>
                    <w:rPr>
                      <w:rFonts w:hint="eastAsia"/>
                      <w:lang w:val="en-US" w:eastAsia="zh-CN"/>
                    </w:rPr>
                    <w:t>生活垃圾</w:t>
                  </w:r>
                </w:p>
              </w:tc>
              <w:tc>
                <w:tcPr>
                  <w:tcW w:w="1575" w:type="dxa"/>
                  <w:vAlign w:val="center"/>
                </w:tcPr>
                <w:p w14:paraId="4DE3C15E">
                  <w:pPr>
                    <w:pStyle w:val="61"/>
                    <w:bidi w:val="0"/>
                    <w:rPr>
                      <w:rFonts w:hint="default"/>
                      <w:lang w:val="en-US" w:eastAsia="zh-CN"/>
                    </w:rPr>
                  </w:pPr>
                  <w:r>
                    <w:rPr>
                      <w:rFonts w:hint="eastAsia"/>
                      <w:lang w:val="en-US" w:eastAsia="zh-CN"/>
                    </w:rPr>
                    <w:t>办公生活</w:t>
                  </w:r>
                </w:p>
              </w:tc>
              <w:tc>
                <w:tcPr>
                  <w:tcW w:w="2295" w:type="dxa"/>
                  <w:vAlign w:val="center"/>
                </w:tcPr>
                <w:p w14:paraId="5189A1C5">
                  <w:pPr>
                    <w:pStyle w:val="61"/>
                    <w:bidi w:val="0"/>
                    <w:rPr>
                      <w:rFonts w:hint="default"/>
                      <w:lang w:val="en-US" w:eastAsia="zh-CN"/>
                    </w:rPr>
                  </w:pPr>
                  <w:r>
                    <w:rPr>
                      <w:rFonts w:hint="eastAsia"/>
                      <w:lang w:val="en-US" w:eastAsia="zh-CN"/>
                    </w:rPr>
                    <w:t>生活垃圾</w:t>
                  </w:r>
                </w:p>
              </w:tc>
              <w:tc>
                <w:tcPr>
                  <w:tcW w:w="2694" w:type="dxa"/>
                  <w:vAlign w:val="center"/>
                </w:tcPr>
                <w:p w14:paraId="3644A44C">
                  <w:pPr>
                    <w:pStyle w:val="61"/>
                    <w:bidi w:val="0"/>
                    <w:rPr>
                      <w:rFonts w:hint="default"/>
                      <w:lang w:val="en-US" w:eastAsia="zh-CN"/>
                    </w:rPr>
                  </w:pPr>
                  <w:r>
                    <w:rPr>
                      <w:rFonts w:hint="eastAsia"/>
                      <w:lang w:val="en-US" w:eastAsia="zh-CN"/>
                    </w:rPr>
                    <w:t>交环卫部门处理</w:t>
                  </w:r>
                </w:p>
              </w:tc>
            </w:tr>
            <w:tr w14:paraId="16BB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6" w:type="dxa"/>
                  <w:vMerge w:val="restart"/>
                  <w:vAlign w:val="center"/>
                </w:tcPr>
                <w:p w14:paraId="680F1941">
                  <w:pPr>
                    <w:pStyle w:val="61"/>
                    <w:bidi w:val="0"/>
                    <w:rPr>
                      <w:rFonts w:hint="default"/>
                      <w:lang w:val="en-US" w:eastAsia="zh-CN"/>
                    </w:rPr>
                  </w:pPr>
                  <w:r>
                    <w:rPr>
                      <w:rFonts w:hint="eastAsia"/>
                      <w:lang w:val="en-US" w:eastAsia="zh-CN"/>
                    </w:rPr>
                    <w:t>危险废物</w:t>
                  </w:r>
                </w:p>
              </w:tc>
              <w:tc>
                <w:tcPr>
                  <w:tcW w:w="1575" w:type="dxa"/>
                  <w:vAlign w:val="center"/>
                </w:tcPr>
                <w:p w14:paraId="5AA63C65">
                  <w:pPr>
                    <w:pStyle w:val="61"/>
                    <w:bidi w:val="0"/>
                    <w:rPr>
                      <w:rFonts w:hint="default"/>
                      <w:lang w:val="en-US" w:eastAsia="zh-CN"/>
                    </w:rPr>
                  </w:pPr>
                  <w:r>
                    <w:rPr>
                      <w:rFonts w:hint="eastAsia"/>
                      <w:lang w:val="en-US" w:eastAsia="zh-CN"/>
                    </w:rPr>
                    <w:t>废气处理</w:t>
                  </w:r>
                </w:p>
              </w:tc>
              <w:tc>
                <w:tcPr>
                  <w:tcW w:w="2295" w:type="dxa"/>
                  <w:vAlign w:val="center"/>
                </w:tcPr>
                <w:p w14:paraId="07343BCB">
                  <w:pPr>
                    <w:pStyle w:val="61"/>
                    <w:bidi w:val="0"/>
                    <w:rPr>
                      <w:rFonts w:hint="default"/>
                      <w:lang w:val="en-US" w:eastAsia="zh-CN"/>
                    </w:rPr>
                  </w:pPr>
                  <w:r>
                    <w:rPr>
                      <w:rFonts w:hint="eastAsia"/>
                      <w:lang w:val="en-US" w:eastAsia="zh-CN"/>
                    </w:rPr>
                    <w:t>废活性炭</w:t>
                  </w:r>
                </w:p>
              </w:tc>
              <w:tc>
                <w:tcPr>
                  <w:tcW w:w="2694" w:type="dxa"/>
                  <w:vMerge w:val="restart"/>
                  <w:vAlign w:val="center"/>
                </w:tcPr>
                <w:p w14:paraId="39F48321">
                  <w:pPr>
                    <w:pStyle w:val="61"/>
                    <w:bidi w:val="0"/>
                    <w:rPr>
                      <w:rFonts w:hint="default"/>
                      <w:lang w:val="en-US" w:eastAsia="zh-CN"/>
                    </w:rPr>
                  </w:pPr>
                  <w:r>
                    <w:rPr>
                      <w:rFonts w:hint="eastAsia"/>
                      <w:lang w:val="en-US" w:eastAsia="zh-CN"/>
                    </w:rPr>
                    <w:t>委托有资质单位处理</w:t>
                  </w:r>
                </w:p>
              </w:tc>
            </w:tr>
            <w:tr w14:paraId="7A98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Merge w:val="continue"/>
                  <w:vAlign w:val="center"/>
                </w:tcPr>
                <w:p w14:paraId="05832685">
                  <w:pPr>
                    <w:pStyle w:val="61"/>
                    <w:bidi w:val="0"/>
                    <w:rPr>
                      <w:rFonts w:hint="eastAsia"/>
                      <w:lang w:val="en-US" w:eastAsia="zh-CN"/>
                    </w:rPr>
                  </w:pPr>
                </w:p>
              </w:tc>
              <w:tc>
                <w:tcPr>
                  <w:tcW w:w="1575" w:type="dxa"/>
                  <w:vMerge w:val="restart"/>
                  <w:vAlign w:val="center"/>
                </w:tcPr>
                <w:p w14:paraId="45E4876E">
                  <w:pPr>
                    <w:pStyle w:val="61"/>
                    <w:bidi w:val="0"/>
                    <w:rPr>
                      <w:rFonts w:hint="eastAsia"/>
                      <w:lang w:val="en-US" w:eastAsia="zh-CN"/>
                    </w:rPr>
                  </w:pPr>
                  <w:r>
                    <w:rPr>
                      <w:rFonts w:hint="eastAsia"/>
                      <w:lang w:val="en-US" w:eastAsia="zh-CN"/>
                    </w:rPr>
                    <w:t>维修</w:t>
                  </w:r>
                </w:p>
              </w:tc>
              <w:tc>
                <w:tcPr>
                  <w:tcW w:w="2295" w:type="dxa"/>
                  <w:vAlign w:val="center"/>
                </w:tcPr>
                <w:p w14:paraId="555EAD24">
                  <w:pPr>
                    <w:pStyle w:val="61"/>
                    <w:bidi w:val="0"/>
                    <w:rPr>
                      <w:rFonts w:hint="eastAsia"/>
                      <w:lang w:val="en-US" w:eastAsia="zh-CN"/>
                    </w:rPr>
                  </w:pPr>
                  <w:r>
                    <w:rPr>
                      <w:rFonts w:hint="eastAsia"/>
                      <w:lang w:val="en-US" w:eastAsia="zh-CN"/>
                    </w:rPr>
                    <w:t>废润滑油</w:t>
                  </w:r>
                </w:p>
              </w:tc>
              <w:tc>
                <w:tcPr>
                  <w:tcW w:w="2694" w:type="dxa"/>
                  <w:vMerge w:val="continue"/>
                  <w:vAlign w:val="center"/>
                </w:tcPr>
                <w:p w14:paraId="5D3BCA03">
                  <w:pPr>
                    <w:pStyle w:val="61"/>
                    <w:bidi w:val="0"/>
                    <w:rPr>
                      <w:rFonts w:hint="eastAsia"/>
                      <w:lang w:val="en-US" w:eastAsia="zh-CN"/>
                    </w:rPr>
                  </w:pPr>
                </w:p>
              </w:tc>
            </w:tr>
            <w:tr w14:paraId="51EE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Merge w:val="continue"/>
                  <w:vAlign w:val="center"/>
                </w:tcPr>
                <w:p w14:paraId="747024E1">
                  <w:pPr>
                    <w:pStyle w:val="61"/>
                    <w:bidi w:val="0"/>
                    <w:rPr>
                      <w:rFonts w:hint="eastAsia"/>
                      <w:lang w:val="en-US" w:eastAsia="zh-CN"/>
                    </w:rPr>
                  </w:pPr>
                </w:p>
              </w:tc>
              <w:tc>
                <w:tcPr>
                  <w:tcW w:w="1575" w:type="dxa"/>
                  <w:vMerge w:val="continue"/>
                  <w:vAlign w:val="center"/>
                </w:tcPr>
                <w:p w14:paraId="137C1801">
                  <w:pPr>
                    <w:pStyle w:val="61"/>
                    <w:bidi w:val="0"/>
                    <w:rPr>
                      <w:rFonts w:hint="eastAsia"/>
                      <w:lang w:val="en-US" w:eastAsia="zh-CN"/>
                    </w:rPr>
                  </w:pPr>
                </w:p>
              </w:tc>
              <w:tc>
                <w:tcPr>
                  <w:tcW w:w="2295" w:type="dxa"/>
                  <w:vAlign w:val="center"/>
                </w:tcPr>
                <w:p w14:paraId="55D4D1EB">
                  <w:pPr>
                    <w:pStyle w:val="61"/>
                    <w:bidi w:val="0"/>
                    <w:rPr>
                      <w:rFonts w:hint="eastAsia"/>
                      <w:lang w:val="en-US" w:eastAsia="zh-CN"/>
                    </w:rPr>
                  </w:pPr>
                  <w:r>
                    <w:rPr>
                      <w:rFonts w:hint="eastAsia"/>
                      <w:lang w:val="en-US" w:eastAsia="zh-CN"/>
                    </w:rPr>
                    <w:t>废润滑油桶</w:t>
                  </w:r>
                </w:p>
              </w:tc>
              <w:tc>
                <w:tcPr>
                  <w:tcW w:w="2694" w:type="dxa"/>
                  <w:vMerge w:val="continue"/>
                  <w:vAlign w:val="center"/>
                </w:tcPr>
                <w:p w14:paraId="5A644157">
                  <w:pPr>
                    <w:pStyle w:val="61"/>
                    <w:bidi w:val="0"/>
                    <w:rPr>
                      <w:rFonts w:hint="eastAsia"/>
                      <w:lang w:val="en-US" w:eastAsia="zh-CN"/>
                    </w:rPr>
                  </w:pPr>
                </w:p>
              </w:tc>
            </w:tr>
            <w:tr w14:paraId="4087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6" w:type="dxa"/>
                  <w:vMerge w:val="continue"/>
                  <w:vAlign w:val="center"/>
                </w:tcPr>
                <w:p w14:paraId="1AED61C3">
                  <w:pPr>
                    <w:pStyle w:val="61"/>
                    <w:bidi w:val="0"/>
                    <w:rPr>
                      <w:rFonts w:hint="eastAsia"/>
                      <w:lang w:val="en-US" w:eastAsia="zh-CN"/>
                    </w:rPr>
                  </w:pPr>
                </w:p>
              </w:tc>
              <w:tc>
                <w:tcPr>
                  <w:tcW w:w="1575" w:type="dxa"/>
                  <w:vAlign w:val="center"/>
                </w:tcPr>
                <w:p w14:paraId="11786C7E">
                  <w:pPr>
                    <w:pStyle w:val="61"/>
                    <w:bidi w:val="0"/>
                    <w:rPr>
                      <w:rFonts w:hint="default"/>
                      <w:lang w:val="en-US" w:eastAsia="zh-CN"/>
                    </w:rPr>
                  </w:pPr>
                  <w:r>
                    <w:rPr>
                      <w:rFonts w:hint="eastAsia"/>
                      <w:lang w:val="en-US" w:eastAsia="zh-CN"/>
                    </w:rPr>
                    <w:t>清洗</w:t>
                  </w:r>
                </w:p>
              </w:tc>
              <w:tc>
                <w:tcPr>
                  <w:tcW w:w="2295" w:type="dxa"/>
                  <w:vAlign w:val="center"/>
                </w:tcPr>
                <w:p w14:paraId="4B33F761">
                  <w:pPr>
                    <w:pStyle w:val="61"/>
                    <w:bidi w:val="0"/>
                    <w:rPr>
                      <w:rFonts w:hint="default"/>
                      <w:lang w:val="en-US" w:eastAsia="zh-CN"/>
                    </w:rPr>
                  </w:pPr>
                  <w:r>
                    <w:rPr>
                      <w:rFonts w:hint="eastAsia"/>
                      <w:lang w:val="en-US" w:eastAsia="zh-CN"/>
                    </w:rPr>
                    <w:t>絮凝沉淀废渣</w:t>
                  </w:r>
                </w:p>
              </w:tc>
              <w:tc>
                <w:tcPr>
                  <w:tcW w:w="2694" w:type="dxa"/>
                  <w:vMerge w:val="continue"/>
                  <w:vAlign w:val="center"/>
                </w:tcPr>
                <w:p w14:paraId="3A2C0DCE">
                  <w:pPr>
                    <w:pStyle w:val="61"/>
                    <w:bidi w:val="0"/>
                    <w:rPr>
                      <w:rFonts w:hint="eastAsia"/>
                      <w:lang w:val="en-US" w:eastAsia="zh-CN"/>
                    </w:rPr>
                  </w:pPr>
                </w:p>
              </w:tc>
            </w:tr>
          </w:tbl>
          <w:p w14:paraId="2917F92A">
            <w:pPr>
              <w:pStyle w:val="54"/>
              <w:bidi w:val="0"/>
              <w:ind w:left="0" w:leftChars="0" w:firstLine="0" w:firstLineChars="0"/>
              <w:rPr>
                <w:rFonts w:hint="default"/>
                <w:lang w:val="en-US" w:eastAsia="zh-CN"/>
              </w:rPr>
            </w:pPr>
          </w:p>
        </w:tc>
      </w:tr>
      <w:tr w14:paraId="3B4B7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22" w:type="dxa"/>
            <w:noWrap w:val="0"/>
            <w:vAlign w:val="center"/>
          </w:tcPr>
          <w:p w14:paraId="08AA2A1A">
            <w:pPr>
              <w:pStyle w:val="19"/>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338" w:type="dxa"/>
            <w:noWrap w:val="0"/>
            <w:vAlign w:val="top"/>
          </w:tcPr>
          <w:p w14:paraId="3B02A2DB">
            <w:pPr>
              <w:pStyle w:val="54"/>
              <w:bidi w:val="0"/>
              <w:rPr>
                <w:rFonts w:hint="eastAsia"/>
                <w:lang w:val="en-US" w:eastAsia="zh-CN"/>
              </w:rPr>
            </w:pPr>
            <w:r>
              <w:rPr>
                <w:rFonts w:hint="eastAsia"/>
                <w:lang w:val="en-US" w:eastAsia="zh-CN"/>
              </w:rPr>
              <w:t>本项目为新建项目，租赁厂房之前一直处于闲置状态，不存在与项目有关的原有污染问题。</w:t>
            </w:r>
          </w:p>
          <w:p w14:paraId="2BBA32B5">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08A5914A">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16C20A50">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2A5A95B0">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3FB88EF6">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58F8BB14">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36544A75">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25B6D3D7">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08928513">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3BF90A9F">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33CA873E">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40AFA8EE">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3037D538">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791885F4">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p w14:paraId="164DEF06">
            <w:pPr>
              <w:pStyle w:val="47"/>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default"/>
                <w:kern w:val="21"/>
                <w:sz w:val="24"/>
                <w:szCs w:val="24"/>
                <w:lang w:val="en-US" w:eastAsia="zh-CN"/>
              </w:rPr>
            </w:pPr>
          </w:p>
        </w:tc>
      </w:tr>
    </w:tbl>
    <w:p w14:paraId="61588289">
      <w:pPr>
        <w:pStyle w:val="19"/>
        <w:jc w:val="both"/>
        <w:rPr>
          <w:rFonts w:ascii="黑体" w:hAnsi="黑体" w:eastAsia="黑体"/>
          <w:snapToGrid w:val="0"/>
          <w:sz w:val="36"/>
          <w:szCs w:val="36"/>
        </w:rPr>
        <w:sectPr>
          <w:footerReference r:id="rId7" w:type="default"/>
          <w:pgSz w:w="11906" w:h="16838"/>
          <w:pgMar w:top="1701" w:right="1531" w:bottom="1701" w:left="1531" w:header="851" w:footer="851" w:gutter="0"/>
          <w:pgNumType w:fmt="decimal"/>
          <w:cols w:space="720" w:num="1"/>
          <w:docGrid w:linePitch="312" w:charSpace="0"/>
        </w:sectPr>
      </w:pPr>
    </w:p>
    <w:p w14:paraId="7D6C2907">
      <w:pPr>
        <w:pStyle w:val="19"/>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14:paraId="6A24E6DF">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14:paraId="0A22A2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800" w:type="dxa"/>
            <w:noWrap w:val="0"/>
            <w:vAlign w:val="center"/>
          </w:tcPr>
          <w:p w14:paraId="1E647A12">
            <w:pPr>
              <w:adjustRightInd w:val="0"/>
              <w:snapToGrid w:val="0"/>
              <w:jc w:val="center"/>
              <w:rPr>
                <w:rFonts w:hint="eastAsia" w:ascii="宋体" w:hAnsi="宋体" w:cs="宋体"/>
                <w:kern w:val="0"/>
                <w:szCs w:val="21"/>
              </w:rPr>
            </w:pPr>
            <w:r>
              <w:rPr>
                <w:rFonts w:hint="eastAsia" w:ascii="宋体" w:hAnsi="宋体" w:cs="宋体"/>
                <w:kern w:val="0"/>
                <w:szCs w:val="21"/>
              </w:rPr>
              <w:t>区域</w:t>
            </w:r>
          </w:p>
          <w:p w14:paraId="76D2D4C2">
            <w:pPr>
              <w:adjustRightInd w:val="0"/>
              <w:snapToGrid w:val="0"/>
              <w:jc w:val="center"/>
              <w:rPr>
                <w:rFonts w:hint="eastAsia" w:ascii="宋体" w:hAnsi="宋体" w:cs="宋体"/>
                <w:kern w:val="0"/>
                <w:szCs w:val="21"/>
              </w:rPr>
            </w:pPr>
            <w:r>
              <w:rPr>
                <w:rFonts w:hint="eastAsia" w:ascii="宋体" w:hAnsi="宋体" w:cs="宋体"/>
                <w:kern w:val="0"/>
                <w:szCs w:val="21"/>
              </w:rPr>
              <w:t>环境</w:t>
            </w:r>
          </w:p>
          <w:p w14:paraId="5CEF2455">
            <w:pPr>
              <w:adjustRightInd w:val="0"/>
              <w:snapToGrid w:val="0"/>
              <w:jc w:val="center"/>
              <w:rPr>
                <w:rFonts w:hint="eastAsia" w:ascii="宋体" w:hAnsi="宋体" w:cs="宋体"/>
                <w:kern w:val="0"/>
                <w:szCs w:val="21"/>
              </w:rPr>
            </w:pPr>
            <w:r>
              <w:rPr>
                <w:rFonts w:hint="eastAsia" w:ascii="宋体" w:hAnsi="宋体" w:cs="宋体"/>
                <w:kern w:val="0"/>
                <w:szCs w:val="21"/>
              </w:rPr>
              <w:t>质量</w:t>
            </w:r>
          </w:p>
          <w:p w14:paraId="1A78858B">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noWrap w:val="0"/>
            <w:vAlign w:val="center"/>
          </w:tcPr>
          <w:p w14:paraId="44CABF49">
            <w:pPr>
              <w:pStyle w:val="48"/>
              <w:bidi w:val="0"/>
              <w:rPr>
                <w:rFonts w:hint="default"/>
                <w:lang w:val="en-US" w:eastAsia="zh-CN"/>
              </w:rPr>
            </w:pPr>
            <w:r>
              <w:rPr>
                <w:rFonts w:hint="eastAsia"/>
                <w:lang w:val="en-US" w:eastAsia="zh-CN"/>
              </w:rPr>
              <w:t>1.环境空气现状调查与评价</w:t>
            </w:r>
          </w:p>
          <w:p w14:paraId="37534EDB">
            <w:pPr>
              <w:pStyle w:val="48"/>
              <w:bidi w:val="0"/>
              <w:rPr>
                <w:rFonts w:hint="default"/>
                <w:lang w:val="en-US" w:eastAsia="zh-CN"/>
              </w:rPr>
            </w:pPr>
            <w:r>
              <w:rPr>
                <w:rFonts w:hint="eastAsia"/>
                <w:lang w:val="en-US" w:eastAsia="zh-CN"/>
              </w:rPr>
              <w:t>1.1基本污染物空气环境质量现状</w:t>
            </w:r>
          </w:p>
          <w:p w14:paraId="1DE66531">
            <w:pPr>
              <w:pStyle w:val="54"/>
              <w:bidi w:val="0"/>
              <w:rPr>
                <w:rFonts w:hint="eastAsia"/>
                <w:highlight w:val="none"/>
              </w:rPr>
            </w:pPr>
            <w:r>
              <w:rPr>
                <w:rFonts w:hint="eastAsia"/>
                <w:highlight w:val="none"/>
              </w:rPr>
              <w:t>根据《建设项目环境影响报告表编制技术指南（污染影响类）（试行）》，对于基本污染物环境质量现状数据，项目所在区域达标判定优先采用国家或地方生态环境主管部门公开发布的评价基准年环境质量公告或环境质量报告中的数据或结论。</w:t>
            </w:r>
          </w:p>
          <w:p w14:paraId="120CB126">
            <w:pPr>
              <w:keepNext w:val="0"/>
              <w:keepLines w:val="0"/>
              <w:widowControl w:val="0"/>
              <w:suppressLineNumbers w:val="0"/>
              <w:wordWrap w:val="0"/>
              <w:bidi w:val="0"/>
              <w:spacing w:before="0" w:beforeAutospacing="0" w:after="0" w:afterAutospacing="0" w:line="520" w:lineRule="exact"/>
              <w:ind w:left="0" w:right="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本工程建设地点位于</w:t>
            </w:r>
            <w:r>
              <w:rPr>
                <w:rFonts w:hint="eastAsia" w:ascii="宋体" w:hAnsi="宋体" w:eastAsia="宋体" w:cs="宋体"/>
                <w:color w:val="000000"/>
                <w:kern w:val="2"/>
                <w:sz w:val="24"/>
                <w:szCs w:val="24"/>
                <w:highlight w:val="none"/>
                <w:lang w:val="en-US" w:eastAsia="zh-CN" w:bidi="ar-SA"/>
              </w:rPr>
              <w:t>新疆维吾尔自治区库尔勒市上库综合产业园区</w:t>
            </w:r>
            <w:r>
              <w:rPr>
                <w:rFonts w:hint="eastAsia" w:ascii="宋体" w:hAnsi="宋体" w:cs="宋体"/>
                <w:color w:val="000000"/>
                <w:kern w:val="2"/>
                <w:sz w:val="24"/>
                <w:szCs w:val="24"/>
                <w:highlight w:val="none"/>
                <w:lang w:val="en-US" w:eastAsia="zh-CN" w:bidi="ar-SA"/>
              </w:rPr>
              <w:t>上和大道北侧215号院内</w:t>
            </w:r>
            <w:r>
              <w:rPr>
                <w:rFonts w:hint="eastAsia" w:ascii="Times New Roman" w:hAnsi="Times New Roman" w:eastAsia="宋体" w:cs="Times New Roman"/>
                <w:kern w:val="2"/>
                <w:sz w:val="24"/>
                <w:szCs w:val="24"/>
                <w:highlight w:val="none"/>
                <w:lang w:val="en-US" w:eastAsia="zh-CN" w:bidi="ar-SA"/>
              </w:rPr>
              <w:t>，本次评价现状监测资料引用巴音郭楞蒙古自治州库尔勒市孔雀公园站点2023年的自动监测数据。作为环境空气现状评价基本污染物SO</w:t>
            </w:r>
            <w:r>
              <w:rPr>
                <w:rFonts w:hint="eastAsia" w:ascii="Times New Roman" w:hAnsi="Times New Roman" w:eastAsia="宋体" w:cs="Times New Roman"/>
                <w:kern w:val="2"/>
                <w:sz w:val="24"/>
                <w:szCs w:val="24"/>
                <w:highlight w:val="none"/>
                <w:vertAlign w:val="subscript"/>
                <w:lang w:val="en-US" w:eastAsia="zh-CN" w:bidi="ar-SA"/>
              </w:rPr>
              <w:t>2</w:t>
            </w:r>
            <w:r>
              <w:rPr>
                <w:rFonts w:hint="eastAsia" w:ascii="Times New Roman" w:hAnsi="Times New Roman" w:eastAsia="宋体" w:cs="Times New Roman"/>
                <w:kern w:val="2"/>
                <w:sz w:val="24"/>
                <w:szCs w:val="24"/>
                <w:highlight w:val="none"/>
                <w:lang w:val="en-US" w:eastAsia="zh-CN" w:bidi="ar-SA"/>
              </w:rPr>
              <w:t>、NO</w:t>
            </w:r>
            <w:r>
              <w:rPr>
                <w:rFonts w:hint="eastAsia" w:ascii="Times New Roman" w:hAnsi="Times New Roman" w:eastAsia="宋体" w:cs="Times New Roman"/>
                <w:kern w:val="2"/>
                <w:sz w:val="24"/>
                <w:szCs w:val="24"/>
                <w:highlight w:val="none"/>
                <w:vertAlign w:val="subscript"/>
                <w:lang w:val="en-US" w:eastAsia="zh-CN" w:bidi="ar-SA"/>
              </w:rPr>
              <w:t>2</w:t>
            </w:r>
            <w:r>
              <w:rPr>
                <w:rFonts w:hint="eastAsia" w:ascii="Times New Roman" w:hAnsi="Times New Roman" w:eastAsia="宋体" w:cs="Times New Roman"/>
                <w:kern w:val="2"/>
                <w:sz w:val="24"/>
                <w:szCs w:val="24"/>
                <w:highlight w:val="none"/>
                <w:lang w:val="en-US" w:eastAsia="zh-CN" w:bidi="ar-SA"/>
              </w:rPr>
              <w:t>、PM</w:t>
            </w:r>
            <w:r>
              <w:rPr>
                <w:rFonts w:hint="eastAsia" w:ascii="Times New Roman" w:hAnsi="Times New Roman" w:eastAsia="宋体" w:cs="Times New Roman"/>
                <w:kern w:val="2"/>
                <w:sz w:val="24"/>
                <w:szCs w:val="24"/>
                <w:highlight w:val="none"/>
                <w:vertAlign w:val="subscript"/>
                <w:lang w:val="en-US" w:eastAsia="zh-CN" w:bidi="ar-SA"/>
              </w:rPr>
              <w:t>10</w:t>
            </w:r>
            <w:r>
              <w:rPr>
                <w:rFonts w:hint="eastAsia" w:ascii="Times New Roman" w:hAnsi="Times New Roman" w:eastAsia="宋体" w:cs="Times New Roman"/>
                <w:kern w:val="2"/>
                <w:sz w:val="24"/>
                <w:szCs w:val="24"/>
                <w:highlight w:val="none"/>
                <w:lang w:val="en-US" w:eastAsia="zh-CN" w:bidi="ar-SA"/>
              </w:rPr>
              <w:t>、PM</w:t>
            </w:r>
            <w:r>
              <w:rPr>
                <w:rFonts w:hint="eastAsia" w:ascii="Times New Roman" w:hAnsi="Times New Roman" w:eastAsia="宋体" w:cs="Times New Roman"/>
                <w:kern w:val="2"/>
                <w:sz w:val="24"/>
                <w:szCs w:val="24"/>
                <w:highlight w:val="none"/>
                <w:vertAlign w:val="subscript"/>
                <w:lang w:val="en-US" w:eastAsia="zh-CN" w:bidi="ar-SA"/>
              </w:rPr>
              <w:t>2.5</w:t>
            </w:r>
            <w:r>
              <w:rPr>
                <w:rFonts w:hint="eastAsia" w:ascii="Times New Roman" w:hAnsi="Times New Roman" w:eastAsia="宋体" w:cs="Times New Roman"/>
                <w:kern w:val="2"/>
                <w:sz w:val="24"/>
                <w:szCs w:val="24"/>
                <w:highlight w:val="none"/>
                <w:lang w:val="en-US" w:eastAsia="zh-CN" w:bidi="ar-SA"/>
              </w:rPr>
              <w:t>、CO和O</w:t>
            </w:r>
            <w:r>
              <w:rPr>
                <w:rFonts w:hint="eastAsia" w:ascii="Times New Roman" w:hAnsi="Times New Roman" w:eastAsia="宋体" w:cs="Times New Roman"/>
                <w:kern w:val="2"/>
                <w:sz w:val="24"/>
                <w:szCs w:val="24"/>
                <w:highlight w:val="none"/>
                <w:vertAlign w:val="subscript"/>
                <w:lang w:val="en-US" w:eastAsia="zh-CN" w:bidi="ar-SA"/>
              </w:rPr>
              <w:t>3</w:t>
            </w:r>
            <w:r>
              <w:rPr>
                <w:rFonts w:hint="eastAsia" w:ascii="Times New Roman" w:hAnsi="Times New Roman" w:eastAsia="宋体" w:cs="Times New Roman"/>
                <w:kern w:val="2"/>
                <w:sz w:val="24"/>
                <w:szCs w:val="24"/>
                <w:highlight w:val="none"/>
                <w:lang w:val="en-US" w:eastAsia="zh-CN" w:bidi="ar-SA"/>
              </w:rPr>
              <w:t>的数据来源。</w:t>
            </w:r>
          </w:p>
          <w:p w14:paraId="7E405DB0">
            <w:pPr>
              <w:keepNext w:val="0"/>
              <w:keepLines w:val="0"/>
              <w:widowControl w:val="0"/>
              <w:suppressLineNumbers w:val="0"/>
              <w:wordWrap w:val="0"/>
              <w:bidi w:val="0"/>
              <w:spacing w:before="0" w:beforeAutospacing="0" w:after="0" w:afterAutospacing="0" w:line="520" w:lineRule="exact"/>
              <w:ind w:left="0" w:right="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（1）监测项目、监测时间</w:t>
            </w:r>
          </w:p>
          <w:p w14:paraId="54266C00">
            <w:pPr>
              <w:keepNext w:val="0"/>
              <w:keepLines w:val="0"/>
              <w:widowControl w:val="0"/>
              <w:suppressLineNumbers w:val="0"/>
              <w:wordWrap w:val="0"/>
              <w:bidi w:val="0"/>
              <w:spacing w:before="0" w:beforeAutospacing="0" w:after="0" w:afterAutospacing="0" w:line="520" w:lineRule="exact"/>
              <w:ind w:left="0" w:right="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监测项目：基本污染物SO</w:t>
            </w:r>
            <w:r>
              <w:rPr>
                <w:rFonts w:hint="eastAsia" w:ascii="Times New Roman" w:hAnsi="Times New Roman" w:eastAsia="宋体" w:cs="Times New Roman"/>
                <w:kern w:val="2"/>
                <w:sz w:val="24"/>
                <w:szCs w:val="24"/>
                <w:highlight w:val="none"/>
                <w:vertAlign w:val="subscript"/>
                <w:lang w:val="en-US" w:eastAsia="zh-CN" w:bidi="ar-SA"/>
              </w:rPr>
              <w:t>2</w:t>
            </w:r>
            <w:r>
              <w:rPr>
                <w:rFonts w:hint="eastAsia" w:ascii="Times New Roman" w:hAnsi="Times New Roman" w:eastAsia="宋体" w:cs="Times New Roman"/>
                <w:kern w:val="2"/>
                <w:sz w:val="24"/>
                <w:szCs w:val="24"/>
                <w:highlight w:val="none"/>
                <w:lang w:val="en-US" w:eastAsia="zh-CN" w:bidi="ar-SA"/>
              </w:rPr>
              <w:t>、NO</w:t>
            </w:r>
            <w:r>
              <w:rPr>
                <w:rFonts w:hint="eastAsia" w:ascii="Times New Roman" w:hAnsi="Times New Roman" w:eastAsia="宋体" w:cs="Times New Roman"/>
                <w:kern w:val="2"/>
                <w:sz w:val="24"/>
                <w:szCs w:val="24"/>
                <w:highlight w:val="none"/>
                <w:vertAlign w:val="subscript"/>
                <w:lang w:val="en-US" w:eastAsia="zh-CN" w:bidi="ar-SA"/>
              </w:rPr>
              <w:t>2</w:t>
            </w:r>
            <w:r>
              <w:rPr>
                <w:rFonts w:hint="eastAsia" w:ascii="Times New Roman" w:hAnsi="Times New Roman" w:eastAsia="宋体" w:cs="Times New Roman"/>
                <w:kern w:val="2"/>
                <w:sz w:val="24"/>
                <w:szCs w:val="24"/>
                <w:highlight w:val="none"/>
                <w:lang w:val="en-US" w:eastAsia="zh-CN" w:bidi="ar-SA"/>
              </w:rPr>
              <w:t>、PM</w:t>
            </w:r>
            <w:r>
              <w:rPr>
                <w:rFonts w:hint="eastAsia" w:ascii="Times New Roman" w:hAnsi="Times New Roman" w:eastAsia="宋体" w:cs="Times New Roman"/>
                <w:kern w:val="2"/>
                <w:sz w:val="24"/>
                <w:szCs w:val="24"/>
                <w:highlight w:val="none"/>
                <w:vertAlign w:val="subscript"/>
                <w:lang w:val="en-US" w:eastAsia="zh-CN" w:bidi="ar-SA"/>
              </w:rPr>
              <w:t>10</w:t>
            </w:r>
            <w:r>
              <w:rPr>
                <w:rFonts w:hint="eastAsia" w:ascii="Times New Roman" w:hAnsi="Times New Roman" w:eastAsia="宋体" w:cs="Times New Roman"/>
                <w:kern w:val="2"/>
                <w:sz w:val="24"/>
                <w:szCs w:val="24"/>
                <w:highlight w:val="none"/>
                <w:lang w:val="en-US" w:eastAsia="zh-CN" w:bidi="ar-SA"/>
              </w:rPr>
              <w:t>、PM</w:t>
            </w:r>
            <w:r>
              <w:rPr>
                <w:rFonts w:hint="eastAsia" w:ascii="Times New Roman" w:hAnsi="Times New Roman" w:eastAsia="宋体" w:cs="Times New Roman"/>
                <w:kern w:val="2"/>
                <w:sz w:val="24"/>
                <w:szCs w:val="24"/>
                <w:highlight w:val="none"/>
                <w:vertAlign w:val="subscript"/>
                <w:lang w:val="en-US" w:eastAsia="zh-CN" w:bidi="ar-SA"/>
              </w:rPr>
              <w:t>2.5</w:t>
            </w:r>
            <w:r>
              <w:rPr>
                <w:rFonts w:hint="eastAsia" w:ascii="Times New Roman" w:hAnsi="Times New Roman" w:eastAsia="宋体" w:cs="Times New Roman"/>
                <w:kern w:val="2"/>
                <w:sz w:val="24"/>
                <w:szCs w:val="24"/>
                <w:highlight w:val="none"/>
                <w:lang w:val="en-US" w:eastAsia="zh-CN" w:bidi="ar-SA"/>
              </w:rPr>
              <w:t>、CO和O</w:t>
            </w:r>
            <w:r>
              <w:rPr>
                <w:rFonts w:hint="eastAsia" w:ascii="Times New Roman" w:hAnsi="Times New Roman" w:eastAsia="宋体" w:cs="Times New Roman"/>
                <w:kern w:val="2"/>
                <w:sz w:val="24"/>
                <w:szCs w:val="24"/>
                <w:highlight w:val="none"/>
                <w:vertAlign w:val="subscript"/>
                <w:lang w:val="en-US" w:eastAsia="zh-CN" w:bidi="ar-SA"/>
              </w:rPr>
              <w:t>3</w:t>
            </w:r>
            <w:r>
              <w:rPr>
                <w:rFonts w:hint="eastAsia" w:ascii="Times New Roman" w:hAnsi="Times New Roman" w:eastAsia="宋体" w:cs="Times New Roman"/>
                <w:kern w:val="2"/>
                <w:sz w:val="24"/>
                <w:szCs w:val="24"/>
                <w:highlight w:val="none"/>
                <w:lang w:val="en-US" w:eastAsia="zh-CN" w:bidi="ar-SA"/>
              </w:rPr>
              <w:t>；</w:t>
            </w:r>
          </w:p>
          <w:p w14:paraId="47AEB405">
            <w:pPr>
              <w:keepNext w:val="0"/>
              <w:keepLines w:val="0"/>
              <w:widowControl w:val="0"/>
              <w:suppressLineNumbers w:val="0"/>
              <w:wordWrap w:val="0"/>
              <w:bidi w:val="0"/>
              <w:spacing w:before="0" w:beforeAutospacing="0" w:after="0" w:afterAutospacing="0" w:line="520" w:lineRule="exact"/>
              <w:ind w:left="0" w:right="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监测时间：基本污染物SO</w:t>
            </w:r>
            <w:r>
              <w:rPr>
                <w:rFonts w:hint="eastAsia" w:ascii="Times New Roman" w:hAnsi="Times New Roman" w:eastAsia="宋体" w:cs="Times New Roman"/>
                <w:kern w:val="2"/>
                <w:sz w:val="24"/>
                <w:szCs w:val="24"/>
                <w:highlight w:val="none"/>
                <w:vertAlign w:val="subscript"/>
                <w:lang w:val="en-US" w:eastAsia="zh-CN" w:bidi="ar-SA"/>
              </w:rPr>
              <w:t>2</w:t>
            </w:r>
            <w:r>
              <w:rPr>
                <w:rFonts w:hint="eastAsia" w:ascii="Times New Roman" w:hAnsi="Times New Roman" w:eastAsia="宋体" w:cs="Times New Roman"/>
                <w:kern w:val="2"/>
                <w:sz w:val="24"/>
                <w:szCs w:val="24"/>
                <w:highlight w:val="none"/>
                <w:lang w:val="en-US" w:eastAsia="zh-CN" w:bidi="ar-SA"/>
              </w:rPr>
              <w:t>、NO</w:t>
            </w:r>
            <w:r>
              <w:rPr>
                <w:rFonts w:hint="eastAsia" w:ascii="Times New Roman" w:hAnsi="Times New Roman" w:eastAsia="宋体" w:cs="Times New Roman"/>
                <w:kern w:val="2"/>
                <w:sz w:val="24"/>
                <w:szCs w:val="24"/>
                <w:highlight w:val="none"/>
                <w:vertAlign w:val="subscript"/>
                <w:lang w:val="en-US" w:eastAsia="zh-CN" w:bidi="ar-SA"/>
              </w:rPr>
              <w:t>2</w:t>
            </w:r>
            <w:r>
              <w:rPr>
                <w:rFonts w:hint="eastAsia" w:ascii="Times New Roman" w:hAnsi="Times New Roman" w:eastAsia="宋体" w:cs="Times New Roman"/>
                <w:kern w:val="2"/>
                <w:sz w:val="24"/>
                <w:szCs w:val="24"/>
                <w:highlight w:val="none"/>
                <w:lang w:val="en-US" w:eastAsia="zh-CN" w:bidi="ar-SA"/>
              </w:rPr>
              <w:t>、PM</w:t>
            </w:r>
            <w:r>
              <w:rPr>
                <w:rFonts w:hint="eastAsia" w:ascii="Times New Roman" w:hAnsi="Times New Roman" w:eastAsia="宋体" w:cs="Times New Roman"/>
                <w:kern w:val="2"/>
                <w:sz w:val="24"/>
                <w:szCs w:val="24"/>
                <w:highlight w:val="none"/>
                <w:vertAlign w:val="subscript"/>
                <w:lang w:val="en-US" w:eastAsia="zh-CN" w:bidi="ar-SA"/>
              </w:rPr>
              <w:t>10</w:t>
            </w:r>
            <w:r>
              <w:rPr>
                <w:rFonts w:hint="eastAsia" w:ascii="Times New Roman" w:hAnsi="Times New Roman" w:eastAsia="宋体" w:cs="Times New Roman"/>
                <w:kern w:val="2"/>
                <w:sz w:val="24"/>
                <w:szCs w:val="24"/>
                <w:highlight w:val="none"/>
                <w:lang w:val="en-US" w:eastAsia="zh-CN" w:bidi="ar-SA"/>
              </w:rPr>
              <w:t>、PM</w:t>
            </w:r>
            <w:r>
              <w:rPr>
                <w:rFonts w:hint="eastAsia" w:ascii="Times New Roman" w:hAnsi="Times New Roman" w:eastAsia="宋体" w:cs="Times New Roman"/>
                <w:kern w:val="2"/>
                <w:sz w:val="24"/>
                <w:szCs w:val="24"/>
                <w:highlight w:val="none"/>
                <w:vertAlign w:val="subscript"/>
                <w:lang w:val="en-US" w:eastAsia="zh-CN" w:bidi="ar-SA"/>
              </w:rPr>
              <w:t>2.5</w:t>
            </w:r>
            <w:r>
              <w:rPr>
                <w:rFonts w:hint="eastAsia" w:ascii="Times New Roman" w:hAnsi="Times New Roman" w:eastAsia="宋体" w:cs="Times New Roman"/>
                <w:kern w:val="2"/>
                <w:sz w:val="24"/>
                <w:szCs w:val="24"/>
                <w:highlight w:val="none"/>
                <w:lang w:val="en-US" w:eastAsia="zh-CN" w:bidi="ar-SA"/>
              </w:rPr>
              <w:t>、CO和O</w:t>
            </w:r>
            <w:r>
              <w:rPr>
                <w:rFonts w:hint="eastAsia" w:ascii="Times New Roman" w:hAnsi="Times New Roman" w:eastAsia="宋体" w:cs="Times New Roman"/>
                <w:kern w:val="2"/>
                <w:sz w:val="24"/>
                <w:szCs w:val="24"/>
                <w:highlight w:val="none"/>
                <w:vertAlign w:val="subscript"/>
                <w:lang w:val="en-US" w:eastAsia="zh-CN" w:bidi="ar-SA"/>
              </w:rPr>
              <w:t>3</w:t>
            </w:r>
            <w:r>
              <w:rPr>
                <w:rFonts w:hint="eastAsia" w:ascii="Times New Roman" w:hAnsi="Times New Roman" w:eastAsia="宋体" w:cs="Times New Roman"/>
                <w:kern w:val="2"/>
                <w:sz w:val="24"/>
                <w:szCs w:val="24"/>
                <w:highlight w:val="none"/>
                <w:lang w:val="en-US" w:eastAsia="zh-CN" w:bidi="ar-SA"/>
              </w:rPr>
              <w:t>的监测时间为2023年全年监测数据。</w:t>
            </w:r>
          </w:p>
          <w:p w14:paraId="112AB0CC">
            <w:pPr>
              <w:keepNext w:val="0"/>
              <w:keepLines w:val="0"/>
              <w:widowControl w:val="0"/>
              <w:suppressLineNumbers w:val="0"/>
              <w:wordWrap w:val="0"/>
              <w:bidi w:val="0"/>
              <w:spacing w:before="0" w:beforeAutospacing="0" w:after="0" w:afterAutospacing="0" w:line="520" w:lineRule="exact"/>
              <w:ind w:left="0" w:right="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（2）评价标准</w:t>
            </w:r>
          </w:p>
          <w:p w14:paraId="3888EF8E">
            <w:pPr>
              <w:keepNext w:val="0"/>
              <w:keepLines w:val="0"/>
              <w:widowControl w:val="0"/>
              <w:suppressLineNumbers w:val="0"/>
              <w:wordWrap w:val="0"/>
              <w:bidi w:val="0"/>
              <w:spacing w:before="0" w:beforeAutospacing="0" w:after="0" w:afterAutospacing="0" w:line="520" w:lineRule="exact"/>
              <w:ind w:left="0" w:right="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根据环境空气质量功能区划分规定，本次评价基本污染物SO</w:t>
            </w:r>
            <w:r>
              <w:rPr>
                <w:rFonts w:hint="eastAsia" w:ascii="Times New Roman" w:hAnsi="Times New Roman" w:eastAsia="宋体" w:cs="Times New Roman"/>
                <w:kern w:val="2"/>
                <w:sz w:val="24"/>
                <w:szCs w:val="24"/>
                <w:highlight w:val="none"/>
                <w:vertAlign w:val="subscript"/>
                <w:lang w:val="en-US" w:eastAsia="zh-CN" w:bidi="ar-SA"/>
              </w:rPr>
              <w:t>2</w:t>
            </w:r>
            <w:r>
              <w:rPr>
                <w:rFonts w:hint="eastAsia" w:ascii="Times New Roman" w:hAnsi="Times New Roman" w:eastAsia="宋体" w:cs="Times New Roman"/>
                <w:kern w:val="2"/>
                <w:sz w:val="24"/>
                <w:szCs w:val="24"/>
                <w:highlight w:val="none"/>
                <w:lang w:val="en-US" w:eastAsia="zh-CN" w:bidi="ar-SA"/>
              </w:rPr>
              <w:t>、NO</w:t>
            </w:r>
            <w:r>
              <w:rPr>
                <w:rFonts w:hint="eastAsia" w:ascii="Times New Roman" w:hAnsi="Times New Roman" w:eastAsia="宋体" w:cs="Times New Roman"/>
                <w:kern w:val="2"/>
                <w:sz w:val="24"/>
                <w:szCs w:val="24"/>
                <w:highlight w:val="none"/>
                <w:vertAlign w:val="subscript"/>
                <w:lang w:val="en-US" w:eastAsia="zh-CN" w:bidi="ar-SA"/>
              </w:rPr>
              <w:t>2</w:t>
            </w:r>
            <w:r>
              <w:rPr>
                <w:rFonts w:hint="eastAsia" w:ascii="Times New Roman" w:hAnsi="Times New Roman" w:eastAsia="宋体" w:cs="Times New Roman"/>
                <w:kern w:val="2"/>
                <w:sz w:val="24"/>
                <w:szCs w:val="24"/>
                <w:highlight w:val="none"/>
                <w:lang w:val="en-US" w:eastAsia="zh-CN" w:bidi="ar-SA"/>
              </w:rPr>
              <w:t>、PM</w:t>
            </w:r>
            <w:r>
              <w:rPr>
                <w:rFonts w:hint="eastAsia" w:ascii="Times New Roman" w:hAnsi="Times New Roman" w:eastAsia="宋体" w:cs="Times New Roman"/>
                <w:kern w:val="2"/>
                <w:sz w:val="24"/>
                <w:szCs w:val="24"/>
                <w:highlight w:val="none"/>
                <w:vertAlign w:val="subscript"/>
                <w:lang w:val="en-US" w:eastAsia="zh-CN" w:bidi="ar-SA"/>
              </w:rPr>
              <w:t>10</w:t>
            </w:r>
            <w:r>
              <w:rPr>
                <w:rFonts w:hint="eastAsia" w:ascii="Times New Roman" w:hAnsi="Times New Roman" w:eastAsia="宋体" w:cs="Times New Roman"/>
                <w:kern w:val="2"/>
                <w:sz w:val="24"/>
                <w:szCs w:val="24"/>
                <w:highlight w:val="none"/>
                <w:lang w:val="en-US" w:eastAsia="zh-CN" w:bidi="ar-SA"/>
              </w:rPr>
              <w:t>、PM</w:t>
            </w:r>
            <w:r>
              <w:rPr>
                <w:rFonts w:hint="eastAsia" w:ascii="Times New Roman" w:hAnsi="Times New Roman" w:eastAsia="宋体" w:cs="Times New Roman"/>
                <w:kern w:val="2"/>
                <w:sz w:val="24"/>
                <w:szCs w:val="24"/>
                <w:highlight w:val="none"/>
                <w:vertAlign w:val="subscript"/>
                <w:lang w:val="en-US" w:eastAsia="zh-CN" w:bidi="ar-SA"/>
              </w:rPr>
              <w:t>2.5</w:t>
            </w:r>
            <w:r>
              <w:rPr>
                <w:rFonts w:hint="eastAsia" w:ascii="Times New Roman" w:hAnsi="Times New Roman" w:eastAsia="宋体" w:cs="Times New Roman"/>
                <w:kern w:val="2"/>
                <w:sz w:val="24"/>
                <w:szCs w:val="24"/>
                <w:highlight w:val="none"/>
                <w:lang w:val="en-US" w:eastAsia="zh-CN" w:bidi="ar-SA"/>
              </w:rPr>
              <w:t>、CO和O</w:t>
            </w:r>
            <w:r>
              <w:rPr>
                <w:rFonts w:hint="eastAsia" w:ascii="Times New Roman" w:hAnsi="Times New Roman" w:eastAsia="宋体" w:cs="Times New Roman"/>
                <w:kern w:val="2"/>
                <w:sz w:val="24"/>
                <w:szCs w:val="24"/>
                <w:highlight w:val="none"/>
                <w:vertAlign w:val="subscript"/>
                <w:lang w:val="en-US" w:eastAsia="zh-CN" w:bidi="ar-SA"/>
              </w:rPr>
              <w:t>3</w:t>
            </w:r>
            <w:r>
              <w:rPr>
                <w:rFonts w:hint="eastAsia" w:ascii="Times New Roman" w:hAnsi="Times New Roman" w:eastAsia="宋体" w:cs="Times New Roman"/>
                <w:kern w:val="2"/>
                <w:sz w:val="24"/>
                <w:szCs w:val="24"/>
                <w:highlight w:val="none"/>
                <w:lang w:val="en-US" w:eastAsia="zh-CN" w:bidi="ar-SA"/>
              </w:rPr>
              <w:t>执行《环境空气质量标准》（GB3095-2012）及其修改单中二级标准。</w:t>
            </w:r>
          </w:p>
          <w:p w14:paraId="2A266B75">
            <w:pPr>
              <w:keepNext w:val="0"/>
              <w:keepLines w:val="0"/>
              <w:widowControl w:val="0"/>
              <w:suppressLineNumbers w:val="0"/>
              <w:wordWrap w:val="0"/>
              <w:bidi w:val="0"/>
              <w:spacing w:before="0" w:beforeAutospacing="0" w:after="0" w:afterAutospacing="0" w:line="520" w:lineRule="exact"/>
              <w:ind w:left="0" w:right="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（3）评价方法</w:t>
            </w:r>
          </w:p>
          <w:p w14:paraId="4D12C8CA">
            <w:pPr>
              <w:keepNext w:val="0"/>
              <w:keepLines w:val="0"/>
              <w:widowControl w:val="0"/>
              <w:suppressLineNumbers w:val="0"/>
              <w:wordWrap w:val="0"/>
              <w:bidi w:val="0"/>
              <w:spacing w:before="0" w:beforeAutospacing="0" w:after="0" w:afterAutospacing="0" w:line="520" w:lineRule="exact"/>
              <w:ind w:left="0" w:right="0" w:firstLine="480" w:firstLineChars="200"/>
              <w:jc w:val="both"/>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按照《环境空气质量评价技术规范</w:t>
            </w:r>
            <w:r>
              <w:rPr>
                <w:rFonts w:hint="eastAsia"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试行</w:t>
            </w:r>
            <w:r>
              <w:rPr>
                <w:rFonts w:hint="eastAsia"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w:t>
            </w:r>
            <w:r>
              <w:rPr>
                <w:rFonts w:hint="eastAsia"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HJ663-2013</w:t>
            </w:r>
            <w:r>
              <w:rPr>
                <w:rFonts w:hint="eastAsia"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中各评价项目的年评价指标进行判定。年评价指标中的年均浓度和相应百分位数24h平均或8h平均质量浓度满足《环境空气质量标准》（GB3095-2012）及其修改单中二级浓度限值要求的即为达标。对于超标的污染物，计算其超标倍数和超标率。</w:t>
            </w:r>
          </w:p>
          <w:p w14:paraId="5A0AFD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20" w:lineRule="exact"/>
              <w:ind w:left="0" w:leftChars="0" w:right="0" w:firstLine="480" w:firstLineChars="200"/>
              <w:jc w:val="both"/>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区域空气质量现状评价见下表3-1。</w:t>
            </w:r>
          </w:p>
          <w:p w14:paraId="207600F8">
            <w:pPr>
              <w:pStyle w:val="49"/>
              <w:bidi w:val="0"/>
              <w:rPr>
                <w:rFonts w:hint="eastAsia"/>
                <w:lang w:val="en-US" w:eastAsia="zh-CN"/>
              </w:rPr>
            </w:pPr>
            <w:r>
              <w:rPr>
                <w:rFonts w:hint="eastAsia"/>
                <w:lang w:val="en-US" w:eastAsia="zh-CN"/>
              </w:rPr>
              <w:t>表3-1    区域空气质量现状评价</w:t>
            </w:r>
          </w:p>
          <w:tbl>
            <w:tblPr>
              <w:tblStyle w:val="24"/>
              <w:tblW w:w="499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2342"/>
              <w:gridCol w:w="1144"/>
              <w:gridCol w:w="1352"/>
              <w:gridCol w:w="1142"/>
              <w:gridCol w:w="1115"/>
            </w:tblGrid>
            <w:tr w14:paraId="286A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noWrap w:val="0"/>
                  <w:vAlign w:val="center"/>
                </w:tcPr>
                <w:p w14:paraId="5D605961">
                  <w:pPr>
                    <w:pStyle w:val="50"/>
                    <w:bidi w:val="0"/>
                  </w:pPr>
                  <w:r>
                    <w:rPr>
                      <w:rFonts w:hint="eastAsia"/>
                    </w:rPr>
                    <w:t>污染物</w:t>
                  </w:r>
                </w:p>
              </w:tc>
              <w:tc>
                <w:tcPr>
                  <w:tcW w:w="1479" w:type="pct"/>
                  <w:tcBorders>
                    <w:tl2br w:val="nil"/>
                    <w:tr2bl w:val="nil"/>
                  </w:tcBorders>
                  <w:noWrap w:val="0"/>
                  <w:vAlign w:val="center"/>
                </w:tcPr>
                <w:p w14:paraId="4F07E1CA">
                  <w:pPr>
                    <w:pStyle w:val="50"/>
                    <w:bidi w:val="0"/>
                  </w:pPr>
                  <w:r>
                    <w:rPr>
                      <w:rFonts w:hint="eastAsia"/>
                    </w:rPr>
                    <w:t>评价项目</w:t>
                  </w:r>
                </w:p>
              </w:tc>
              <w:tc>
                <w:tcPr>
                  <w:tcW w:w="678" w:type="pct"/>
                  <w:tcBorders>
                    <w:tl2br w:val="nil"/>
                    <w:tr2bl w:val="nil"/>
                  </w:tcBorders>
                  <w:noWrap w:val="0"/>
                  <w:vAlign w:val="center"/>
                </w:tcPr>
                <w:p w14:paraId="0FF0FA44">
                  <w:pPr>
                    <w:pStyle w:val="50"/>
                    <w:bidi w:val="0"/>
                  </w:pPr>
                  <w:r>
                    <w:t>浓度（</w:t>
                  </w:r>
                  <w:r>
                    <w:rPr>
                      <w:rFonts w:hint="default" w:ascii="Times New Roman" w:hAnsi="Times New Roman" w:cs="Times New Roman"/>
                    </w:rPr>
                    <w:t>μ</w:t>
                  </w:r>
                  <w:r>
                    <w:rPr>
                      <w:rFonts w:hint="default" w:ascii="Times New Roman" w:hAnsi="Times New Roman" w:cs="Times New Roman"/>
                      <w:lang w:val="en-US" w:eastAsia="zh-CN"/>
                    </w:rPr>
                    <w:t>g</w:t>
                  </w:r>
                  <w:r>
                    <w:rPr>
                      <w:rFonts w:hint="default" w:ascii="Times New Roman" w:hAnsi="Times New Roman" w:cs="Times New Roman"/>
                    </w:rPr>
                    <w:t>/m</w:t>
                  </w:r>
                  <w:r>
                    <w:rPr>
                      <w:rFonts w:hint="default" w:ascii="Times New Roman" w:hAnsi="Times New Roman" w:cs="Times New Roman"/>
                      <w:vertAlign w:val="superscript"/>
                    </w:rPr>
                    <w:t>3</w:t>
                  </w:r>
                  <w:r>
                    <w:t>）</w:t>
                  </w:r>
                </w:p>
              </w:tc>
              <w:tc>
                <w:tcPr>
                  <w:tcW w:w="857" w:type="pct"/>
                  <w:tcBorders>
                    <w:tl2br w:val="nil"/>
                    <w:tr2bl w:val="nil"/>
                  </w:tcBorders>
                  <w:noWrap w:val="0"/>
                  <w:vAlign w:val="center"/>
                </w:tcPr>
                <w:p w14:paraId="0E8FAEA2">
                  <w:pPr>
                    <w:pStyle w:val="50"/>
                    <w:bidi w:val="0"/>
                  </w:pPr>
                  <w:r>
                    <w:rPr>
                      <w:rFonts w:hint="eastAsia"/>
                    </w:rPr>
                    <w:t>标准（二级）</w:t>
                  </w:r>
                  <w:r>
                    <w:t>（</w:t>
                  </w:r>
                  <w:r>
                    <w:rPr>
                      <w:rFonts w:hint="default" w:ascii="Times New Roman" w:hAnsi="Times New Roman" w:cs="Times New Roman"/>
                    </w:rPr>
                    <w:t>μ</w:t>
                  </w:r>
                  <w:r>
                    <w:rPr>
                      <w:rFonts w:hint="default" w:ascii="Times New Roman" w:hAnsi="Times New Roman" w:cs="Times New Roman"/>
                      <w:lang w:val="en-US" w:eastAsia="zh-CN"/>
                    </w:rPr>
                    <w:t>g</w:t>
                  </w:r>
                  <w:r>
                    <w:rPr>
                      <w:rFonts w:hint="default" w:ascii="Times New Roman" w:hAnsi="Times New Roman" w:cs="Times New Roman"/>
                    </w:rPr>
                    <w:t>/m</w:t>
                  </w:r>
                  <w:r>
                    <w:rPr>
                      <w:rFonts w:hint="default" w:ascii="Times New Roman" w:hAnsi="Times New Roman" w:cs="Times New Roman"/>
                      <w:vertAlign w:val="superscript"/>
                    </w:rPr>
                    <w:t>3</w:t>
                  </w:r>
                  <w:r>
                    <w:t>）</w:t>
                  </w:r>
                </w:p>
              </w:tc>
              <w:tc>
                <w:tcPr>
                  <w:tcW w:w="725" w:type="pct"/>
                  <w:tcBorders>
                    <w:tl2br w:val="nil"/>
                    <w:tr2bl w:val="nil"/>
                  </w:tcBorders>
                  <w:noWrap w:val="0"/>
                  <w:vAlign w:val="center"/>
                </w:tcPr>
                <w:p w14:paraId="017291B3">
                  <w:pPr>
                    <w:pStyle w:val="50"/>
                    <w:bidi w:val="0"/>
                    <w:rPr>
                      <w:rFonts w:hint="default"/>
                      <w:lang w:val="en-US" w:eastAsia="zh-CN"/>
                    </w:rPr>
                  </w:pPr>
                  <w:r>
                    <w:rPr>
                      <w:rFonts w:hint="eastAsia"/>
                      <w:lang w:eastAsia="zh-CN"/>
                    </w:rPr>
                    <w:t>占标率</w:t>
                  </w:r>
                  <w:r>
                    <w:rPr>
                      <w:rFonts w:hint="eastAsia"/>
                      <w:lang w:val="en-US" w:eastAsia="zh-CN"/>
                    </w:rPr>
                    <w:t>%</w:t>
                  </w:r>
                </w:p>
              </w:tc>
              <w:tc>
                <w:tcPr>
                  <w:tcW w:w="708" w:type="pct"/>
                  <w:tcBorders>
                    <w:tl2br w:val="nil"/>
                    <w:tr2bl w:val="nil"/>
                  </w:tcBorders>
                  <w:noWrap w:val="0"/>
                  <w:vAlign w:val="center"/>
                </w:tcPr>
                <w:p w14:paraId="70238122">
                  <w:pPr>
                    <w:pStyle w:val="50"/>
                    <w:bidi w:val="0"/>
                    <w:rPr>
                      <w:rFonts w:hint="eastAsia"/>
                      <w:lang w:eastAsia="zh-CN"/>
                    </w:rPr>
                  </w:pPr>
                  <w:r>
                    <w:rPr>
                      <w:rFonts w:hint="eastAsia"/>
                      <w:lang w:eastAsia="zh-CN"/>
                    </w:rPr>
                    <w:t>达标情况</w:t>
                  </w:r>
                </w:p>
              </w:tc>
            </w:tr>
            <w:tr w14:paraId="13AF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restart"/>
                  <w:tcBorders>
                    <w:tl2br w:val="nil"/>
                    <w:tr2bl w:val="nil"/>
                  </w:tcBorders>
                  <w:noWrap w:val="0"/>
                  <w:vAlign w:val="center"/>
                </w:tcPr>
                <w:p w14:paraId="2F53ABF0">
                  <w:pPr>
                    <w:pStyle w:val="50"/>
                    <w:bidi w:val="0"/>
                  </w:pPr>
                  <w:r>
                    <w:rPr>
                      <w:rFonts w:hint="eastAsia"/>
                    </w:rPr>
                    <w:t>SO</w:t>
                  </w:r>
                  <w:r>
                    <w:rPr>
                      <w:rFonts w:hint="eastAsia"/>
                      <w:vertAlign w:val="subscript"/>
                    </w:rPr>
                    <w:t>2</w:t>
                  </w:r>
                </w:p>
              </w:tc>
              <w:tc>
                <w:tcPr>
                  <w:tcW w:w="1479" w:type="pct"/>
                  <w:tcBorders>
                    <w:tl2br w:val="nil"/>
                    <w:tr2bl w:val="nil"/>
                  </w:tcBorders>
                  <w:noWrap w:val="0"/>
                  <w:vAlign w:val="center"/>
                </w:tcPr>
                <w:p w14:paraId="421BF9A9">
                  <w:pPr>
                    <w:pStyle w:val="50"/>
                    <w:bidi w:val="0"/>
                    <w:rPr>
                      <w:rFonts w:hint="default"/>
                      <w:lang w:val="en-US" w:eastAsia="zh-CN"/>
                    </w:rPr>
                  </w:pPr>
                  <w:r>
                    <w:rPr>
                      <w:rFonts w:hint="eastAsia"/>
                      <w:lang w:val="en-US" w:eastAsia="zh-CN"/>
                    </w:rPr>
                    <w:t>年平均</w:t>
                  </w:r>
                </w:p>
              </w:tc>
              <w:tc>
                <w:tcPr>
                  <w:tcW w:w="678" w:type="pct"/>
                  <w:tcBorders>
                    <w:tl2br w:val="nil"/>
                    <w:tr2bl w:val="nil"/>
                  </w:tcBorders>
                  <w:noWrap w:val="0"/>
                  <w:vAlign w:val="center"/>
                </w:tcPr>
                <w:p w14:paraId="410D6173">
                  <w:pPr>
                    <w:pStyle w:val="50"/>
                    <w:bidi w:val="0"/>
                    <w:rPr>
                      <w:rFonts w:hint="default"/>
                      <w:lang w:val="en-US" w:eastAsia="zh-CN"/>
                    </w:rPr>
                  </w:pPr>
                  <w:r>
                    <w:rPr>
                      <w:rFonts w:hint="eastAsia"/>
                      <w:lang w:val="en-US" w:eastAsia="zh-CN"/>
                    </w:rPr>
                    <w:t>5</w:t>
                  </w:r>
                </w:p>
              </w:tc>
              <w:tc>
                <w:tcPr>
                  <w:tcW w:w="857" w:type="pct"/>
                  <w:tcBorders>
                    <w:tl2br w:val="nil"/>
                    <w:tr2bl w:val="nil"/>
                  </w:tcBorders>
                  <w:noWrap w:val="0"/>
                  <w:vAlign w:val="center"/>
                </w:tcPr>
                <w:p w14:paraId="1C163FC0">
                  <w:pPr>
                    <w:pStyle w:val="50"/>
                    <w:bidi w:val="0"/>
                  </w:pPr>
                  <w:r>
                    <w:rPr>
                      <w:rFonts w:hint="eastAsia"/>
                    </w:rPr>
                    <w:t>60</w:t>
                  </w:r>
                </w:p>
              </w:tc>
              <w:tc>
                <w:tcPr>
                  <w:tcW w:w="725" w:type="pct"/>
                  <w:tcBorders>
                    <w:tl2br w:val="nil"/>
                    <w:tr2bl w:val="nil"/>
                  </w:tcBorders>
                  <w:noWrap w:val="0"/>
                  <w:vAlign w:val="center"/>
                </w:tcPr>
                <w:p w14:paraId="7866A0CA">
                  <w:pPr>
                    <w:pStyle w:val="50"/>
                    <w:bidi w:val="0"/>
                    <w:rPr>
                      <w:rFonts w:hint="default"/>
                      <w:lang w:val="en-US" w:eastAsia="zh-CN"/>
                    </w:rPr>
                  </w:pPr>
                  <w:r>
                    <w:rPr>
                      <w:rFonts w:hint="eastAsia"/>
                      <w:lang w:val="en-US" w:eastAsia="zh-CN"/>
                    </w:rPr>
                    <w:t>8.3</w:t>
                  </w:r>
                </w:p>
              </w:tc>
              <w:tc>
                <w:tcPr>
                  <w:tcW w:w="708" w:type="pct"/>
                  <w:tcBorders>
                    <w:tl2br w:val="nil"/>
                    <w:tr2bl w:val="nil"/>
                  </w:tcBorders>
                  <w:noWrap w:val="0"/>
                  <w:vAlign w:val="center"/>
                </w:tcPr>
                <w:p w14:paraId="471074F7">
                  <w:pPr>
                    <w:pStyle w:val="50"/>
                    <w:bidi w:val="0"/>
                    <w:rPr>
                      <w:rFonts w:hint="eastAsia"/>
                      <w:lang w:eastAsia="zh-CN"/>
                    </w:rPr>
                  </w:pPr>
                  <w:r>
                    <w:rPr>
                      <w:rFonts w:hint="eastAsia"/>
                      <w:lang w:eastAsia="zh-CN"/>
                    </w:rPr>
                    <w:t>达标</w:t>
                  </w:r>
                </w:p>
              </w:tc>
            </w:tr>
            <w:tr w14:paraId="2ACA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Borders>
                    <w:tl2br w:val="nil"/>
                    <w:tr2bl w:val="nil"/>
                  </w:tcBorders>
                  <w:noWrap w:val="0"/>
                  <w:vAlign w:val="center"/>
                </w:tcPr>
                <w:p w14:paraId="720CCFDD">
                  <w:pPr>
                    <w:pStyle w:val="50"/>
                    <w:bidi w:val="0"/>
                  </w:pPr>
                </w:p>
              </w:tc>
              <w:tc>
                <w:tcPr>
                  <w:tcW w:w="1479" w:type="pct"/>
                  <w:tcBorders>
                    <w:tl2br w:val="nil"/>
                    <w:tr2bl w:val="nil"/>
                  </w:tcBorders>
                  <w:noWrap w:val="0"/>
                  <w:vAlign w:val="center"/>
                </w:tcPr>
                <w:p w14:paraId="0F992E90">
                  <w:pPr>
                    <w:pStyle w:val="50"/>
                    <w:bidi w:val="0"/>
                    <w:rPr>
                      <w:rFonts w:hint="default"/>
                      <w:lang w:val="en-US" w:eastAsia="zh-CN"/>
                    </w:rPr>
                  </w:pPr>
                  <w:r>
                    <w:rPr>
                      <w:rFonts w:hint="eastAsia"/>
                      <w:lang w:val="en-US" w:eastAsia="zh-CN"/>
                    </w:rPr>
                    <w:t>24h平均第98百分位数</w:t>
                  </w:r>
                </w:p>
              </w:tc>
              <w:tc>
                <w:tcPr>
                  <w:tcW w:w="678" w:type="pct"/>
                  <w:tcBorders>
                    <w:tl2br w:val="nil"/>
                    <w:tr2bl w:val="nil"/>
                  </w:tcBorders>
                  <w:noWrap w:val="0"/>
                  <w:vAlign w:val="center"/>
                </w:tcPr>
                <w:p w14:paraId="234F5885">
                  <w:pPr>
                    <w:pStyle w:val="50"/>
                    <w:bidi w:val="0"/>
                    <w:rPr>
                      <w:rFonts w:hint="default"/>
                      <w:lang w:val="en-US" w:eastAsia="zh-CN"/>
                    </w:rPr>
                  </w:pPr>
                  <w:r>
                    <w:rPr>
                      <w:rFonts w:hint="eastAsia"/>
                      <w:lang w:val="en-US" w:eastAsia="zh-CN"/>
                    </w:rPr>
                    <w:t>12</w:t>
                  </w:r>
                </w:p>
              </w:tc>
              <w:tc>
                <w:tcPr>
                  <w:tcW w:w="857" w:type="pct"/>
                  <w:tcBorders>
                    <w:tl2br w:val="nil"/>
                    <w:tr2bl w:val="nil"/>
                  </w:tcBorders>
                  <w:noWrap w:val="0"/>
                  <w:vAlign w:val="center"/>
                </w:tcPr>
                <w:p w14:paraId="6FD1DC2B">
                  <w:pPr>
                    <w:pStyle w:val="50"/>
                    <w:bidi w:val="0"/>
                  </w:pPr>
                  <w:r>
                    <w:rPr>
                      <w:rFonts w:hint="eastAsia"/>
                    </w:rPr>
                    <w:t>150</w:t>
                  </w:r>
                </w:p>
              </w:tc>
              <w:tc>
                <w:tcPr>
                  <w:tcW w:w="725" w:type="pct"/>
                  <w:tcBorders>
                    <w:tl2br w:val="nil"/>
                    <w:tr2bl w:val="nil"/>
                  </w:tcBorders>
                  <w:noWrap w:val="0"/>
                  <w:vAlign w:val="center"/>
                </w:tcPr>
                <w:p w14:paraId="5FB48790">
                  <w:pPr>
                    <w:pStyle w:val="50"/>
                    <w:bidi w:val="0"/>
                    <w:rPr>
                      <w:rFonts w:hint="default"/>
                      <w:lang w:val="en-US" w:eastAsia="zh-CN"/>
                    </w:rPr>
                  </w:pPr>
                  <w:r>
                    <w:rPr>
                      <w:rFonts w:hint="eastAsia"/>
                      <w:lang w:val="en-US" w:eastAsia="zh-CN"/>
                    </w:rPr>
                    <w:t>8</w:t>
                  </w:r>
                </w:p>
              </w:tc>
              <w:tc>
                <w:tcPr>
                  <w:tcW w:w="708" w:type="pct"/>
                  <w:tcBorders>
                    <w:tl2br w:val="nil"/>
                    <w:tr2bl w:val="nil"/>
                  </w:tcBorders>
                  <w:noWrap w:val="0"/>
                  <w:vAlign w:val="center"/>
                </w:tcPr>
                <w:p w14:paraId="2163057E">
                  <w:pPr>
                    <w:pStyle w:val="50"/>
                    <w:bidi w:val="0"/>
                    <w:rPr>
                      <w:rFonts w:hint="eastAsia"/>
                    </w:rPr>
                  </w:pPr>
                  <w:r>
                    <w:rPr>
                      <w:rFonts w:hint="eastAsia"/>
                      <w:lang w:eastAsia="zh-CN"/>
                    </w:rPr>
                    <w:t>达标</w:t>
                  </w:r>
                </w:p>
              </w:tc>
            </w:tr>
            <w:tr w14:paraId="34BB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restart"/>
                  <w:tcBorders>
                    <w:tl2br w:val="nil"/>
                    <w:tr2bl w:val="nil"/>
                  </w:tcBorders>
                  <w:noWrap w:val="0"/>
                  <w:vAlign w:val="center"/>
                </w:tcPr>
                <w:p w14:paraId="12F8E457">
                  <w:pPr>
                    <w:pStyle w:val="50"/>
                    <w:bidi w:val="0"/>
                  </w:pPr>
                  <w:r>
                    <w:rPr>
                      <w:rFonts w:hint="eastAsia"/>
                    </w:rPr>
                    <w:t>NO</w:t>
                  </w:r>
                  <w:r>
                    <w:rPr>
                      <w:rFonts w:hint="eastAsia"/>
                      <w:vertAlign w:val="subscript"/>
                    </w:rPr>
                    <w:t>2</w:t>
                  </w:r>
                </w:p>
              </w:tc>
              <w:tc>
                <w:tcPr>
                  <w:tcW w:w="1479" w:type="pct"/>
                  <w:tcBorders>
                    <w:tl2br w:val="nil"/>
                    <w:tr2bl w:val="nil"/>
                  </w:tcBorders>
                  <w:noWrap w:val="0"/>
                  <w:vAlign w:val="center"/>
                </w:tcPr>
                <w:p w14:paraId="69BD7607">
                  <w:pPr>
                    <w:pStyle w:val="50"/>
                    <w:bidi w:val="0"/>
                    <w:rPr>
                      <w:rFonts w:hint="default"/>
                      <w:lang w:val="en-US" w:eastAsia="zh-CN"/>
                    </w:rPr>
                  </w:pPr>
                  <w:r>
                    <w:rPr>
                      <w:rFonts w:hint="eastAsia"/>
                      <w:lang w:val="en-US" w:eastAsia="zh-CN"/>
                    </w:rPr>
                    <w:t>年平均</w:t>
                  </w:r>
                </w:p>
              </w:tc>
              <w:tc>
                <w:tcPr>
                  <w:tcW w:w="678" w:type="pct"/>
                  <w:tcBorders>
                    <w:tl2br w:val="nil"/>
                    <w:tr2bl w:val="nil"/>
                  </w:tcBorders>
                  <w:noWrap w:val="0"/>
                  <w:vAlign w:val="center"/>
                </w:tcPr>
                <w:p w14:paraId="73123972">
                  <w:pPr>
                    <w:pStyle w:val="50"/>
                    <w:bidi w:val="0"/>
                    <w:rPr>
                      <w:rFonts w:hint="default"/>
                      <w:lang w:val="en-US" w:eastAsia="zh-CN"/>
                    </w:rPr>
                  </w:pPr>
                  <w:r>
                    <w:rPr>
                      <w:rFonts w:hint="eastAsia"/>
                      <w:lang w:val="en-US" w:eastAsia="zh-CN"/>
                    </w:rPr>
                    <w:t>29</w:t>
                  </w:r>
                </w:p>
              </w:tc>
              <w:tc>
                <w:tcPr>
                  <w:tcW w:w="857" w:type="pct"/>
                  <w:tcBorders>
                    <w:tl2br w:val="nil"/>
                    <w:tr2bl w:val="nil"/>
                  </w:tcBorders>
                  <w:noWrap w:val="0"/>
                  <w:vAlign w:val="center"/>
                </w:tcPr>
                <w:p w14:paraId="561EEE0D">
                  <w:pPr>
                    <w:pStyle w:val="50"/>
                    <w:bidi w:val="0"/>
                  </w:pPr>
                  <w:r>
                    <w:rPr>
                      <w:rFonts w:hint="eastAsia"/>
                    </w:rPr>
                    <w:t>40</w:t>
                  </w:r>
                </w:p>
              </w:tc>
              <w:tc>
                <w:tcPr>
                  <w:tcW w:w="725" w:type="pct"/>
                  <w:tcBorders>
                    <w:tl2br w:val="nil"/>
                    <w:tr2bl w:val="nil"/>
                  </w:tcBorders>
                  <w:noWrap w:val="0"/>
                  <w:vAlign w:val="center"/>
                </w:tcPr>
                <w:p w14:paraId="0137CAD0">
                  <w:pPr>
                    <w:pStyle w:val="50"/>
                    <w:bidi w:val="0"/>
                    <w:rPr>
                      <w:rFonts w:hint="default"/>
                      <w:lang w:val="en-US" w:eastAsia="zh-CN"/>
                    </w:rPr>
                  </w:pPr>
                  <w:r>
                    <w:rPr>
                      <w:rFonts w:hint="eastAsia"/>
                      <w:lang w:val="en-US" w:eastAsia="zh-CN"/>
                    </w:rPr>
                    <w:t>72.5</w:t>
                  </w:r>
                </w:p>
              </w:tc>
              <w:tc>
                <w:tcPr>
                  <w:tcW w:w="708" w:type="pct"/>
                  <w:tcBorders>
                    <w:tl2br w:val="nil"/>
                    <w:tr2bl w:val="nil"/>
                  </w:tcBorders>
                  <w:noWrap w:val="0"/>
                  <w:vAlign w:val="center"/>
                </w:tcPr>
                <w:p w14:paraId="15E2AA85">
                  <w:pPr>
                    <w:pStyle w:val="50"/>
                    <w:bidi w:val="0"/>
                    <w:rPr>
                      <w:rFonts w:hint="eastAsia"/>
                    </w:rPr>
                  </w:pPr>
                  <w:r>
                    <w:rPr>
                      <w:rFonts w:hint="eastAsia"/>
                      <w:lang w:eastAsia="zh-CN"/>
                    </w:rPr>
                    <w:t>达标</w:t>
                  </w:r>
                </w:p>
              </w:tc>
            </w:tr>
            <w:tr w14:paraId="4BAE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Borders>
                    <w:tl2br w:val="nil"/>
                    <w:tr2bl w:val="nil"/>
                  </w:tcBorders>
                  <w:noWrap w:val="0"/>
                  <w:vAlign w:val="center"/>
                </w:tcPr>
                <w:p w14:paraId="340670B6">
                  <w:pPr>
                    <w:pStyle w:val="50"/>
                    <w:bidi w:val="0"/>
                  </w:pPr>
                </w:p>
              </w:tc>
              <w:tc>
                <w:tcPr>
                  <w:tcW w:w="1479" w:type="pct"/>
                  <w:tcBorders>
                    <w:tl2br w:val="nil"/>
                    <w:tr2bl w:val="nil"/>
                  </w:tcBorders>
                  <w:noWrap w:val="0"/>
                  <w:vAlign w:val="center"/>
                </w:tcPr>
                <w:p w14:paraId="591DB364">
                  <w:pPr>
                    <w:pStyle w:val="50"/>
                    <w:bidi w:val="0"/>
                    <w:rPr>
                      <w:rFonts w:hint="default"/>
                      <w:lang w:val="en-US" w:eastAsia="zh-CN"/>
                    </w:rPr>
                  </w:pPr>
                  <w:r>
                    <w:rPr>
                      <w:rFonts w:hint="eastAsia"/>
                      <w:lang w:val="en-US" w:eastAsia="zh-CN"/>
                    </w:rPr>
                    <w:t>24h平均第98百分位数</w:t>
                  </w:r>
                </w:p>
              </w:tc>
              <w:tc>
                <w:tcPr>
                  <w:tcW w:w="678" w:type="pct"/>
                  <w:tcBorders>
                    <w:tl2br w:val="nil"/>
                    <w:tr2bl w:val="nil"/>
                  </w:tcBorders>
                  <w:noWrap w:val="0"/>
                  <w:vAlign w:val="center"/>
                </w:tcPr>
                <w:p w14:paraId="07826B83">
                  <w:pPr>
                    <w:pStyle w:val="50"/>
                    <w:bidi w:val="0"/>
                    <w:rPr>
                      <w:rFonts w:hint="default"/>
                      <w:lang w:val="en-US" w:eastAsia="zh-CN"/>
                    </w:rPr>
                  </w:pPr>
                  <w:r>
                    <w:rPr>
                      <w:rFonts w:hint="eastAsia"/>
                      <w:lang w:val="en-US" w:eastAsia="zh-CN"/>
                    </w:rPr>
                    <w:t>60</w:t>
                  </w:r>
                </w:p>
              </w:tc>
              <w:tc>
                <w:tcPr>
                  <w:tcW w:w="857" w:type="pct"/>
                  <w:tcBorders>
                    <w:tl2br w:val="nil"/>
                    <w:tr2bl w:val="nil"/>
                  </w:tcBorders>
                  <w:noWrap w:val="0"/>
                  <w:vAlign w:val="center"/>
                </w:tcPr>
                <w:p w14:paraId="422E2165">
                  <w:pPr>
                    <w:pStyle w:val="50"/>
                    <w:bidi w:val="0"/>
                  </w:pPr>
                  <w:r>
                    <w:rPr>
                      <w:rFonts w:hint="eastAsia"/>
                    </w:rPr>
                    <w:t>80</w:t>
                  </w:r>
                </w:p>
              </w:tc>
              <w:tc>
                <w:tcPr>
                  <w:tcW w:w="725" w:type="pct"/>
                  <w:tcBorders>
                    <w:tl2br w:val="nil"/>
                    <w:tr2bl w:val="nil"/>
                  </w:tcBorders>
                  <w:noWrap w:val="0"/>
                  <w:vAlign w:val="center"/>
                </w:tcPr>
                <w:p w14:paraId="1F62A51B">
                  <w:pPr>
                    <w:pStyle w:val="50"/>
                    <w:bidi w:val="0"/>
                    <w:rPr>
                      <w:rFonts w:hint="default"/>
                      <w:lang w:val="en-US" w:eastAsia="zh-CN"/>
                    </w:rPr>
                  </w:pPr>
                  <w:r>
                    <w:rPr>
                      <w:rFonts w:hint="eastAsia"/>
                      <w:lang w:val="en-US" w:eastAsia="zh-CN"/>
                    </w:rPr>
                    <w:t>75</w:t>
                  </w:r>
                </w:p>
              </w:tc>
              <w:tc>
                <w:tcPr>
                  <w:tcW w:w="708" w:type="pct"/>
                  <w:tcBorders>
                    <w:tl2br w:val="nil"/>
                    <w:tr2bl w:val="nil"/>
                  </w:tcBorders>
                  <w:noWrap w:val="0"/>
                  <w:vAlign w:val="center"/>
                </w:tcPr>
                <w:p w14:paraId="30F0E099">
                  <w:pPr>
                    <w:pStyle w:val="50"/>
                    <w:bidi w:val="0"/>
                    <w:rPr>
                      <w:rFonts w:hint="eastAsia"/>
                    </w:rPr>
                  </w:pPr>
                  <w:r>
                    <w:rPr>
                      <w:rFonts w:hint="eastAsia"/>
                      <w:lang w:eastAsia="zh-CN"/>
                    </w:rPr>
                    <w:t>达标</w:t>
                  </w:r>
                </w:p>
              </w:tc>
            </w:tr>
            <w:tr w14:paraId="77E1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noWrap w:val="0"/>
                  <w:vAlign w:val="center"/>
                </w:tcPr>
                <w:p w14:paraId="3D40B4BD">
                  <w:pPr>
                    <w:pStyle w:val="50"/>
                    <w:bidi w:val="0"/>
                  </w:pPr>
                  <w:r>
                    <w:rPr>
                      <w:rFonts w:hint="eastAsia"/>
                    </w:rPr>
                    <w:t>CO</w:t>
                  </w:r>
                </w:p>
              </w:tc>
              <w:tc>
                <w:tcPr>
                  <w:tcW w:w="1479" w:type="pct"/>
                  <w:tcBorders>
                    <w:tl2br w:val="nil"/>
                    <w:tr2bl w:val="nil"/>
                  </w:tcBorders>
                  <w:noWrap w:val="0"/>
                  <w:vAlign w:val="center"/>
                </w:tcPr>
                <w:p w14:paraId="105C787F">
                  <w:pPr>
                    <w:pStyle w:val="50"/>
                    <w:bidi w:val="0"/>
                    <w:rPr>
                      <w:rFonts w:hint="default"/>
                      <w:lang w:val="en-US" w:eastAsia="zh-CN"/>
                    </w:rPr>
                  </w:pPr>
                  <w:r>
                    <w:rPr>
                      <w:rFonts w:hint="eastAsia"/>
                      <w:lang w:val="en-US" w:eastAsia="zh-CN"/>
                    </w:rPr>
                    <w:t>24h平均第95百分位数</w:t>
                  </w:r>
                </w:p>
              </w:tc>
              <w:tc>
                <w:tcPr>
                  <w:tcW w:w="678" w:type="pct"/>
                  <w:tcBorders>
                    <w:tl2br w:val="nil"/>
                    <w:tr2bl w:val="nil"/>
                  </w:tcBorders>
                  <w:noWrap w:val="0"/>
                  <w:vAlign w:val="center"/>
                </w:tcPr>
                <w:p w14:paraId="252F000D">
                  <w:pPr>
                    <w:pStyle w:val="50"/>
                    <w:bidi w:val="0"/>
                    <w:rPr>
                      <w:rFonts w:hint="default"/>
                      <w:lang w:val="en-US" w:eastAsia="zh-CN"/>
                    </w:rPr>
                  </w:pPr>
                  <w:r>
                    <w:rPr>
                      <w:rFonts w:hint="eastAsia"/>
                      <w:lang w:val="en-US" w:eastAsia="zh-CN"/>
                    </w:rPr>
                    <w:t>1000</w:t>
                  </w:r>
                </w:p>
              </w:tc>
              <w:tc>
                <w:tcPr>
                  <w:tcW w:w="857" w:type="pct"/>
                  <w:tcBorders>
                    <w:tl2br w:val="nil"/>
                    <w:tr2bl w:val="nil"/>
                  </w:tcBorders>
                  <w:noWrap w:val="0"/>
                  <w:vAlign w:val="center"/>
                </w:tcPr>
                <w:p w14:paraId="1405C9DF">
                  <w:pPr>
                    <w:pStyle w:val="50"/>
                    <w:bidi w:val="0"/>
                    <w:rPr>
                      <w:rFonts w:hint="default" w:eastAsiaTheme="minorEastAsia"/>
                      <w:lang w:val="en-US" w:eastAsia="zh-CN"/>
                    </w:rPr>
                  </w:pPr>
                  <w:r>
                    <w:rPr>
                      <w:rFonts w:hint="eastAsia"/>
                    </w:rPr>
                    <w:t>4</w:t>
                  </w:r>
                  <w:r>
                    <w:rPr>
                      <w:rFonts w:hint="eastAsia"/>
                      <w:lang w:val="en-US" w:eastAsia="zh-CN"/>
                    </w:rPr>
                    <w:t>000</w:t>
                  </w:r>
                </w:p>
              </w:tc>
              <w:tc>
                <w:tcPr>
                  <w:tcW w:w="725" w:type="pct"/>
                  <w:tcBorders>
                    <w:tl2br w:val="nil"/>
                    <w:tr2bl w:val="nil"/>
                  </w:tcBorders>
                  <w:noWrap w:val="0"/>
                  <w:vAlign w:val="center"/>
                </w:tcPr>
                <w:p w14:paraId="12A1601B">
                  <w:pPr>
                    <w:pStyle w:val="50"/>
                    <w:bidi w:val="0"/>
                    <w:rPr>
                      <w:rFonts w:hint="default"/>
                      <w:lang w:val="en-US" w:eastAsia="zh-CN"/>
                    </w:rPr>
                  </w:pPr>
                  <w:r>
                    <w:rPr>
                      <w:rFonts w:hint="eastAsia"/>
                      <w:lang w:val="en-US" w:eastAsia="zh-CN"/>
                    </w:rPr>
                    <w:t>25</w:t>
                  </w:r>
                </w:p>
              </w:tc>
              <w:tc>
                <w:tcPr>
                  <w:tcW w:w="708" w:type="pct"/>
                  <w:tcBorders>
                    <w:tl2br w:val="nil"/>
                    <w:tr2bl w:val="nil"/>
                  </w:tcBorders>
                  <w:noWrap w:val="0"/>
                  <w:vAlign w:val="center"/>
                </w:tcPr>
                <w:p w14:paraId="419F0BCF">
                  <w:pPr>
                    <w:pStyle w:val="50"/>
                    <w:bidi w:val="0"/>
                    <w:rPr>
                      <w:rFonts w:hint="eastAsia"/>
                    </w:rPr>
                  </w:pPr>
                  <w:r>
                    <w:rPr>
                      <w:rFonts w:hint="eastAsia"/>
                      <w:lang w:eastAsia="zh-CN"/>
                    </w:rPr>
                    <w:t>达标</w:t>
                  </w:r>
                </w:p>
              </w:tc>
            </w:tr>
            <w:tr w14:paraId="07D4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noWrap w:val="0"/>
                  <w:vAlign w:val="center"/>
                </w:tcPr>
                <w:p w14:paraId="6DCB79D0">
                  <w:pPr>
                    <w:pStyle w:val="50"/>
                    <w:bidi w:val="0"/>
                  </w:pPr>
                  <w:r>
                    <w:rPr>
                      <w:rFonts w:hint="eastAsia"/>
                    </w:rPr>
                    <w:t>O</w:t>
                  </w:r>
                  <w:r>
                    <w:rPr>
                      <w:rFonts w:hint="eastAsia"/>
                      <w:vertAlign w:val="subscript"/>
                    </w:rPr>
                    <w:t>3</w:t>
                  </w:r>
                </w:p>
              </w:tc>
              <w:tc>
                <w:tcPr>
                  <w:tcW w:w="1479" w:type="pct"/>
                  <w:tcBorders>
                    <w:tl2br w:val="nil"/>
                    <w:tr2bl w:val="nil"/>
                  </w:tcBorders>
                  <w:noWrap w:val="0"/>
                  <w:vAlign w:val="center"/>
                </w:tcPr>
                <w:p w14:paraId="44F8B9F3">
                  <w:pPr>
                    <w:pStyle w:val="50"/>
                    <w:bidi w:val="0"/>
                    <w:rPr>
                      <w:rFonts w:hint="default"/>
                      <w:lang w:val="en-US" w:eastAsia="zh-CN"/>
                    </w:rPr>
                  </w:pPr>
                  <w:r>
                    <w:rPr>
                      <w:rFonts w:hint="default"/>
                      <w:lang w:val="en-US" w:eastAsia="zh-CN"/>
                    </w:rPr>
                    <w:t>最大8小时滑动平均值的第90百分位数</w:t>
                  </w:r>
                </w:p>
              </w:tc>
              <w:tc>
                <w:tcPr>
                  <w:tcW w:w="678" w:type="pct"/>
                  <w:tcBorders>
                    <w:tl2br w:val="nil"/>
                    <w:tr2bl w:val="nil"/>
                  </w:tcBorders>
                  <w:noWrap w:val="0"/>
                  <w:vAlign w:val="center"/>
                </w:tcPr>
                <w:p w14:paraId="759015EF">
                  <w:pPr>
                    <w:pStyle w:val="50"/>
                    <w:bidi w:val="0"/>
                    <w:rPr>
                      <w:rFonts w:hint="default"/>
                      <w:lang w:val="en-US" w:eastAsia="zh-CN"/>
                    </w:rPr>
                  </w:pPr>
                  <w:r>
                    <w:rPr>
                      <w:rFonts w:hint="eastAsia"/>
                      <w:lang w:val="en-US" w:eastAsia="zh-CN"/>
                    </w:rPr>
                    <w:t>127</w:t>
                  </w:r>
                </w:p>
              </w:tc>
              <w:tc>
                <w:tcPr>
                  <w:tcW w:w="857" w:type="pct"/>
                  <w:tcBorders>
                    <w:tl2br w:val="nil"/>
                    <w:tr2bl w:val="nil"/>
                  </w:tcBorders>
                  <w:noWrap w:val="0"/>
                  <w:vAlign w:val="center"/>
                </w:tcPr>
                <w:p w14:paraId="2987DF07">
                  <w:pPr>
                    <w:pStyle w:val="50"/>
                    <w:bidi w:val="0"/>
                  </w:pPr>
                  <w:r>
                    <w:rPr>
                      <w:rFonts w:hint="eastAsia"/>
                    </w:rPr>
                    <w:t>160</w:t>
                  </w:r>
                </w:p>
              </w:tc>
              <w:tc>
                <w:tcPr>
                  <w:tcW w:w="725" w:type="pct"/>
                  <w:tcBorders>
                    <w:tl2br w:val="nil"/>
                    <w:tr2bl w:val="nil"/>
                  </w:tcBorders>
                  <w:noWrap w:val="0"/>
                  <w:vAlign w:val="center"/>
                </w:tcPr>
                <w:p w14:paraId="736B80CC">
                  <w:pPr>
                    <w:pStyle w:val="50"/>
                    <w:bidi w:val="0"/>
                    <w:rPr>
                      <w:rFonts w:hint="default"/>
                      <w:lang w:val="en-US" w:eastAsia="zh-CN"/>
                    </w:rPr>
                  </w:pPr>
                  <w:r>
                    <w:rPr>
                      <w:rFonts w:hint="eastAsia"/>
                      <w:lang w:val="en-US" w:eastAsia="zh-CN"/>
                    </w:rPr>
                    <w:t>79.4</w:t>
                  </w:r>
                </w:p>
              </w:tc>
              <w:tc>
                <w:tcPr>
                  <w:tcW w:w="708" w:type="pct"/>
                  <w:tcBorders>
                    <w:tl2br w:val="nil"/>
                    <w:tr2bl w:val="nil"/>
                  </w:tcBorders>
                  <w:noWrap w:val="0"/>
                  <w:vAlign w:val="center"/>
                </w:tcPr>
                <w:p w14:paraId="7E9729EE">
                  <w:pPr>
                    <w:pStyle w:val="50"/>
                    <w:bidi w:val="0"/>
                    <w:rPr>
                      <w:rFonts w:hint="eastAsia"/>
                    </w:rPr>
                  </w:pPr>
                  <w:r>
                    <w:rPr>
                      <w:rFonts w:hint="eastAsia"/>
                      <w:lang w:eastAsia="zh-CN"/>
                    </w:rPr>
                    <w:t>达标</w:t>
                  </w:r>
                </w:p>
              </w:tc>
            </w:tr>
            <w:tr w14:paraId="74FA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49" w:type="pct"/>
                  <w:vMerge w:val="restart"/>
                  <w:tcBorders>
                    <w:tl2br w:val="nil"/>
                    <w:tr2bl w:val="nil"/>
                  </w:tcBorders>
                  <w:noWrap w:val="0"/>
                  <w:vAlign w:val="center"/>
                </w:tcPr>
                <w:p w14:paraId="1069006B">
                  <w:pPr>
                    <w:pStyle w:val="50"/>
                    <w:bidi w:val="0"/>
                  </w:pPr>
                  <w:r>
                    <w:rPr>
                      <w:rFonts w:hint="eastAsia"/>
                    </w:rPr>
                    <w:t>PM</w:t>
                  </w:r>
                  <w:r>
                    <w:rPr>
                      <w:rFonts w:hint="eastAsia"/>
                      <w:vertAlign w:val="subscript"/>
                    </w:rPr>
                    <w:t>10</w:t>
                  </w:r>
                </w:p>
              </w:tc>
              <w:tc>
                <w:tcPr>
                  <w:tcW w:w="1479" w:type="pct"/>
                  <w:tcBorders>
                    <w:tl2br w:val="nil"/>
                    <w:tr2bl w:val="nil"/>
                  </w:tcBorders>
                  <w:noWrap w:val="0"/>
                  <w:vAlign w:val="center"/>
                </w:tcPr>
                <w:p w14:paraId="07F475F6">
                  <w:pPr>
                    <w:pStyle w:val="50"/>
                    <w:bidi w:val="0"/>
                    <w:rPr>
                      <w:rFonts w:hint="default"/>
                      <w:lang w:val="en-US" w:eastAsia="zh-CN"/>
                    </w:rPr>
                  </w:pPr>
                  <w:r>
                    <w:rPr>
                      <w:rFonts w:hint="eastAsia"/>
                      <w:lang w:val="en-US" w:eastAsia="zh-CN"/>
                    </w:rPr>
                    <w:t>年平均</w:t>
                  </w:r>
                </w:p>
              </w:tc>
              <w:tc>
                <w:tcPr>
                  <w:tcW w:w="678" w:type="pct"/>
                  <w:tcBorders>
                    <w:tl2br w:val="nil"/>
                    <w:tr2bl w:val="nil"/>
                  </w:tcBorders>
                  <w:noWrap w:val="0"/>
                  <w:vAlign w:val="center"/>
                </w:tcPr>
                <w:p w14:paraId="2D180EE8">
                  <w:pPr>
                    <w:pStyle w:val="50"/>
                    <w:bidi w:val="0"/>
                    <w:rPr>
                      <w:rFonts w:hint="default"/>
                      <w:lang w:val="en-US" w:eastAsia="zh-CN"/>
                    </w:rPr>
                  </w:pPr>
                  <w:r>
                    <w:rPr>
                      <w:rFonts w:hint="eastAsia"/>
                      <w:lang w:val="en-US" w:eastAsia="zh-CN"/>
                    </w:rPr>
                    <w:t>147</w:t>
                  </w:r>
                </w:p>
              </w:tc>
              <w:tc>
                <w:tcPr>
                  <w:tcW w:w="857" w:type="pct"/>
                  <w:tcBorders>
                    <w:tl2br w:val="nil"/>
                    <w:tr2bl w:val="nil"/>
                  </w:tcBorders>
                  <w:noWrap w:val="0"/>
                  <w:vAlign w:val="center"/>
                </w:tcPr>
                <w:p w14:paraId="2024FAC4">
                  <w:pPr>
                    <w:pStyle w:val="50"/>
                    <w:bidi w:val="0"/>
                  </w:pPr>
                  <w:r>
                    <w:rPr>
                      <w:rFonts w:hint="eastAsia"/>
                    </w:rPr>
                    <w:t>70</w:t>
                  </w:r>
                </w:p>
              </w:tc>
              <w:tc>
                <w:tcPr>
                  <w:tcW w:w="725" w:type="pct"/>
                  <w:tcBorders>
                    <w:tl2br w:val="nil"/>
                    <w:tr2bl w:val="nil"/>
                  </w:tcBorders>
                  <w:noWrap w:val="0"/>
                  <w:vAlign w:val="center"/>
                </w:tcPr>
                <w:p w14:paraId="76494337">
                  <w:pPr>
                    <w:pStyle w:val="50"/>
                    <w:bidi w:val="0"/>
                    <w:rPr>
                      <w:rFonts w:hint="default"/>
                      <w:lang w:val="en-US" w:eastAsia="zh-CN"/>
                    </w:rPr>
                  </w:pPr>
                  <w:r>
                    <w:rPr>
                      <w:rFonts w:hint="eastAsia"/>
                      <w:lang w:val="en-US" w:eastAsia="zh-CN"/>
                    </w:rPr>
                    <w:t>210</w:t>
                  </w:r>
                </w:p>
              </w:tc>
              <w:tc>
                <w:tcPr>
                  <w:tcW w:w="708" w:type="pct"/>
                  <w:tcBorders>
                    <w:tl2br w:val="nil"/>
                    <w:tr2bl w:val="nil"/>
                  </w:tcBorders>
                  <w:noWrap w:val="0"/>
                  <w:vAlign w:val="center"/>
                </w:tcPr>
                <w:p w14:paraId="5FC6E7F4">
                  <w:pPr>
                    <w:pStyle w:val="50"/>
                    <w:bidi w:val="0"/>
                    <w:rPr>
                      <w:rFonts w:hint="eastAsia"/>
                    </w:rPr>
                  </w:pPr>
                  <w:r>
                    <w:rPr>
                      <w:rFonts w:hint="eastAsia"/>
                      <w:lang w:eastAsia="zh-CN"/>
                    </w:rPr>
                    <w:t>不达标</w:t>
                  </w:r>
                </w:p>
              </w:tc>
            </w:tr>
            <w:tr w14:paraId="443F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Borders>
                    <w:tl2br w:val="nil"/>
                    <w:tr2bl w:val="nil"/>
                  </w:tcBorders>
                  <w:noWrap w:val="0"/>
                  <w:vAlign w:val="center"/>
                </w:tcPr>
                <w:p w14:paraId="724DFE31">
                  <w:pPr>
                    <w:pStyle w:val="50"/>
                    <w:bidi w:val="0"/>
                  </w:pPr>
                </w:p>
              </w:tc>
              <w:tc>
                <w:tcPr>
                  <w:tcW w:w="1479" w:type="pct"/>
                  <w:tcBorders>
                    <w:tl2br w:val="nil"/>
                    <w:tr2bl w:val="nil"/>
                  </w:tcBorders>
                  <w:noWrap w:val="0"/>
                  <w:vAlign w:val="center"/>
                </w:tcPr>
                <w:p w14:paraId="073217C4">
                  <w:pPr>
                    <w:pStyle w:val="50"/>
                    <w:bidi w:val="0"/>
                    <w:rPr>
                      <w:rFonts w:hint="default"/>
                      <w:lang w:val="en-US" w:eastAsia="zh-CN"/>
                    </w:rPr>
                  </w:pPr>
                  <w:r>
                    <w:rPr>
                      <w:rFonts w:hint="eastAsia"/>
                      <w:lang w:val="en-US" w:eastAsia="zh-CN"/>
                    </w:rPr>
                    <w:t>24h平均第95百分位数</w:t>
                  </w:r>
                </w:p>
              </w:tc>
              <w:tc>
                <w:tcPr>
                  <w:tcW w:w="678" w:type="pct"/>
                  <w:tcBorders>
                    <w:tl2br w:val="nil"/>
                    <w:tr2bl w:val="nil"/>
                  </w:tcBorders>
                  <w:noWrap w:val="0"/>
                  <w:vAlign w:val="center"/>
                </w:tcPr>
                <w:p w14:paraId="6FCB2630">
                  <w:pPr>
                    <w:pStyle w:val="50"/>
                    <w:bidi w:val="0"/>
                    <w:rPr>
                      <w:rFonts w:hint="default"/>
                      <w:lang w:val="en-US" w:eastAsia="zh-CN"/>
                    </w:rPr>
                  </w:pPr>
                  <w:r>
                    <w:rPr>
                      <w:rFonts w:hint="eastAsia"/>
                      <w:lang w:val="en-US" w:eastAsia="zh-CN"/>
                    </w:rPr>
                    <w:t>402</w:t>
                  </w:r>
                </w:p>
              </w:tc>
              <w:tc>
                <w:tcPr>
                  <w:tcW w:w="857" w:type="pct"/>
                  <w:tcBorders>
                    <w:tl2br w:val="nil"/>
                    <w:tr2bl w:val="nil"/>
                  </w:tcBorders>
                  <w:noWrap w:val="0"/>
                  <w:vAlign w:val="center"/>
                </w:tcPr>
                <w:p w14:paraId="3130CE2B">
                  <w:pPr>
                    <w:pStyle w:val="50"/>
                    <w:bidi w:val="0"/>
                  </w:pPr>
                  <w:r>
                    <w:rPr>
                      <w:rFonts w:hint="eastAsia"/>
                    </w:rPr>
                    <w:t>150</w:t>
                  </w:r>
                </w:p>
              </w:tc>
              <w:tc>
                <w:tcPr>
                  <w:tcW w:w="725" w:type="pct"/>
                  <w:tcBorders>
                    <w:tl2br w:val="nil"/>
                    <w:tr2bl w:val="nil"/>
                  </w:tcBorders>
                  <w:noWrap w:val="0"/>
                  <w:vAlign w:val="center"/>
                </w:tcPr>
                <w:p w14:paraId="3BF4BCCE">
                  <w:pPr>
                    <w:pStyle w:val="50"/>
                    <w:bidi w:val="0"/>
                    <w:rPr>
                      <w:rFonts w:hint="default"/>
                      <w:lang w:val="en-US" w:eastAsia="zh-CN"/>
                    </w:rPr>
                  </w:pPr>
                  <w:r>
                    <w:rPr>
                      <w:rFonts w:hint="eastAsia"/>
                      <w:lang w:val="en-US" w:eastAsia="zh-CN"/>
                    </w:rPr>
                    <w:t>268</w:t>
                  </w:r>
                </w:p>
              </w:tc>
              <w:tc>
                <w:tcPr>
                  <w:tcW w:w="708" w:type="pct"/>
                  <w:tcBorders>
                    <w:tl2br w:val="nil"/>
                    <w:tr2bl w:val="nil"/>
                  </w:tcBorders>
                  <w:noWrap w:val="0"/>
                  <w:vAlign w:val="center"/>
                </w:tcPr>
                <w:p w14:paraId="35923824">
                  <w:pPr>
                    <w:pStyle w:val="50"/>
                    <w:bidi w:val="0"/>
                    <w:rPr>
                      <w:rFonts w:hint="eastAsia"/>
                    </w:rPr>
                  </w:pPr>
                  <w:r>
                    <w:rPr>
                      <w:rFonts w:hint="eastAsia"/>
                      <w:lang w:eastAsia="zh-CN"/>
                    </w:rPr>
                    <w:t>不达标</w:t>
                  </w:r>
                </w:p>
              </w:tc>
            </w:tr>
            <w:tr w14:paraId="56AE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restart"/>
                  <w:tcBorders>
                    <w:tl2br w:val="nil"/>
                    <w:tr2bl w:val="nil"/>
                  </w:tcBorders>
                  <w:noWrap w:val="0"/>
                  <w:vAlign w:val="center"/>
                </w:tcPr>
                <w:p w14:paraId="55E84F9C">
                  <w:pPr>
                    <w:pStyle w:val="50"/>
                    <w:bidi w:val="0"/>
                  </w:pPr>
                  <w:r>
                    <w:rPr>
                      <w:rFonts w:hint="eastAsia"/>
                    </w:rPr>
                    <w:t>PM</w:t>
                  </w:r>
                  <w:r>
                    <w:rPr>
                      <w:rFonts w:hint="eastAsia"/>
                      <w:vertAlign w:val="subscript"/>
                    </w:rPr>
                    <w:t>2.5</w:t>
                  </w:r>
                </w:p>
              </w:tc>
              <w:tc>
                <w:tcPr>
                  <w:tcW w:w="1479" w:type="pct"/>
                  <w:tcBorders>
                    <w:tl2br w:val="nil"/>
                    <w:tr2bl w:val="nil"/>
                  </w:tcBorders>
                  <w:noWrap w:val="0"/>
                  <w:vAlign w:val="center"/>
                </w:tcPr>
                <w:p w14:paraId="43888540">
                  <w:pPr>
                    <w:pStyle w:val="50"/>
                    <w:bidi w:val="0"/>
                    <w:rPr>
                      <w:rFonts w:hint="default"/>
                      <w:lang w:val="en-US" w:eastAsia="zh-CN"/>
                    </w:rPr>
                  </w:pPr>
                  <w:r>
                    <w:rPr>
                      <w:rFonts w:hint="eastAsia"/>
                      <w:lang w:val="en-US" w:eastAsia="zh-CN"/>
                    </w:rPr>
                    <w:t>年平均</w:t>
                  </w:r>
                </w:p>
              </w:tc>
              <w:tc>
                <w:tcPr>
                  <w:tcW w:w="678" w:type="pct"/>
                  <w:tcBorders>
                    <w:tl2br w:val="nil"/>
                    <w:tr2bl w:val="nil"/>
                  </w:tcBorders>
                  <w:noWrap w:val="0"/>
                  <w:vAlign w:val="center"/>
                </w:tcPr>
                <w:p w14:paraId="4E610178">
                  <w:pPr>
                    <w:pStyle w:val="50"/>
                    <w:bidi w:val="0"/>
                    <w:rPr>
                      <w:rFonts w:hint="default"/>
                      <w:lang w:val="en-US" w:eastAsia="zh-CN"/>
                    </w:rPr>
                  </w:pPr>
                  <w:r>
                    <w:rPr>
                      <w:rFonts w:hint="eastAsia"/>
                      <w:lang w:val="en-US" w:eastAsia="zh-CN"/>
                    </w:rPr>
                    <w:t>39</w:t>
                  </w:r>
                </w:p>
              </w:tc>
              <w:tc>
                <w:tcPr>
                  <w:tcW w:w="857" w:type="pct"/>
                  <w:tcBorders>
                    <w:tl2br w:val="nil"/>
                    <w:tr2bl w:val="nil"/>
                  </w:tcBorders>
                  <w:noWrap w:val="0"/>
                  <w:vAlign w:val="center"/>
                </w:tcPr>
                <w:p w14:paraId="5CEF8DAB">
                  <w:pPr>
                    <w:pStyle w:val="50"/>
                    <w:bidi w:val="0"/>
                  </w:pPr>
                  <w:r>
                    <w:rPr>
                      <w:rFonts w:hint="eastAsia"/>
                    </w:rPr>
                    <w:t>35</w:t>
                  </w:r>
                </w:p>
              </w:tc>
              <w:tc>
                <w:tcPr>
                  <w:tcW w:w="725" w:type="pct"/>
                  <w:tcBorders>
                    <w:tl2br w:val="nil"/>
                    <w:tr2bl w:val="nil"/>
                  </w:tcBorders>
                  <w:noWrap w:val="0"/>
                  <w:vAlign w:val="center"/>
                </w:tcPr>
                <w:p w14:paraId="42914708">
                  <w:pPr>
                    <w:pStyle w:val="50"/>
                    <w:bidi w:val="0"/>
                    <w:rPr>
                      <w:rFonts w:hint="default"/>
                      <w:lang w:val="en-US" w:eastAsia="zh-CN"/>
                    </w:rPr>
                  </w:pPr>
                  <w:r>
                    <w:rPr>
                      <w:rFonts w:hint="eastAsia"/>
                      <w:lang w:val="en-US" w:eastAsia="zh-CN"/>
                    </w:rPr>
                    <w:t>111.4</w:t>
                  </w:r>
                </w:p>
              </w:tc>
              <w:tc>
                <w:tcPr>
                  <w:tcW w:w="708" w:type="pct"/>
                  <w:tcBorders>
                    <w:tl2br w:val="nil"/>
                    <w:tr2bl w:val="nil"/>
                  </w:tcBorders>
                  <w:noWrap w:val="0"/>
                  <w:vAlign w:val="center"/>
                </w:tcPr>
                <w:p w14:paraId="1051DCBF">
                  <w:pPr>
                    <w:pStyle w:val="50"/>
                    <w:bidi w:val="0"/>
                    <w:rPr>
                      <w:rFonts w:hint="eastAsia"/>
                    </w:rPr>
                  </w:pPr>
                  <w:r>
                    <w:rPr>
                      <w:rFonts w:hint="eastAsia"/>
                      <w:lang w:eastAsia="zh-CN"/>
                    </w:rPr>
                    <w:t>不达标</w:t>
                  </w:r>
                </w:p>
              </w:tc>
            </w:tr>
            <w:tr w14:paraId="24F6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Borders>
                    <w:tl2br w:val="nil"/>
                    <w:tr2bl w:val="nil"/>
                  </w:tcBorders>
                  <w:noWrap w:val="0"/>
                  <w:vAlign w:val="center"/>
                </w:tcPr>
                <w:p w14:paraId="6336309D">
                  <w:pPr>
                    <w:pStyle w:val="50"/>
                    <w:bidi w:val="0"/>
                  </w:pPr>
                </w:p>
              </w:tc>
              <w:tc>
                <w:tcPr>
                  <w:tcW w:w="1479" w:type="pct"/>
                  <w:tcBorders>
                    <w:tl2br w:val="nil"/>
                    <w:tr2bl w:val="nil"/>
                  </w:tcBorders>
                  <w:noWrap w:val="0"/>
                  <w:vAlign w:val="center"/>
                </w:tcPr>
                <w:p w14:paraId="473ACFB8">
                  <w:pPr>
                    <w:pStyle w:val="50"/>
                    <w:bidi w:val="0"/>
                    <w:rPr>
                      <w:rFonts w:hint="default"/>
                      <w:lang w:val="en-US" w:eastAsia="zh-CN"/>
                    </w:rPr>
                  </w:pPr>
                  <w:r>
                    <w:rPr>
                      <w:rFonts w:hint="eastAsia"/>
                      <w:lang w:val="en-US" w:eastAsia="zh-CN"/>
                    </w:rPr>
                    <w:t>24h平均第95百分位数</w:t>
                  </w:r>
                </w:p>
              </w:tc>
              <w:tc>
                <w:tcPr>
                  <w:tcW w:w="678" w:type="pct"/>
                  <w:tcBorders>
                    <w:tl2br w:val="nil"/>
                    <w:tr2bl w:val="nil"/>
                  </w:tcBorders>
                  <w:noWrap w:val="0"/>
                  <w:vAlign w:val="center"/>
                </w:tcPr>
                <w:p w14:paraId="710B32A2">
                  <w:pPr>
                    <w:pStyle w:val="50"/>
                    <w:bidi w:val="0"/>
                    <w:rPr>
                      <w:rFonts w:hint="default"/>
                      <w:lang w:val="en-US" w:eastAsia="zh-CN"/>
                    </w:rPr>
                  </w:pPr>
                  <w:r>
                    <w:rPr>
                      <w:rFonts w:hint="eastAsia"/>
                      <w:lang w:val="en-US" w:eastAsia="zh-CN"/>
                    </w:rPr>
                    <w:t>95</w:t>
                  </w:r>
                </w:p>
              </w:tc>
              <w:tc>
                <w:tcPr>
                  <w:tcW w:w="857" w:type="pct"/>
                  <w:tcBorders>
                    <w:tl2br w:val="nil"/>
                    <w:tr2bl w:val="nil"/>
                  </w:tcBorders>
                  <w:noWrap w:val="0"/>
                  <w:vAlign w:val="center"/>
                </w:tcPr>
                <w:p w14:paraId="61775639">
                  <w:pPr>
                    <w:pStyle w:val="50"/>
                    <w:bidi w:val="0"/>
                  </w:pPr>
                  <w:r>
                    <w:rPr>
                      <w:rFonts w:hint="eastAsia"/>
                    </w:rPr>
                    <w:t>75</w:t>
                  </w:r>
                </w:p>
              </w:tc>
              <w:tc>
                <w:tcPr>
                  <w:tcW w:w="725" w:type="pct"/>
                  <w:tcBorders>
                    <w:tl2br w:val="nil"/>
                    <w:tr2bl w:val="nil"/>
                  </w:tcBorders>
                  <w:noWrap w:val="0"/>
                  <w:vAlign w:val="center"/>
                </w:tcPr>
                <w:p w14:paraId="210ED13F">
                  <w:pPr>
                    <w:pStyle w:val="50"/>
                    <w:bidi w:val="0"/>
                    <w:rPr>
                      <w:rFonts w:hint="default"/>
                      <w:lang w:val="en-US" w:eastAsia="zh-CN"/>
                    </w:rPr>
                  </w:pPr>
                  <w:r>
                    <w:rPr>
                      <w:rFonts w:hint="eastAsia"/>
                      <w:lang w:val="en-US" w:eastAsia="zh-CN"/>
                    </w:rPr>
                    <w:t>126.7</w:t>
                  </w:r>
                </w:p>
              </w:tc>
              <w:tc>
                <w:tcPr>
                  <w:tcW w:w="708" w:type="pct"/>
                  <w:tcBorders>
                    <w:tl2br w:val="nil"/>
                    <w:tr2bl w:val="nil"/>
                  </w:tcBorders>
                  <w:noWrap w:val="0"/>
                  <w:vAlign w:val="center"/>
                </w:tcPr>
                <w:p w14:paraId="278569F3">
                  <w:pPr>
                    <w:pStyle w:val="50"/>
                    <w:bidi w:val="0"/>
                    <w:rPr>
                      <w:rFonts w:hint="eastAsia"/>
                    </w:rPr>
                  </w:pPr>
                  <w:r>
                    <w:rPr>
                      <w:rFonts w:hint="eastAsia"/>
                      <w:lang w:eastAsia="zh-CN"/>
                    </w:rPr>
                    <w:t>不达标</w:t>
                  </w:r>
                </w:p>
              </w:tc>
            </w:tr>
          </w:tbl>
          <w:p w14:paraId="26EBBCB7">
            <w:pPr>
              <w:pStyle w:val="54"/>
              <w:bidi w:val="0"/>
              <w:rPr>
                <w:rFonts w:hint="eastAsia"/>
                <w:highlight w:val="none"/>
                <w:lang w:val="en-US" w:eastAsia="zh-CN"/>
              </w:rPr>
            </w:pPr>
            <w:r>
              <w:rPr>
                <w:rFonts w:hint="eastAsia"/>
                <w:highlight w:val="none"/>
                <w:lang w:val="en-US" w:eastAsia="zh-CN"/>
              </w:rPr>
              <w:t>本项目所在区域PM</w:t>
            </w:r>
            <w:r>
              <w:rPr>
                <w:rFonts w:hint="eastAsia"/>
                <w:highlight w:val="none"/>
                <w:vertAlign w:val="subscript"/>
                <w:lang w:val="en-US" w:eastAsia="zh-CN"/>
              </w:rPr>
              <w:t>2.5</w:t>
            </w:r>
            <w:r>
              <w:rPr>
                <w:rFonts w:hint="eastAsia"/>
                <w:highlight w:val="none"/>
                <w:lang w:val="en-US" w:eastAsia="zh-CN"/>
              </w:rPr>
              <w:t>、</w:t>
            </w:r>
            <w:r>
              <w:rPr>
                <w:rFonts w:hint="default"/>
                <w:highlight w:val="none"/>
                <w:lang w:val="en-US" w:eastAsia="zh-CN"/>
              </w:rPr>
              <w:t>PM</w:t>
            </w:r>
            <w:r>
              <w:rPr>
                <w:rFonts w:hint="default"/>
                <w:highlight w:val="none"/>
                <w:vertAlign w:val="subscript"/>
                <w:lang w:val="en-US" w:eastAsia="zh-CN"/>
              </w:rPr>
              <w:t>10</w:t>
            </w:r>
            <w:r>
              <w:rPr>
                <w:rFonts w:hint="eastAsia"/>
                <w:highlight w:val="none"/>
                <w:lang w:val="en-US" w:eastAsia="zh-CN"/>
              </w:rPr>
              <w:t>年平均和24h平均第95百分位数浓度超过《环境空气质量标准》（</w:t>
            </w:r>
            <w:r>
              <w:rPr>
                <w:rFonts w:hint="default"/>
                <w:highlight w:val="none"/>
                <w:lang w:val="en-US" w:eastAsia="zh-CN"/>
              </w:rPr>
              <w:t>GB3095-2012</w:t>
            </w:r>
            <w:r>
              <w:rPr>
                <w:rFonts w:hint="eastAsia"/>
                <w:highlight w:val="none"/>
                <w:lang w:val="en-US" w:eastAsia="zh-CN"/>
              </w:rPr>
              <w:t>）的二级标准要求，SO</w:t>
            </w:r>
            <w:r>
              <w:rPr>
                <w:rFonts w:hint="eastAsia"/>
                <w:highlight w:val="none"/>
                <w:vertAlign w:val="subscript"/>
                <w:lang w:val="en-US" w:eastAsia="zh-CN"/>
              </w:rPr>
              <w:t>2</w:t>
            </w:r>
            <w:r>
              <w:rPr>
                <w:rFonts w:hint="eastAsia"/>
                <w:highlight w:val="none"/>
                <w:lang w:val="en-US" w:eastAsia="zh-CN"/>
              </w:rPr>
              <w:t>、NO</w:t>
            </w:r>
            <w:r>
              <w:rPr>
                <w:rFonts w:hint="eastAsia"/>
                <w:highlight w:val="none"/>
                <w:vertAlign w:val="subscript"/>
                <w:lang w:val="en-US" w:eastAsia="zh-CN"/>
              </w:rPr>
              <w:t>2</w:t>
            </w:r>
            <w:r>
              <w:rPr>
                <w:rFonts w:hint="eastAsia"/>
                <w:highlight w:val="none"/>
                <w:lang w:val="en-US" w:eastAsia="zh-CN"/>
              </w:rPr>
              <w:t>、CO、O</w:t>
            </w:r>
            <w:r>
              <w:rPr>
                <w:rFonts w:hint="eastAsia"/>
                <w:highlight w:val="none"/>
                <w:vertAlign w:val="subscript"/>
                <w:lang w:val="en-US" w:eastAsia="zh-CN"/>
              </w:rPr>
              <w:t>3</w:t>
            </w:r>
            <w:r>
              <w:rPr>
                <w:rFonts w:hint="eastAsia"/>
                <w:highlight w:val="none"/>
                <w:lang w:val="en-US" w:eastAsia="zh-CN"/>
              </w:rPr>
              <w:t>等其他监测指标均满足二级标准。PM</w:t>
            </w:r>
            <w:r>
              <w:rPr>
                <w:rFonts w:hint="eastAsia"/>
                <w:highlight w:val="none"/>
                <w:vertAlign w:val="subscript"/>
                <w:lang w:val="en-US" w:eastAsia="zh-CN"/>
              </w:rPr>
              <w:t>10</w:t>
            </w:r>
            <w:r>
              <w:rPr>
                <w:rFonts w:hint="eastAsia"/>
                <w:highlight w:val="none"/>
                <w:lang w:val="en-US" w:eastAsia="zh-CN"/>
              </w:rPr>
              <w:t>、PM</w:t>
            </w:r>
            <w:r>
              <w:rPr>
                <w:rFonts w:hint="eastAsia"/>
                <w:highlight w:val="none"/>
                <w:vertAlign w:val="subscript"/>
                <w:lang w:val="en-US" w:eastAsia="zh-CN"/>
              </w:rPr>
              <w:t>2.5</w:t>
            </w:r>
            <w:r>
              <w:rPr>
                <w:rFonts w:hint="eastAsia"/>
                <w:highlight w:val="none"/>
                <w:lang w:val="en-US" w:eastAsia="zh-CN"/>
              </w:rPr>
              <w:t>超标主要是与当地气候条件和地理位置有关，评价区大气由于受到当地干旱气候的影响，空气中</w:t>
            </w:r>
            <w:r>
              <w:rPr>
                <w:rFonts w:hint="default"/>
                <w:highlight w:val="none"/>
                <w:lang w:val="en-US" w:eastAsia="zh-CN"/>
              </w:rPr>
              <w:t>PM</w:t>
            </w:r>
            <w:r>
              <w:rPr>
                <w:rFonts w:hint="default"/>
                <w:highlight w:val="none"/>
                <w:vertAlign w:val="subscript"/>
                <w:lang w:val="en-US" w:eastAsia="zh-CN"/>
              </w:rPr>
              <w:t>2.5</w:t>
            </w:r>
            <w:r>
              <w:rPr>
                <w:rFonts w:hint="eastAsia"/>
                <w:highlight w:val="none"/>
                <w:lang w:val="en-US" w:eastAsia="zh-CN"/>
              </w:rPr>
              <w:t>、</w:t>
            </w:r>
            <w:r>
              <w:rPr>
                <w:rFonts w:hint="default"/>
                <w:highlight w:val="none"/>
                <w:lang w:val="en-US" w:eastAsia="zh-CN"/>
              </w:rPr>
              <w:t>PM</w:t>
            </w:r>
            <w:r>
              <w:rPr>
                <w:rFonts w:hint="default"/>
                <w:highlight w:val="none"/>
                <w:vertAlign w:val="subscript"/>
                <w:lang w:val="en-US" w:eastAsia="zh-CN"/>
              </w:rPr>
              <w:t>10</w:t>
            </w:r>
            <w:r>
              <w:rPr>
                <w:rFonts w:hint="eastAsia"/>
                <w:highlight w:val="none"/>
                <w:lang w:val="en-US" w:eastAsia="zh-CN"/>
              </w:rPr>
              <w:t>的本底值偏高，尤其在沙尘暴和浮尘天气，会出现严重超标。</w:t>
            </w:r>
            <w:r>
              <w:rPr>
                <w:rFonts w:hint="default"/>
                <w:highlight w:val="none"/>
                <w:lang w:eastAsia="zh-CN"/>
              </w:rPr>
              <w:t>因此，项目所在区域为不达标区。</w:t>
            </w:r>
          </w:p>
          <w:p w14:paraId="76B218DF">
            <w:pPr>
              <w:pStyle w:val="48"/>
              <w:bidi w:val="0"/>
              <w:rPr>
                <w:rFonts w:hint="eastAsia"/>
                <w:lang w:val="en-US" w:eastAsia="zh-CN"/>
              </w:rPr>
            </w:pPr>
            <w:r>
              <w:rPr>
                <w:rFonts w:hint="eastAsia"/>
                <w:lang w:val="en-US" w:eastAsia="zh-CN"/>
              </w:rPr>
              <w:t>1.2其他污染物质量现状</w:t>
            </w:r>
          </w:p>
          <w:p w14:paraId="589AFDEE">
            <w:pPr>
              <w:pStyle w:val="47"/>
              <w:bidi w:val="0"/>
              <w:rPr>
                <w:rFonts w:hint="default"/>
                <w:lang w:val="en-US" w:eastAsia="zh-CN"/>
              </w:rPr>
            </w:pPr>
            <w:r>
              <w:rPr>
                <w:rFonts w:hint="eastAsia"/>
                <w:lang w:val="en-US" w:eastAsia="zh-CN"/>
              </w:rPr>
              <w:t>由《建设项目环境影响报告表编制技术指南（污染影响类）（试行）》可知，排放国家、地方环境空气质量标准中有标准限值要求的特征污染物时，可引用建设项目周边5千米范围内近3年的现有监测数据，结合《环境空气质量标准》（GB3095-2012）表2可知，本项目特征污染物为颗粒物和氮氧化物</w:t>
            </w:r>
            <w:r>
              <w:rPr>
                <w:rFonts w:hint="eastAsia"/>
                <w:lang w:eastAsia="zh-CN"/>
              </w:rPr>
              <w:t>。</w:t>
            </w:r>
            <w:r>
              <w:rPr>
                <w:rFonts w:hint="default"/>
                <w:lang w:val="en-US" w:eastAsia="zh-CN"/>
              </w:rPr>
              <w:t>监测数据引用新疆天元浩诚检测技术有限公司2022年4月22日—2022年4月24日对库尔勒新鑫万琼建材有限公司项目环境空气现状监测报告，该</w:t>
            </w:r>
            <w:r>
              <w:rPr>
                <w:rFonts w:hint="eastAsia"/>
                <w:lang w:val="en-US" w:eastAsia="zh-CN"/>
              </w:rPr>
              <w:t>监测</w:t>
            </w:r>
            <w:r>
              <w:rPr>
                <w:rFonts w:hint="default"/>
                <w:lang w:val="en-US" w:eastAsia="zh-CN"/>
              </w:rPr>
              <w:t>报告中监测点</w:t>
            </w:r>
            <w:r>
              <w:rPr>
                <w:rFonts w:hint="eastAsia"/>
                <w:lang w:val="en-US" w:eastAsia="zh-CN"/>
              </w:rPr>
              <w:t>位于</w:t>
            </w:r>
            <w:r>
              <w:rPr>
                <w:rFonts w:hint="default"/>
                <w:lang w:val="en-US" w:eastAsia="zh-CN"/>
              </w:rPr>
              <w:t>库尔勒新鑫万琼建材有限公司下风向（西风），本项目位于库尔勒新鑫万琼建材有限公司西北方，与监测点</w:t>
            </w:r>
            <w:r>
              <w:rPr>
                <w:rFonts w:hint="eastAsia"/>
                <w:lang w:val="en-US" w:eastAsia="zh-CN"/>
              </w:rPr>
              <w:t>直线</w:t>
            </w:r>
            <w:r>
              <w:rPr>
                <w:rFonts w:hint="default"/>
                <w:lang w:val="en-US" w:eastAsia="zh-CN"/>
              </w:rPr>
              <w:t>距离约为</w:t>
            </w:r>
            <w:r>
              <w:rPr>
                <w:rFonts w:hint="eastAsia"/>
                <w:lang w:val="en-US" w:eastAsia="zh-CN"/>
              </w:rPr>
              <w:t>2.9</w:t>
            </w:r>
            <w:r>
              <w:rPr>
                <w:rFonts w:hint="default"/>
                <w:lang w:val="en-US" w:eastAsia="zh-CN"/>
              </w:rPr>
              <w:t>km，在同一工业园区内，符合《建设项目环境影响报告表编制技术指南（污染影响类）》中数据引用的要求，监测数据见表3-2，监测点位图见附图</w:t>
            </w:r>
            <w:r>
              <w:rPr>
                <w:rFonts w:hint="eastAsia"/>
                <w:lang w:val="en-US" w:eastAsia="zh-CN"/>
              </w:rPr>
              <w:t>4</w:t>
            </w:r>
            <w:r>
              <w:rPr>
                <w:rFonts w:hint="default"/>
                <w:lang w:val="en-US" w:eastAsia="zh-CN"/>
              </w:rPr>
              <w:t>。</w:t>
            </w:r>
          </w:p>
          <w:p w14:paraId="0E227B94">
            <w:pPr>
              <w:pStyle w:val="49"/>
              <w:bidi w:val="0"/>
              <w:rPr>
                <w:rFonts w:hint="default"/>
                <w:lang w:val="en-US" w:eastAsia="zh-CN"/>
              </w:rPr>
            </w:pPr>
            <w:r>
              <w:rPr>
                <w:rFonts w:hint="eastAsia"/>
                <w:lang w:val="en-US" w:eastAsia="zh-CN"/>
              </w:rPr>
              <w:t>表3-2    特征污染物质量现状评价</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260"/>
              <w:gridCol w:w="2025"/>
              <w:gridCol w:w="1515"/>
              <w:gridCol w:w="1845"/>
              <w:gridCol w:w="792"/>
            </w:tblGrid>
            <w:tr w14:paraId="0AD1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29" w:type="pct"/>
                  <w:vMerge w:val="restart"/>
                  <w:vAlign w:val="center"/>
                </w:tcPr>
                <w:p w14:paraId="6BF07A04">
                  <w:pPr>
                    <w:pStyle w:val="50"/>
                    <w:bidi w:val="0"/>
                    <w:rPr>
                      <w:rFonts w:hint="default"/>
                      <w:lang w:val="en-US" w:eastAsia="zh-CN"/>
                    </w:rPr>
                  </w:pPr>
                  <w:r>
                    <w:rPr>
                      <w:rFonts w:hint="default"/>
                      <w:lang w:val="en-US" w:eastAsia="zh-CN"/>
                    </w:rPr>
                    <w:t>监测点位</w:t>
                  </w:r>
                </w:p>
              </w:tc>
              <w:tc>
                <w:tcPr>
                  <w:tcW w:w="791" w:type="pct"/>
                  <w:vMerge w:val="restart"/>
                  <w:vAlign w:val="center"/>
                </w:tcPr>
                <w:p w14:paraId="5AD82614">
                  <w:pPr>
                    <w:pStyle w:val="50"/>
                    <w:bidi w:val="0"/>
                    <w:rPr>
                      <w:rFonts w:hint="default"/>
                      <w:lang w:val="en-US" w:eastAsia="zh-CN"/>
                    </w:rPr>
                  </w:pPr>
                  <w:r>
                    <w:rPr>
                      <w:rFonts w:hint="default"/>
                      <w:lang w:val="en-US" w:eastAsia="zh-CN"/>
                    </w:rPr>
                    <w:t>监测时间</w:t>
                  </w:r>
                </w:p>
              </w:tc>
              <w:tc>
                <w:tcPr>
                  <w:tcW w:w="1271" w:type="pct"/>
                  <w:vAlign w:val="center"/>
                </w:tcPr>
                <w:p w14:paraId="0FB2C4B4">
                  <w:pPr>
                    <w:pStyle w:val="50"/>
                    <w:bidi w:val="0"/>
                    <w:rPr>
                      <w:rFonts w:hint="default"/>
                      <w:lang w:val="en-US" w:eastAsia="zh-CN"/>
                    </w:rPr>
                  </w:pPr>
                  <w:r>
                    <w:rPr>
                      <w:rFonts w:hint="eastAsia"/>
                      <w:lang w:val="en-US" w:eastAsia="zh-CN"/>
                    </w:rPr>
                    <w:t>监测结果</w:t>
                  </w:r>
                  <w:r>
                    <w:rPr>
                      <w:rFonts w:hint="eastAsia"/>
                      <w:lang w:eastAsia="zh-CN"/>
                    </w:rPr>
                    <w:t>（</w:t>
                  </w:r>
                  <w:r>
                    <w:rPr>
                      <w:rFonts w:hint="eastAsia"/>
                      <w:lang w:val="en-US" w:eastAsia="zh-CN"/>
                    </w:rPr>
                    <w:t>mg</w:t>
                  </w:r>
                  <w:r>
                    <w:rPr>
                      <w:rFonts w:hint="default"/>
                    </w:rPr>
                    <w:t>/m</w:t>
                  </w:r>
                  <w:r>
                    <w:rPr>
                      <w:rFonts w:hint="default"/>
                      <w:vertAlign w:val="superscript"/>
                    </w:rPr>
                    <w:t>3</w:t>
                  </w:r>
                  <w:r>
                    <w:rPr>
                      <w:rFonts w:hint="eastAsia"/>
                      <w:lang w:eastAsia="zh-CN"/>
                    </w:rPr>
                    <w:t>）</w:t>
                  </w:r>
                </w:p>
              </w:tc>
              <w:tc>
                <w:tcPr>
                  <w:tcW w:w="951" w:type="pct"/>
                  <w:vAlign w:val="center"/>
                </w:tcPr>
                <w:p w14:paraId="14E5DC46">
                  <w:pPr>
                    <w:pStyle w:val="50"/>
                    <w:bidi w:val="0"/>
                    <w:rPr>
                      <w:rFonts w:hint="eastAsia"/>
                      <w:lang w:val="en-US" w:eastAsia="zh-CN"/>
                    </w:rPr>
                  </w:pPr>
                  <w:r>
                    <w:rPr>
                      <w:rFonts w:hint="default"/>
                    </w:rPr>
                    <w:t>标准值</w:t>
                  </w:r>
                  <w:r>
                    <w:rPr>
                      <w:rFonts w:hint="eastAsia"/>
                      <w:lang w:eastAsia="zh-CN"/>
                    </w:rPr>
                    <w:t>（</w:t>
                  </w:r>
                  <w:r>
                    <w:rPr>
                      <w:rFonts w:hint="eastAsia"/>
                      <w:lang w:val="en-US" w:eastAsia="zh-CN"/>
                    </w:rPr>
                    <w:t>mg</w:t>
                  </w:r>
                  <w:r>
                    <w:rPr>
                      <w:rFonts w:hint="default"/>
                    </w:rPr>
                    <w:t>/m</w:t>
                  </w:r>
                  <w:r>
                    <w:rPr>
                      <w:rFonts w:hint="default"/>
                      <w:vertAlign w:val="superscript"/>
                    </w:rPr>
                    <w:t>3</w:t>
                  </w:r>
                  <w:r>
                    <w:rPr>
                      <w:rFonts w:hint="eastAsia"/>
                      <w:lang w:eastAsia="zh-CN"/>
                    </w:rPr>
                    <w:t>）</w:t>
                  </w:r>
                </w:p>
              </w:tc>
              <w:tc>
                <w:tcPr>
                  <w:tcW w:w="1158" w:type="pct"/>
                  <w:vAlign w:val="center"/>
                </w:tcPr>
                <w:p w14:paraId="3650B322">
                  <w:pPr>
                    <w:pStyle w:val="50"/>
                    <w:bidi w:val="0"/>
                    <w:rPr>
                      <w:rFonts w:hint="default"/>
                      <w:lang w:val="en-US" w:eastAsia="zh-CN"/>
                    </w:rPr>
                  </w:pPr>
                  <w:r>
                    <w:rPr>
                      <w:rFonts w:hint="default"/>
                    </w:rPr>
                    <w:t>浓度占标率（</w:t>
                  </w:r>
                  <w:r>
                    <w:rPr>
                      <w:rFonts w:hint="eastAsia"/>
                      <w:lang w:val="en-US" w:eastAsia="zh-CN"/>
                    </w:rPr>
                    <w:t>%</w:t>
                  </w:r>
                  <w:r>
                    <w:rPr>
                      <w:rFonts w:hint="default"/>
                    </w:rPr>
                    <w:t>）</w:t>
                  </w:r>
                </w:p>
              </w:tc>
              <w:tc>
                <w:tcPr>
                  <w:tcW w:w="497" w:type="pct"/>
                  <w:vAlign w:val="center"/>
                </w:tcPr>
                <w:p w14:paraId="5B98BC36">
                  <w:pPr>
                    <w:pStyle w:val="50"/>
                    <w:bidi w:val="0"/>
                    <w:rPr>
                      <w:rFonts w:hint="default"/>
                      <w:lang w:val="en-US" w:eastAsia="zh-CN"/>
                    </w:rPr>
                  </w:pPr>
                  <w:r>
                    <w:rPr>
                      <w:rFonts w:hint="default"/>
                    </w:rPr>
                    <w:t>达标情况</w:t>
                  </w:r>
                </w:p>
              </w:tc>
            </w:tr>
            <w:tr w14:paraId="408F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29" w:type="pct"/>
                  <w:vMerge w:val="continue"/>
                  <w:vAlign w:val="center"/>
                </w:tcPr>
                <w:p w14:paraId="73FC8D09">
                  <w:pPr>
                    <w:pStyle w:val="50"/>
                    <w:bidi w:val="0"/>
                    <w:rPr>
                      <w:rFonts w:hint="default"/>
                    </w:rPr>
                  </w:pPr>
                </w:p>
              </w:tc>
              <w:tc>
                <w:tcPr>
                  <w:tcW w:w="791" w:type="pct"/>
                  <w:vMerge w:val="continue"/>
                  <w:vAlign w:val="center"/>
                </w:tcPr>
                <w:p w14:paraId="0E5DE1AF">
                  <w:pPr>
                    <w:pStyle w:val="50"/>
                    <w:bidi w:val="0"/>
                    <w:rPr>
                      <w:rFonts w:hint="default"/>
                    </w:rPr>
                  </w:pPr>
                </w:p>
              </w:tc>
              <w:tc>
                <w:tcPr>
                  <w:tcW w:w="1271" w:type="pct"/>
                  <w:vAlign w:val="center"/>
                </w:tcPr>
                <w:p w14:paraId="473F8100">
                  <w:pPr>
                    <w:pStyle w:val="50"/>
                    <w:bidi w:val="0"/>
                    <w:rPr>
                      <w:rFonts w:hint="default"/>
                      <w:lang w:val="en-US" w:eastAsia="zh-CN"/>
                    </w:rPr>
                  </w:pPr>
                  <w:r>
                    <w:rPr>
                      <w:rFonts w:hint="default"/>
                      <w:lang w:val="en-US" w:eastAsia="zh-CN"/>
                    </w:rPr>
                    <w:t>TSP</w:t>
                  </w:r>
                </w:p>
              </w:tc>
              <w:tc>
                <w:tcPr>
                  <w:tcW w:w="951" w:type="pct"/>
                  <w:vMerge w:val="restart"/>
                  <w:vAlign w:val="center"/>
                </w:tcPr>
                <w:p w14:paraId="6FDAB7D5">
                  <w:pPr>
                    <w:pStyle w:val="50"/>
                    <w:bidi w:val="0"/>
                    <w:rPr>
                      <w:rFonts w:hint="default"/>
                      <w:lang w:val="en-US" w:eastAsia="zh-CN"/>
                    </w:rPr>
                  </w:pPr>
                  <w:r>
                    <w:rPr>
                      <w:rFonts w:hint="eastAsia"/>
                      <w:lang w:val="en-US" w:eastAsia="zh-CN"/>
                    </w:rPr>
                    <w:t>TSP:0.300</w:t>
                  </w:r>
                </w:p>
              </w:tc>
              <w:tc>
                <w:tcPr>
                  <w:tcW w:w="1158" w:type="pct"/>
                  <w:vAlign w:val="center"/>
                </w:tcPr>
                <w:p w14:paraId="066F3687">
                  <w:pPr>
                    <w:pStyle w:val="50"/>
                    <w:bidi w:val="0"/>
                    <w:rPr>
                      <w:rFonts w:hint="default"/>
                      <w:lang w:val="en-US" w:eastAsia="zh-CN"/>
                    </w:rPr>
                  </w:pPr>
                  <w:r>
                    <w:rPr>
                      <w:rFonts w:hint="default"/>
                      <w:lang w:val="en-US" w:eastAsia="zh-CN"/>
                    </w:rPr>
                    <w:t>TSP</w:t>
                  </w:r>
                </w:p>
              </w:tc>
              <w:tc>
                <w:tcPr>
                  <w:tcW w:w="497" w:type="pct"/>
                  <w:vAlign w:val="center"/>
                </w:tcPr>
                <w:p w14:paraId="756F1FB6">
                  <w:pPr>
                    <w:pStyle w:val="50"/>
                    <w:bidi w:val="0"/>
                    <w:rPr>
                      <w:rFonts w:hint="default"/>
                      <w:lang w:val="en-US" w:eastAsia="zh-CN"/>
                    </w:rPr>
                  </w:pPr>
                  <w:r>
                    <w:rPr>
                      <w:rFonts w:hint="eastAsia"/>
                      <w:lang w:val="en-US" w:eastAsia="zh-CN"/>
                    </w:rPr>
                    <w:t>达标</w:t>
                  </w:r>
                </w:p>
              </w:tc>
            </w:tr>
            <w:tr w14:paraId="02ED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29" w:type="pct"/>
                  <w:vMerge w:val="restart"/>
                  <w:vAlign w:val="center"/>
                </w:tcPr>
                <w:p w14:paraId="4A051DE0">
                  <w:pPr>
                    <w:pStyle w:val="50"/>
                    <w:bidi w:val="0"/>
                    <w:rPr>
                      <w:rFonts w:hint="default"/>
                      <w:lang w:val="en-US" w:eastAsia="zh-CN"/>
                    </w:rPr>
                  </w:pPr>
                  <w:r>
                    <w:rPr>
                      <w:rFonts w:hint="default"/>
                      <w:lang w:val="en-US" w:eastAsia="zh-CN"/>
                    </w:rPr>
                    <w:t>1#监测点</w:t>
                  </w:r>
                </w:p>
              </w:tc>
              <w:tc>
                <w:tcPr>
                  <w:tcW w:w="791" w:type="pct"/>
                  <w:vAlign w:val="center"/>
                </w:tcPr>
                <w:p w14:paraId="23F1B61D">
                  <w:pPr>
                    <w:pStyle w:val="50"/>
                    <w:bidi w:val="0"/>
                    <w:rPr>
                      <w:rFonts w:hint="default"/>
                      <w:lang w:val="en-US" w:eastAsia="zh-CN"/>
                    </w:rPr>
                  </w:pPr>
                  <w:r>
                    <w:rPr>
                      <w:rFonts w:hint="eastAsia"/>
                      <w:lang w:val="en-US" w:eastAsia="zh-CN"/>
                    </w:rPr>
                    <w:t>2022.4.22</w:t>
                  </w:r>
                </w:p>
              </w:tc>
              <w:tc>
                <w:tcPr>
                  <w:tcW w:w="1271" w:type="pct"/>
                  <w:vAlign w:val="center"/>
                </w:tcPr>
                <w:p w14:paraId="679EA7D4">
                  <w:pPr>
                    <w:pStyle w:val="50"/>
                    <w:bidi w:val="0"/>
                    <w:rPr>
                      <w:rFonts w:hint="default"/>
                      <w:lang w:val="en-US" w:eastAsia="zh-CN"/>
                    </w:rPr>
                  </w:pPr>
                  <w:r>
                    <w:rPr>
                      <w:rFonts w:hint="default"/>
                      <w:lang w:val="en-US" w:eastAsia="zh-CN"/>
                    </w:rPr>
                    <w:t>0.235</w:t>
                  </w:r>
                </w:p>
              </w:tc>
              <w:tc>
                <w:tcPr>
                  <w:tcW w:w="951" w:type="pct"/>
                  <w:vMerge w:val="continue"/>
                  <w:vAlign w:val="center"/>
                </w:tcPr>
                <w:p w14:paraId="116554E0">
                  <w:pPr>
                    <w:pStyle w:val="50"/>
                    <w:bidi w:val="0"/>
                    <w:rPr>
                      <w:rFonts w:hint="default"/>
                      <w:lang w:val="en-US" w:eastAsia="zh-CN"/>
                    </w:rPr>
                  </w:pPr>
                </w:p>
              </w:tc>
              <w:tc>
                <w:tcPr>
                  <w:tcW w:w="1158" w:type="pct"/>
                  <w:vAlign w:val="center"/>
                </w:tcPr>
                <w:p w14:paraId="5F525B05">
                  <w:pPr>
                    <w:pStyle w:val="50"/>
                    <w:bidi w:val="0"/>
                    <w:rPr>
                      <w:rFonts w:hint="default"/>
                      <w:lang w:val="en-US" w:eastAsia="zh-CN"/>
                    </w:rPr>
                  </w:pPr>
                  <w:r>
                    <w:rPr>
                      <w:rFonts w:hint="eastAsia"/>
                      <w:lang w:val="en-US" w:eastAsia="zh-CN"/>
                    </w:rPr>
                    <w:t>78</w:t>
                  </w:r>
                </w:p>
              </w:tc>
              <w:tc>
                <w:tcPr>
                  <w:tcW w:w="497" w:type="pct"/>
                  <w:vAlign w:val="center"/>
                </w:tcPr>
                <w:p w14:paraId="5E6FF68B">
                  <w:pPr>
                    <w:pStyle w:val="50"/>
                    <w:bidi w:val="0"/>
                    <w:rPr>
                      <w:rFonts w:hint="default"/>
                      <w:lang w:val="en-US" w:eastAsia="zh-CN"/>
                    </w:rPr>
                  </w:pPr>
                  <w:r>
                    <w:rPr>
                      <w:rFonts w:hint="eastAsia"/>
                      <w:lang w:val="en-US" w:eastAsia="zh-CN"/>
                    </w:rPr>
                    <w:t>达标</w:t>
                  </w:r>
                </w:p>
              </w:tc>
            </w:tr>
            <w:tr w14:paraId="2596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29" w:type="pct"/>
                  <w:vMerge w:val="continue"/>
                  <w:vAlign w:val="center"/>
                </w:tcPr>
                <w:p w14:paraId="5C30C3D1">
                  <w:pPr>
                    <w:pStyle w:val="50"/>
                    <w:bidi w:val="0"/>
                    <w:rPr>
                      <w:rFonts w:hint="default"/>
                      <w:lang w:val="en-US" w:eastAsia="zh-CN"/>
                    </w:rPr>
                  </w:pPr>
                </w:p>
              </w:tc>
              <w:tc>
                <w:tcPr>
                  <w:tcW w:w="791" w:type="pct"/>
                  <w:vAlign w:val="center"/>
                </w:tcPr>
                <w:p w14:paraId="40808E43">
                  <w:pPr>
                    <w:pStyle w:val="50"/>
                    <w:bidi w:val="0"/>
                    <w:rPr>
                      <w:rFonts w:hint="default"/>
                      <w:lang w:val="en-US" w:eastAsia="zh-CN"/>
                    </w:rPr>
                  </w:pPr>
                  <w:r>
                    <w:rPr>
                      <w:rFonts w:hint="eastAsia"/>
                      <w:lang w:val="en-US" w:eastAsia="zh-CN"/>
                    </w:rPr>
                    <w:t>2022.4.23</w:t>
                  </w:r>
                </w:p>
              </w:tc>
              <w:tc>
                <w:tcPr>
                  <w:tcW w:w="1271" w:type="pct"/>
                  <w:vAlign w:val="center"/>
                </w:tcPr>
                <w:p w14:paraId="4A9B48E0">
                  <w:pPr>
                    <w:pStyle w:val="50"/>
                    <w:bidi w:val="0"/>
                    <w:rPr>
                      <w:rFonts w:hint="default"/>
                      <w:lang w:val="en-US" w:eastAsia="zh-CN"/>
                    </w:rPr>
                  </w:pPr>
                  <w:r>
                    <w:rPr>
                      <w:rFonts w:hint="default"/>
                      <w:lang w:val="en-US" w:eastAsia="zh-CN"/>
                    </w:rPr>
                    <w:t>0.243</w:t>
                  </w:r>
                </w:p>
              </w:tc>
              <w:tc>
                <w:tcPr>
                  <w:tcW w:w="951" w:type="pct"/>
                  <w:vMerge w:val="continue"/>
                  <w:vAlign w:val="center"/>
                </w:tcPr>
                <w:p w14:paraId="5C89E530">
                  <w:pPr>
                    <w:pStyle w:val="50"/>
                    <w:bidi w:val="0"/>
                    <w:rPr>
                      <w:rFonts w:hint="default"/>
                      <w:lang w:val="en-US" w:eastAsia="zh-CN"/>
                    </w:rPr>
                  </w:pPr>
                </w:p>
              </w:tc>
              <w:tc>
                <w:tcPr>
                  <w:tcW w:w="1158" w:type="pct"/>
                  <w:vAlign w:val="center"/>
                </w:tcPr>
                <w:p w14:paraId="7D4EE66D">
                  <w:pPr>
                    <w:pStyle w:val="50"/>
                    <w:bidi w:val="0"/>
                    <w:rPr>
                      <w:rFonts w:hint="default"/>
                      <w:lang w:val="en-US" w:eastAsia="zh-CN"/>
                    </w:rPr>
                  </w:pPr>
                  <w:r>
                    <w:rPr>
                      <w:rFonts w:hint="eastAsia"/>
                      <w:lang w:val="en-US" w:eastAsia="zh-CN"/>
                    </w:rPr>
                    <w:t>81</w:t>
                  </w:r>
                </w:p>
              </w:tc>
              <w:tc>
                <w:tcPr>
                  <w:tcW w:w="497" w:type="pct"/>
                  <w:vAlign w:val="center"/>
                </w:tcPr>
                <w:p w14:paraId="23670AA2">
                  <w:pPr>
                    <w:pStyle w:val="50"/>
                    <w:bidi w:val="0"/>
                    <w:rPr>
                      <w:rFonts w:hint="default"/>
                      <w:lang w:val="en-US" w:eastAsia="zh-CN"/>
                    </w:rPr>
                  </w:pPr>
                  <w:r>
                    <w:rPr>
                      <w:rFonts w:hint="eastAsia"/>
                      <w:lang w:val="en-US" w:eastAsia="zh-CN"/>
                    </w:rPr>
                    <w:t>达标</w:t>
                  </w:r>
                </w:p>
              </w:tc>
            </w:tr>
            <w:tr w14:paraId="5411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Merge w:val="continue"/>
                  <w:vAlign w:val="center"/>
                </w:tcPr>
                <w:p w14:paraId="7BB8963F">
                  <w:pPr>
                    <w:pStyle w:val="50"/>
                    <w:bidi w:val="0"/>
                    <w:rPr>
                      <w:rFonts w:hint="default"/>
                      <w:lang w:val="en-US" w:eastAsia="zh-CN"/>
                    </w:rPr>
                  </w:pPr>
                </w:p>
              </w:tc>
              <w:tc>
                <w:tcPr>
                  <w:tcW w:w="791" w:type="pct"/>
                  <w:vAlign w:val="center"/>
                </w:tcPr>
                <w:p w14:paraId="29AA7441">
                  <w:pPr>
                    <w:pStyle w:val="50"/>
                    <w:bidi w:val="0"/>
                    <w:rPr>
                      <w:rFonts w:hint="default"/>
                      <w:lang w:val="en-US" w:eastAsia="zh-CN"/>
                    </w:rPr>
                  </w:pPr>
                  <w:r>
                    <w:rPr>
                      <w:rFonts w:hint="eastAsia"/>
                      <w:lang w:val="en-US" w:eastAsia="zh-CN"/>
                    </w:rPr>
                    <w:t>2022.4.24</w:t>
                  </w:r>
                </w:p>
              </w:tc>
              <w:tc>
                <w:tcPr>
                  <w:tcW w:w="1271" w:type="pct"/>
                  <w:vAlign w:val="center"/>
                </w:tcPr>
                <w:p w14:paraId="7FAA17F2">
                  <w:pPr>
                    <w:pStyle w:val="50"/>
                    <w:bidi w:val="0"/>
                    <w:rPr>
                      <w:rFonts w:hint="default"/>
                      <w:lang w:val="en-US" w:eastAsia="zh-CN"/>
                    </w:rPr>
                  </w:pPr>
                  <w:r>
                    <w:rPr>
                      <w:rFonts w:hint="default"/>
                      <w:lang w:val="en-US" w:eastAsia="zh-CN"/>
                    </w:rPr>
                    <w:t>0.233</w:t>
                  </w:r>
                </w:p>
              </w:tc>
              <w:tc>
                <w:tcPr>
                  <w:tcW w:w="951" w:type="pct"/>
                  <w:vMerge w:val="continue"/>
                  <w:vAlign w:val="center"/>
                </w:tcPr>
                <w:p w14:paraId="256CCFF6">
                  <w:pPr>
                    <w:pStyle w:val="50"/>
                    <w:bidi w:val="0"/>
                    <w:rPr>
                      <w:rFonts w:hint="default"/>
                      <w:lang w:val="en-US" w:eastAsia="zh-CN"/>
                    </w:rPr>
                  </w:pPr>
                </w:p>
              </w:tc>
              <w:tc>
                <w:tcPr>
                  <w:tcW w:w="1158" w:type="pct"/>
                  <w:vAlign w:val="center"/>
                </w:tcPr>
                <w:p w14:paraId="40BDFA49">
                  <w:pPr>
                    <w:pStyle w:val="50"/>
                    <w:bidi w:val="0"/>
                    <w:rPr>
                      <w:rFonts w:hint="default"/>
                      <w:lang w:val="en-US" w:eastAsia="zh-CN"/>
                    </w:rPr>
                  </w:pPr>
                  <w:r>
                    <w:rPr>
                      <w:rFonts w:hint="eastAsia"/>
                      <w:lang w:val="en-US" w:eastAsia="zh-CN"/>
                    </w:rPr>
                    <w:t>78</w:t>
                  </w:r>
                </w:p>
              </w:tc>
              <w:tc>
                <w:tcPr>
                  <w:tcW w:w="497" w:type="pct"/>
                  <w:vAlign w:val="center"/>
                </w:tcPr>
                <w:p w14:paraId="74543A8F">
                  <w:pPr>
                    <w:pStyle w:val="50"/>
                    <w:bidi w:val="0"/>
                    <w:rPr>
                      <w:rFonts w:hint="default"/>
                      <w:lang w:val="en-US" w:eastAsia="zh-CN"/>
                    </w:rPr>
                  </w:pPr>
                  <w:r>
                    <w:rPr>
                      <w:rFonts w:hint="eastAsia"/>
                      <w:lang w:val="en-US" w:eastAsia="zh-CN"/>
                    </w:rPr>
                    <w:t>达标</w:t>
                  </w:r>
                </w:p>
              </w:tc>
            </w:tr>
            <w:tr w14:paraId="15F2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29" w:type="pct"/>
                  <w:vMerge w:val="restart"/>
                  <w:vAlign w:val="center"/>
                </w:tcPr>
                <w:p w14:paraId="29B1A46A">
                  <w:pPr>
                    <w:pStyle w:val="50"/>
                    <w:bidi w:val="0"/>
                    <w:rPr>
                      <w:rFonts w:hint="default"/>
                      <w:lang w:val="en-US" w:eastAsia="zh-CN"/>
                    </w:rPr>
                  </w:pPr>
                  <w:r>
                    <w:rPr>
                      <w:rFonts w:hint="default"/>
                      <w:lang w:val="en-US" w:eastAsia="zh-CN"/>
                    </w:rPr>
                    <w:t>2#监测点</w:t>
                  </w:r>
                </w:p>
              </w:tc>
              <w:tc>
                <w:tcPr>
                  <w:tcW w:w="791" w:type="pct"/>
                  <w:vAlign w:val="center"/>
                </w:tcPr>
                <w:p w14:paraId="58AF4B16">
                  <w:pPr>
                    <w:pStyle w:val="50"/>
                    <w:bidi w:val="0"/>
                    <w:rPr>
                      <w:rFonts w:hint="default"/>
                      <w:lang w:val="en-US" w:eastAsia="zh-CN"/>
                    </w:rPr>
                  </w:pPr>
                  <w:r>
                    <w:rPr>
                      <w:rFonts w:hint="eastAsia"/>
                      <w:lang w:val="en-US" w:eastAsia="zh-CN"/>
                    </w:rPr>
                    <w:t>2022.4.22</w:t>
                  </w:r>
                </w:p>
              </w:tc>
              <w:tc>
                <w:tcPr>
                  <w:tcW w:w="1271" w:type="pct"/>
                  <w:vAlign w:val="center"/>
                </w:tcPr>
                <w:p w14:paraId="04CA1BBE">
                  <w:pPr>
                    <w:pStyle w:val="50"/>
                    <w:bidi w:val="0"/>
                    <w:rPr>
                      <w:rFonts w:hint="default"/>
                      <w:lang w:val="en-US" w:eastAsia="zh-CN"/>
                    </w:rPr>
                  </w:pPr>
                  <w:r>
                    <w:rPr>
                      <w:rFonts w:hint="default"/>
                      <w:lang w:val="en-US" w:eastAsia="zh-CN"/>
                    </w:rPr>
                    <w:t>0.254</w:t>
                  </w:r>
                </w:p>
              </w:tc>
              <w:tc>
                <w:tcPr>
                  <w:tcW w:w="951" w:type="pct"/>
                  <w:vMerge w:val="continue"/>
                  <w:vAlign w:val="center"/>
                </w:tcPr>
                <w:p w14:paraId="36538356">
                  <w:pPr>
                    <w:pStyle w:val="50"/>
                    <w:bidi w:val="0"/>
                    <w:rPr>
                      <w:rFonts w:hint="default"/>
                      <w:lang w:val="en-US" w:eastAsia="zh-CN"/>
                    </w:rPr>
                  </w:pPr>
                </w:p>
              </w:tc>
              <w:tc>
                <w:tcPr>
                  <w:tcW w:w="1158" w:type="pct"/>
                  <w:vAlign w:val="center"/>
                </w:tcPr>
                <w:p w14:paraId="29E6C2EF">
                  <w:pPr>
                    <w:pStyle w:val="50"/>
                    <w:bidi w:val="0"/>
                    <w:rPr>
                      <w:rFonts w:hint="default"/>
                      <w:lang w:val="en-US" w:eastAsia="zh-CN"/>
                    </w:rPr>
                  </w:pPr>
                  <w:r>
                    <w:rPr>
                      <w:rFonts w:hint="eastAsia"/>
                      <w:lang w:val="en-US" w:eastAsia="zh-CN"/>
                    </w:rPr>
                    <w:t>85</w:t>
                  </w:r>
                </w:p>
              </w:tc>
              <w:tc>
                <w:tcPr>
                  <w:tcW w:w="497" w:type="pct"/>
                  <w:vAlign w:val="center"/>
                </w:tcPr>
                <w:p w14:paraId="73BE9774">
                  <w:pPr>
                    <w:pStyle w:val="50"/>
                    <w:bidi w:val="0"/>
                    <w:rPr>
                      <w:rFonts w:hint="default"/>
                      <w:lang w:val="en-US" w:eastAsia="zh-CN"/>
                    </w:rPr>
                  </w:pPr>
                  <w:r>
                    <w:rPr>
                      <w:rFonts w:hint="eastAsia"/>
                      <w:lang w:val="en-US" w:eastAsia="zh-CN"/>
                    </w:rPr>
                    <w:t>达标</w:t>
                  </w:r>
                </w:p>
              </w:tc>
            </w:tr>
            <w:tr w14:paraId="6510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29" w:type="pct"/>
                  <w:vMerge w:val="continue"/>
                  <w:vAlign w:val="center"/>
                </w:tcPr>
                <w:p w14:paraId="789A30E9">
                  <w:pPr>
                    <w:pStyle w:val="50"/>
                    <w:bidi w:val="0"/>
                    <w:rPr>
                      <w:rFonts w:hint="default"/>
                      <w:lang w:val="en-US" w:eastAsia="zh-CN"/>
                    </w:rPr>
                  </w:pPr>
                </w:p>
              </w:tc>
              <w:tc>
                <w:tcPr>
                  <w:tcW w:w="791" w:type="pct"/>
                  <w:vAlign w:val="center"/>
                </w:tcPr>
                <w:p w14:paraId="06C04D89">
                  <w:pPr>
                    <w:pStyle w:val="50"/>
                    <w:bidi w:val="0"/>
                    <w:rPr>
                      <w:rFonts w:hint="default"/>
                      <w:lang w:val="en-US" w:eastAsia="zh-CN"/>
                    </w:rPr>
                  </w:pPr>
                  <w:r>
                    <w:rPr>
                      <w:rFonts w:hint="eastAsia"/>
                      <w:lang w:val="en-US" w:eastAsia="zh-CN"/>
                    </w:rPr>
                    <w:t>2022.4.23</w:t>
                  </w:r>
                </w:p>
              </w:tc>
              <w:tc>
                <w:tcPr>
                  <w:tcW w:w="1271" w:type="pct"/>
                  <w:vAlign w:val="center"/>
                </w:tcPr>
                <w:p w14:paraId="68BDF8FC">
                  <w:pPr>
                    <w:pStyle w:val="50"/>
                    <w:bidi w:val="0"/>
                    <w:rPr>
                      <w:rFonts w:hint="default"/>
                      <w:lang w:val="en-US" w:eastAsia="zh-CN"/>
                    </w:rPr>
                  </w:pPr>
                  <w:r>
                    <w:rPr>
                      <w:rFonts w:hint="default"/>
                      <w:lang w:val="en-US" w:eastAsia="zh-CN"/>
                    </w:rPr>
                    <w:t>0.264</w:t>
                  </w:r>
                </w:p>
              </w:tc>
              <w:tc>
                <w:tcPr>
                  <w:tcW w:w="951" w:type="pct"/>
                  <w:vMerge w:val="continue"/>
                  <w:vAlign w:val="center"/>
                </w:tcPr>
                <w:p w14:paraId="7AB4B041">
                  <w:pPr>
                    <w:pStyle w:val="50"/>
                    <w:bidi w:val="0"/>
                    <w:rPr>
                      <w:rFonts w:hint="default"/>
                      <w:lang w:val="en-US" w:eastAsia="zh-CN"/>
                    </w:rPr>
                  </w:pPr>
                </w:p>
              </w:tc>
              <w:tc>
                <w:tcPr>
                  <w:tcW w:w="1158" w:type="pct"/>
                  <w:vAlign w:val="center"/>
                </w:tcPr>
                <w:p w14:paraId="12560EC5">
                  <w:pPr>
                    <w:pStyle w:val="50"/>
                    <w:bidi w:val="0"/>
                    <w:rPr>
                      <w:rFonts w:hint="default"/>
                      <w:lang w:val="en-US" w:eastAsia="zh-CN"/>
                    </w:rPr>
                  </w:pPr>
                  <w:r>
                    <w:rPr>
                      <w:rFonts w:hint="eastAsia"/>
                      <w:lang w:val="en-US" w:eastAsia="zh-CN"/>
                    </w:rPr>
                    <w:t>88</w:t>
                  </w:r>
                </w:p>
              </w:tc>
              <w:tc>
                <w:tcPr>
                  <w:tcW w:w="497" w:type="pct"/>
                  <w:vAlign w:val="center"/>
                </w:tcPr>
                <w:p w14:paraId="504B6346">
                  <w:pPr>
                    <w:pStyle w:val="50"/>
                    <w:bidi w:val="0"/>
                    <w:rPr>
                      <w:rFonts w:hint="default"/>
                      <w:lang w:val="en-US" w:eastAsia="zh-CN"/>
                    </w:rPr>
                  </w:pPr>
                  <w:r>
                    <w:rPr>
                      <w:rFonts w:hint="eastAsia"/>
                      <w:lang w:val="en-US" w:eastAsia="zh-CN"/>
                    </w:rPr>
                    <w:t>达标</w:t>
                  </w:r>
                </w:p>
              </w:tc>
            </w:tr>
            <w:tr w14:paraId="3E9E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vMerge w:val="continue"/>
                  <w:vAlign w:val="center"/>
                </w:tcPr>
                <w:p w14:paraId="229A87E7">
                  <w:pPr>
                    <w:pStyle w:val="50"/>
                    <w:bidi w:val="0"/>
                    <w:rPr>
                      <w:rFonts w:hint="default"/>
                      <w:lang w:val="en-US" w:eastAsia="zh-CN"/>
                    </w:rPr>
                  </w:pPr>
                </w:p>
              </w:tc>
              <w:tc>
                <w:tcPr>
                  <w:tcW w:w="791" w:type="pct"/>
                  <w:vAlign w:val="center"/>
                </w:tcPr>
                <w:p w14:paraId="783B1CA6">
                  <w:pPr>
                    <w:pStyle w:val="50"/>
                    <w:bidi w:val="0"/>
                    <w:rPr>
                      <w:rFonts w:hint="default"/>
                      <w:lang w:val="en-US" w:eastAsia="zh-CN"/>
                    </w:rPr>
                  </w:pPr>
                  <w:r>
                    <w:rPr>
                      <w:rFonts w:hint="eastAsia"/>
                      <w:lang w:val="en-US" w:eastAsia="zh-CN"/>
                    </w:rPr>
                    <w:t>2022.4.24</w:t>
                  </w:r>
                </w:p>
              </w:tc>
              <w:tc>
                <w:tcPr>
                  <w:tcW w:w="1271" w:type="pct"/>
                  <w:vAlign w:val="center"/>
                </w:tcPr>
                <w:p w14:paraId="351AEA91">
                  <w:pPr>
                    <w:pStyle w:val="50"/>
                    <w:bidi w:val="0"/>
                    <w:rPr>
                      <w:rFonts w:hint="default"/>
                      <w:lang w:val="en-US" w:eastAsia="zh-CN"/>
                    </w:rPr>
                  </w:pPr>
                  <w:r>
                    <w:rPr>
                      <w:rFonts w:hint="default"/>
                      <w:lang w:val="en-US" w:eastAsia="zh-CN"/>
                    </w:rPr>
                    <w:t>0.242</w:t>
                  </w:r>
                </w:p>
              </w:tc>
              <w:tc>
                <w:tcPr>
                  <w:tcW w:w="951" w:type="pct"/>
                  <w:vMerge w:val="continue"/>
                  <w:vAlign w:val="center"/>
                </w:tcPr>
                <w:p w14:paraId="13B579C3">
                  <w:pPr>
                    <w:pStyle w:val="50"/>
                    <w:bidi w:val="0"/>
                    <w:rPr>
                      <w:rFonts w:hint="default"/>
                      <w:lang w:val="en-US" w:eastAsia="zh-CN"/>
                    </w:rPr>
                  </w:pPr>
                </w:p>
              </w:tc>
              <w:tc>
                <w:tcPr>
                  <w:tcW w:w="1158" w:type="pct"/>
                  <w:vAlign w:val="center"/>
                </w:tcPr>
                <w:p w14:paraId="78F57015">
                  <w:pPr>
                    <w:pStyle w:val="50"/>
                    <w:bidi w:val="0"/>
                    <w:rPr>
                      <w:rFonts w:hint="default"/>
                      <w:lang w:val="en-US" w:eastAsia="zh-CN"/>
                    </w:rPr>
                  </w:pPr>
                  <w:r>
                    <w:rPr>
                      <w:rFonts w:hint="eastAsia"/>
                      <w:lang w:val="en-US" w:eastAsia="zh-CN"/>
                    </w:rPr>
                    <w:t>81</w:t>
                  </w:r>
                </w:p>
              </w:tc>
              <w:tc>
                <w:tcPr>
                  <w:tcW w:w="497" w:type="pct"/>
                  <w:vAlign w:val="center"/>
                </w:tcPr>
                <w:p w14:paraId="2E5CC6AA">
                  <w:pPr>
                    <w:pStyle w:val="50"/>
                    <w:bidi w:val="0"/>
                    <w:rPr>
                      <w:rFonts w:hint="default"/>
                      <w:lang w:val="en-US" w:eastAsia="zh-CN"/>
                    </w:rPr>
                  </w:pPr>
                  <w:r>
                    <w:rPr>
                      <w:rFonts w:hint="eastAsia"/>
                      <w:lang w:val="en-US" w:eastAsia="zh-CN"/>
                    </w:rPr>
                    <w:t>达标</w:t>
                  </w:r>
                </w:p>
              </w:tc>
            </w:tr>
          </w:tbl>
          <w:p w14:paraId="6DD9AB55">
            <w:pPr>
              <w:pStyle w:val="54"/>
              <w:bidi w:val="0"/>
              <w:rPr>
                <w:rFonts w:hint="eastAsia"/>
              </w:rPr>
            </w:pPr>
            <w:r>
              <w:t>根据特征污染物补充监测数据结果，项目所在区域</w:t>
            </w:r>
            <w:r>
              <w:rPr>
                <w:rFonts w:hint="eastAsia"/>
              </w:rPr>
              <w:t>TSP</w:t>
            </w:r>
            <w:r>
              <w:t>最大浓度占标率范围在</w:t>
            </w:r>
            <w:r>
              <w:rPr>
                <w:rFonts w:hint="eastAsia"/>
                <w:lang w:val="en-US" w:eastAsia="zh-CN"/>
              </w:rPr>
              <w:t>78%-88%</w:t>
            </w:r>
            <w:r>
              <w:t>，</w:t>
            </w:r>
            <w:r>
              <w:rPr>
                <w:rFonts w:hint="eastAsia"/>
                <w:lang w:val="en-US" w:eastAsia="zh-CN"/>
              </w:rPr>
              <w:t>氮氧化物</w:t>
            </w:r>
            <w:r>
              <w:t>最大浓度占标率在</w:t>
            </w:r>
            <w:r>
              <w:rPr>
                <w:rFonts w:hint="eastAsia"/>
                <w:lang w:val="en-US" w:eastAsia="zh-CN"/>
              </w:rPr>
              <w:t>5-8%</w:t>
            </w:r>
            <w:r>
              <w:rPr>
                <w:rFonts w:hint="eastAsia"/>
                <w:lang w:eastAsia="zh-CN"/>
              </w:rPr>
              <w:t>。均</w:t>
            </w:r>
            <w:r>
              <w:t>满足《环境空气质量标准》（GB3095-2012）及其修改单二级标准限值要求。</w:t>
            </w:r>
          </w:p>
          <w:p w14:paraId="289788D3">
            <w:pPr>
              <w:pStyle w:val="52"/>
              <w:bidi w:val="0"/>
              <w:rPr>
                <w:rFonts w:hint="default"/>
                <w:lang w:val="en-US" w:eastAsia="zh-CN"/>
              </w:rPr>
            </w:pPr>
            <w:r>
              <w:rPr>
                <w:rFonts w:hint="eastAsia"/>
                <w:lang w:val="en-US" w:eastAsia="zh-CN"/>
              </w:rPr>
              <w:t>2.地表水</w:t>
            </w:r>
            <w:bookmarkStart w:id="2" w:name="_Toc329596219"/>
            <w:bookmarkStart w:id="3" w:name="_Toc396385923"/>
            <w:r>
              <w:rPr>
                <w:rFonts w:hint="eastAsia"/>
                <w:lang w:val="en-US" w:eastAsia="zh-CN"/>
              </w:rPr>
              <w:t>环境质量现状</w:t>
            </w:r>
          </w:p>
          <w:bookmarkEnd w:id="2"/>
          <w:bookmarkEnd w:id="3"/>
          <w:p w14:paraId="7B4D68A0">
            <w:pPr>
              <w:pStyle w:val="54"/>
              <w:bidi w:val="0"/>
              <w:rPr>
                <w:rFonts w:hint="default"/>
                <w:lang w:val="en-US" w:eastAsia="zh-CN"/>
              </w:rPr>
            </w:pPr>
            <w:r>
              <w:rPr>
                <w:rFonts w:hint="default"/>
                <w:lang w:val="en-US" w:eastAsia="zh-CN"/>
              </w:rPr>
              <w:t>根据《202</w:t>
            </w:r>
            <w:r>
              <w:rPr>
                <w:rFonts w:hint="eastAsia"/>
                <w:lang w:val="en-US" w:eastAsia="zh-CN"/>
              </w:rPr>
              <w:t>3</w:t>
            </w:r>
            <w:r>
              <w:rPr>
                <w:rFonts w:hint="default"/>
                <w:lang w:val="en-US" w:eastAsia="zh-CN"/>
              </w:rPr>
              <w:t>年巴音郭楞蒙古自治州生态环境状况公报》</w:t>
            </w:r>
            <w:r>
              <w:rPr>
                <w:rFonts w:hint="eastAsia"/>
                <w:lang w:val="en-US" w:eastAsia="zh-CN"/>
              </w:rPr>
              <w:t>可知</w:t>
            </w:r>
            <w:r>
              <w:rPr>
                <w:rFonts w:hint="default"/>
                <w:lang w:val="en-US" w:eastAsia="zh-CN"/>
              </w:rPr>
              <w:t>：</w:t>
            </w:r>
            <w:r>
              <w:rPr>
                <w:rFonts w:hint="eastAsia"/>
                <w:lang w:val="en-US" w:eastAsia="zh-CN"/>
              </w:rPr>
              <w:t>2023年，全州地表水监测的31个考核断面中，I~III类优良水质断面占比77.42%，与2022年相比下降了4.2个百分点；IV类水质断面占比22.58%，比2022年增加75个百分点；无V类水体，符合2023年水质考核目标。主要水质影响因子为化学需氧量、氟化物、高锰酸盐指数</w:t>
            </w:r>
            <w:r>
              <w:rPr>
                <w:rFonts w:hint="default"/>
                <w:lang w:val="en-US" w:eastAsia="zh-CN"/>
              </w:rPr>
              <w:t>。</w:t>
            </w:r>
          </w:p>
          <w:p w14:paraId="42C1875B">
            <w:pPr>
              <w:pStyle w:val="54"/>
              <w:bidi w:val="0"/>
              <w:rPr>
                <w:rFonts w:hint="eastAsia"/>
                <w:lang w:val="en-US" w:eastAsia="zh-CN"/>
              </w:rPr>
            </w:pPr>
            <w:r>
              <w:rPr>
                <w:rFonts w:hint="eastAsia"/>
                <w:lang w:val="en-US" w:eastAsia="zh-CN"/>
              </w:rPr>
              <w:t>2023年孔雀河、开都河、黄水沟、迪那河、车尔臣河、塔里木河6条主要河流19个监测断面中I~III类优良水质断面占100%，与2022年相比无变化，主要水质影响因子为高锰酸盐、氟化物。</w:t>
            </w:r>
          </w:p>
          <w:p w14:paraId="56E88B3D">
            <w:pPr>
              <w:pStyle w:val="54"/>
              <w:bidi w:val="0"/>
              <w:rPr>
                <w:rFonts w:hint="default"/>
                <w:lang w:val="en-US" w:eastAsia="zh-CN"/>
              </w:rPr>
            </w:pPr>
            <w:r>
              <w:rPr>
                <w:rFonts w:hint="eastAsia"/>
                <w:lang w:val="en-US" w:eastAsia="zh-CN"/>
              </w:rPr>
              <w:t>本项目区最近的地表水体位于南侧12km的孔雀河，根据巴州人民政府发布的《2023年巴音郭楞蒙古自治州生态环境状况公报》可知；孔雀湖</w:t>
            </w:r>
            <w:r>
              <w:rPr>
                <w:rFonts w:hint="default"/>
                <w:lang w:val="en-US" w:eastAsia="zh-CN"/>
              </w:rPr>
              <w:t>水质</w:t>
            </w:r>
            <w:r>
              <w:rPr>
                <w:rFonts w:hint="eastAsia"/>
                <w:lang w:val="en-US" w:eastAsia="zh-CN"/>
              </w:rPr>
              <w:t>满足</w:t>
            </w:r>
            <w:r>
              <w:rPr>
                <w:rFonts w:hint="default"/>
                <w:lang w:val="en-US" w:eastAsia="zh-CN"/>
              </w:rPr>
              <w:t>《地表水环境质量标准》（GB3838-2002）</w:t>
            </w:r>
            <w:r>
              <w:rPr>
                <w:rFonts w:hint="eastAsia"/>
                <w:lang w:val="en-US" w:eastAsia="zh-CN"/>
              </w:rPr>
              <w:t>III</w:t>
            </w:r>
            <w:r>
              <w:rPr>
                <w:rFonts w:hint="default"/>
                <w:lang w:val="en-US" w:eastAsia="zh-CN"/>
              </w:rPr>
              <w:t>类标准限值要求。</w:t>
            </w:r>
          </w:p>
          <w:p w14:paraId="34BFB6DE">
            <w:pPr>
              <w:pStyle w:val="60"/>
              <w:bidi w:val="0"/>
              <w:rPr>
                <w:rFonts w:hint="default"/>
              </w:rPr>
            </w:pPr>
            <w:r>
              <w:rPr>
                <w:rFonts w:hint="eastAsia"/>
                <w:lang w:val="en-US" w:eastAsia="zh-CN"/>
              </w:rPr>
              <w:t>3.</w:t>
            </w:r>
            <w:r>
              <w:rPr>
                <w:rFonts w:hint="default"/>
              </w:rPr>
              <w:t>声环境质量现状</w:t>
            </w:r>
          </w:p>
          <w:p w14:paraId="2DCDB374">
            <w:pPr>
              <w:pStyle w:val="54"/>
              <w:bidi w:val="0"/>
              <w:rPr>
                <w:rFonts w:hint="default"/>
                <w:lang w:val="en-US" w:eastAsia="zh-CN"/>
              </w:rPr>
            </w:pPr>
            <w:r>
              <w:rPr>
                <w:rFonts w:hint="default"/>
                <w:lang w:val="en-US" w:eastAsia="zh-CN"/>
              </w:rPr>
              <w:t>根据《建设项目环境影响报告表编制技术指南（污染影响类）（试行）》，厂界外周边50米范围内不存在声环境保护目标的建设项目，因此不进行监测。</w:t>
            </w:r>
          </w:p>
          <w:p w14:paraId="05463BB8">
            <w:pPr>
              <w:pStyle w:val="52"/>
              <w:bidi w:val="0"/>
              <w:rPr>
                <w:rFonts w:hint="default"/>
                <w:lang w:val="en-US" w:eastAsia="zh-CN"/>
              </w:rPr>
            </w:pPr>
            <w:r>
              <w:rPr>
                <w:rFonts w:hint="eastAsia"/>
                <w:lang w:val="en-US" w:eastAsia="zh-CN"/>
              </w:rPr>
              <w:t>4.生态环境质量现状</w:t>
            </w:r>
          </w:p>
          <w:p w14:paraId="4383EB9E">
            <w:pPr>
              <w:pStyle w:val="54"/>
              <w:bidi w:val="0"/>
              <w:rPr>
                <w:rFonts w:hint="eastAsia"/>
                <w:highlight w:val="none"/>
                <w:lang w:val="en-US" w:eastAsia="zh-CN"/>
              </w:rPr>
            </w:pPr>
            <w:r>
              <w:rPr>
                <w:rFonts w:hint="eastAsia" w:ascii="宋体" w:hAnsi="宋体" w:cs="宋体"/>
                <w:szCs w:val="21"/>
                <w:lang w:val="en-US" w:eastAsia="zh-CN"/>
              </w:rPr>
              <w:t>本项目位于新疆维吾尔自治区库尔勒市上库综合产业园区内，</w:t>
            </w:r>
            <w:r>
              <w:rPr>
                <w:rFonts w:hint="default"/>
                <w:highlight w:val="none"/>
                <w:lang w:val="en-US" w:eastAsia="zh-CN"/>
              </w:rPr>
              <w:t>根据《建设项目环境影响报告表编制技术指南（污染影响类）（试行）》</w:t>
            </w:r>
            <w:r>
              <w:rPr>
                <w:rFonts w:hint="eastAsia"/>
                <w:highlight w:val="none"/>
                <w:lang w:val="en-US" w:eastAsia="zh-CN"/>
              </w:rPr>
              <w:t>的要求，本项目土地用途为工业用地，用地范围内无生态环境保护目标，可不进行生态现状调查。</w:t>
            </w:r>
          </w:p>
          <w:p w14:paraId="52E536F3">
            <w:pPr>
              <w:pStyle w:val="60"/>
              <w:bidi w:val="0"/>
              <w:rPr>
                <w:rFonts w:hint="eastAsia"/>
                <w:lang w:val="en-US" w:eastAsia="zh-CN"/>
              </w:rPr>
            </w:pPr>
            <w:r>
              <w:rPr>
                <w:rFonts w:hint="eastAsia"/>
                <w:lang w:val="en-US" w:eastAsia="zh-CN"/>
              </w:rPr>
              <w:t>5.地下水、土壤环境质量现状</w:t>
            </w:r>
          </w:p>
          <w:p w14:paraId="57EECEE3">
            <w:pPr>
              <w:pStyle w:val="47"/>
              <w:bidi w:val="0"/>
              <w:rPr>
                <w:rFonts w:hint="eastAsia"/>
                <w:lang w:val="en-US" w:eastAsia="zh-CN"/>
              </w:rPr>
            </w:pPr>
            <w:r>
              <w:rPr>
                <w:rFonts w:hint="eastAsia"/>
                <w:lang w:val="en-US" w:eastAsia="zh-CN"/>
              </w:rPr>
              <w:t>根据《建设项目环境影响报告表编制技术指南（污染影响类）（试行）》的要求，原则上不开展环境质量现状调查。建设项目存在土壤、地下水环境污染途径的，应结合污染源、保护目标分布情况开展现状调查以留作背景值。</w:t>
            </w:r>
          </w:p>
          <w:p w14:paraId="16E2157A">
            <w:pPr>
              <w:pStyle w:val="47"/>
              <w:bidi w:val="0"/>
              <w:rPr>
                <w:rFonts w:hint="default"/>
                <w:lang w:val="en-US" w:eastAsia="zh-CN"/>
              </w:rPr>
            </w:pPr>
            <w:r>
              <w:rPr>
                <w:rFonts w:hint="eastAsia"/>
                <w:lang w:val="en-US" w:eastAsia="zh-CN"/>
              </w:rPr>
              <w:t>本项目不存在土壤、地下水环境污染途径，故无需开展地下水、土壤环境质量现状调查。</w:t>
            </w:r>
          </w:p>
        </w:tc>
      </w:tr>
      <w:tr w14:paraId="289F0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00" w:type="dxa"/>
            <w:noWrap w:val="0"/>
            <w:vAlign w:val="center"/>
          </w:tcPr>
          <w:p w14:paraId="390E2D28">
            <w:pPr>
              <w:adjustRightInd w:val="0"/>
              <w:snapToGrid w:val="0"/>
              <w:jc w:val="center"/>
              <w:rPr>
                <w:rFonts w:hint="eastAsia" w:ascii="宋体" w:hAnsi="宋体" w:cs="宋体"/>
                <w:kern w:val="0"/>
                <w:szCs w:val="21"/>
              </w:rPr>
            </w:pPr>
            <w:r>
              <w:rPr>
                <w:rFonts w:hint="eastAsia" w:ascii="宋体" w:hAnsi="宋体" w:cs="宋体"/>
                <w:kern w:val="0"/>
                <w:szCs w:val="21"/>
              </w:rPr>
              <w:t>环境</w:t>
            </w:r>
          </w:p>
          <w:p w14:paraId="49A0945F">
            <w:pPr>
              <w:adjustRightInd w:val="0"/>
              <w:snapToGrid w:val="0"/>
              <w:jc w:val="center"/>
              <w:rPr>
                <w:rFonts w:hint="eastAsia" w:ascii="宋体" w:hAnsi="宋体" w:cs="宋体"/>
                <w:kern w:val="0"/>
                <w:szCs w:val="21"/>
              </w:rPr>
            </w:pPr>
            <w:r>
              <w:rPr>
                <w:rFonts w:hint="eastAsia" w:ascii="宋体" w:hAnsi="宋体" w:cs="宋体"/>
                <w:kern w:val="0"/>
                <w:szCs w:val="21"/>
              </w:rPr>
              <w:t>保护</w:t>
            </w:r>
          </w:p>
          <w:p w14:paraId="173B8E94">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190" w:type="dxa"/>
            <w:noWrap w:val="0"/>
            <w:vAlign w:val="center"/>
          </w:tcPr>
          <w:p w14:paraId="21DD4C42">
            <w:pPr>
              <w:pStyle w:val="48"/>
              <w:bidi w:val="0"/>
              <w:rPr>
                <w:rFonts w:hint="default"/>
                <w:lang w:val="en-US" w:eastAsia="zh-CN"/>
              </w:rPr>
            </w:pPr>
            <w:r>
              <w:rPr>
                <w:rFonts w:hint="eastAsia"/>
                <w:lang w:val="en-US" w:eastAsia="zh-CN"/>
              </w:rPr>
              <w:t>1.大气环境保护目标</w:t>
            </w:r>
          </w:p>
          <w:p w14:paraId="74B933C0">
            <w:pPr>
              <w:pStyle w:val="54"/>
              <w:bidi w:val="0"/>
              <w:rPr>
                <w:rFonts w:hint="eastAsia"/>
                <w:lang w:val="en-US" w:eastAsia="zh-CN"/>
              </w:rPr>
            </w:pPr>
            <w:r>
              <w:rPr>
                <w:rFonts w:hint="eastAsia"/>
                <w:lang w:val="en-US" w:eastAsia="zh-CN"/>
              </w:rPr>
              <w:t>根据《建设项目环境影响报告表编制技术指南（污染影响型）（试行）》指南要求调查到本项目厂界外500m范围内不含人群较集中的区域保护目标。</w:t>
            </w:r>
          </w:p>
          <w:p w14:paraId="214E5A1A">
            <w:pPr>
              <w:pStyle w:val="48"/>
              <w:bidi w:val="0"/>
              <w:rPr>
                <w:rFonts w:hint="default"/>
                <w:lang w:val="en-US" w:eastAsia="zh-CN"/>
              </w:rPr>
            </w:pPr>
            <w:r>
              <w:rPr>
                <w:rFonts w:hint="eastAsia"/>
                <w:lang w:val="en-US" w:eastAsia="zh-CN"/>
              </w:rPr>
              <w:t>2.声环境保护目标</w:t>
            </w:r>
          </w:p>
          <w:p w14:paraId="1096183F">
            <w:pPr>
              <w:pStyle w:val="54"/>
              <w:bidi w:val="0"/>
              <w:rPr>
                <w:rFonts w:hint="eastAsia"/>
                <w:lang w:val="en-US" w:eastAsia="zh-CN"/>
              </w:rPr>
            </w:pPr>
            <w:r>
              <w:rPr>
                <w:rFonts w:hint="eastAsia"/>
                <w:lang w:val="en-US" w:eastAsia="zh-CN"/>
              </w:rPr>
              <w:t>根据《声环境质量标准》（GB3096-2008）可知项目区位于3类功能区。根据《建设项目环境影响报告表编制技术指南（污染影响型）（试行）》指南要求，调查到本项目厂界外50m范围内不含人群较集中的区域保护目标。</w:t>
            </w:r>
          </w:p>
          <w:p w14:paraId="413EB8F9">
            <w:pPr>
              <w:pStyle w:val="48"/>
              <w:bidi w:val="0"/>
              <w:rPr>
                <w:rFonts w:hint="default"/>
                <w:lang w:val="en-US" w:eastAsia="zh-CN"/>
              </w:rPr>
            </w:pPr>
            <w:r>
              <w:rPr>
                <w:rFonts w:hint="eastAsia"/>
                <w:lang w:val="en-US" w:eastAsia="zh-CN"/>
              </w:rPr>
              <w:t>3.地下水环境保护目标</w:t>
            </w:r>
          </w:p>
          <w:p w14:paraId="1074D6EB">
            <w:pPr>
              <w:pStyle w:val="54"/>
              <w:bidi w:val="0"/>
              <w:rPr>
                <w:rFonts w:hint="default"/>
                <w:lang w:val="en-US" w:eastAsia="zh-CN"/>
              </w:rPr>
            </w:pPr>
            <w:r>
              <w:rPr>
                <w:rFonts w:hint="default"/>
                <w:lang w:val="en-US" w:eastAsia="zh-CN"/>
              </w:rPr>
              <w:t>本项目厂界外500m范围内无地下水集中式饮用水水源和热水、矿泉水、温泉等特殊地下水资源。</w:t>
            </w:r>
          </w:p>
          <w:p w14:paraId="01E2C68B">
            <w:pPr>
              <w:pStyle w:val="48"/>
              <w:bidi w:val="0"/>
              <w:rPr>
                <w:rFonts w:hint="default"/>
                <w:lang w:val="en-US" w:eastAsia="zh-CN"/>
              </w:rPr>
            </w:pPr>
            <w:r>
              <w:rPr>
                <w:rFonts w:hint="eastAsia"/>
                <w:lang w:val="en-US" w:eastAsia="zh-CN"/>
              </w:rPr>
              <w:t>4.生态环境保护目标</w:t>
            </w:r>
          </w:p>
          <w:p w14:paraId="5EA28C0C">
            <w:pPr>
              <w:pStyle w:val="54"/>
              <w:bidi w:val="0"/>
              <w:rPr>
                <w:rFonts w:ascii="宋体" w:hAnsi="宋体" w:cs="宋体"/>
                <w:kern w:val="0"/>
                <w:szCs w:val="21"/>
              </w:rPr>
            </w:pPr>
            <w:r>
              <w:rPr>
                <w:rFonts w:hint="eastAsia"/>
                <w:lang w:val="en-US" w:eastAsia="zh-CN"/>
              </w:rPr>
              <w:t>本项目位于新疆维吾尔自治区库尔勒市上库综合产业园区内，用地范围内不含有生态环境保护目标。</w:t>
            </w:r>
          </w:p>
        </w:tc>
      </w:tr>
      <w:tr w14:paraId="7523F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00" w:type="dxa"/>
            <w:noWrap w:val="0"/>
            <w:tcMar>
              <w:left w:w="28" w:type="dxa"/>
              <w:right w:w="28" w:type="dxa"/>
            </w:tcMar>
            <w:vAlign w:val="center"/>
          </w:tcPr>
          <w:p w14:paraId="780333E3">
            <w:pPr>
              <w:adjustRightInd w:val="0"/>
              <w:snapToGrid w:val="0"/>
              <w:jc w:val="center"/>
              <w:rPr>
                <w:rFonts w:hint="eastAsia" w:ascii="宋体" w:hAnsi="宋体" w:cs="宋体"/>
                <w:kern w:val="0"/>
                <w:szCs w:val="21"/>
              </w:rPr>
            </w:pPr>
            <w:r>
              <w:rPr>
                <w:rFonts w:hint="eastAsia" w:ascii="宋体" w:hAnsi="宋体" w:cs="宋体"/>
                <w:kern w:val="0"/>
                <w:szCs w:val="21"/>
              </w:rPr>
              <w:t>污染</w:t>
            </w:r>
          </w:p>
          <w:p w14:paraId="214C2784">
            <w:pPr>
              <w:adjustRightInd w:val="0"/>
              <w:snapToGrid w:val="0"/>
              <w:jc w:val="center"/>
              <w:rPr>
                <w:rFonts w:hint="eastAsia" w:ascii="宋体" w:hAnsi="宋体" w:cs="宋体"/>
                <w:kern w:val="0"/>
                <w:szCs w:val="21"/>
              </w:rPr>
            </w:pPr>
            <w:r>
              <w:rPr>
                <w:rFonts w:hint="eastAsia" w:ascii="宋体" w:hAnsi="宋体" w:cs="宋体"/>
                <w:kern w:val="0"/>
                <w:szCs w:val="21"/>
              </w:rPr>
              <w:t>物排</w:t>
            </w:r>
          </w:p>
          <w:p w14:paraId="48621B4D">
            <w:pPr>
              <w:adjustRightInd w:val="0"/>
              <w:snapToGrid w:val="0"/>
              <w:jc w:val="center"/>
              <w:rPr>
                <w:rFonts w:hint="eastAsia" w:ascii="宋体" w:hAnsi="宋体" w:cs="宋体"/>
                <w:kern w:val="0"/>
                <w:szCs w:val="21"/>
              </w:rPr>
            </w:pPr>
            <w:r>
              <w:rPr>
                <w:rFonts w:hint="eastAsia" w:ascii="宋体" w:hAnsi="宋体" w:cs="宋体"/>
                <w:kern w:val="0"/>
                <w:szCs w:val="21"/>
              </w:rPr>
              <w:t>放控</w:t>
            </w:r>
          </w:p>
          <w:p w14:paraId="0167C53B">
            <w:pPr>
              <w:adjustRightInd w:val="0"/>
              <w:snapToGrid w:val="0"/>
              <w:jc w:val="center"/>
              <w:rPr>
                <w:rFonts w:hint="eastAsia" w:ascii="宋体" w:hAnsi="宋体" w:cs="宋体"/>
                <w:kern w:val="0"/>
                <w:szCs w:val="21"/>
              </w:rPr>
            </w:pPr>
            <w:r>
              <w:rPr>
                <w:rFonts w:hint="eastAsia" w:ascii="宋体" w:hAnsi="宋体" w:cs="宋体"/>
                <w:kern w:val="0"/>
                <w:szCs w:val="21"/>
              </w:rPr>
              <w:t>制标</w:t>
            </w:r>
          </w:p>
          <w:p w14:paraId="1C6949ED">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noWrap w:val="0"/>
            <w:vAlign w:val="center"/>
          </w:tcPr>
          <w:p w14:paraId="175B0D54">
            <w:pPr>
              <w:pStyle w:val="60"/>
              <w:bidi w:val="0"/>
              <w:rPr>
                <w:rFonts w:hint="eastAsia"/>
                <w:lang w:val="en-US" w:eastAsia="zh-CN"/>
              </w:rPr>
            </w:pPr>
            <w:r>
              <w:rPr>
                <w:rFonts w:hint="eastAsia"/>
                <w:lang w:val="en-US" w:eastAsia="zh-CN"/>
              </w:rPr>
              <w:t>1.营运期污染物排放控制标准</w:t>
            </w:r>
          </w:p>
          <w:p w14:paraId="2B644C37">
            <w:pPr>
              <w:pStyle w:val="60"/>
              <w:bidi w:val="0"/>
              <w:rPr>
                <w:rFonts w:hint="eastAsia"/>
                <w:lang w:val="en-US" w:eastAsia="zh-CN"/>
              </w:rPr>
            </w:pPr>
            <w:r>
              <w:rPr>
                <w:rFonts w:hint="eastAsia"/>
                <w:lang w:val="en-US" w:eastAsia="zh-CN"/>
              </w:rPr>
              <w:t>1.1废气</w:t>
            </w:r>
          </w:p>
          <w:p w14:paraId="5069628B">
            <w:pPr>
              <w:pStyle w:val="54"/>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lang w:val="en-US" w:eastAsia="zh-CN"/>
              </w:rPr>
              <w:t>本项目喷漆工序产生的颗粒物、</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非甲烷总烃执行《大气污染物</w:t>
            </w:r>
            <w:r>
              <w:rPr>
                <w:rFonts w:hint="eastAsia" w:cs="Times New Roman"/>
                <w:color w:val="000000" w:themeColor="text1"/>
                <w:szCs w:val="21"/>
                <w:highlight w:val="none"/>
                <w:lang w:val="en-US" w:eastAsia="zh-CN"/>
                <w14:textFill>
                  <w14:solidFill>
                    <w14:schemeClr w14:val="tx1"/>
                  </w14:solidFill>
                </w14:textFill>
              </w:rPr>
              <w:t>综合</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排放标准》（GB</w:t>
            </w:r>
            <w:r>
              <w:rPr>
                <w:rFonts w:hint="eastAsia" w:cs="Times New Roman"/>
                <w:color w:val="000000" w:themeColor="text1"/>
                <w:szCs w:val="21"/>
                <w:highlight w:val="none"/>
                <w:lang w:val="en-US" w:eastAsia="zh-CN"/>
                <w14:textFill>
                  <w14:solidFill>
                    <w14:schemeClr w14:val="tx1"/>
                  </w14:solidFill>
                </w14:textFill>
              </w:rPr>
              <w:t>16297</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1996</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）表</w:t>
            </w:r>
            <w:r>
              <w:rPr>
                <w:rFonts w:hint="eastAsia" w:cs="Times New Roman"/>
                <w:color w:val="000000" w:themeColor="text1"/>
                <w:szCs w:val="2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大气污染物排放限值；</w:t>
            </w:r>
            <w:r>
              <w:rPr>
                <w:rFonts w:hint="eastAsia" w:cs="Times New Roman"/>
                <w:color w:val="000000" w:themeColor="text1"/>
                <w:szCs w:val="21"/>
                <w:highlight w:val="none"/>
                <w:lang w:val="en-US" w:eastAsia="zh-CN"/>
                <w14:textFill>
                  <w14:solidFill>
                    <w14:schemeClr w14:val="tx1"/>
                  </w14:solidFill>
                </w14:textFill>
              </w:rPr>
              <w:t>天然气烘干炉燃烧</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产生的颗粒物</w:t>
            </w:r>
            <w:r>
              <w:rPr>
                <w:rFonts w:hint="eastAsia" w:cs="Times New Roman"/>
                <w:color w:val="000000" w:themeColor="text1"/>
                <w:szCs w:val="21"/>
                <w:highlight w:val="none"/>
                <w:lang w:val="en-US" w:eastAsia="zh-CN"/>
                <w14:textFill>
                  <w14:solidFill>
                    <w14:schemeClr w14:val="tx1"/>
                  </w14:solidFill>
                </w14:textFill>
              </w:rPr>
              <w:t>、NOx和SO</w:t>
            </w:r>
            <w:r>
              <w:rPr>
                <w:rFonts w:hint="eastAsia" w:cs="Times New Roman"/>
                <w:color w:val="000000" w:themeColor="text1"/>
                <w:szCs w:val="21"/>
                <w:highlight w:val="none"/>
                <w:vertAlign w:val="subscript"/>
                <w:lang w:val="en-US" w:eastAsia="zh-CN"/>
                <w14:textFill>
                  <w14:solidFill>
                    <w14:schemeClr w14:val="tx1"/>
                  </w14:solidFill>
                </w14:textFill>
              </w:rPr>
              <w:t>2</w:t>
            </w:r>
            <w:r>
              <w:rPr>
                <w:rFonts w:hint="eastAsia" w:cs="Times New Roman"/>
                <w:color w:val="000000" w:themeColor="text1"/>
                <w:szCs w:val="21"/>
                <w:highlight w:val="none"/>
                <w:vertAlign w:val="baseline"/>
                <w:lang w:val="en-US" w:eastAsia="zh-CN"/>
                <w14:textFill>
                  <w14:solidFill>
                    <w14:schemeClr w14:val="tx1"/>
                  </w14:solidFill>
                </w14:textFill>
              </w:rPr>
              <w:t>排放浓度执行</w:t>
            </w:r>
            <w:r>
              <w:rPr>
                <w:rFonts w:hint="eastAsia" w:cs="Times New Roman"/>
                <w:color w:val="000000" w:themeColor="text1"/>
                <w:szCs w:val="21"/>
                <w:highlight w:val="none"/>
                <w:lang w:val="en-US" w:eastAsia="zh-CN"/>
                <w14:textFill>
                  <w14:solidFill>
                    <w14:schemeClr w14:val="tx1"/>
                  </w14:solidFill>
                </w14:textFill>
              </w:rPr>
              <w:t>《关于印发自治州工业炉窑大气污染综合治理实施方案的通知》（巴环发〔2019〕170号）中排放限值要求（颗粒物：30mg/m³、SO</w:t>
            </w:r>
            <w:r>
              <w:rPr>
                <w:rFonts w:hint="eastAsia" w:cs="Times New Roman"/>
                <w:color w:val="000000" w:themeColor="text1"/>
                <w:szCs w:val="21"/>
                <w:highlight w:val="none"/>
                <w:vertAlign w:val="subscript"/>
                <w:lang w:val="en-US" w:eastAsia="zh-CN"/>
                <w14:textFill>
                  <w14:solidFill>
                    <w14:schemeClr w14:val="tx1"/>
                  </w14:solidFill>
                </w14:textFill>
              </w:rPr>
              <w:t>2</w:t>
            </w:r>
            <w:r>
              <w:rPr>
                <w:rFonts w:hint="eastAsia" w:cs="Times New Roman"/>
                <w:color w:val="000000" w:themeColor="text1"/>
                <w:szCs w:val="21"/>
                <w:highlight w:val="none"/>
                <w:lang w:val="en-US" w:eastAsia="zh-CN"/>
                <w14:textFill>
                  <w14:solidFill>
                    <w14:schemeClr w14:val="tx1"/>
                  </w14:solidFill>
                </w14:textFill>
              </w:rPr>
              <w:t>：200mg/m³、NOx：300mg/m³）</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p w14:paraId="4F993337">
            <w:pPr>
              <w:pStyle w:val="54"/>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厂界</w:t>
            </w:r>
            <w:r>
              <w:rPr>
                <w:rFonts w:hint="eastAsia" w:cs="Times New Roman"/>
                <w:color w:val="000000" w:themeColor="text1"/>
                <w:szCs w:val="21"/>
                <w:highlight w:val="none"/>
                <w:lang w:val="en-US" w:eastAsia="zh-CN"/>
                <w14:textFill>
                  <w14:solidFill>
                    <w14:schemeClr w14:val="tx1"/>
                  </w14:solidFill>
                </w14:textFill>
              </w:rPr>
              <w:t>非甲烷总烃</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执行《</w:t>
            </w:r>
            <w:r>
              <w:rPr>
                <w:rFonts w:hint="eastAsia" w:cs="Times New Roman"/>
                <w:color w:val="000000" w:themeColor="text1"/>
                <w:szCs w:val="21"/>
                <w:highlight w:val="none"/>
                <w:lang w:val="en-US" w:eastAsia="zh-CN"/>
                <w14:textFill>
                  <w14:solidFill>
                    <w14:schemeClr w14:val="tx1"/>
                  </w14:solidFill>
                </w14:textFill>
              </w:rPr>
              <w:t>大气污染物综合</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排放标准》（GB</w:t>
            </w:r>
            <w:r>
              <w:rPr>
                <w:rFonts w:hint="eastAsia" w:cs="Times New Roman"/>
                <w:color w:val="000000" w:themeColor="text1"/>
                <w:szCs w:val="21"/>
                <w:highlight w:val="none"/>
                <w:lang w:val="en-US" w:eastAsia="zh-CN"/>
                <w14:textFill>
                  <w14:solidFill>
                    <w14:schemeClr w14:val="tx1"/>
                  </w14:solidFill>
                </w14:textFill>
              </w:rPr>
              <w:t>16297</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1996</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）表</w:t>
            </w:r>
            <w:r>
              <w:rPr>
                <w:rFonts w:hint="eastAsia" w:cs="Times New Roman"/>
                <w:color w:val="000000" w:themeColor="text1"/>
                <w:szCs w:val="21"/>
                <w:highlight w:val="none"/>
                <w:lang w:val="en-US" w:eastAsia="zh-CN"/>
                <w14:textFill>
                  <w14:solidFill>
                    <w14:schemeClr w14:val="tx1"/>
                  </w14:solidFill>
                </w14:textFill>
              </w:rPr>
              <w:t>2无组织排放监控</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浓度限值；厂</w:t>
            </w:r>
            <w:r>
              <w:rPr>
                <w:rFonts w:hint="eastAsia" w:cs="Times New Roman"/>
                <w:color w:val="000000" w:themeColor="text1"/>
                <w:szCs w:val="21"/>
                <w:highlight w:val="none"/>
                <w:lang w:val="en-US" w:eastAsia="zh-CN"/>
                <w14:textFill>
                  <w14:solidFill>
                    <w14:schemeClr w14:val="tx1"/>
                  </w14:solidFill>
                </w14:textFill>
              </w:rPr>
              <w:t>内</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非甲烷总烃执行</w:t>
            </w:r>
            <w:r>
              <w:rPr>
                <w:rFonts w:hint="eastAsia"/>
                <w:lang w:val="en-US" w:eastAsia="zh-CN"/>
              </w:rPr>
              <w:t>《挥发性有机物无组织排放控制标准》（GB37822-2019）</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表A.1排放限值。</w:t>
            </w:r>
          </w:p>
          <w:p w14:paraId="49E62E02">
            <w:pPr>
              <w:pStyle w:val="54"/>
              <w:keepNext w:val="0"/>
              <w:keepLines w:val="0"/>
              <w:pageBreakBefore w:val="0"/>
              <w:widowControl w:val="0"/>
              <w:kinsoku/>
              <w:wordWrap w:val="0"/>
              <w:overflowPunct/>
              <w:topLinePunct w:val="0"/>
              <w:autoSpaceDE/>
              <w:autoSpaceDN/>
              <w:bidi w:val="0"/>
              <w:adjustRightInd/>
              <w:snapToGrid/>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食堂油烟废气执行《饮食业油烟排放标准》（GB18483-2001）浓度限值</w:t>
            </w:r>
            <w:r>
              <w:rPr>
                <w:rFonts w:hint="eastAsia" w:cs="Times New Roman"/>
                <w:color w:val="000000" w:themeColor="text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营运期大气污染执行标准见表3-</w:t>
            </w:r>
            <w:r>
              <w:rPr>
                <w:rFonts w:hint="eastAsia" w:cs="Times New Roman"/>
                <w:color w:val="000000" w:themeColor="text1"/>
                <w:szCs w:val="2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p w14:paraId="77EFD8B3">
            <w:pPr>
              <w:pStyle w:val="49"/>
              <w:bidi w:val="0"/>
              <w:rPr>
                <w:rFonts w:hint="default"/>
                <w:lang w:val="en-US" w:eastAsia="zh-CN"/>
              </w:rPr>
            </w:pPr>
            <w:r>
              <w:rPr>
                <w:rFonts w:hint="eastAsia"/>
                <w:lang w:val="en-US" w:eastAsia="zh-CN"/>
              </w:rPr>
              <w:t>表3-3     营运期大气污染物排放限值</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60"/>
              <w:gridCol w:w="1189"/>
              <w:gridCol w:w="1195"/>
              <w:gridCol w:w="1010"/>
              <w:gridCol w:w="822"/>
              <w:gridCol w:w="2259"/>
            </w:tblGrid>
            <w:tr w14:paraId="4E8F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14:paraId="19C1FE93">
                  <w:pPr>
                    <w:pStyle w:val="50"/>
                    <w:bidi w:val="0"/>
                    <w:jc w:val="center"/>
                    <w:rPr>
                      <w:rFonts w:hint="default" w:eastAsiaTheme="minorEastAsia"/>
                      <w:lang w:val="en-US" w:eastAsia="zh-CN"/>
                    </w:rPr>
                  </w:pPr>
                  <w:r>
                    <w:rPr>
                      <w:rFonts w:hint="eastAsia"/>
                      <w:lang w:val="en-US" w:eastAsia="zh-CN"/>
                    </w:rPr>
                    <w:t>排放方式</w:t>
                  </w:r>
                </w:p>
              </w:tc>
              <w:tc>
                <w:tcPr>
                  <w:tcW w:w="665" w:type="pct"/>
                  <w:vAlign w:val="center"/>
                </w:tcPr>
                <w:p w14:paraId="55D2B02B">
                  <w:pPr>
                    <w:pStyle w:val="50"/>
                    <w:bidi w:val="0"/>
                    <w:jc w:val="center"/>
                    <w:rPr>
                      <w:rFonts w:hint="default" w:eastAsiaTheme="minorEastAsia"/>
                      <w:lang w:val="en-US" w:eastAsia="zh-CN"/>
                    </w:rPr>
                  </w:pPr>
                  <w:r>
                    <w:rPr>
                      <w:rFonts w:hint="eastAsia"/>
                      <w:lang w:val="en-US" w:eastAsia="zh-CN"/>
                    </w:rPr>
                    <w:t>污染物产生源</w:t>
                  </w:r>
                </w:p>
              </w:tc>
              <w:tc>
                <w:tcPr>
                  <w:tcW w:w="746" w:type="pct"/>
                  <w:vAlign w:val="center"/>
                </w:tcPr>
                <w:p w14:paraId="374943AD">
                  <w:pPr>
                    <w:pStyle w:val="50"/>
                    <w:bidi w:val="0"/>
                    <w:jc w:val="center"/>
                    <w:rPr>
                      <w:rFonts w:hint="default" w:eastAsiaTheme="minorEastAsia"/>
                      <w:lang w:val="en-US" w:eastAsia="zh-CN"/>
                    </w:rPr>
                  </w:pPr>
                  <w:r>
                    <w:rPr>
                      <w:rFonts w:hint="eastAsia"/>
                      <w:lang w:val="en-US" w:eastAsia="zh-CN"/>
                    </w:rPr>
                    <w:t>污染物项目</w:t>
                  </w:r>
                </w:p>
              </w:tc>
              <w:tc>
                <w:tcPr>
                  <w:tcW w:w="750" w:type="pct"/>
                  <w:vAlign w:val="center"/>
                </w:tcPr>
                <w:p w14:paraId="7FDA4FC7">
                  <w:pPr>
                    <w:pStyle w:val="50"/>
                    <w:bidi w:val="0"/>
                    <w:jc w:val="center"/>
                  </w:pPr>
                  <w:r>
                    <w:rPr>
                      <w:rFonts w:hint="eastAsia"/>
                      <w:lang w:val="en-US" w:eastAsia="zh-CN"/>
                    </w:rPr>
                    <w:t>最高允许排放浓度（mg/m</w:t>
                  </w:r>
                  <w:r>
                    <w:rPr>
                      <w:rFonts w:hint="eastAsia"/>
                      <w:vertAlign w:val="superscript"/>
                      <w:lang w:val="en-US" w:eastAsia="zh-CN"/>
                    </w:rPr>
                    <w:t>3</w:t>
                  </w:r>
                  <w:r>
                    <w:rPr>
                      <w:rFonts w:hint="eastAsia"/>
                      <w:lang w:val="en-US" w:eastAsia="zh-CN"/>
                    </w:rPr>
                    <w:t>）</w:t>
                  </w:r>
                </w:p>
              </w:tc>
              <w:tc>
                <w:tcPr>
                  <w:tcW w:w="634" w:type="pct"/>
                  <w:vAlign w:val="center"/>
                </w:tcPr>
                <w:p w14:paraId="74B51A1D">
                  <w:pPr>
                    <w:pStyle w:val="50"/>
                    <w:bidi w:val="0"/>
                    <w:jc w:val="center"/>
                    <w:rPr>
                      <w:rFonts w:hint="default"/>
                      <w:lang w:val="en-US" w:eastAsia="zh-CN"/>
                    </w:rPr>
                  </w:pPr>
                  <w:r>
                    <w:rPr>
                      <w:rFonts w:hint="eastAsia"/>
                      <w:lang w:val="en-US" w:eastAsia="zh-CN"/>
                    </w:rPr>
                    <w:t>最高允许排放速率（kg/h）</w:t>
                  </w:r>
                </w:p>
              </w:tc>
              <w:tc>
                <w:tcPr>
                  <w:tcW w:w="516" w:type="pct"/>
                  <w:vAlign w:val="center"/>
                </w:tcPr>
                <w:p w14:paraId="63E70E35">
                  <w:pPr>
                    <w:pStyle w:val="50"/>
                    <w:bidi w:val="0"/>
                    <w:jc w:val="center"/>
                    <w:rPr>
                      <w:rFonts w:hint="eastAsia"/>
                      <w:lang w:val="en-US" w:eastAsia="zh-CN"/>
                    </w:rPr>
                  </w:pPr>
                  <w:r>
                    <w:rPr>
                      <w:rFonts w:hint="eastAsia"/>
                      <w:lang w:val="en-US" w:eastAsia="zh-CN"/>
                    </w:rPr>
                    <w:t>限值含义</w:t>
                  </w:r>
                </w:p>
              </w:tc>
              <w:tc>
                <w:tcPr>
                  <w:tcW w:w="1418" w:type="pct"/>
                  <w:vAlign w:val="center"/>
                </w:tcPr>
                <w:p w14:paraId="2DE2CE13">
                  <w:pPr>
                    <w:pStyle w:val="50"/>
                    <w:bidi w:val="0"/>
                    <w:jc w:val="center"/>
                    <w:rPr>
                      <w:rFonts w:hint="default" w:eastAsiaTheme="minorEastAsia"/>
                      <w:lang w:val="en-US" w:eastAsia="zh-CN"/>
                    </w:rPr>
                  </w:pPr>
                  <w:r>
                    <w:rPr>
                      <w:rFonts w:hint="eastAsia"/>
                      <w:lang w:val="en-US" w:eastAsia="zh-CN"/>
                    </w:rPr>
                    <w:t>执行标准</w:t>
                  </w:r>
                </w:p>
              </w:tc>
            </w:tr>
            <w:tr w14:paraId="1693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67" w:type="pct"/>
                  <w:vMerge w:val="restart"/>
                  <w:vAlign w:val="center"/>
                </w:tcPr>
                <w:p w14:paraId="442665C9">
                  <w:pPr>
                    <w:pStyle w:val="50"/>
                    <w:bidi w:val="0"/>
                    <w:jc w:val="center"/>
                    <w:rPr>
                      <w:rFonts w:hint="eastAsia" w:eastAsiaTheme="minorEastAsia"/>
                      <w:lang w:val="en-US" w:eastAsia="zh-CN"/>
                    </w:rPr>
                  </w:pPr>
                  <w:r>
                    <w:rPr>
                      <w:rFonts w:hint="eastAsia"/>
                      <w:lang w:val="en-US" w:eastAsia="zh-CN"/>
                    </w:rPr>
                    <w:t>有组织</w:t>
                  </w:r>
                </w:p>
              </w:tc>
              <w:tc>
                <w:tcPr>
                  <w:tcW w:w="665" w:type="pct"/>
                  <w:vMerge w:val="restart"/>
                  <w:vAlign w:val="center"/>
                </w:tcPr>
                <w:p w14:paraId="46A5AABB">
                  <w:pPr>
                    <w:pStyle w:val="50"/>
                    <w:bidi w:val="0"/>
                    <w:jc w:val="center"/>
                    <w:rPr>
                      <w:rFonts w:hint="default" w:eastAsiaTheme="minorEastAsia"/>
                      <w:lang w:val="en-US" w:eastAsia="zh-CN"/>
                    </w:rPr>
                  </w:pPr>
                  <w:r>
                    <w:rPr>
                      <w:rFonts w:hint="eastAsia"/>
                      <w:lang w:val="en-US" w:eastAsia="zh-CN"/>
                    </w:rPr>
                    <w:t>喷漆废气</w:t>
                  </w:r>
                </w:p>
              </w:tc>
              <w:tc>
                <w:tcPr>
                  <w:tcW w:w="746" w:type="pct"/>
                  <w:vAlign w:val="center"/>
                </w:tcPr>
                <w:p w14:paraId="2F6601C1">
                  <w:pPr>
                    <w:pStyle w:val="50"/>
                    <w:bidi w:val="0"/>
                    <w:jc w:val="center"/>
                  </w:pPr>
                  <w:r>
                    <w:rPr>
                      <w:rFonts w:hint="eastAsia"/>
                      <w:lang w:val="en-US" w:eastAsia="zh-CN"/>
                    </w:rPr>
                    <w:t>非甲烷总烃</w:t>
                  </w:r>
                </w:p>
              </w:tc>
              <w:tc>
                <w:tcPr>
                  <w:tcW w:w="750" w:type="pct"/>
                  <w:vAlign w:val="center"/>
                </w:tcPr>
                <w:p w14:paraId="5CE658F3">
                  <w:pPr>
                    <w:pStyle w:val="50"/>
                    <w:bidi w:val="0"/>
                    <w:jc w:val="center"/>
                    <w:rPr>
                      <w:rFonts w:hint="default" w:eastAsiaTheme="minorEastAsia"/>
                      <w:lang w:val="en-US" w:eastAsia="zh-CN"/>
                    </w:rPr>
                  </w:pPr>
                  <w:r>
                    <w:rPr>
                      <w:rFonts w:hint="eastAsia"/>
                      <w:lang w:val="en-US" w:eastAsia="zh-CN"/>
                    </w:rPr>
                    <w:t>120</w:t>
                  </w:r>
                </w:p>
              </w:tc>
              <w:tc>
                <w:tcPr>
                  <w:tcW w:w="634" w:type="pct"/>
                  <w:vAlign w:val="center"/>
                </w:tcPr>
                <w:p w14:paraId="7D7CEFD9">
                  <w:pPr>
                    <w:pStyle w:val="50"/>
                    <w:bidi w:val="0"/>
                    <w:jc w:val="center"/>
                    <w:rPr>
                      <w:rFonts w:hint="default"/>
                      <w:lang w:val="en-US" w:eastAsia="zh-CN"/>
                    </w:rPr>
                  </w:pPr>
                  <w:r>
                    <w:rPr>
                      <w:rFonts w:hint="eastAsia"/>
                      <w:lang w:val="en-US" w:eastAsia="zh-CN"/>
                    </w:rPr>
                    <w:t>10</w:t>
                  </w:r>
                </w:p>
              </w:tc>
              <w:tc>
                <w:tcPr>
                  <w:tcW w:w="516" w:type="pct"/>
                  <w:vAlign w:val="center"/>
                </w:tcPr>
                <w:p w14:paraId="0B3D177F">
                  <w:pPr>
                    <w:bidi w:val="0"/>
                    <w:jc w:val="center"/>
                    <w:rPr>
                      <w:rFonts w:hint="eastAsia"/>
                      <w:lang w:val="en-US" w:eastAsia="zh-CN"/>
                    </w:rPr>
                  </w:pPr>
                  <w:r>
                    <w:rPr>
                      <w:rFonts w:hint="eastAsia"/>
                      <w:lang w:val="en-US" w:eastAsia="zh-CN"/>
                    </w:rPr>
                    <w:t>/</w:t>
                  </w:r>
                </w:p>
              </w:tc>
              <w:tc>
                <w:tcPr>
                  <w:tcW w:w="1418" w:type="pct"/>
                  <w:vMerge w:val="restart"/>
                  <w:vAlign w:val="center"/>
                </w:tcPr>
                <w:p w14:paraId="30465728">
                  <w:pPr>
                    <w:pStyle w:val="50"/>
                    <w:keepNext w:val="0"/>
                    <w:keepLines w:val="0"/>
                    <w:pageBreakBefore w:val="0"/>
                    <w:widowControl w:val="0"/>
                    <w:kinsoku/>
                    <w:wordWrap w:val="0"/>
                    <w:overflowPunct/>
                    <w:topLinePunct w:val="0"/>
                    <w:autoSpaceDE/>
                    <w:autoSpaceDN/>
                    <w:bidi w:val="0"/>
                    <w:adjustRightInd w:val="0"/>
                    <w:snapToGrid w:val="0"/>
                    <w:jc w:val="center"/>
                    <w:textAlignment w:val="auto"/>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《大气污染物</w:t>
                  </w:r>
                  <w:r>
                    <w:rPr>
                      <w:rFonts w:hint="eastAsia" w:eastAsia="宋体" w:cs="Times New Roman"/>
                      <w:color w:val="000000" w:themeColor="text1"/>
                      <w:szCs w:val="21"/>
                      <w:highlight w:val="none"/>
                      <w:lang w:val="en-US" w:eastAsia="zh-CN"/>
                      <w14:textFill>
                        <w14:solidFill>
                          <w14:schemeClr w14:val="tx1"/>
                        </w14:solidFill>
                      </w14:textFill>
                    </w:rPr>
                    <w:t>综合</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排放标准》（GB</w:t>
                  </w:r>
                  <w:r>
                    <w:rPr>
                      <w:rFonts w:hint="eastAsia" w:eastAsia="宋体" w:cs="Times New Roman"/>
                      <w:color w:val="000000" w:themeColor="text1"/>
                      <w:szCs w:val="21"/>
                      <w:highlight w:val="none"/>
                      <w:lang w:val="en-US" w:eastAsia="zh-CN"/>
                      <w14:textFill>
                        <w14:solidFill>
                          <w14:schemeClr w14:val="tx1"/>
                        </w14:solidFill>
                      </w14:textFill>
                    </w:rPr>
                    <w:t>16297</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eastAsia="宋体" w:cs="Times New Roman"/>
                      <w:color w:val="000000" w:themeColor="text1"/>
                      <w:szCs w:val="21"/>
                      <w:highlight w:val="none"/>
                      <w:lang w:val="en-US" w:eastAsia="zh-CN"/>
                      <w14:textFill>
                        <w14:solidFill>
                          <w14:schemeClr w14:val="tx1"/>
                        </w14:solidFill>
                      </w14:textFill>
                    </w:rPr>
                    <w:t>1996</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tc>
            </w:tr>
            <w:tr w14:paraId="28734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67" w:type="pct"/>
                  <w:vMerge w:val="continue"/>
                  <w:vAlign w:val="center"/>
                </w:tcPr>
                <w:p w14:paraId="0B7ADA94">
                  <w:pPr>
                    <w:pStyle w:val="50"/>
                    <w:bidi w:val="0"/>
                    <w:jc w:val="center"/>
                    <w:rPr>
                      <w:rFonts w:hint="eastAsia"/>
                      <w:lang w:val="en-US" w:eastAsia="zh-CN"/>
                    </w:rPr>
                  </w:pPr>
                </w:p>
              </w:tc>
              <w:tc>
                <w:tcPr>
                  <w:tcW w:w="665" w:type="pct"/>
                  <w:vMerge w:val="continue"/>
                  <w:vAlign w:val="center"/>
                </w:tcPr>
                <w:p w14:paraId="19872D8D">
                  <w:pPr>
                    <w:pStyle w:val="50"/>
                    <w:bidi w:val="0"/>
                    <w:jc w:val="center"/>
                    <w:rPr>
                      <w:rFonts w:hint="eastAsia"/>
                      <w:lang w:val="en-US" w:eastAsia="zh-CN"/>
                    </w:rPr>
                  </w:pPr>
                </w:p>
              </w:tc>
              <w:tc>
                <w:tcPr>
                  <w:tcW w:w="746" w:type="pct"/>
                  <w:vAlign w:val="center"/>
                </w:tcPr>
                <w:p w14:paraId="6D7D6E2E">
                  <w:pPr>
                    <w:pStyle w:val="50"/>
                    <w:bidi w:val="0"/>
                    <w:jc w:val="center"/>
                    <w:rPr>
                      <w:rFonts w:hint="default"/>
                      <w:lang w:val="en-US" w:eastAsia="zh-CN"/>
                    </w:rPr>
                  </w:pPr>
                  <w:r>
                    <w:rPr>
                      <w:rFonts w:hint="eastAsia"/>
                      <w:lang w:val="en-US" w:eastAsia="zh-CN"/>
                    </w:rPr>
                    <w:t>颗粒物</w:t>
                  </w:r>
                </w:p>
              </w:tc>
              <w:tc>
                <w:tcPr>
                  <w:tcW w:w="750" w:type="pct"/>
                  <w:vAlign w:val="center"/>
                </w:tcPr>
                <w:p w14:paraId="6F99C329">
                  <w:pPr>
                    <w:pStyle w:val="50"/>
                    <w:bidi w:val="0"/>
                    <w:jc w:val="center"/>
                    <w:rPr>
                      <w:rFonts w:hint="default"/>
                      <w:lang w:val="en-US" w:eastAsia="zh-CN"/>
                    </w:rPr>
                  </w:pPr>
                  <w:r>
                    <w:rPr>
                      <w:rFonts w:hint="eastAsia"/>
                      <w:lang w:val="en-US" w:eastAsia="zh-CN"/>
                    </w:rPr>
                    <w:t>120</w:t>
                  </w:r>
                </w:p>
              </w:tc>
              <w:tc>
                <w:tcPr>
                  <w:tcW w:w="634" w:type="pct"/>
                  <w:vAlign w:val="center"/>
                </w:tcPr>
                <w:p w14:paraId="541AE87A">
                  <w:pPr>
                    <w:pStyle w:val="50"/>
                    <w:bidi w:val="0"/>
                    <w:jc w:val="center"/>
                    <w:rPr>
                      <w:rFonts w:hint="default"/>
                      <w:lang w:val="en-US" w:eastAsia="zh-CN"/>
                    </w:rPr>
                  </w:pPr>
                  <w:r>
                    <w:rPr>
                      <w:rFonts w:hint="eastAsia"/>
                      <w:lang w:val="en-US" w:eastAsia="zh-CN"/>
                    </w:rPr>
                    <w:t>3.5</w:t>
                  </w:r>
                </w:p>
              </w:tc>
              <w:tc>
                <w:tcPr>
                  <w:tcW w:w="516" w:type="pct"/>
                  <w:vAlign w:val="center"/>
                </w:tcPr>
                <w:p w14:paraId="36653A94">
                  <w:pPr>
                    <w:bidi w:val="0"/>
                    <w:jc w:val="center"/>
                    <w:rPr>
                      <w:rFonts w:hint="default"/>
                      <w:lang w:val="en-US" w:eastAsia="zh-CN"/>
                    </w:rPr>
                  </w:pPr>
                  <w:r>
                    <w:rPr>
                      <w:rFonts w:hint="eastAsia"/>
                      <w:lang w:val="en-US" w:eastAsia="zh-CN"/>
                    </w:rPr>
                    <w:t>/</w:t>
                  </w:r>
                </w:p>
              </w:tc>
              <w:tc>
                <w:tcPr>
                  <w:tcW w:w="1418" w:type="pct"/>
                  <w:vMerge w:val="continue"/>
                  <w:vAlign w:val="center"/>
                </w:tcPr>
                <w:p w14:paraId="440BCF62">
                  <w:pPr>
                    <w:pStyle w:val="50"/>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p>
              </w:tc>
            </w:tr>
            <w:tr w14:paraId="2707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67" w:type="pct"/>
                  <w:vMerge w:val="continue"/>
                  <w:vAlign w:val="center"/>
                </w:tcPr>
                <w:p w14:paraId="17AA7935">
                  <w:pPr>
                    <w:pStyle w:val="50"/>
                    <w:bidi w:val="0"/>
                    <w:jc w:val="center"/>
                    <w:rPr>
                      <w:rFonts w:hint="eastAsia"/>
                      <w:lang w:val="en-US" w:eastAsia="zh-CN"/>
                    </w:rPr>
                  </w:pPr>
                </w:p>
              </w:tc>
              <w:tc>
                <w:tcPr>
                  <w:tcW w:w="665" w:type="pct"/>
                  <w:vAlign w:val="center"/>
                </w:tcPr>
                <w:p w14:paraId="60E1C6E5">
                  <w:pPr>
                    <w:pStyle w:val="50"/>
                    <w:bidi w:val="0"/>
                    <w:jc w:val="center"/>
                    <w:rPr>
                      <w:rFonts w:hint="default"/>
                      <w:lang w:val="en-US" w:eastAsia="zh-CN"/>
                    </w:rPr>
                  </w:pPr>
                  <w:r>
                    <w:rPr>
                      <w:rFonts w:hint="eastAsia"/>
                      <w:lang w:val="en-US" w:eastAsia="zh-CN"/>
                    </w:rPr>
                    <w:t>食堂</w:t>
                  </w:r>
                </w:p>
              </w:tc>
              <w:tc>
                <w:tcPr>
                  <w:tcW w:w="746" w:type="pct"/>
                  <w:vAlign w:val="center"/>
                </w:tcPr>
                <w:p w14:paraId="4CB6358D">
                  <w:pPr>
                    <w:pStyle w:val="50"/>
                    <w:bidi w:val="0"/>
                    <w:jc w:val="center"/>
                    <w:rPr>
                      <w:rFonts w:hint="default"/>
                      <w:lang w:val="en-US" w:eastAsia="zh-CN"/>
                    </w:rPr>
                  </w:pPr>
                  <w:r>
                    <w:rPr>
                      <w:rFonts w:hint="eastAsia"/>
                      <w:lang w:val="en-US" w:eastAsia="zh-CN"/>
                    </w:rPr>
                    <w:t>食堂油烟</w:t>
                  </w:r>
                </w:p>
              </w:tc>
              <w:tc>
                <w:tcPr>
                  <w:tcW w:w="750" w:type="pct"/>
                  <w:vAlign w:val="center"/>
                </w:tcPr>
                <w:p w14:paraId="43671186">
                  <w:pPr>
                    <w:pStyle w:val="50"/>
                    <w:bidi w:val="0"/>
                    <w:jc w:val="center"/>
                    <w:rPr>
                      <w:rFonts w:hint="default"/>
                      <w:lang w:val="en-US" w:eastAsia="zh-CN"/>
                    </w:rPr>
                  </w:pPr>
                  <w:r>
                    <w:rPr>
                      <w:rFonts w:hint="eastAsia"/>
                      <w:lang w:val="en-US" w:eastAsia="zh-CN"/>
                    </w:rPr>
                    <w:t>2.0</w:t>
                  </w:r>
                </w:p>
              </w:tc>
              <w:tc>
                <w:tcPr>
                  <w:tcW w:w="634" w:type="pct"/>
                  <w:vAlign w:val="center"/>
                </w:tcPr>
                <w:p w14:paraId="65A79BF9">
                  <w:pPr>
                    <w:pStyle w:val="50"/>
                    <w:bidi w:val="0"/>
                    <w:jc w:val="center"/>
                    <w:rPr>
                      <w:rFonts w:hint="default"/>
                      <w:lang w:val="en-US" w:eastAsia="zh-CN"/>
                    </w:rPr>
                  </w:pPr>
                  <w:r>
                    <w:rPr>
                      <w:rFonts w:hint="eastAsia"/>
                      <w:lang w:val="en-US" w:eastAsia="zh-CN"/>
                    </w:rPr>
                    <w:t>/</w:t>
                  </w:r>
                </w:p>
              </w:tc>
              <w:tc>
                <w:tcPr>
                  <w:tcW w:w="516" w:type="pct"/>
                  <w:vAlign w:val="center"/>
                </w:tcPr>
                <w:p w14:paraId="632CCB72">
                  <w:pPr>
                    <w:bidi w:val="0"/>
                    <w:jc w:val="center"/>
                    <w:rPr>
                      <w:rFonts w:hint="default"/>
                      <w:lang w:val="en-US" w:eastAsia="zh-CN"/>
                    </w:rPr>
                  </w:pPr>
                  <w:r>
                    <w:rPr>
                      <w:rFonts w:hint="eastAsia"/>
                      <w:lang w:val="en-US" w:eastAsia="zh-CN"/>
                    </w:rPr>
                    <w:t>/</w:t>
                  </w:r>
                </w:p>
              </w:tc>
              <w:tc>
                <w:tcPr>
                  <w:tcW w:w="1418" w:type="pct"/>
                  <w:vAlign w:val="center"/>
                </w:tcPr>
                <w:p w14:paraId="1F831F84">
                  <w:pPr>
                    <w:pStyle w:val="50"/>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lang w:val="en-US" w:eastAsia="zh-CN"/>
                    </w:rPr>
                    <w:t>《饮食业油烟排放标准》（GB18483-2001）</w:t>
                  </w:r>
                </w:p>
              </w:tc>
            </w:tr>
            <w:tr w14:paraId="5CD2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67" w:type="pct"/>
                  <w:vMerge w:val="continue"/>
                  <w:vAlign w:val="center"/>
                </w:tcPr>
                <w:p w14:paraId="20454059">
                  <w:pPr>
                    <w:pStyle w:val="50"/>
                    <w:bidi w:val="0"/>
                    <w:jc w:val="center"/>
                  </w:pPr>
                </w:p>
              </w:tc>
              <w:tc>
                <w:tcPr>
                  <w:tcW w:w="665" w:type="pct"/>
                  <w:vMerge w:val="restart"/>
                  <w:vAlign w:val="center"/>
                </w:tcPr>
                <w:p w14:paraId="1BD2D077">
                  <w:pPr>
                    <w:pStyle w:val="50"/>
                    <w:bidi w:val="0"/>
                    <w:jc w:val="center"/>
                    <w:rPr>
                      <w:rFonts w:hint="default" w:eastAsiaTheme="minorEastAsia"/>
                      <w:lang w:val="en-US" w:eastAsia="zh-CN"/>
                    </w:rPr>
                  </w:pPr>
                  <w:r>
                    <w:rPr>
                      <w:rFonts w:hint="eastAsia"/>
                      <w:lang w:val="en-US" w:eastAsia="zh-CN"/>
                    </w:rPr>
                    <w:t>天然气烘干炉废气</w:t>
                  </w:r>
                </w:p>
              </w:tc>
              <w:tc>
                <w:tcPr>
                  <w:tcW w:w="746" w:type="pct"/>
                  <w:vAlign w:val="center"/>
                </w:tcPr>
                <w:p w14:paraId="25E209A0">
                  <w:pPr>
                    <w:pStyle w:val="50"/>
                    <w:bidi w:val="0"/>
                    <w:jc w:val="center"/>
                    <w:rPr>
                      <w:rFonts w:hint="eastAsia" w:eastAsiaTheme="minorEastAsia"/>
                      <w:lang w:val="en-US" w:eastAsia="zh-CN"/>
                    </w:rPr>
                  </w:pPr>
                  <w:r>
                    <w:rPr>
                      <w:rFonts w:hint="eastAsia"/>
                      <w:lang w:val="en-US" w:eastAsia="zh-CN"/>
                    </w:rPr>
                    <w:t>颗粒物</w:t>
                  </w:r>
                </w:p>
              </w:tc>
              <w:tc>
                <w:tcPr>
                  <w:tcW w:w="750" w:type="pct"/>
                  <w:vAlign w:val="center"/>
                </w:tcPr>
                <w:p w14:paraId="1DFE3879">
                  <w:pPr>
                    <w:pStyle w:val="50"/>
                    <w:bidi w:val="0"/>
                    <w:jc w:val="center"/>
                    <w:rPr>
                      <w:rFonts w:hint="default" w:eastAsiaTheme="minorEastAsia"/>
                      <w:lang w:val="en-US" w:eastAsia="zh-CN"/>
                    </w:rPr>
                  </w:pPr>
                  <w:r>
                    <w:rPr>
                      <w:rFonts w:hint="eastAsia"/>
                      <w:lang w:val="en-US" w:eastAsia="zh-CN"/>
                    </w:rPr>
                    <w:t>30</w:t>
                  </w:r>
                </w:p>
              </w:tc>
              <w:tc>
                <w:tcPr>
                  <w:tcW w:w="634" w:type="pct"/>
                  <w:vAlign w:val="center"/>
                </w:tcPr>
                <w:p w14:paraId="2B6000CC">
                  <w:pPr>
                    <w:pStyle w:val="50"/>
                    <w:bidi w:val="0"/>
                    <w:jc w:val="center"/>
                    <w:rPr>
                      <w:rFonts w:hint="default"/>
                      <w:lang w:val="en-US" w:eastAsia="zh-CN"/>
                    </w:rPr>
                  </w:pPr>
                  <w:r>
                    <w:rPr>
                      <w:rFonts w:hint="eastAsia"/>
                      <w:lang w:val="en-US" w:eastAsia="zh-CN"/>
                    </w:rPr>
                    <w:t>/</w:t>
                  </w:r>
                </w:p>
              </w:tc>
              <w:tc>
                <w:tcPr>
                  <w:tcW w:w="516" w:type="pct"/>
                  <w:vAlign w:val="center"/>
                </w:tcPr>
                <w:p w14:paraId="5E1FF84D">
                  <w:pPr>
                    <w:bidi w:val="0"/>
                    <w:jc w:val="center"/>
                    <w:rPr>
                      <w:rFonts w:hint="eastAsia"/>
                      <w:lang w:val="en-US" w:eastAsia="zh-CN"/>
                    </w:rPr>
                  </w:pPr>
                  <w:r>
                    <w:rPr>
                      <w:rFonts w:hint="eastAsia"/>
                      <w:lang w:val="en-US" w:eastAsia="zh-CN"/>
                    </w:rPr>
                    <w:t>/</w:t>
                  </w:r>
                </w:p>
              </w:tc>
              <w:tc>
                <w:tcPr>
                  <w:tcW w:w="1418" w:type="pct"/>
                  <w:vMerge w:val="restart"/>
                  <w:vAlign w:val="center"/>
                </w:tcPr>
                <w:p w14:paraId="7B5B2022">
                  <w:pPr>
                    <w:pStyle w:val="50"/>
                    <w:keepNext w:val="0"/>
                    <w:keepLines w:val="0"/>
                    <w:pageBreakBefore w:val="0"/>
                    <w:widowControl w:val="0"/>
                    <w:kinsoku/>
                    <w:wordWrap w:val="0"/>
                    <w:overflowPunct/>
                    <w:topLinePunct w:val="0"/>
                    <w:autoSpaceDE/>
                    <w:autoSpaceDN/>
                    <w:bidi w:val="0"/>
                    <w:adjustRightInd w:val="0"/>
                    <w:snapToGrid w:val="0"/>
                    <w:jc w:val="center"/>
                    <w:textAlignment w:val="auto"/>
                  </w:pPr>
                  <w:r>
                    <w:rPr>
                      <w:rFonts w:hint="eastAsia" w:cs="Times New Roman"/>
                      <w:color w:val="000000" w:themeColor="text1"/>
                      <w:szCs w:val="21"/>
                      <w:highlight w:val="none"/>
                      <w:lang w:val="en-US" w:eastAsia="zh-CN"/>
                      <w14:textFill>
                        <w14:solidFill>
                          <w14:schemeClr w14:val="tx1"/>
                        </w14:solidFill>
                      </w14:textFill>
                    </w:rPr>
                    <w:t>《关于印发自治州工业炉窑大气污染综合治理实施方案的通知》（巴环发〔2019〕170号）</w:t>
                  </w:r>
                </w:p>
              </w:tc>
            </w:tr>
            <w:tr w14:paraId="29CC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7" w:type="pct"/>
                  <w:vMerge w:val="continue"/>
                  <w:vAlign w:val="center"/>
                </w:tcPr>
                <w:p w14:paraId="2C123A30">
                  <w:pPr>
                    <w:pStyle w:val="50"/>
                    <w:bidi w:val="0"/>
                    <w:jc w:val="center"/>
                  </w:pPr>
                </w:p>
              </w:tc>
              <w:tc>
                <w:tcPr>
                  <w:tcW w:w="665" w:type="pct"/>
                  <w:vMerge w:val="continue"/>
                  <w:vAlign w:val="center"/>
                </w:tcPr>
                <w:p w14:paraId="669D5C36">
                  <w:pPr>
                    <w:pStyle w:val="50"/>
                    <w:bidi w:val="0"/>
                    <w:jc w:val="center"/>
                    <w:rPr>
                      <w:rFonts w:hint="eastAsia"/>
                      <w:lang w:val="en-US" w:eastAsia="zh-CN"/>
                    </w:rPr>
                  </w:pPr>
                </w:p>
              </w:tc>
              <w:tc>
                <w:tcPr>
                  <w:tcW w:w="746" w:type="pct"/>
                  <w:vAlign w:val="center"/>
                </w:tcPr>
                <w:p w14:paraId="6A6A333B">
                  <w:pPr>
                    <w:pStyle w:val="50"/>
                    <w:bidi w:val="0"/>
                    <w:jc w:val="center"/>
                    <w:rPr>
                      <w:rFonts w:hint="default" w:eastAsiaTheme="minorEastAsia"/>
                      <w:lang w:val="en-US" w:eastAsia="zh-CN"/>
                    </w:rPr>
                  </w:pPr>
                  <w:r>
                    <w:rPr>
                      <w:rFonts w:hint="eastAsia"/>
                      <w:lang w:val="en-US" w:eastAsia="zh-CN"/>
                    </w:rPr>
                    <w:t>SO</w:t>
                  </w:r>
                  <w:r>
                    <w:rPr>
                      <w:rFonts w:hint="eastAsia"/>
                      <w:vertAlign w:val="subscript"/>
                      <w:lang w:val="en-US" w:eastAsia="zh-CN"/>
                    </w:rPr>
                    <w:t>2</w:t>
                  </w:r>
                </w:p>
              </w:tc>
              <w:tc>
                <w:tcPr>
                  <w:tcW w:w="750" w:type="pct"/>
                  <w:vAlign w:val="center"/>
                </w:tcPr>
                <w:p w14:paraId="2570A443">
                  <w:pPr>
                    <w:pStyle w:val="50"/>
                    <w:bidi w:val="0"/>
                    <w:jc w:val="center"/>
                    <w:rPr>
                      <w:rFonts w:hint="default" w:eastAsiaTheme="minorEastAsia"/>
                      <w:lang w:val="en-US" w:eastAsia="zh-CN"/>
                    </w:rPr>
                  </w:pPr>
                  <w:r>
                    <w:rPr>
                      <w:rFonts w:hint="eastAsia"/>
                      <w:lang w:val="en-US" w:eastAsia="zh-CN"/>
                    </w:rPr>
                    <w:t>200</w:t>
                  </w:r>
                </w:p>
              </w:tc>
              <w:tc>
                <w:tcPr>
                  <w:tcW w:w="634" w:type="pct"/>
                  <w:vAlign w:val="center"/>
                </w:tcPr>
                <w:p w14:paraId="4FEBE38F">
                  <w:pPr>
                    <w:pStyle w:val="50"/>
                    <w:bidi w:val="0"/>
                    <w:jc w:val="center"/>
                    <w:rPr>
                      <w:rFonts w:hint="default"/>
                      <w:lang w:val="en-US" w:eastAsia="zh-CN"/>
                    </w:rPr>
                  </w:pPr>
                  <w:r>
                    <w:rPr>
                      <w:rFonts w:hint="eastAsia"/>
                      <w:lang w:val="en-US" w:eastAsia="zh-CN"/>
                    </w:rPr>
                    <w:t>/</w:t>
                  </w:r>
                </w:p>
              </w:tc>
              <w:tc>
                <w:tcPr>
                  <w:tcW w:w="516" w:type="pct"/>
                  <w:vAlign w:val="center"/>
                </w:tcPr>
                <w:p w14:paraId="5B0AE4AE">
                  <w:pPr>
                    <w:bidi w:val="0"/>
                    <w:jc w:val="center"/>
                    <w:rPr>
                      <w:rFonts w:hint="eastAsia"/>
                      <w:lang w:val="en-US" w:eastAsia="zh-CN"/>
                    </w:rPr>
                  </w:pPr>
                  <w:r>
                    <w:rPr>
                      <w:rFonts w:hint="eastAsia"/>
                      <w:lang w:val="en-US" w:eastAsia="zh-CN"/>
                    </w:rPr>
                    <w:t>/</w:t>
                  </w:r>
                </w:p>
              </w:tc>
              <w:tc>
                <w:tcPr>
                  <w:tcW w:w="1418" w:type="pct"/>
                  <w:vMerge w:val="continue"/>
                  <w:vAlign w:val="center"/>
                </w:tcPr>
                <w:p w14:paraId="3679F2CC">
                  <w:pPr>
                    <w:pStyle w:val="50"/>
                    <w:keepNext w:val="0"/>
                    <w:keepLines w:val="0"/>
                    <w:pageBreakBefore w:val="0"/>
                    <w:widowControl w:val="0"/>
                    <w:kinsoku/>
                    <w:wordWrap w:val="0"/>
                    <w:overflowPunct/>
                    <w:topLinePunct w:val="0"/>
                    <w:autoSpaceDE/>
                    <w:autoSpaceDN/>
                    <w:bidi w:val="0"/>
                    <w:adjustRightInd w:val="0"/>
                    <w:snapToGrid w:val="0"/>
                    <w:jc w:val="center"/>
                    <w:textAlignment w:val="auto"/>
                  </w:pPr>
                </w:p>
              </w:tc>
            </w:tr>
            <w:tr w14:paraId="1395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67" w:type="pct"/>
                  <w:vMerge w:val="continue"/>
                  <w:vAlign w:val="center"/>
                </w:tcPr>
                <w:p w14:paraId="312C356D">
                  <w:pPr>
                    <w:pStyle w:val="50"/>
                    <w:bidi w:val="0"/>
                    <w:jc w:val="center"/>
                  </w:pPr>
                </w:p>
              </w:tc>
              <w:tc>
                <w:tcPr>
                  <w:tcW w:w="665" w:type="pct"/>
                  <w:vMerge w:val="continue"/>
                  <w:vAlign w:val="center"/>
                </w:tcPr>
                <w:p w14:paraId="08ED6A68">
                  <w:pPr>
                    <w:pStyle w:val="50"/>
                    <w:bidi w:val="0"/>
                    <w:jc w:val="center"/>
                    <w:rPr>
                      <w:rFonts w:hint="eastAsia"/>
                      <w:lang w:val="en-US" w:eastAsia="zh-CN"/>
                    </w:rPr>
                  </w:pPr>
                </w:p>
              </w:tc>
              <w:tc>
                <w:tcPr>
                  <w:tcW w:w="746" w:type="pct"/>
                  <w:shd w:val="clear" w:color="auto" w:fill="auto"/>
                  <w:vAlign w:val="center"/>
                </w:tcPr>
                <w:p w14:paraId="56421A45">
                  <w:pPr>
                    <w:pStyle w:val="50"/>
                    <w:bidi w:val="0"/>
                    <w:jc w:val="center"/>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NO</w:t>
                  </w:r>
                  <w:r>
                    <w:rPr>
                      <w:rFonts w:hint="eastAsia"/>
                      <w:vertAlign w:val="subscript"/>
                      <w:lang w:val="en-US" w:eastAsia="zh-CN"/>
                    </w:rPr>
                    <w:t>X</w:t>
                  </w:r>
                </w:p>
              </w:tc>
              <w:tc>
                <w:tcPr>
                  <w:tcW w:w="750" w:type="pct"/>
                  <w:shd w:val="clear" w:color="auto" w:fill="auto"/>
                  <w:vAlign w:val="center"/>
                </w:tcPr>
                <w:p w14:paraId="66337B9D">
                  <w:pPr>
                    <w:pStyle w:val="50"/>
                    <w:bidi w:val="0"/>
                    <w:jc w:val="center"/>
                    <w:rPr>
                      <w:rFonts w:hint="default" w:ascii="Times New Roman" w:hAnsi="Times New Roman" w:eastAsiaTheme="minorEastAsia" w:cstheme="minorEastAsia"/>
                      <w:color w:val="auto"/>
                      <w:kern w:val="2"/>
                      <w:sz w:val="21"/>
                      <w:szCs w:val="21"/>
                      <w:lang w:val="en-US" w:eastAsia="zh-CN" w:bidi="ar-SA"/>
                    </w:rPr>
                  </w:pPr>
                  <w:r>
                    <w:rPr>
                      <w:rFonts w:hint="eastAsia" w:cstheme="minorEastAsia"/>
                      <w:color w:val="auto"/>
                      <w:kern w:val="2"/>
                      <w:sz w:val="21"/>
                      <w:szCs w:val="21"/>
                      <w:lang w:val="en-US" w:eastAsia="zh-CN" w:bidi="ar-SA"/>
                    </w:rPr>
                    <w:t>300</w:t>
                  </w:r>
                </w:p>
              </w:tc>
              <w:tc>
                <w:tcPr>
                  <w:tcW w:w="634" w:type="pct"/>
                  <w:shd w:val="clear" w:color="auto" w:fill="auto"/>
                  <w:vAlign w:val="center"/>
                </w:tcPr>
                <w:p w14:paraId="4E6F9DEE">
                  <w:pPr>
                    <w:pStyle w:val="50"/>
                    <w:bidi w:val="0"/>
                    <w:jc w:val="center"/>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w:t>
                  </w:r>
                </w:p>
              </w:tc>
              <w:tc>
                <w:tcPr>
                  <w:tcW w:w="516" w:type="pct"/>
                  <w:shd w:val="clear" w:color="auto" w:fill="auto"/>
                  <w:vAlign w:val="center"/>
                </w:tcPr>
                <w:p w14:paraId="52C21CB6">
                  <w:pPr>
                    <w:bidi w:val="0"/>
                    <w:jc w:val="center"/>
                    <w:rPr>
                      <w:rFonts w:hint="eastAsia" w:ascii="Times New Roman" w:hAnsi="Times New Roman" w:eastAsia="宋体" w:cs="Times New Roman"/>
                      <w:kern w:val="2"/>
                      <w:sz w:val="21"/>
                      <w:szCs w:val="24"/>
                      <w:lang w:val="en-US" w:eastAsia="zh-CN" w:bidi="ar-SA"/>
                    </w:rPr>
                  </w:pPr>
                  <w:r>
                    <w:rPr>
                      <w:rFonts w:hint="eastAsia"/>
                      <w:lang w:val="en-US" w:eastAsia="zh-CN"/>
                    </w:rPr>
                    <w:t>/</w:t>
                  </w:r>
                </w:p>
              </w:tc>
              <w:tc>
                <w:tcPr>
                  <w:tcW w:w="1418" w:type="pct"/>
                  <w:vMerge w:val="continue"/>
                  <w:vAlign w:val="center"/>
                </w:tcPr>
                <w:p w14:paraId="39889DEB">
                  <w:pPr>
                    <w:pStyle w:val="50"/>
                    <w:keepNext w:val="0"/>
                    <w:keepLines w:val="0"/>
                    <w:pageBreakBefore w:val="0"/>
                    <w:widowControl w:val="0"/>
                    <w:kinsoku/>
                    <w:wordWrap w:val="0"/>
                    <w:overflowPunct/>
                    <w:topLinePunct w:val="0"/>
                    <w:autoSpaceDE/>
                    <w:autoSpaceDN/>
                    <w:bidi w:val="0"/>
                    <w:adjustRightInd w:val="0"/>
                    <w:snapToGrid w:val="0"/>
                    <w:jc w:val="center"/>
                    <w:textAlignment w:val="auto"/>
                  </w:pPr>
                </w:p>
              </w:tc>
            </w:tr>
            <w:tr w14:paraId="6A1A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67" w:type="pct"/>
                  <w:vMerge w:val="continue"/>
                  <w:vAlign w:val="center"/>
                </w:tcPr>
                <w:p w14:paraId="08BA634B">
                  <w:pPr>
                    <w:pStyle w:val="50"/>
                    <w:bidi w:val="0"/>
                    <w:jc w:val="center"/>
                  </w:pPr>
                </w:p>
              </w:tc>
              <w:tc>
                <w:tcPr>
                  <w:tcW w:w="665" w:type="pct"/>
                  <w:vMerge w:val="continue"/>
                  <w:vAlign w:val="center"/>
                </w:tcPr>
                <w:p w14:paraId="36CE6A1C">
                  <w:pPr>
                    <w:pStyle w:val="50"/>
                    <w:bidi w:val="0"/>
                    <w:jc w:val="center"/>
                    <w:rPr>
                      <w:rFonts w:hint="eastAsia"/>
                      <w:lang w:val="en-US" w:eastAsia="zh-CN"/>
                    </w:rPr>
                  </w:pPr>
                </w:p>
              </w:tc>
              <w:tc>
                <w:tcPr>
                  <w:tcW w:w="746" w:type="pct"/>
                  <w:vAlign w:val="center"/>
                </w:tcPr>
                <w:p w14:paraId="74610AEB">
                  <w:pPr>
                    <w:pStyle w:val="50"/>
                    <w:bidi w:val="0"/>
                    <w:jc w:val="center"/>
                    <w:rPr>
                      <w:rFonts w:hint="eastAsia"/>
                      <w:lang w:val="en-US" w:eastAsia="zh-CN"/>
                    </w:rPr>
                  </w:pPr>
                  <w:r>
                    <w:rPr>
                      <w:rFonts w:hint="eastAsia" w:ascii="宋体" w:hAnsi="宋体" w:cs="宋体"/>
                      <w:bCs/>
                      <w:color w:val="000000"/>
                      <w:sz w:val="21"/>
                      <w:szCs w:val="21"/>
                      <w:lang w:eastAsia="zh-CN"/>
                    </w:rPr>
                    <w:t>林格曼黑度</w:t>
                  </w:r>
                </w:p>
              </w:tc>
              <w:tc>
                <w:tcPr>
                  <w:tcW w:w="750" w:type="pct"/>
                  <w:vAlign w:val="center"/>
                </w:tcPr>
                <w:p w14:paraId="75F35243">
                  <w:pPr>
                    <w:pStyle w:val="50"/>
                    <w:bidi w:val="0"/>
                    <w:jc w:val="center"/>
                    <w:rPr>
                      <w:rFonts w:hint="eastAsia"/>
                      <w:lang w:val="en-US" w:eastAsia="zh-CN"/>
                    </w:rPr>
                  </w:pPr>
                  <w:r>
                    <w:rPr>
                      <w:rFonts w:hint="default"/>
                      <w:lang w:val="en-US" w:eastAsia="zh-CN"/>
                    </w:rPr>
                    <w:t>≤</w:t>
                  </w:r>
                  <w:r>
                    <w:rPr>
                      <w:rFonts w:hint="eastAsia"/>
                      <w:lang w:val="en-US" w:eastAsia="zh-CN"/>
                    </w:rPr>
                    <w:t>1</w:t>
                  </w:r>
                </w:p>
              </w:tc>
              <w:tc>
                <w:tcPr>
                  <w:tcW w:w="634" w:type="pct"/>
                  <w:vAlign w:val="center"/>
                </w:tcPr>
                <w:p w14:paraId="342D1271">
                  <w:pPr>
                    <w:pStyle w:val="50"/>
                    <w:bidi w:val="0"/>
                    <w:jc w:val="center"/>
                    <w:rPr>
                      <w:rFonts w:hint="default"/>
                      <w:lang w:val="en-US" w:eastAsia="zh-CN"/>
                    </w:rPr>
                  </w:pPr>
                  <w:r>
                    <w:rPr>
                      <w:rFonts w:hint="eastAsia"/>
                      <w:lang w:val="en-US" w:eastAsia="zh-CN"/>
                    </w:rPr>
                    <w:t>/</w:t>
                  </w:r>
                </w:p>
              </w:tc>
              <w:tc>
                <w:tcPr>
                  <w:tcW w:w="516" w:type="pct"/>
                  <w:vAlign w:val="center"/>
                </w:tcPr>
                <w:p w14:paraId="6BC83454">
                  <w:pPr>
                    <w:bidi w:val="0"/>
                    <w:jc w:val="center"/>
                    <w:rPr>
                      <w:rFonts w:hint="default"/>
                      <w:lang w:val="en-US" w:eastAsia="zh-CN"/>
                    </w:rPr>
                  </w:pPr>
                  <w:r>
                    <w:rPr>
                      <w:rFonts w:hint="eastAsia"/>
                      <w:lang w:val="en-US" w:eastAsia="zh-CN"/>
                    </w:rPr>
                    <w:t>/</w:t>
                  </w:r>
                </w:p>
              </w:tc>
              <w:tc>
                <w:tcPr>
                  <w:tcW w:w="1418" w:type="pct"/>
                  <w:vAlign w:val="center"/>
                </w:tcPr>
                <w:p w14:paraId="293379D3">
                  <w:pPr>
                    <w:pStyle w:val="50"/>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eastAsiaTheme="minorEastAsia"/>
                      <w:lang w:eastAsia="zh-CN"/>
                    </w:rPr>
                  </w:pPr>
                  <w:r>
                    <w:rPr>
                      <w:rFonts w:hint="eastAsia"/>
                      <w:lang w:eastAsia="zh-CN"/>
                    </w:rPr>
                    <w:t>《</w:t>
                  </w:r>
                  <w:r>
                    <w:rPr>
                      <w:rFonts w:hint="eastAsia"/>
                      <w:lang w:val="en-US" w:eastAsia="zh-CN"/>
                    </w:rPr>
                    <w:t>工业炉窑大气污染物排放标准</w:t>
                  </w:r>
                  <w:r>
                    <w:rPr>
                      <w:rFonts w:hint="eastAsia"/>
                      <w:lang w:eastAsia="zh-CN"/>
                    </w:rPr>
                    <w:t>》（</w:t>
                  </w:r>
                  <w:r>
                    <w:rPr>
                      <w:rFonts w:hint="eastAsia"/>
                      <w:lang w:val="en-US" w:eastAsia="zh-CN"/>
                    </w:rPr>
                    <w:t>GB9078-1996</w:t>
                  </w:r>
                  <w:r>
                    <w:rPr>
                      <w:rFonts w:hint="eastAsia"/>
                      <w:lang w:eastAsia="zh-CN"/>
                    </w:rPr>
                    <w:t>）</w:t>
                  </w:r>
                </w:p>
              </w:tc>
            </w:tr>
            <w:tr w14:paraId="2753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67" w:type="pct"/>
                  <w:vMerge w:val="restart"/>
                  <w:vAlign w:val="center"/>
                </w:tcPr>
                <w:p w14:paraId="060FDACE">
                  <w:pPr>
                    <w:pStyle w:val="50"/>
                    <w:bidi w:val="0"/>
                    <w:jc w:val="center"/>
                    <w:rPr>
                      <w:rFonts w:hint="eastAsia" w:eastAsiaTheme="minorEastAsia"/>
                      <w:lang w:val="en-US" w:eastAsia="zh-CN"/>
                    </w:rPr>
                  </w:pPr>
                  <w:r>
                    <w:rPr>
                      <w:rFonts w:hint="eastAsia"/>
                      <w:lang w:val="en-US" w:eastAsia="zh-CN"/>
                    </w:rPr>
                    <w:t>无组织</w:t>
                  </w:r>
                </w:p>
              </w:tc>
              <w:tc>
                <w:tcPr>
                  <w:tcW w:w="665" w:type="pct"/>
                  <w:vMerge w:val="restart"/>
                  <w:vAlign w:val="center"/>
                </w:tcPr>
                <w:p w14:paraId="4009E7F9">
                  <w:pPr>
                    <w:pStyle w:val="50"/>
                    <w:bidi w:val="0"/>
                    <w:jc w:val="center"/>
                    <w:rPr>
                      <w:rFonts w:hint="default"/>
                      <w:lang w:val="en-US" w:eastAsia="zh-CN"/>
                    </w:rPr>
                  </w:pPr>
                  <w:r>
                    <w:rPr>
                      <w:rFonts w:hint="eastAsia"/>
                      <w:lang w:val="en-US" w:eastAsia="zh-CN"/>
                    </w:rPr>
                    <w:t>厂内</w:t>
                  </w:r>
                </w:p>
              </w:tc>
              <w:tc>
                <w:tcPr>
                  <w:tcW w:w="746" w:type="pct"/>
                  <w:vAlign w:val="center"/>
                </w:tcPr>
                <w:p w14:paraId="5BE77F23">
                  <w:pPr>
                    <w:pStyle w:val="50"/>
                    <w:bidi w:val="0"/>
                    <w:jc w:val="center"/>
                    <w:rPr>
                      <w:rFonts w:hint="default" w:eastAsiaTheme="minorEastAsia"/>
                      <w:lang w:val="en-US" w:eastAsia="zh-CN"/>
                    </w:rPr>
                  </w:pPr>
                  <w:r>
                    <w:rPr>
                      <w:rFonts w:hint="eastAsia"/>
                      <w:lang w:val="en-US" w:eastAsia="zh-CN"/>
                    </w:rPr>
                    <w:t>非甲烷总烃</w:t>
                  </w:r>
                </w:p>
              </w:tc>
              <w:tc>
                <w:tcPr>
                  <w:tcW w:w="750" w:type="pct"/>
                  <w:vAlign w:val="center"/>
                </w:tcPr>
                <w:p w14:paraId="18C83EBF">
                  <w:pPr>
                    <w:pStyle w:val="50"/>
                    <w:bidi w:val="0"/>
                    <w:jc w:val="center"/>
                    <w:rPr>
                      <w:rFonts w:hint="default" w:eastAsiaTheme="minorEastAsia"/>
                      <w:lang w:val="en-US" w:eastAsia="zh-CN"/>
                    </w:rPr>
                  </w:pPr>
                  <w:r>
                    <w:rPr>
                      <w:rFonts w:hint="eastAsia"/>
                      <w:lang w:val="en-US" w:eastAsia="zh-CN"/>
                    </w:rPr>
                    <w:t>6.0</w:t>
                  </w:r>
                </w:p>
              </w:tc>
              <w:tc>
                <w:tcPr>
                  <w:tcW w:w="634" w:type="pct"/>
                  <w:vAlign w:val="center"/>
                </w:tcPr>
                <w:p w14:paraId="6B091C29">
                  <w:pPr>
                    <w:pStyle w:val="50"/>
                    <w:bidi w:val="0"/>
                    <w:jc w:val="center"/>
                    <w:rPr>
                      <w:rFonts w:hint="default"/>
                      <w:lang w:val="en-US" w:eastAsia="zh-CN"/>
                    </w:rPr>
                  </w:pPr>
                  <w:r>
                    <w:rPr>
                      <w:rFonts w:hint="eastAsia"/>
                      <w:lang w:val="en-US" w:eastAsia="zh-CN"/>
                    </w:rPr>
                    <w:t>/</w:t>
                  </w:r>
                </w:p>
              </w:tc>
              <w:tc>
                <w:tcPr>
                  <w:tcW w:w="516" w:type="pct"/>
                  <w:vAlign w:val="center"/>
                </w:tcPr>
                <w:p w14:paraId="0F2B001F">
                  <w:pPr>
                    <w:pStyle w:val="61"/>
                    <w:bidi w:val="0"/>
                    <w:rPr>
                      <w:rFonts w:hint="eastAsia"/>
                      <w:lang w:val="en-US" w:eastAsia="zh-CN"/>
                    </w:rPr>
                  </w:pPr>
                  <w:r>
                    <w:rPr>
                      <w:rFonts w:hint="eastAsia"/>
                      <w:lang w:val="en-US" w:eastAsia="zh-CN"/>
                    </w:rPr>
                    <w:t>监控点处1h平均浓度值</w:t>
                  </w:r>
                </w:p>
              </w:tc>
              <w:tc>
                <w:tcPr>
                  <w:tcW w:w="1418" w:type="pct"/>
                  <w:vMerge w:val="restart"/>
                  <w:vAlign w:val="center"/>
                </w:tcPr>
                <w:p w14:paraId="1CF40CFF">
                  <w:pPr>
                    <w:pStyle w:val="50"/>
                    <w:keepNext w:val="0"/>
                    <w:keepLines w:val="0"/>
                    <w:pageBreakBefore w:val="0"/>
                    <w:widowControl w:val="0"/>
                    <w:kinsoku/>
                    <w:wordWrap w:val="0"/>
                    <w:overflowPunct/>
                    <w:topLinePunct w:val="0"/>
                    <w:autoSpaceDE/>
                    <w:autoSpaceDN/>
                    <w:bidi w:val="0"/>
                    <w:adjustRightInd w:val="0"/>
                    <w:snapToGrid w:val="0"/>
                    <w:jc w:val="center"/>
                    <w:textAlignment w:val="auto"/>
                  </w:pPr>
                  <w:r>
                    <w:rPr>
                      <w:rFonts w:hint="eastAsia"/>
                      <w:lang w:val="en-US" w:eastAsia="zh-CN"/>
                    </w:rPr>
                    <w:t>《挥发性有机物无组织排放控制标准》（GB37822-2019）</w:t>
                  </w:r>
                </w:p>
              </w:tc>
            </w:tr>
            <w:tr w14:paraId="22C5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Merge w:val="continue"/>
                  <w:vAlign w:val="center"/>
                </w:tcPr>
                <w:p w14:paraId="4EB0D169">
                  <w:pPr>
                    <w:pStyle w:val="50"/>
                    <w:bidi w:val="0"/>
                    <w:jc w:val="center"/>
                    <w:rPr>
                      <w:rFonts w:hint="eastAsia"/>
                      <w:lang w:val="en-US" w:eastAsia="zh-CN"/>
                    </w:rPr>
                  </w:pPr>
                </w:p>
              </w:tc>
              <w:tc>
                <w:tcPr>
                  <w:tcW w:w="665" w:type="pct"/>
                  <w:vMerge w:val="continue"/>
                  <w:vAlign w:val="center"/>
                </w:tcPr>
                <w:p w14:paraId="3EF52DDD">
                  <w:pPr>
                    <w:pStyle w:val="50"/>
                    <w:bidi w:val="0"/>
                    <w:jc w:val="center"/>
                    <w:rPr>
                      <w:rFonts w:hint="eastAsia"/>
                      <w:lang w:val="en-US" w:eastAsia="zh-CN"/>
                    </w:rPr>
                  </w:pPr>
                </w:p>
              </w:tc>
              <w:tc>
                <w:tcPr>
                  <w:tcW w:w="746" w:type="pct"/>
                  <w:vAlign w:val="center"/>
                </w:tcPr>
                <w:p w14:paraId="7BDFFC35">
                  <w:pPr>
                    <w:pStyle w:val="50"/>
                    <w:bidi w:val="0"/>
                    <w:jc w:val="center"/>
                    <w:rPr>
                      <w:rFonts w:hint="eastAsia"/>
                      <w:lang w:val="en-US" w:eastAsia="zh-CN"/>
                    </w:rPr>
                  </w:pPr>
                  <w:r>
                    <w:rPr>
                      <w:rFonts w:hint="eastAsia"/>
                      <w:lang w:val="en-US" w:eastAsia="zh-CN"/>
                    </w:rPr>
                    <w:t>非甲烷总烃</w:t>
                  </w:r>
                </w:p>
              </w:tc>
              <w:tc>
                <w:tcPr>
                  <w:tcW w:w="750" w:type="pct"/>
                  <w:vAlign w:val="center"/>
                </w:tcPr>
                <w:p w14:paraId="42D20020">
                  <w:pPr>
                    <w:pStyle w:val="50"/>
                    <w:bidi w:val="0"/>
                    <w:jc w:val="center"/>
                    <w:rPr>
                      <w:rFonts w:hint="default"/>
                      <w:lang w:val="en-US" w:eastAsia="zh-CN"/>
                    </w:rPr>
                  </w:pPr>
                  <w:r>
                    <w:rPr>
                      <w:rFonts w:hint="eastAsia"/>
                      <w:lang w:val="en-US" w:eastAsia="zh-CN"/>
                    </w:rPr>
                    <w:t>20</w:t>
                  </w:r>
                </w:p>
              </w:tc>
              <w:tc>
                <w:tcPr>
                  <w:tcW w:w="634" w:type="pct"/>
                  <w:vAlign w:val="center"/>
                </w:tcPr>
                <w:p w14:paraId="50779B08">
                  <w:pPr>
                    <w:pStyle w:val="50"/>
                    <w:bidi w:val="0"/>
                    <w:jc w:val="center"/>
                    <w:rPr>
                      <w:rFonts w:hint="default"/>
                      <w:lang w:val="en-US" w:eastAsia="zh-CN"/>
                    </w:rPr>
                  </w:pPr>
                  <w:r>
                    <w:rPr>
                      <w:rFonts w:hint="eastAsia"/>
                      <w:lang w:val="en-US" w:eastAsia="zh-CN"/>
                    </w:rPr>
                    <w:t>/</w:t>
                  </w:r>
                </w:p>
              </w:tc>
              <w:tc>
                <w:tcPr>
                  <w:tcW w:w="516" w:type="pct"/>
                  <w:vAlign w:val="center"/>
                </w:tcPr>
                <w:p w14:paraId="5B46027D">
                  <w:pPr>
                    <w:pStyle w:val="61"/>
                    <w:bidi w:val="0"/>
                    <w:rPr>
                      <w:rFonts w:hint="eastAsia"/>
                      <w:lang w:val="en-US" w:eastAsia="zh-CN"/>
                    </w:rPr>
                  </w:pPr>
                  <w:r>
                    <w:rPr>
                      <w:rFonts w:hint="eastAsia"/>
                      <w:lang w:val="en-US" w:eastAsia="zh-CN"/>
                    </w:rPr>
                    <w:t>监控点处任意一次浓度值</w:t>
                  </w:r>
                </w:p>
              </w:tc>
              <w:tc>
                <w:tcPr>
                  <w:tcW w:w="1418" w:type="pct"/>
                  <w:vMerge w:val="continue"/>
                  <w:vAlign w:val="center"/>
                </w:tcPr>
                <w:p w14:paraId="50432C80">
                  <w:pPr>
                    <w:pStyle w:val="50"/>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p>
              </w:tc>
            </w:tr>
            <w:tr w14:paraId="3B067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Merge w:val="continue"/>
                  <w:vAlign w:val="center"/>
                </w:tcPr>
                <w:p w14:paraId="3CA59DE9">
                  <w:pPr>
                    <w:pStyle w:val="50"/>
                    <w:bidi w:val="0"/>
                    <w:jc w:val="center"/>
                    <w:rPr>
                      <w:rFonts w:hint="eastAsia"/>
                      <w:lang w:val="en-US" w:eastAsia="zh-CN"/>
                    </w:rPr>
                  </w:pPr>
                </w:p>
              </w:tc>
              <w:tc>
                <w:tcPr>
                  <w:tcW w:w="665" w:type="pct"/>
                  <w:vMerge w:val="restart"/>
                  <w:vAlign w:val="center"/>
                </w:tcPr>
                <w:p w14:paraId="645791F6">
                  <w:pPr>
                    <w:pStyle w:val="50"/>
                    <w:bidi w:val="0"/>
                    <w:jc w:val="center"/>
                    <w:rPr>
                      <w:rFonts w:hint="default"/>
                      <w:lang w:val="en-US" w:eastAsia="zh-CN"/>
                    </w:rPr>
                  </w:pPr>
                  <w:r>
                    <w:rPr>
                      <w:rFonts w:hint="eastAsia"/>
                      <w:lang w:val="en-US" w:eastAsia="zh-CN"/>
                    </w:rPr>
                    <w:t>厂界</w:t>
                  </w:r>
                </w:p>
              </w:tc>
              <w:tc>
                <w:tcPr>
                  <w:tcW w:w="746" w:type="pct"/>
                  <w:vAlign w:val="center"/>
                </w:tcPr>
                <w:p w14:paraId="3F3480BF">
                  <w:pPr>
                    <w:pStyle w:val="50"/>
                    <w:bidi w:val="0"/>
                    <w:jc w:val="center"/>
                    <w:rPr>
                      <w:rFonts w:hint="eastAsia"/>
                      <w:lang w:val="en-US" w:eastAsia="zh-CN"/>
                    </w:rPr>
                  </w:pPr>
                  <w:r>
                    <w:rPr>
                      <w:rFonts w:hint="eastAsia"/>
                      <w:lang w:val="en-US" w:eastAsia="zh-CN"/>
                    </w:rPr>
                    <w:t>非甲烷总烃</w:t>
                  </w:r>
                </w:p>
              </w:tc>
              <w:tc>
                <w:tcPr>
                  <w:tcW w:w="750" w:type="pct"/>
                  <w:vAlign w:val="center"/>
                </w:tcPr>
                <w:p w14:paraId="59F8DBE1">
                  <w:pPr>
                    <w:pStyle w:val="50"/>
                    <w:bidi w:val="0"/>
                    <w:jc w:val="center"/>
                    <w:rPr>
                      <w:rFonts w:hint="default"/>
                      <w:lang w:val="en-US" w:eastAsia="zh-CN"/>
                    </w:rPr>
                  </w:pPr>
                  <w:r>
                    <w:rPr>
                      <w:rFonts w:hint="eastAsia"/>
                      <w:lang w:val="en-US" w:eastAsia="zh-CN"/>
                    </w:rPr>
                    <w:t>4.0</w:t>
                  </w:r>
                </w:p>
              </w:tc>
              <w:tc>
                <w:tcPr>
                  <w:tcW w:w="634" w:type="pct"/>
                  <w:vAlign w:val="center"/>
                </w:tcPr>
                <w:p w14:paraId="164B2138">
                  <w:pPr>
                    <w:pStyle w:val="50"/>
                    <w:bidi w:val="0"/>
                    <w:jc w:val="center"/>
                    <w:rPr>
                      <w:rFonts w:hint="default"/>
                      <w:lang w:val="en-US" w:eastAsia="zh-CN"/>
                    </w:rPr>
                  </w:pPr>
                  <w:r>
                    <w:rPr>
                      <w:rFonts w:hint="eastAsia"/>
                      <w:lang w:val="en-US" w:eastAsia="zh-CN"/>
                    </w:rPr>
                    <w:t>/</w:t>
                  </w:r>
                </w:p>
              </w:tc>
              <w:tc>
                <w:tcPr>
                  <w:tcW w:w="516" w:type="pct"/>
                  <w:vAlign w:val="center"/>
                </w:tcPr>
                <w:p w14:paraId="4634FB2B">
                  <w:pPr>
                    <w:pStyle w:val="50"/>
                    <w:bidi w:val="0"/>
                    <w:jc w:val="center"/>
                    <w:rPr>
                      <w:rFonts w:hint="eastAsia"/>
                      <w:lang w:val="en-US" w:eastAsia="zh-CN"/>
                    </w:rPr>
                  </w:pPr>
                  <w:r>
                    <w:rPr>
                      <w:rFonts w:hint="eastAsia"/>
                      <w:lang w:val="en-US" w:eastAsia="zh-CN"/>
                    </w:rPr>
                    <w:t>/</w:t>
                  </w:r>
                </w:p>
              </w:tc>
              <w:tc>
                <w:tcPr>
                  <w:tcW w:w="1418" w:type="pct"/>
                  <w:vMerge w:val="restart"/>
                  <w:vAlign w:val="center"/>
                </w:tcPr>
                <w:p w14:paraId="69D44828">
                  <w:pPr>
                    <w:pStyle w:val="50"/>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eastAsia="宋体" w:cs="Times New Roman"/>
                      <w:color w:val="000000" w:themeColor="text1"/>
                      <w:szCs w:val="21"/>
                      <w:highlight w:val="none"/>
                      <w:lang w:val="en-US" w:eastAsia="zh-CN"/>
                      <w14:textFill>
                        <w14:solidFill>
                          <w14:schemeClr w14:val="tx1"/>
                        </w14:solidFill>
                      </w14:textFill>
                    </w:rPr>
                    <w:t>大气污染物综合</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排放标准》（GB</w:t>
                  </w:r>
                  <w:r>
                    <w:rPr>
                      <w:rFonts w:hint="eastAsia" w:eastAsia="宋体" w:cs="Times New Roman"/>
                      <w:color w:val="000000" w:themeColor="text1"/>
                      <w:szCs w:val="21"/>
                      <w:highlight w:val="none"/>
                      <w:lang w:val="en-US" w:eastAsia="zh-CN"/>
                      <w14:textFill>
                        <w14:solidFill>
                          <w14:schemeClr w14:val="tx1"/>
                        </w14:solidFill>
                      </w14:textFill>
                    </w:rPr>
                    <w:t>16297</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eastAsia="宋体" w:cs="Times New Roman"/>
                      <w:color w:val="000000" w:themeColor="text1"/>
                      <w:szCs w:val="21"/>
                      <w:highlight w:val="none"/>
                      <w:lang w:val="en-US" w:eastAsia="zh-CN"/>
                      <w14:textFill>
                        <w14:solidFill>
                          <w14:schemeClr w14:val="tx1"/>
                        </w14:solidFill>
                      </w14:textFill>
                    </w:rPr>
                    <w:t>1996</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tc>
            </w:tr>
            <w:tr w14:paraId="396D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Merge w:val="continue"/>
                  <w:vAlign w:val="center"/>
                </w:tcPr>
                <w:p w14:paraId="4E031F4E">
                  <w:pPr>
                    <w:pStyle w:val="50"/>
                    <w:bidi w:val="0"/>
                    <w:jc w:val="center"/>
                    <w:rPr>
                      <w:rFonts w:hint="eastAsia"/>
                      <w:lang w:val="en-US" w:eastAsia="zh-CN"/>
                    </w:rPr>
                  </w:pPr>
                </w:p>
              </w:tc>
              <w:tc>
                <w:tcPr>
                  <w:tcW w:w="665" w:type="pct"/>
                  <w:vMerge w:val="continue"/>
                  <w:vAlign w:val="center"/>
                </w:tcPr>
                <w:p w14:paraId="148BF72E">
                  <w:pPr>
                    <w:pStyle w:val="50"/>
                    <w:bidi w:val="0"/>
                    <w:jc w:val="center"/>
                    <w:rPr>
                      <w:rFonts w:hint="eastAsia"/>
                      <w:lang w:val="en-US" w:eastAsia="zh-CN"/>
                    </w:rPr>
                  </w:pPr>
                </w:p>
              </w:tc>
              <w:tc>
                <w:tcPr>
                  <w:tcW w:w="746" w:type="pct"/>
                  <w:vAlign w:val="center"/>
                </w:tcPr>
                <w:p w14:paraId="1896A88B">
                  <w:pPr>
                    <w:pStyle w:val="50"/>
                    <w:bidi w:val="0"/>
                    <w:jc w:val="center"/>
                    <w:rPr>
                      <w:rFonts w:hint="default"/>
                      <w:lang w:val="en-US" w:eastAsia="zh-CN"/>
                    </w:rPr>
                  </w:pPr>
                  <w:r>
                    <w:rPr>
                      <w:rFonts w:hint="eastAsia"/>
                      <w:lang w:val="en-US" w:eastAsia="zh-CN"/>
                    </w:rPr>
                    <w:t>颗粒物</w:t>
                  </w:r>
                </w:p>
              </w:tc>
              <w:tc>
                <w:tcPr>
                  <w:tcW w:w="750" w:type="pct"/>
                  <w:vAlign w:val="center"/>
                </w:tcPr>
                <w:p w14:paraId="570FED8E">
                  <w:pPr>
                    <w:pStyle w:val="50"/>
                    <w:bidi w:val="0"/>
                    <w:jc w:val="center"/>
                    <w:rPr>
                      <w:rFonts w:hint="default"/>
                      <w:lang w:val="en-US" w:eastAsia="zh-CN"/>
                    </w:rPr>
                  </w:pPr>
                  <w:r>
                    <w:rPr>
                      <w:rFonts w:hint="eastAsia"/>
                      <w:lang w:val="en-US" w:eastAsia="zh-CN"/>
                    </w:rPr>
                    <w:t>1.0</w:t>
                  </w:r>
                </w:p>
              </w:tc>
              <w:tc>
                <w:tcPr>
                  <w:tcW w:w="634" w:type="pct"/>
                  <w:vAlign w:val="center"/>
                </w:tcPr>
                <w:p w14:paraId="1C4FB741">
                  <w:pPr>
                    <w:pStyle w:val="50"/>
                    <w:bidi w:val="0"/>
                    <w:jc w:val="center"/>
                    <w:rPr>
                      <w:rFonts w:hint="default"/>
                      <w:lang w:val="en-US" w:eastAsia="zh-CN"/>
                    </w:rPr>
                  </w:pPr>
                  <w:r>
                    <w:rPr>
                      <w:rFonts w:hint="eastAsia"/>
                      <w:lang w:val="en-US" w:eastAsia="zh-CN"/>
                    </w:rPr>
                    <w:t>/</w:t>
                  </w:r>
                </w:p>
              </w:tc>
              <w:tc>
                <w:tcPr>
                  <w:tcW w:w="516" w:type="pct"/>
                  <w:vAlign w:val="center"/>
                </w:tcPr>
                <w:p w14:paraId="2F71E13F">
                  <w:pPr>
                    <w:pStyle w:val="50"/>
                    <w:bidi w:val="0"/>
                    <w:jc w:val="center"/>
                    <w:rPr>
                      <w:rFonts w:hint="default"/>
                      <w:lang w:val="en-US" w:eastAsia="zh-CN"/>
                    </w:rPr>
                  </w:pPr>
                  <w:r>
                    <w:rPr>
                      <w:rFonts w:hint="eastAsia"/>
                      <w:lang w:val="en-US" w:eastAsia="zh-CN"/>
                    </w:rPr>
                    <w:t>/</w:t>
                  </w:r>
                </w:p>
              </w:tc>
              <w:tc>
                <w:tcPr>
                  <w:tcW w:w="1418" w:type="pct"/>
                  <w:vMerge w:val="continue"/>
                  <w:vAlign w:val="center"/>
                </w:tcPr>
                <w:p w14:paraId="7BB4E091">
                  <w:pPr>
                    <w:pStyle w:val="50"/>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p>
              </w:tc>
            </w:tr>
          </w:tbl>
          <w:p w14:paraId="32F9ED6B">
            <w:pPr>
              <w:pStyle w:val="60"/>
              <w:bidi w:val="0"/>
              <w:rPr>
                <w:rFonts w:hint="default"/>
                <w:lang w:val="en-US" w:eastAsia="zh-CN"/>
              </w:rPr>
            </w:pPr>
            <w:r>
              <w:rPr>
                <w:rFonts w:hint="eastAsia"/>
                <w:lang w:val="en-US" w:eastAsia="zh-CN"/>
              </w:rPr>
              <w:t>1.2噪声</w:t>
            </w:r>
          </w:p>
          <w:p w14:paraId="06DAED25">
            <w:pPr>
              <w:pStyle w:val="54"/>
              <w:keepNext w:val="0"/>
              <w:keepLines w:val="0"/>
              <w:pageBreakBefore w:val="0"/>
              <w:widowControl w:val="0"/>
              <w:kinsoku/>
              <w:wordWrap w:val="0"/>
              <w:overflowPunct/>
              <w:topLinePunct w:val="0"/>
              <w:autoSpaceDE/>
              <w:autoSpaceDN/>
              <w:bidi w:val="0"/>
              <w:adjustRightInd/>
              <w:snapToGrid/>
              <w:textAlignment w:val="auto"/>
              <w:rPr>
                <w:rFonts w:hint="default"/>
                <w:lang w:val="en-US" w:eastAsia="zh-CN"/>
              </w:rPr>
            </w:pPr>
            <w:r>
              <w:rPr>
                <w:rFonts w:hint="eastAsia"/>
                <w:lang w:val="en-US" w:eastAsia="zh-CN"/>
              </w:rPr>
              <w:t>运营期噪声排放执行《工业企业厂界环境噪声排放标准》（GB 12348-2008）3类标准，具体限值见下表3-4。</w:t>
            </w:r>
          </w:p>
          <w:p w14:paraId="22FF742B">
            <w:pPr>
              <w:pStyle w:val="49"/>
              <w:bidi w:val="0"/>
              <w:rPr>
                <w:rFonts w:hint="default"/>
                <w:lang w:val="en-US" w:eastAsia="zh-CN"/>
              </w:rPr>
            </w:pPr>
            <w:r>
              <w:rPr>
                <w:rFonts w:hint="eastAsia"/>
                <w:lang w:val="en-US" w:eastAsia="zh-CN"/>
              </w:rPr>
              <w:t>表3-4    营运期噪声执行标准</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3"/>
              <w:gridCol w:w="2472"/>
              <w:gridCol w:w="2579"/>
            </w:tblGrid>
            <w:tr w14:paraId="5C5A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7" w:type="dxa"/>
                  <w:vAlign w:val="center"/>
                </w:tcPr>
                <w:p w14:paraId="0DCA1007">
                  <w:pPr>
                    <w:pStyle w:val="50"/>
                    <w:bidi w:val="0"/>
                    <w:rPr>
                      <w:rFonts w:hint="default"/>
                      <w:lang w:val="en-US" w:eastAsia="zh-CN"/>
                    </w:rPr>
                  </w:pPr>
                  <w:r>
                    <w:rPr>
                      <w:rFonts w:hint="eastAsia"/>
                      <w:lang w:val="en-US" w:eastAsia="zh-CN"/>
                    </w:rPr>
                    <w:t>厂界外声环境功能区类别</w:t>
                  </w:r>
                </w:p>
              </w:tc>
              <w:tc>
                <w:tcPr>
                  <w:tcW w:w="5057" w:type="dxa"/>
                  <w:gridSpan w:val="2"/>
                  <w:vAlign w:val="center"/>
                </w:tcPr>
                <w:p w14:paraId="6FAD8357">
                  <w:pPr>
                    <w:pStyle w:val="50"/>
                    <w:bidi w:val="0"/>
                    <w:rPr>
                      <w:rFonts w:hint="eastAsia"/>
                      <w:lang w:val="en-US" w:eastAsia="zh-CN"/>
                    </w:rPr>
                  </w:pPr>
                  <w:r>
                    <w:rPr>
                      <w:rFonts w:hint="eastAsia"/>
                      <w:lang w:val="en-US" w:eastAsia="zh-CN"/>
                    </w:rPr>
                    <w:t>时段</w:t>
                  </w:r>
                </w:p>
              </w:tc>
            </w:tr>
            <w:tr w14:paraId="0CA9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7" w:type="dxa"/>
                  <w:vAlign w:val="center"/>
                </w:tcPr>
                <w:p w14:paraId="3E19215C">
                  <w:pPr>
                    <w:pStyle w:val="50"/>
                    <w:bidi w:val="0"/>
                    <w:rPr>
                      <w:rFonts w:hint="default"/>
                      <w:lang w:val="en-US" w:eastAsia="zh-CN"/>
                    </w:rPr>
                  </w:pPr>
                  <w:r>
                    <w:rPr>
                      <w:rFonts w:hint="eastAsia"/>
                      <w:lang w:val="en-US" w:eastAsia="zh-CN"/>
                    </w:rPr>
                    <w:t>3</w:t>
                  </w:r>
                </w:p>
              </w:tc>
              <w:tc>
                <w:tcPr>
                  <w:tcW w:w="2475" w:type="dxa"/>
                  <w:vAlign w:val="center"/>
                </w:tcPr>
                <w:p w14:paraId="5E5609EF">
                  <w:pPr>
                    <w:pStyle w:val="50"/>
                    <w:bidi w:val="0"/>
                    <w:rPr>
                      <w:rFonts w:hint="default"/>
                      <w:lang w:val="en-US" w:eastAsia="zh-CN"/>
                    </w:rPr>
                  </w:pPr>
                  <w:r>
                    <w:rPr>
                      <w:rFonts w:hint="eastAsia"/>
                      <w:lang w:val="en-US" w:eastAsia="zh-CN"/>
                    </w:rPr>
                    <w:t>65dB(A)</w:t>
                  </w:r>
                </w:p>
              </w:tc>
              <w:tc>
                <w:tcPr>
                  <w:tcW w:w="2582" w:type="dxa"/>
                  <w:vAlign w:val="center"/>
                </w:tcPr>
                <w:p w14:paraId="724AAE0A">
                  <w:pPr>
                    <w:pStyle w:val="50"/>
                    <w:bidi w:val="0"/>
                    <w:rPr>
                      <w:rFonts w:hint="default"/>
                      <w:lang w:val="en-US" w:eastAsia="zh-CN"/>
                    </w:rPr>
                  </w:pPr>
                  <w:r>
                    <w:rPr>
                      <w:rFonts w:hint="eastAsia"/>
                      <w:lang w:val="en-US" w:eastAsia="zh-CN"/>
                    </w:rPr>
                    <w:t>55dB(A)</w:t>
                  </w:r>
                </w:p>
              </w:tc>
            </w:tr>
          </w:tbl>
          <w:p w14:paraId="62BA2B0B">
            <w:pPr>
              <w:pStyle w:val="60"/>
              <w:bidi w:val="0"/>
              <w:rPr>
                <w:rFonts w:hint="default"/>
                <w:lang w:val="en-US" w:eastAsia="zh-CN"/>
              </w:rPr>
            </w:pPr>
            <w:r>
              <w:rPr>
                <w:rFonts w:hint="eastAsia"/>
                <w:lang w:val="en-US" w:eastAsia="zh-CN"/>
              </w:rPr>
              <w:t>1.3废水</w:t>
            </w:r>
          </w:p>
          <w:p w14:paraId="614EB305">
            <w:pPr>
              <w:pStyle w:val="47"/>
              <w:bidi w:val="0"/>
              <w:rPr>
                <w:rFonts w:hint="default" w:ascii="Times New Roman" w:hAnsi="Times New Roman" w:eastAsia="宋体" w:cs="Times New Roman"/>
                <w:kern w:val="0"/>
                <w:szCs w:val="24"/>
                <w:lang w:val="en-US" w:eastAsia="zh-CN" w:bidi="ar-SA"/>
              </w:rPr>
            </w:pPr>
            <w:r>
              <w:rPr>
                <w:rFonts w:hint="eastAsia"/>
                <w:lang w:val="en-US" w:eastAsia="zh-CN"/>
              </w:rPr>
              <w:t>生活污水执行《污水综合排放标准》（GB8978-1996）三级标准，具体标准值见下表3-5。</w:t>
            </w:r>
          </w:p>
          <w:p w14:paraId="48901309">
            <w:pPr>
              <w:pStyle w:val="49"/>
              <w:bidi w:val="0"/>
              <w:rPr>
                <w:rFonts w:hint="default"/>
                <w:lang w:val="en-US" w:eastAsia="zh-CN"/>
              </w:rPr>
            </w:pPr>
            <w:r>
              <w:rPr>
                <w:rFonts w:hint="eastAsia"/>
                <w:lang w:val="en-US" w:eastAsia="zh-CN"/>
              </w:rPr>
              <w:t>表3-5    营运期废水执行标准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2412"/>
              <w:gridCol w:w="2368"/>
            </w:tblGrid>
            <w:tr w14:paraId="42DE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0469782D">
                  <w:pPr>
                    <w:pStyle w:val="50"/>
                    <w:bidi w:val="0"/>
                    <w:rPr>
                      <w:rFonts w:hint="default"/>
                      <w:lang w:val="en-US" w:eastAsia="zh-CN"/>
                    </w:rPr>
                  </w:pPr>
                  <w:r>
                    <w:rPr>
                      <w:rFonts w:hint="eastAsia"/>
                      <w:lang w:val="en-US" w:eastAsia="zh-CN"/>
                    </w:rPr>
                    <w:t>污染物</w:t>
                  </w:r>
                </w:p>
              </w:tc>
              <w:tc>
                <w:tcPr>
                  <w:tcW w:w="2415" w:type="dxa"/>
                  <w:vAlign w:val="center"/>
                </w:tcPr>
                <w:p w14:paraId="6B569AD8">
                  <w:pPr>
                    <w:pStyle w:val="50"/>
                    <w:bidi w:val="0"/>
                    <w:rPr>
                      <w:rFonts w:hint="default"/>
                      <w:lang w:val="en-US" w:eastAsia="zh-CN"/>
                    </w:rPr>
                  </w:pPr>
                  <w:r>
                    <w:rPr>
                      <w:rFonts w:hint="eastAsia"/>
                      <w:lang w:val="en-US" w:eastAsia="zh-CN"/>
                    </w:rPr>
                    <w:t>标准值（mg/L）</w:t>
                  </w:r>
                </w:p>
              </w:tc>
              <w:tc>
                <w:tcPr>
                  <w:tcW w:w="2369" w:type="dxa"/>
                  <w:vAlign w:val="center"/>
                </w:tcPr>
                <w:p w14:paraId="66953B3B">
                  <w:pPr>
                    <w:pStyle w:val="50"/>
                    <w:bidi w:val="0"/>
                    <w:rPr>
                      <w:rFonts w:hint="eastAsia"/>
                      <w:lang w:val="en-US" w:eastAsia="zh-CN"/>
                    </w:rPr>
                  </w:pPr>
                  <w:r>
                    <w:rPr>
                      <w:rFonts w:hint="eastAsia"/>
                      <w:lang w:val="en-US" w:eastAsia="zh-CN"/>
                    </w:rPr>
                    <w:t>执行标准</w:t>
                  </w:r>
                </w:p>
              </w:tc>
            </w:tr>
            <w:tr w14:paraId="1BAD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7D5C92EC">
                  <w:pPr>
                    <w:pStyle w:val="50"/>
                    <w:bidi w:val="0"/>
                    <w:rPr>
                      <w:rFonts w:hint="default"/>
                      <w:lang w:val="en-US" w:eastAsia="zh-CN"/>
                    </w:rPr>
                  </w:pPr>
                  <w:r>
                    <w:rPr>
                      <w:rFonts w:hint="eastAsia"/>
                      <w:lang w:val="en-US" w:eastAsia="zh-CN"/>
                    </w:rPr>
                    <w:t>pH值</w:t>
                  </w:r>
                </w:p>
              </w:tc>
              <w:tc>
                <w:tcPr>
                  <w:tcW w:w="2415" w:type="dxa"/>
                  <w:vAlign w:val="center"/>
                </w:tcPr>
                <w:p w14:paraId="445B7DD7">
                  <w:pPr>
                    <w:pStyle w:val="50"/>
                    <w:bidi w:val="0"/>
                    <w:rPr>
                      <w:rFonts w:hint="default"/>
                      <w:lang w:val="en-US" w:eastAsia="zh-CN"/>
                    </w:rPr>
                  </w:pPr>
                  <w:r>
                    <w:rPr>
                      <w:rFonts w:hint="eastAsia"/>
                      <w:lang w:val="en-US" w:eastAsia="zh-CN"/>
                    </w:rPr>
                    <w:t>6-9</w:t>
                  </w:r>
                </w:p>
              </w:tc>
              <w:tc>
                <w:tcPr>
                  <w:tcW w:w="2369" w:type="dxa"/>
                  <w:vMerge w:val="restart"/>
                  <w:vAlign w:val="center"/>
                </w:tcPr>
                <w:p w14:paraId="62AE858A">
                  <w:pPr>
                    <w:pStyle w:val="50"/>
                    <w:bidi w:val="0"/>
                    <w:rPr>
                      <w:rFonts w:hint="eastAsia"/>
                      <w:lang w:val="en-US" w:eastAsia="zh-CN"/>
                    </w:rPr>
                  </w:pPr>
                  <w:r>
                    <w:rPr>
                      <w:rFonts w:hint="eastAsia"/>
                      <w:lang w:val="en-US" w:eastAsia="zh-CN"/>
                    </w:rPr>
                    <w:t>《污水综合排放标准》（GB8978-1996）</w:t>
                  </w:r>
                </w:p>
              </w:tc>
            </w:tr>
            <w:tr w14:paraId="03C3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276B4228">
                  <w:pPr>
                    <w:pStyle w:val="50"/>
                    <w:bidi w:val="0"/>
                    <w:rPr>
                      <w:rFonts w:hint="default"/>
                      <w:lang w:val="en-US" w:eastAsia="zh-CN"/>
                    </w:rPr>
                  </w:pPr>
                  <w:r>
                    <w:rPr>
                      <w:rFonts w:hint="eastAsia"/>
                      <w:lang w:val="en-US" w:eastAsia="zh-CN"/>
                    </w:rPr>
                    <w:t>悬浮物（SS）</w:t>
                  </w:r>
                </w:p>
              </w:tc>
              <w:tc>
                <w:tcPr>
                  <w:tcW w:w="2415" w:type="dxa"/>
                  <w:vAlign w:val="center"/>
                </w:tcPr>
                <w:p w14:paraId="314DC98B">
                  <w:pPr>
                    <w:pStyle w:val="50"/>
                    <w:bidi w:val="0"/>
                    <w:rPr>
                      <w:rFonts w:hint="default"/>
                      <w:lang w:val="en-US" w:eastAsia="zh-CN"/>
                    </w:rPr>
                  </w:pPr>
                  <w:r>
                    <w:rPr>
                      <w:rFonts w:hint="eastAsia"/>
                      <w:lang w:val="en-US" w:eastAsia="zh-CN"/>
                    </w:rPr>
                    <w:t>400</w:t>
                  </w:r>
                </w:p>
              </w:tc>
              <w:tc>
                <w:tcPr>
                  <w:tcW w:w="2369" w:type="dxa"/>
                  <w:vMerge w:val="continue"/>
                  <w:vAlign w:val="center"/>
                </w:tcPr>
                <w:p w14:paraId="4677F518">
                  <w:pPr>
                    <w:pStyle w:val="50"/>
                    <w:bidi w:val="0"/>
                    <w:rPr>
                      <w:rFonts w:hint="eastAsia"/>
                      <w:lang w:val="en-US" w:eastAsia="zh-CN"/>
                    </w:rPr>
                  </w:pPr>
                </w:p>
              </w:tc>
            </w:tr>
            <w:tr w14:paraId="7AE9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59AA55FE">
                  <w:pPr>
                    <w:pStyle w:val="50"/>
                    <w:bidi w:val="0"/>
                    <w:rPr>
                      <w:rFonts w:hint="default"/>
                      <w:lang w:val="en-US" w:eastAsia="zh-CN"/>
                    </w:rPr>
                  </w:pPr>
                  <w:r>
                    <w:rPr>
                      <w:rFonts w:hint="eastAsia"/>
                      <w:lang w:val="en-US" w:eastAsia="zh-CN"/>
                    </w:rPr>
                    <w:t>五日生化需氧量（BOD</w:t>
                  </w:r>
                  <w:r>
                    <w:rPr>
                      <w:rFonts w:hint="eastAsia"/>
                      <w:vertAlign w:val="subscript"/>
                      <w:lang w:val="en-US" w:eastAsia="zh-CN"/>
                    </w:rPr>
                    <w:t>5</w:t>
                  </w:r>
                  <w:r>
                    <w:rPr>
                      <w:rFonts w:hint="eastAsia"/>
                      <w:lang w:val="en-US" w:eastAsia="zh-CN"/>
                    </w:rPr>
                    <w:t>）</w:t>
                  </w:r>
                </w:p>
              </w:tc>
              <w:tc>
                <w:tcPr>
                  <w:tcW w:w="2415" w:type="dxa"/>
                  <w:vAlign w:val="center"/>
                </w:tcPr>
                <w:p w14:paraId="772B11CC">
                  <w:pPr>
                    <w:pStyle w:val="50"/>
                    <w:bidi w:val="0"/>
                    <w:rPr>
                      <w:rFonts w:hint="default"/>
                      <w:lang w:val="en-US" w:eastAsia="zh-CN"/>
                    </w:rPr>
                  </w:pPr>
                  <w:r>
                    <w:rPr>
                      <w:rFonts w:hint="eastAsia"/>
                      <w:lang w:val="en-US" w:eastAsia="zh-CN"/>
                    </w:rPr>
                    <w:t>300</w:t>
                  </w:r>
                </w:p>
              </w:tc>
              <w:tc>
                <w:tcPr>
                  <w:tcW w:w="2369" w:type="dxa"/>
                  <w:vMerge w:val="continue"/>
                  <w:vAlign w:val="center"/>
                </w:tcPr>
                <w:p w14:paraId="4E04F9C8">
                  <w:pPr>
                    <w:pStyle w:val="50"/>
                    <w:bidi w:val="0"/>
                    <w:rPr>
                      <w:rFonts w:hint="eastAsia"/>
                      <w:lang w:val="en-US" w:eastAsia="zh-CN"/>
                    </w:rPr>
                  </w:pPr>
                </w:p>
              </w:tc>
            </w:tr>
            <w:tr w14:paraId="27B8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702408C9">
                  <w:pPr>
                    <w:pStyle w:val="50"/>
                    <w:bidi w:val="0"/>
                    <w:rPr>
                      <w:rFonts w:hint="default"/>
                      <w:lang w:val="en-US" w:eastAsia="zh-CN"/>
                    </w:rPr>
                  </w:pPr>
                  <w:r>
                    <w:rPr>
                      <w:rFonts w:hint="eastAsia"/>
                      <w:lang w:val="en-US" w:eastAsia="zh-CN"/>
                    </w:rPr>
                    <w:t>化学需氧量（COD）</w:t>
                  </w:r>
                </w:p>
              </w:tc>
              <w:tc>
                <w:tcPr>
                  <w:tcW w:w="2415" w:type="dxa"/>
                  <w:vAlign w:val="center"/>
                </w:tcPr>
                <w:p w14:paraId="1410F254">
                  <w:pPr>
                    <w:pStyle w:val="50"/>
                    <w:bidi w:val="0"/>
                    <w:rPr>
                      <w:rFonts w:hint="default"/>
                      <w:lang w:val="en-US" w:eastAsia="zh-CN"/>
                    </w:rPr>
                  </w:pPr>
                  <w:r>
                    <w:rPr>
                      <w:rFonts w:hint="eastAsia"/>
                      <w:lang w:val="en-US" w:eastAsia="zh-CN"/>
                    </w:rPr>
                    <w:t>500</w:t>
                  </w:r>
                </w:p>
              </w:tc>
              <w:tc>
                <w:tcPr>
                  <w:tcW w:w="2369" w:type="dxa"/>
                  <w:vMerge w:val="continue"/>
                  <w:vAlign w:val="center"/>
                </w:tcPr>
                <w:p w14:paraId="4345D74A">
                  <w:pPr>
                    <w:pStyle w:val="50"/>
                    <w:bidi w:val="0"/>
                    <w:rPr>
                      <w:rFonts w:hint="eastAsia"/>
                      <w:lang w:val="en-US" w:eastAsia="zh-CN"/>
                    </w:rPr>
                  </w:pPr>
                </w:p>
              </w:tc>
            </w:tr>
            <w:tr w14:paraId="3C14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31384F84">
                  <w:pPr>
                    <w:pStyle w:val="50"/>
                    <w:bidi w:val="0"/>
                    <w:rPr>
                      <w:rFonts w:hint="default"/>
                      <w:lang w:val="en-US" w:eastAsia="zh-CN"/>
                    </w:rPr>
                  </w:pPr>
                  <w:r>
                    <w:rPr>
                      <w:rFonts w:hint="default"/>
                      <w:lang w:val="en-US" w:eastAsia="zh-CN"/>
                    </w:rPr>
                    <w:t>氨氮</w:t>
                  </w:r>
                </w:p>
              </w:tc>
              <w:tc>
                <w:tcPr>
                  <w:tcW w:w="2415" w:type="dxa"/>
                  <w:vAlign w:val="center"/>
                </w:tcPr>
                <w:p w14:paraId="1DFA6C65">
                  <w:pPr>
                    <w:pStyle w:val="50"/>
                    <w:bidi w:val="0"/>
                    <w:rPr>
                      <w:rFonts w:hint="default"/>
                      <w:lang w:val="en-US" w:eastAsia="zh-CN"/>
                    </w:rPr>
                  </w:pPr>
                  <w:r>
                    <w:rPr>
                      <w:rFonts w:hint="eastAsia"/>
                      <w:lang w:val="en-US" w:eastAsia="zh-CN"/>
                    </w:rPr>
                    <w:t>/</w:t>
                  </w:r>
                </w:p>
              </w:tc>
              <w:tc>
                <w:tcPr>
                  <w:tcW w:w="2369" w:type="dxa"/>
                  <w:vMerge w:val="continue"/>
                  <w:vAlign w:val="center"/>
                </w:tcPr>
                <w:p w14:paraId="40ED7C8D">
                  <w:pPr>
                    <w:pStyle w:val="50"/>
                    <w:bidi w:val="0"/>
                    <w:rPr>
                      <w:rFonts w:hint="eastAsia"/>
                      <w:lang w:val="en-US" w:eastAsia="zh-CN"/>
                    </w:rPr>
                  </w:pPr>
                </w:p>
              </w:tc>
            </w:tr>
            <w:tr w14:paraId="64AC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06BA7712">
                  <w:pPr>
                    <w:pStyle w:val="50"/>
                    <w:bidi w:val="0"/>
                    <w:rPr>
                      <w:rFonts w:hint="eastAsia"/>
                      <w:lang w:val="en-US" w:eastAsia="zh-CN"/>
                    </w:rPr>
                  </w:pPr>
                  <w:r>
                    <w:rPr>
                      <w:rFonts w:hint="eastAsia"/>
                      <w:lang w:val="en-US" w:eastAsia="zh-CN"/>
                    </w:rPr>
                    <w:t>石油类</w:t>
                  </w:r>
                </w:p>
              </w:tc>
              <w:tc>
                <w:tcPr>
                  <w:tcW w:w="2415" w:type="dxa"/>
                  <w:vAlign w:val="center"/>
                </w:tcPr>
                <w:p w14:paraId="34F89ABD">
                  <w:pPr>
                    <w:pStyle w:val="50"/>
                    <w:bidi w:val="0"/>
                    <w:rPr>
                      <w:rFonts w:hint="default"/>
                      <w:lang w:val="en-US" w:eastAsia="zh-CN"/>
                    </w:rPr>
                  </w:pPr>
                  <w:r>
                    <w:rPr>
                      <w:rFonts w:hint="eastAsia"/>
                      <w:lang w:val="en-US" w:eastAsia="zh-CN"/>
                    </w:rPr>
                    <w:t>30</w:t>
                  </w:r>
                </w:p>
              </w:tc>
              <w:tc>
                <w:tcPr>
                  <w:tcW w:w="2369" w:type="dxa"/>
                  <w:vMerge w:val="continue"/>
                  <w:vAlign w:val="center"/>
                </w:tcPr>
                <w:p w14:paraId="6561DB77">
                  <w:pPr>
                    <w:pStyle w:val="50"/>
                    <w:bidi w:val="0"/>
                    <w:rPr>
                      <w:rFonts w:hint="eastAsia"/>
                      <w:lang w:val="en-US" w:eastAsia="zh-CN"/>
                    </w:rPr>
                  </w:pPr>
                </w:p>
              </w:tc>
            </w:tr>
            <w:tr w14:paraId="36CA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4B0A506D">
                  <w:pPr>
                    <w:pStyle w:val="50"/>
                    <w:bidi w:val="0"/>
                    <w:rPr>
                      <w:rFonts w:hint="default"/>
                      <w:lang w:val="en-US" w:eastAsia="zh-CN"/>
                    </w:rPr>
                  </w:pPr>
                  <w:r>
                    <w:rPr>
                      <w:rFonts w:hint="eastAsia"/>
                      <w:lang w:val="en-US" w:eastAsia="zh-CN"/>
                    </w:rPr>
                    <w:t>动植物油</w:t>
                  </w:r>
                </w:p>
              </w:tc>
              <w:tc>
                <w:tcPr>
                  <w:tcW w:w="2415" w:type="dxa"/>
                  <w:vAlign w:val="center"/>
                </w:tcPr>
                <w:p w14:paraId="04ED195A">
                  <w:pPr>
                    <w:pStyle w:val="50"/>
                    <w:bidi w:val="0"/>
                    <w:rPr>
                      <w:rFonts w:hint="default"/>
                      <w:lang w:val="en-US" w:eastAsia="zh-CN"/>
                    </w:rPr>
                  </w:pPr>
                  <w:r>
                    <w:rPr>
                      <w:rFonts w:hint="eastAsia"/>
                      <w:lang w:val="en-US" w:eastAsia="zh-CN"/>
                    </w:rPr>
                    <w:t>100</w:t>
                  </w:r>
                </w:p>
              </w:tc>
              <w:tc>
                <w:tcPr>
                  <w:tcW w:w="2369" w:type="dxa"/>
                  <w:vMerge w:val="continue"/>
                  <w:vAlign w:val="center"/>
                </w:tcPr>
                <w:p w14:paraId="23072EF1">
                  <w:pPr>
                    <w:pStyle w:val="50"/>
                    <w:bidi w:val="0"/>
                    <w:rPr>
                      <w:rFonts w:hint="eastAsia"/>
                      <w:lang w:val="en-US" w:eastAsia="zh-CN"/>
                    </w:rPr>
                  </w:pPr>
                </w:p>
              </w:tc>
            </w:tr>
          </w:tbl>
          <w:p w14:paraId="4349502E">
            <w:pPr>
              <w:pStyle w:val="60"/>
              <w:bidi w:val="0"/>
              <w:rPr>
                <w:rFonts w:hint="eastAsia"/>
                <w:lang w:val="en-US" w:eastAsia="zh-CN"/>
              </w:rPr>
            </w:pPr>
            <w:r>
              <w:rPr>
                <w:rFonts w:hint="eastAsia"/>
                <w:lang w:val="en-US" w:eastAsia="zh-CN"/>
              </w:rPr>
              <w:t>1.4固体废物</w:t>
            </w:r>
          </w:p>
          <w:p w14:paraId="600D6522">
            <w:pPr>
              <w:pStyle w:val="54"/>
              <w:bidi w:val="0"/>
              <w:rPr>
                <w:rFonts w:hint="eastAsia"/>
              </w:rPr>
            </w:pPr>
            <w:r>
              <w:rPr>
                <w:rFonts w:hint="eastAsia"/>
              </w:rPr>
              <w:t>（1）一般工业固体</w:t>
            </w:r>
          </w:p>
          <w:p w14:paraId="034D4843">
            <w:pPr>
              <w:pStyle w:val="54"/>
              <w:bidi w:val="0"/>
              <w:rPr>
                <w:rFonts w:hint="default"/>
                <w:lang w:val="en-US" w:eastAsia="zh-CN"/>
              </w:rPr>
            </w:pPr>
            <w:r>
              <w:rPr>
                <w:rFonts w:hint="eastAsia"/>
                <w:lang w:val="en-US" w:eastAsia="zh-CN"/>
              </w:rPr>
              <w:t>一般工业固体贮存过程应满足相应防渗漏、防雨淋、防扬尘等环境保护要求。本项目产生的一般工业固体执行《中华人民共和国固体废物污染环境防治法》（2020年9月1日起施行）。</w:t>
            </w:r>
          </w:p>
          <w:p w14:paraId="41FB1DAB">
            <w:pPr>
              <w:pStyle w:val="54"/>
              <w:bidi w:val="0"/>
              <w:rPr>
                <w:rFonts w:hint="eastAsia"/>
              </w:rPr>
            </w:pPr>
            <w:r>
              <w:rPr>
                <w:rFonts w:hint="eastAsia"/>
              </w:rPr>
              <w:t>（</w:t>
            </w:r>
            <w:r>
              <w:rPr>
                <w:rFonts w:hint="eastAsia"/>
                <w:lang w:val="en-US" w:eastAsia="zh-CN"/>
              </w:rPr>
              <w:t>2</w:t>
            </w:r>
            <w:r>
              <w:rPr>
                <w:rFonts w:hint="eastAsia"/>
              </w:rPr>
              <w:t>）危险废物</w:t>
            </w:r>
          </w:p>
          <w:p w14:paraId="555AC381">
            <w:pPr>
              <w:pStyle w:val="54"/>
              <w:bidi w:val="0"/>
              <w:rPr>
                <w:rFonts w:hint="default"/>
                <w:lang w:val="en-US" w:eastAsia="zh-CN"/>
              </w:rPr>
            </w:pPr>
            <w:r>
              <w:rPr>
                <w:rFonts w:hint="eastAsia"/>
              </w:rPr>
              <w:t>危险固废应按照《危险废物贮存污染控制标准》</w:t>
            </w:r>
            <w:r>
              <w:rPr>
                <w:rFonts w:hint="eastAsia"/>
                <w:lang w:eastAsia="zh-CN"/>
              </w:rPr>
              <w:t>（</w:t>
            </w:r>
            <w:r>
              <w:rPr>
                <w:rFonts w:hint="eastAsia"/>
              </w:rPr>
              <w:t>GB18597—2023</w:t>
            </w:r>
            <w:r>
              <w:rPr>
                <w:rFonts w:hint="eastAsia"/>
                <w:lang w:eastAsia="zh-CN"/>
              </w:rPr>
              <w:t>）</w:t>
            </w:r>
            <w:r>
              <w:rPr>
                <w:rFonts w:hint="eastAsia"/>
              </w:rPr>
              <w:t>和《危险废物收集贮存运输技术规范》</w:t>
            </w:r>
            <w:r>
              <w:rPr>
                <w:rFonts w:hint="eastAsia"/>
                <w:lang w:eastAsia="zh-CN"/>
              </w:rPr>
              <w:t>（</w:t>
            </w:r>
            <w:r>
              <w:rPr>
                <w:rFonts w:hint="eastAsia"/>
              </w:rPr>
              <w:t>HJ2025-2012</w:t>
            </w:r>
            <w:r>
              <w:rPr>
                <w:rFonts w:hint="eastAsia"/>
                <w:lang w:eastAsia="zh-CN"/>
              </w:rPr>
              <w:t>）</w:t>
            </w:r>
            <w:r>
              <w:rPr>
                <w:rFonts w:hint="eastAsia"/>
              </w:rPr>
              <w:t>中相关规定要求进行危险废物的包装、贮存设施的选址、设计、运行、安全防护、监测和关闭等要求进行合理的贮存。</w:t>
            </w:r>
          </w:p>
        </w:tc>
      </w:tr>
      <w:tr w14:paraId="4A4D0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800" w:type="dxa"/>
            <w:noWrap w:val="0"/>
            <w:vAlign w:val="center"/>
          </w:tcPr>
          <w:p w14:paraId="6318C9B9">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总量</w:t>
            </w:r>
          </w:p>
          <w:p w14:paraId="4B953061">
            <w:pPr>
              <w:adjustRightInd w:val="0"/>
              <w:snapToGrid w:val="0"/>
              <w:jc w:val="center"/>
              <w:rPr>
                <w:rFonts w:hint="eastAsia" w:ascii="宋体" w:hAnsi="宋体" w:cs="宋体"/>
                <w:kern w:val="0"/>
                <w:szCs w:val="21"/>
                <w:highlight w:val="none"/>
              </w:rPr>
            </w:pPr>
            <w:r>
              <w:rPr>
                <w:rFonts w:hint="eastAsia" w:ascii="宋体" w:hAnsi="宋体" w:cs="宋体"/>
                <w:kern w:val="0"/>
                <w:szCs w:val="21"/>
                <w:highlight w:val="none"/>
              </w:rPr>
              <w:t>控制</w:t>
            </w:r>
          </w:p>
          <w:p w14:paraId="3333FCEA">
            <w:pPr>
              <w:adjustRightInd w:val="0"/>
              <w:snapToGrid w:val="0"/>
              <w:jc w:val="center"/>
              <w:rPr>
                <w:rFonts w:ascii="宋体" w:hAnsi="宋体" w:cs="宋体"/>
                <w:kern w:val="0"/>
                <w:szCs w:val="21"/>
              </w:rPr>
            </w:pPr>
            <w:r>
              <w:rPr>
                <w:rFonts w:hint="eastAsia" w:ascii="宋体" w:hAnsi="宋体" w:cs="宋体"/>
                <w:kern w:val="0"/>
                <w:szCs w:val="21"/>
                <w:highlight w:val="none"/>
              </w:rPr>
              <w:t>指标</w:t>
            </w:r>
          </w:p>
        </w:tc>
        <w:tc>
          <w:tcPr>
            <w:tcW w:w="8190" w:type="dxa"/>
            <w:noWrap w:val="0"/>
            <w:vAlign w:val="top"/>
          </w:tcPr>
          <w:p w14:paraId="62FE8D92">
            <w:pPr>
              <w:pStyle w:val="51"/>
              <w:keepNext w:val="0"/>
              <w:keepLines w:val="0"/>
              <w:suppressLineNumbers w:val="0"/>
              <w:bidi w:val="0"/>
              <w:spacing w:before="0" w:beforeAutospacing="0" w:after="0" w:afterAutospacing="0"/>
              <w:ind w:left="0" w:right="0"/>
              <w:jc w:val="left"/>
              <w:rPr>
                <w:rFonts w:hint="eastAsia" w:cs="Times New Roman"/>
                <w:sz w:val="24"/>
                <w:highlight w:val="none"/>
                <w:vertAlign w:val="baseline"/>
                <w:lang w:eastAsia="zh-CN"/>
              </w:rPr>
            </w:pPr>
            <w:r>
              <w:rPr>
                <w:rFonts w:hint="eastAsia" w:cs="Times New Roman"/>
                <w:highlight w:val="none"/>
                <w:lang w:val="en-US" w:eastAsia="zh-CN"/>
              </w:rPr>
              <w:t>本项目</w:t>
            </w:r>
            <w:r>
              <w:rPr>
                <w:rFonts w:hint="eastAsia" w:cs="Times New Roman"/>
                <w:highlight w:val="none"/>
                <w:lang w:eastAsia="zh-CN"/>
              </w:rPr>
              <w:t>涉及</w:t>
            </w:r>
            <w:r>
              <w:rPr>
                <w:rFonts w:hint="eastAsia" w:cs="Times New Roman"/>
                <w:highlight w:val="none"/>
                <w:lang w:val="en-US" w:eastAsia="zh-CN"/>
              </w:rPr>
              <w:t>总量控制指标的污染物主要为非甲烷总烃和</w:t>
            </w:r>
            <w:r>
              <w:rPr>
                <w:rFonts w:hint="default" w:ascii="Times New Roman" w:hAnsi="Times New Roman" w:eastAsia="宋体" w:cs="Times New Roman"/>
                <w:sz w:val="24"/>
                <w:highlight w:val="none"/>
              </w:rPr>
              <w:t>NO</w:t>
            </w:r>
            <w:r>
              <w:rPr>
                <w:rFonts w:hint="default" w:ascii="Times New Roman" w:hAnsi="Times New Roman" w:eastAsia="宋体" w:cs="Times New Roman"/>
                <w:sz w:val="24"/>
                <w:highlight w:val="none"/>
                <w:vertAlign w:val="subscript"/>
              </w:rPr>
              <w:t>X</w:t>
            </w:r>
            <w:r>
              <w:rPr>
                <w:rFonts w:hint="eastAsia" w:cs="Times New Roman"/>
                <w:sz w:val="24"/>
                <w:highlight w:val="none"/>
                <w:vertAlign w:val="baseline"/>
                <w:lang w:eastAsia="zh-CN"/>
              </w:rPr>
              <w:t>。</w:t>
            </w:r>
          </w:p>
          <w:p w14:paraId="490072A3">
            <w:pPr>
              <w:pStyle w:val="47"/>
              <w:bidi w:val="0"/>
              <w:rPr>
                <w:rFonts w:hint="eastAsia"/>
                <w:lang w:val="en-US" w:eastAsia="zh-CN"/>
              </w:rPr>
            </w:pPr>
            <w:r>
              <w:rPr>
                <w:rFonts w:hint="eastAsia"/>
                <w:lang w:val="en-US" w:eastAsia="zh-CN"/>
              </w:rPr>
              <w:t>非甲烷总烃：</w:t>
            </w:r>
            <w:r>
              <w:rPr>
                <w:rFonts w:hint="default"/>
                <w:lang w:val="en-US" w:eastAsia="zh-CN"/>
              </w:rPr>
              <w:t>①</w:t>
            </w:r>
            <w:r>
              <w:rPr>
                <w:rFonts w:hint="eastAsia"/>
                <w:lang w:val="en-US" w:eastAsia="zh-CN"/>
              </w:rPr>
              <w:t>水性涂料VOCs的产生量为</w:t>
            </w:r>
            <w:r>
              <w:rPr>
                <w:rFonts w:hint="eastAsia"/>
                <w:highlight w:val="none"/>
                <w:lang w:val="en-US" w:eastAsia="zh-CN"/>
              </w:rPr>
              <w:t>1.875</w:t>
            </w:r>
            <w:r>
              <w:rPr>
                <w:rFonts w:hint="eastAsia"/>
                <w:lang w:val="en-US" w:eastAsia="zh-CN"/>
              </w:rPr>
              <w:t>t/a，在封闭喷漆房内微负压收集（收集效率为90%），则有组织产生量为</w:t>
            </w:r>
            <w:r>
              <w:rPr>
                <w:rFonts w:hint="eastAsia"/>
                <w:highlight w:val="none"/>
                <w:lang w:val="en-US" w:eastAsia="zh-CN"/>
              </w:rPr>
              <w:t>1.6875</w:t>
            </w:r>
            <w:r>
              <w:rPr>
                <w:rFonts w:hint="eastAsia"/>
                <w:lang w:val="en-US" w:eastAsia="zh-CN"/>
              </w:rPr>
              <w:t>t/a，收集后通入二级活性炭吸附装置进行处理（综合处理效率为51%），处理后经一根15m排气筒（DA001）进行排放，则挥发性有机物有组织排放量为</w:t>
            </w:r>
            <w:r>
              <w:rPr>
                <w:rFonts w:hint="eastAsia"/>
                <w:highlight w:val="none"/>
                <w:lang w:val="en-US" w:eastAsia="zh-CN"/>
              </w:rPr>
              <w:t>0.827</w:t>
            </w:r>
            <w:r>
              <w:rPr>
                <w:rFonts w:hint="eastAsia"/>
                <w:lang w:val="en-US" w:eastAsia="zh-CN"/>
              </w:rPr>
              <w:t>t/a，无组织排放量为0.188t/a；</w:t>
            </w:r>
          </w:p>
          <w:p w14:paraId="6B04C1D6">
            <w:pPr>
              <w:pStyle w:val="54"/>
              <w:bidi w:val="0"/>
              <w:rPr>
                <w:rFonts w:hint="eastAsia" w:eastAsia="宋体" w:cs="Times New Roman"/>
                <w:vertAlign w:val="baseline"/>
                <w:lang w:val="en-US" w:eastAsia="zh-CN"/>
              </w:rPr>
            </w:pPr>
            <w:r>
              <w:rPr>
                <w:rFonts w:hint="default"/>
              </w:rPr>
              <w:t>NO</w:t>
            </w:r>
            <w:r>
              <w:rPr>
                <w:rFonts w:hint="default"/>
                <w:vertAlign w:val="subscript"/>
              </w:rPr>
              <w:t>X</w:t>
            </w:r>
            <w:r>
              <w:rPr>
                <w:rFonts w:hint="eastAsia" w:cs="Times New Roman"/>
                <w:lang w:val="en-US" w:eastAsia="zh-CN"/>
              </w:rPr>
              <w:t>：本项目天然气炉窑在运行的过程中会产生</w:t>
            </w:r>
            <w:r>
              <w:rPr>
                <w:rFonts w:hint="default"/>
              </w:rPr>
              <w:t>NO</w:t>
            </w:r>
            <w:r>
              <w:rPr>
                <w:rFonts w:hint="default"/>
                <w:vertAlign w:val="subscript"/>
              </w:rPr>
              <w:t>X</w:t>
            </w:r>
            <w:r>
              <w:rPr>
                <w:rFonts w:hint="eastAsia"/>
                <w:vertAlign w:val="baseline"/>
                <w:lang w:eastAsia="zh-CN"/>
              </w:rPr>
              <w:t>，参考《排放源统计调查产排污核算方法和系数手册》</w:t>
            </w:r>
            <w:r>
              <w:rPr>
                <w:rFonts w:hint="eastAsia"/>
                <w:vertAlign w:val="baseline"/>
                <w:lang w:val="en-US" w:eastAsia="zh-CN"/>
              </w:rPr>
              <w:t>33金属制品业</w:t>
            </w:r>
            <w:r>
              <w:rPr>
                <w:rFonts w:hint="eastAsia"/>
                <w:vertAlign w:val="baseline"/>
                <w:lang w:eastAsia="zh-CN"/>
              </w:rPr>
              <w:t>产排污量核算系数手册，</w:t>
            </w:r>
            <w:r>
              <w:rPr>
                <w:rFonts w:hint="default"/>
              </w:rPr>
              <w:t>NO</w:t>
            </w:r>
            <w:r>
              <w:rPr>
                <w:rFonts w:hint="default"/>
                <w:vertAlign w:val="subscript"/>
              </w:rPr>
              <w:t>X</w:t>
            </w:r>
            <w:r>
              <w:rPr>
                <w:rFonts w:hint="eastAsia"/>
                <w:color w:val="auto"/>
                <w:highlight w:val="none"/>
                <w:lang w:val="en-US" w:eastAsia="zh-CN"/>
              </w:rPr>
              <w:t>产污系数为0.00187</w:t>
            </w:r>
            <w:r>
              <w:rPr>
                <w:rFonts w:hint="eastAsia" w:ascii="Times New Roman" w:hAnsi="Times New Roman" w:eastAsia="宋体" w:cs="Times New Roman"/>
                <w:color w:val="auto"/>
                <w:highlight w:val="none"/>
                <w:vertAlign w:val="baseline"/>
                <w:lang w:val="en-US" w:eastAsia="zh-CN"/>
              </w:rPr>
              <w:t>千克/立方米-原料</w:t>
            </w:r>
            <w:r>
              <w:rPr>
                <w:rFonts w:hint="eastAsia" w:ascii="Times New Roman" w:hAnsi="Times New Roman" w:cs="Times New Roman"/>
                <w:color w:val="auto"/>
                <w:highlight w:val="none"/>
                <w:vertAlign w:val="baseline"/>
                <w:lang w:val="en-US" w:eastAsia="zh-CN"/>
              </w:rPr>
              <w:t>，</w:t>
            </w:r>
            <w:r>
              <w:rPr>
                <w:rFonts w:hint="eastAsia" w:cs="Times New Roman"/>
                <w:color w:val="auto"/>
                <w:highlight w:val="none"/>
                <w:vertAlign w:val="baseline"/>
                <w:lang w:val="en-US" w:eastAsia="zh-CN"/>
              </w:rPr>
              <w:t>本项目天然气年使用量约为10万m³，</w:t>
            </w:r>
            <w:r>
              <w:rPr>
                <w:rFonts w:hint="eastAsia" w:ascii="Times New Roman" w:hAnsi="Times New Roman" w:cs="Times New Roman"/>
                <w:color w:val="auto"/>
                <w:highlight w:val="none"/>
                <w:vertAlign w:val="baseline"/>
                <w:lang w:val="en-US" w:eastAsia="zh-CN"/>
              </w:rPr>
              <w:t>则</w:t>
            </w:r>
            <w:r>
              <w:rPr>
                <w:rFonts w:hint="default"/>
                <w:color w:val="auto"/>
                <w:highlight w:val="none"/>
              </w:rPr>
              <w:t>NO</w:t>
            </w:r>
            <w:r>
              <w:rPr>
                <w:rFonts w:hint="default"/>
                <w:color w:val="auto"/>
                <w:highlight w:val="none"/>
                <w:vertAlign w:val="subscript"/>
              </w:rPr>
              <w:t>X</w:t>
            </w:r>
            <w:r>
              <w:rPr>
                <w:rFonts w:hint="eastAsia"/>
                <w:color w:val="auto"/>
                <w:highlight w:val="none"/>
                <w:vertAlign w:val="baseline"/>
                <w:lang w:val="en-US" w:eastAsia="zh-CN"/>
              </w:rPr>
              <w:t>产生量为0.187t/a，燃烧废气经低氮燃烧处理后（效率50%），经15m高排气筒（DA002、DA003）进行排放，排放量为0.0935t/a。</w:t>
            </w:r>
          </w:p>
          <w:p w14:paraId="2FC274B5">
            <w:pPr>
              <w:pStyle w:val="51"/>
              <w:keepNext w:val="0"/>
              <w:keepLines w:val="0"/>
              <w:suppressLineNumbers w:val="0"/>
              <w:bidi w:val="0"/>
              <w:spacing w:before="0" w:beforeAutospacing="0" w:after="0" w:afterAutospacing="0"/>
              <w:ind w:left="0" w:right="0"/>
              <w:jc w:val="both"/>
              <w:rPr>
                <w:rFonts w:hint="default" w:cs="Times New Roman"/>
                <w:highlight w:val="none"/>
                <w:lang w:val="en-US" w:eastAsia="zh-CN"/>
              </w:rPr>
            </w:pPr>
            <w:r>
              <w:rPr>
                <w:rFonts w:hint="eastAsia" w:cs="Times New Roman"/>
                <w:highlight w:val="none"/>
                <w:lang w:val="en-US" w:eastAsia="zh-CN"/>
              </w:rPr>
              <w:t>本环评总量控制建议指标见表3-6。</w:t>
            </w:r>
          </w:p>
          <w:p w14:paraId="3F88F2FA">
            <w:pPr>
              <w:pStyle w:val="62"/>
              <w:bidi w:val="0"/>
              <w:rPr>
                <w:rFonts w:hint="eastAsia"/>
                <w:lang w:val="en-US" w:eastAsia="zh-CN"/>
              </w:rPr>
            </w:pPr>
            <w:r>
              <w:rPr>
                <w:rFonts w:hint="eastAsia"/>
                <w:lang w:val="en-US" w:eastAsia="zh-CN"/>
              </w:rPr>
              <w:t>表3-6    本项目总量控制建议指标</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2996"/>
              <w:gridCol w:w="3276"/>
            </w:tblGrid>
            <w:tr w14:paraId="1553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vAlign w:val="center"/>
                </w:tcPr>
                <w:p w14:paraId="4C2FD903">
                  <w:pPr>
                    <w:pStyle w:val="61"/>
                    <w:bidi w:val="0"/>
                    <w:rPr>
                      <w:rFonts w:hint="default"/>
                      <w:lang w:val="en-US" w:eastAsia="zh-CN"/>
                    </w:rPr>
                  </w:pPr>
                  <w:r>
                    <w:rPr>
                      <w:rFonts w:hint="eastAsia"/>
                      <w:lang w:val="en-US" w:eastAsia="zh-CN"/>
                    </w:rPr>
                    <w:t>废气</w:t>
                  </w:r>
                </w:p>
              </w:tc>
              <w:tc>
                <w:tcPr>
                  <w:tcW w:w="3938" w:type="pct"/>
                  <w:gridSpan w:val="2"/>
                  <w:vAlign w:val="center"/>
                </w:tcPr>
                <w:p w14:paraId="774ABC07">
                  <w:pPr>
                    <w:pStyle w:val="61"/>
                    <w:bidi w:val="0"/>
                    <w:rPr>
                      <w:rFonts w:hint="default"/>
                      <w:lang w:val="en-US" w:eastAsia="zh-CN"/>
                    </w:rPr>
                  </w:pPr>
                  <w:r>
                    <w:rPr>
                      <w:rFonts w:hint="eastAsia"/>
                      <w:lang w:val="en-US" w:eastAsia="zh-CN"/>
                    </w:rPr>
                    <w:t>本环评总量控制建议指标</w:t>
                  </w:r>
                </w:p>
              </w:tc>
            </w:tr>
            <w:tr w14:paraId="03D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14:paraId="5709B48F">
                  <w:pPr>
                    <w:pStyle w:val="61"/>
                    <w:bidi w:val="0"/>
                    <w:rPr>
                      <w:rFonts w:hint="default"/>
                      <w:lang w:val="en-US" w:eastAsia="zh-CN"/>
                    </w:rPr>
                  </w:pPr>
                </w:p>
              </w:tc>
              <w:tc>
                <w:tcPr>
                  <w:tcW w:w="1881" w:type="pct"/>
                  <w:vAlign w:val="center"/>
                </w:tcPr>
                <w:p w14:paraId="065A0C28">
                  <w:pPr>
                    <w:pStyle w:val="61"/>
                    <w:bidi w:val="0"/>
                    <w:rPr>
                      <w:rFonts w:hint="eastAsia"/>
                      <w:lang w:val="en-US" w:eastAsia="zh-CN"/>
                    </w:rPr>
                  </w:pPr>
                  <w:r>
                    <w:rPr>
                      <w:rFonts w:hint="eastAsia"/>
                      <w:lang w:val="en-US" w:eastAsia="zh-CN"/>
                    </w:rPr>
                    <w:t>污染物名称</w:t>
                  </w:r>
                </w:p>
              </w:tc>
              <w:tc>
                <w:tcPr>
                  <w:tcW w:w="2057" w:type="pct"/>
                  <w:vAlign w:val="center"/>
                </w:tcPr>
                <w:p w14:paraId="3A10B5D3">
                  <w:pPr>
                    <w:pStyle w:val="61"/>
                    <w:bidi w:val="0"/>
                    <w:rPr>
                      <w:rFonts w:hint="default"/>
                      <w:lang w:val="en-US" w:eastAsia="zh-CN"/>
                    </w:rPr>
                  </w:pPr>
                  <w:r>
                    <w:rPr>
                      <w:rFonts w:hint="eastAsia"/>
                      <w:lang w:val="en-US" w:eastAsia="zh-CN"/>
                    </w:rPr>
                    <w:t>总量控制指标（t/a）</w:t>
                  </w:r>
                </w:p>
              </w:tc>
            </w:tr>
            <w:tr w14:paraId="3D80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14:paraId="2E45C47A">
                  <w:pPr>
                    <w:pStyle w:val="61"/>
                    <w:bidi w:val="0"/>
                    <w:rPr>
                      <w:rFonts w:hint="default"/>
                      <w:lang w:val="en-US" w:eastAsia="zh-CN"/>
                    </w:rPr>
                  </w:pPr>
                </w:p>
              </w:tc>
              <w:tc>
                <w:tcPr>
                  <w:tcW w:w="1881" w:type="pct"/>
                  <w:vAlign w:val="center"/>
                </w:tcPr>
                <w:p w14:paraId="31F05477">
                  <w:pPr>
                    <w:pStyle w:val="61"/>
                    <w:bidi w:val="0"/>
                    <w:rPr>
                      <w:rFonts w:hint="default"/>
                      <w:lang w:val="en-US" w:eastAsia="zh-CN"/>
                    </w:rPr>
                  </w:pPr>
                  <w:r>
                    <w:rPr>
                      <w:rFonts w:hint="eastAsia"/>
                      <w:lang w:val="en-US" w:eastAsia="zh-CN"/>
                    </w:rPr>
                    <w:t>非甲烷总烃</w:t>
                  </w:r>
                </w:p>
              </w:tc>
              <w:tc>
                <w:tcPr>
                  <w:tcW w:w="2057" w:type="pct"/>
                  <w:vAlign w:val="center"/>
                </w:tcPr>
                <w:p w14:paraId="6D96262D">
                  <w:pPr>
                    <w:pStyle w:val="61"/>
                    <w:bidi w:val="0"/>
                    <w:rPr>
                      <w:rFonts w:hint="default"/>
                      <w:lang w:val="en-US" w:eastAsia="zh-CN"/>
                    </w:rPr>
                  </w:pPr>
                  <w:r>
                    <w:rPr>
                      <w:rFonts w:hint="eastAsia"/>
                      <w:lang w:val="en-US" w:eastAsia="zh-CN"/>
                    </w:rPr>
                    <w:t>1.015</w:t>
                  </w:r>
                </w:p>
              </w:tc>
            </w:tr>
            <w:tr w14:paraId="5D8D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14:paraId="5A25EFAA">
                  <w:pPr>
                    <w:pStyle w:val="61"/>
                    <w:bidi w:val="0"/>
                    <w:rPr>
                      <w:rFonts w:hint="eastAsia"/>
                      <w:lang w:val="en-US" w:eastAsia="zh-CN"/>
                    </w:rPr>
                  </w:pPr>
                </w:p>
              </w:tc>
              <w:tc>
                <w:tcPr>
                  <w:tcW w:w="1881" w:type="pct"/>
                  <w:vAlign w:val="center"/>
                </w:tcPr>
                <w:p w14:paraId="19FAB3AD">
                  <w:pPr>
                    <w:pStyle w:val="61"/>
                    <w:bidi w:val="0"/>
                    <w:rPr>
                      <w:rFonts w:hint="default"/>
                      <w:lang w:val="en-US" w:eastAsia="zh-CN"/>
                    </w:rPr>
                  </w:pPr>
                  <w:r>
                    <w:rPr>
                      <w:rFonts w:hint="default"/>
                    </w:rPr>
                    <w:t>NO</w:t>
                  </w:r>
                  <w:r>
                    <w:rPr>
                      <w:rFonts w:hint="default"/>
                      <w:vertAlign w:val="subscript"/>
                    </w:rPr>
                    <w:t>X</w:t>
                  </w:r>
                </w:p>
              </w:tc>
              <w:tc>
                <w:tcPr>
                  <w:tcW w:w="2057" w:type="pct"/>
                  <w:vAlign w:val="center"/>
                </w:tcPr>
                <w:p w14:paraId="190D4FB7">
                  <w:pPr>
                    <w:pStyle w:val="61"/>
                    <w:bidi w:val="0"/>
                    <w:rPr>
                      <w:rFonts w:hint="default"/>
                      <w:lang w:val="en-US" w:eastAsia="zh-CN"/>
                    </w:rPr>
                  </w:pPr>
                  <w:r>
                    <w:rPr>
                      <w:rFonts w:hint="eastAsia"/>
                      <w:lang w:val="en-US" w:eastAsia="zh-CN"/>
                    </w:rPr>
                    <w:t>0.0935</w:t>
                  </w:r>
                </w:p>
              </w:tc>
            </w:tr>
          </w:tbl>
          <w:p w14:paraId="7256C039">
            <w:pPr>
              <w:pStyle w:val="54"/>
              <w:bidi w:val="0"/>
              <w:ind w:left="0" w:leftChars="0" w:firstLine="0" w:firstLineChars="0"/>
            </w:pPr>
          </w:p>
        </w:tc>
      </w:tr>
    </w:tbl>
    <w:p w14:paraId="3FCD4CA8">
      <w:pPr>
        <w:pStyle w:val="19"/>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72"/>
      </w:tblGrid>
      <w:tr w14:paraId="1B337F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15" w:hRule="atLeast"/>
          <w:jc w:val="center"/>
        </w:trPr>
        <w:tc>
          <w:tcPr>
            <w:tcW w:w="746" w:type="dxa"/>
            <w:noWrap w:val="0"/>
            <w:tcMar>
              <w:left w:w="28" w:type="dxa"/>
              <w:right w:w="28" w:type="dxa"/>
            </w:tcMar>
            <w:vAlign w:val="center"/>
          </w:tcPr>
          <w:p w14:paraId="79C9F0B2">
            <w:pPr>
              <w:pStyle w:val="19"/>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施工</w:t>
            </w:r>
          </w:p>
          <w:p w14:paraId="7868F912">
            <w:pPr>
              <w:pStyle w:val="19"/>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期环</w:t>
            </w:r>
          </w:p>
          <w:p w14:paraId="287BBA48">
            <w:pPr>
              <w:pStyle w:val="19"/>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境保</w:t>
            </w:r>
          </w:p>
          <w:p w14:paraId="1464D4F2">
            <w:pPr>
              <w:pStyle w:val="19"/>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护措</w:t>
            </w:r>
          </w:p>
          <w:p w14:paraId="36121B17">
            <w:pPr>
              <w:pStyle w:val="19"/>
              <w:adjustRightInd w:val="0"/>
              <w:snapToGrid w:val="0"/>
              <w:spacing w:before="0" w:beforeAutospacing="0" w:after="0" w:afterAutospacing="0"/>
              <w:jc w:val="center"/>
              <w:rPr>
                <w:rFonts w:hint="eastAsia" w:cs="宋体"/>
                <w:bCs/>
                <w:kern w:val="2"/>
                <w:sz w:val="21"/>
                <w:szCs w:val="21"/>
              </w:rPr>
            </w:pPr>
            <w:r>
              <w:rPr>
                <w:rFonts w:hint="eastAsia" w:cs="宋体"/>
                <w:kern w:val="2"/>
                <w:sz w:val="21"/>
                <w:szCs w:val="21"/>
              </w:rPr>
              <w:t>施</w:t>
            </w:r>
          </w:p>
        </w:tc>
        <w:tc>
          <w:tcPr>
            <w:tcW w:w="8162" w:type="dxa"/>
            <w:noWrap w:val="0"/>
            <w:vAlign w:val="center"/>
          </w:tcPr>
          <w:p w14:paraId="7ABA4D95">
            <w:pPr>
              <w:keepNext w:val="0"/>
              <w:keepLines w:val="0"/>
              <w:widowControl w:val="0"/>
              <w:suppressLineNumbers w:val="0"/>
              <w:spacing w:before="0" w:beforeLines="0" w:beforeAutospacing="0" w:after="0" w:afterLines="0" w:afterAutospacing="0" w:line="360" w:lineRule="auto"/>
              <w:ind w:left="0" w:right="0" w:firstLine="480" w:firstLineChars="200"/>
              <w:jc w:val="both"/>
            </w:pPr>
            <w:r>
              <w:rPr>
                <w:rFonts w:hint="default" w:ascii="Times New Roman" w:hAnsi="Times New Roman" w:eastAsia="宋体" w:cs="Times New Roman"/>
                <w:kern w:val="2"/>
                <w:sz w:val="24"/>
                <w:szCs w:val="24"/>
                <w:lang w:val="en-US" w:eastAsia="zh-CN" w:bidi="ar"/>
              </w:rPr>
              <w:t>本项目</w:t>
            </w:r>
            <w:r>
              <w:rPr>
                <w:rFonts w:hint="eastAsia" w:cs="Times New Roman"/>
                <w:kern w:val="2"/>
                <w:sz w:val="24"/>
                <w:szCs w:val="24"/>
                <w:lang w:val="en-US" w:eastAsia="zh-CN" w:bidi="ar"/>
              </w:rPr>
              <w:t>租赁现有厂房进行建设，主要进行设备安装</w:t>
            </w:r>
            <w:r>
              <w:rPr>
                <w:rFonts w:hint="eastAsia" w:ascii="Times New Roman" w:hAnsi="Times New Roman" w:eastAsia="宋体" w:cs="Times New Roman"/>
                <w:kern w:val="2"/>
                <w:sz w:val="24"/>
                <w:szCs w:val="24"/>
                <w:lang w:val="en-US" w:eastAsia="zh-CN" w:bidi="ar"/>
              </w:rPr>
              <w:t>，故本次环评不对施工期环保措施进行分析，通过对工程现状调查，厂区内无遗留的建筑垃圾，做到了“工完、料尽、场地清”，厂区内地面已做硬化处理，同时厂区内也布置有绿化带，施工期无遗留环境问题。</w:t>
            </w:r>
          </w:p>
        </w:tc>
      </w:tr>
      <w:tr w14:paraId="67C79A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noWrap w:val="0"/>
            <w:tcMar>
              <w:left w:w="28" w:type="dxa"/>
              <w:right w:w="28" w:type="dxa"/>
            </w:tcMar>
            <w:vAlign w:val="center"/>
          </w:tcPr>
          <w:p w14:paraId="5E8FF6C4">
            <w:pPr>
              <w:adjustRightInd w:val="0"/>
              <w:snapToGrid w:val="0"/>
              <w:jc w:val="center"/>
              <w:rPr>
                <w:rFonts w:hint="eastAsia" w:ascii="宋体" w:hAnsi="宋体" w:cs="宋体"/>
                <w:bCs/>
                <w:szCs w:val="21"/>
              </w:rPr>
            </w:pPr>
            <w:r>
              <w:rPr>
                <w:rFonts w:hint="eastAsia" w:ascii="宋体" w:hAnsi="宋体" w:cs="宋体"/>
                <w:bCs/>
                <w:szCs w:val="21"/>
              </w:rPr>
              <w:t>运营</w:t>
            </w:r>
          </w:p>
          <w:p w14:paraId="27BCA2FF">
            <w:pPr>
              <w:adjustRightInd w:val="0"/>
              <w:snapToGrid w:val="0"/>
              <w:jc w:val="center"/>
              <w:rPr>
                <w:rFonts w:hint="eastAsia" w:ascii="宋体" w:hAnsi="宋体" w:cs="宋体"/>
                <w:bCs/>
                <w:szCs w:val="21"/>
              </w:rPr>
            </w:pPr>
            <w:r>
              <w:rPr>
                <w:rFonts w:hint="eastAsia" w:ascii="宋体" w:hAnsi="宋体" w:cs="宋体"/>
                <w:bCs/>
                <w:szCs w:val="21"/>
              </w:rPr>
              <w:t>期环</w:t>
            </w:r>
          </w:p>
          <w:p w14:paraId="67FC4F24">
            <w:pPr>
              <w:adjustRightInd w:val="0"/>
              <w:snapToGrid w:val="0"/>
              <w:jc w:val="center"/>
              <w:rPr>
                <w:rFonts w:hint="eastAsia" w:ascii="宋体" w:hAnsi="宋体" w:cs="宋体"/>
                <w:bCs/>
                <w:szCs w:val="21"/>
              </w:rPr>
            </w:pPr>
            <w:r>
              <w:rPr>
                <w:rFonts w:hint="eastAsia" w:ascii="宋体" w:hAnsi="宋体" w:cs="宋体"/>
                <w:bCs/>
                <w:szCs w:val="21"/>
              </w:rPr>
              <w:t>境影</w:t>
            </w:r>
          </w:p>
          <w:p w14:paraId="3F5E097B">
            <w:pPr>
              <w:adjustRightInd w:val="0"/>
              <w:snapToGrid w:val="0"/>
              <w:jc w:val="center"/>
              <w:rPr>
                <w:rFonts w:hint="eastAsia" w:ascii="宋体" w:hAnsi="宋体" w:cs="宋体"/>
                <w:bCs/>
                <w:szCs w:val="21"/>
              </w:rPr>
            </w:pPr>
            <w:r>
              <w:rPr>
                <w:rFonts w:hint="eastAsia" w:ascii="宋体" w:hAnsi="宋体" w:cs="宋体"/>
                <w:bCs/>
                <w:szCs w:val="21"/>
              </w:rPr>
              <w:t>响和</w:t>
            </w:r>
          </w:p>
          <w:p w14:paraId="7C981D81">
            <w:pPr>
              <w:adjustRightInd w:val="0"/>
              <w:snapToGrid w:val="0"/>
              <w:jc w:val="center"/>
              <w:rPr>
                <w:rFonts w:hint="eastAsia" w:ascii="宋体" w:hAnsi="宋体" w:cs="宋体"/>
                <w:bCs/>
                <w:szCs w:val="21"/>
              </w:rPr>
            </w:pPr>
            <w:r>
              <w:rPr>
                <w:rFonts w:hint="eastAsia" w:ascii="宋体" w:hAnsi="宋体" w:cs="宋体"/>
                <w:bCs/>
                <w:szCs w:val="21"/>
              </w:rPr>
              <w:t>保护</w:t>
            </w:r>
          </w:p>
          <w:p w14:paraId="01D4C8CA">
            <w:pPr>
              <w:adjustRightInd w:val="0"/>
              <w:snapToGrid w:val="0"/>
              <w:jc w:val="center"/>
              <w:rPr>
                <w:rFonts w:ascii="宋体" w:hAnsi="宋体" w:cs="宋体"/>
                <w:bCs/>
                <w:szCs w:val="21"/>
              </w:rPr>
            </w:pPr>
            <w:r>
              <w:rPr>
                <w:rFonts w:hint="eastAsia" w:ascii="宋体" w:hAnsi="宋体" w:cs="宋体"/>
                <w:bCs/>
                <w:szCs w:val="21"/>
              </w:rPr>
              <w:t>措施</w:t>
            </w:r>
          </w:p>
        </w:tc>
        <w:tc>
          <w:tcPr>
            <w:tcW w:w="8162" w:type="dxa"/>
            <w:noWrap w:val="0"/>
            <w:vAlign w:val="center"/>
          </w:tcPr>
          <w:p w14:paraId="338EE8EB">
            <w:pPr>
              <w:pStyle w:val="52"/>
              <w:bidi w:val="0"/>
              <w:rPr>
                <w:rFonts w:hint="eastAsia"/>
              </w:rPr>
            </w:pPr>
            <w:r>
              <w:rPr>
                <w:rFonts w:hint="eastAsia"/>
                <w:lang w:val="en-US" w:eastAsia="zh-CN"/>
              </w:rPr>
              <w:t>1.</w:t>
            </w:r>
            <w:r>
              <w:rPr>
                <w:rFonts w:hint="eastAsia"/>
              </w:rPr>
              <w:t>大气环境影响和保护措施</w:t>
            </w:r>
          </w:p>
          <w:p w14:paraId="3B25685B">
            <w:pPr>
              <w:pStyle w:val="52"/>
              <w:bidi w:val="0"/>
              <w:rPr>
                <w:rFonts w:hint="eastAsia"/>
                <w:lang w:val="en-US" w:eastAsia="zh-CN"/>
              </w:rPr>
            </w:pPr>
            <w:r>
              <w:rPr>
                <w:rFonts w:hint="eastAsia"/>
                <w:lang w:val="en-US" w:eastAsia="zh-CN"/>
              </w:rPr>
              <w:t>1.1</w:t>
            </w:r>
            <w:r>
              <w:t>废气污染源源强</w:t>
            </w:r>
            <w:r>
              <w:rPr>
                <w:rFonts w:hint="eastAsia"/>
                <w:lang w:val="en-US" w:eastAsia="zh-CN"/>
              </w:rPr>
              <w:t>分析</w:t>
            </w:r>
          </w:p>
          <w:p w14:paraId="014B9845">
            <w:pPr>
              <w:pStyle w:val="47"/>
              <w:numPr>
                <w:ilvl w:val="0"/>
                <w:numId w:val="0"/>
              </w:numPr>
              <w:bidi w:val="0"/>
              <w:ind w:firstLine="480" w:firstLineChars="200"/>
              <w:rPr>
                <w:rFonts w:hint="eastAsia"/>
                <w:lang w:val="en-US" w:eastAsia="zh-CN"/>
              </w:rPr>
            </w:pPr>
            <w:r>
              <w:rPr>
                <w:rFonts w:hint="eastAsia" w:cs="宋体"/>
                <w:bCs/>
                <w:kern w:val="2"/>
                <w:sz w:val="24"/>
                <w:szCs w:val="24"/>
                <w:lang w:val="en-US" w:eastAsia="zh-CN" w:bidi="ar-SA"/>
              </w:rPr>
              <w:t>本项目生产过程中产生的废气主要为喷漆工序产生的非甲烷总烃和漆雾（颗粒物）、天然气烘干炉运行过程中产生的颗粒物、SO</w:t>
            </w:r>
            <w:r>
              <w:rPr>
                <w:rFonts w:hint="eastAsia" w:cs="宋体"/>
                <w:bCs/>
                <w:kern w:val="2"/>
                <w:sz w:val="24"/>
                <w:szCs w:val="24"/>
                <w:vertAlign w:val="subscript"/>
                <w:lang w:val="en-US" w:eastAsia="zh-CN" w:bidi="ar-SA"/>
              </w:rPr>
              <w:t>2</w:t>
            </w:r>
            <w:r>
              <w:rPr>
                <w:rFonts w:hint="eastAsia" w:cs="宋体"/>
                <w:bCs/>
                <w:kern w:val="2"/>
                <w:sz w:val="24"/>
                <w:szCs w:val="24"/>
                <w:lang w:val="en-US" w:eastAsia="zh-CN" w:bidi="ar-SA"/>
              </w:rPr>
              <w:t>和NO</w:t>
            </w:r>
            <w:r>
              <w:rPr>
                <w:rFonts w:hint="eastAsia" w:cs="宋体"/>
                <w:bCs/>
                <w:kern w:val="2"/>
                <w:sz w:val="24"/>
                <w:szCs w:val="24"/>
                <w:vertAlign w:val="subscript"/>
                <w:lang w:val="en-US" w:eastAsia="zh-CN" w:bidi="ar-SA"/>
              </w:rPr>
              <w:t>X</w:t>
            </w:r>
            <w:r>
              <w:rPr>
                <w:rFonts w:hint="eastAsia" w:cs="宋体"/>
                <w:bCs/>
                <w:kern w:val="2"/>
                <w:sz w:val="24"/>
                <w:szCs w:val="24"/>
                <w:vertAlign w:val="baseline"/>
                <w:lang w:val="en-US" w:eastAsia="zh-CN" w:bidi="ar-SA"/>
              </w:rPr>
              <w:t>。本项目非甲烷总烃的治理效率参考</w:t>
            </w:r>
            <w:r>
              <w:rPr>
                <w:rFonts w:hint="eastAsia"/>
                <w:lang w:val="en-US" w:eastAsia="zh-CN"/>
              </w:rPr>
              <w:t>《关于印发主要污染物总量减排核算技术指南（2022年修订）的通知》（环办综合函</w:t>
            </w:r>
            <w:r>
              <w:rPr>
                <w:rFonts w:hint="eastAsia"/>
                <w:highlight w:val="none"/>
                <w:lang w:val="en-US" w:eastAsia="zh-CN"/>
              </w:rPr>
              <w:t>〔2022〕350号</w:t>
            </w:r>
            <w:r>
              <w:rPr>
                <w:rFonts w:hint="eastAsia"/>
                <w:lang w:val="en-US" w:eastAsia="zh-CN"/>
              </w:rPr>
              <w:t>），治理效率和治理设施去除率通用系数详情见下表4-1和4-2。</w:t>
            </w:r>
          </w:p>
          <w:p w14:paraId="05F9C5E5">
            <w:pPr>
              <w:pStyle w:val="62"/>
              <w:bidi w:val="0"/>
              <w:rPr>
                <w:rFonts w:hint="eastAsia"/>
                <w:lang w:val="en-US" w:eastAsia="zh-CN"/>
              </w:rPr>
            </w:pPr>
            <w:r>
              <w:rPr>
                <w:rFonts w:hint="eastAsia"/>
                <w:lang w:val="en-US" w:eastAsia="zh-CN"/>
              </w:rPr>
              <w:t>表4-1    治理效率详情一览表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1"/>
              <w:gridCol w:w="4855"/>
            </w:tblGrid>
            <w:tr w14:paraId="60A0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pct"/>
                  <w:vMerge w:val="restart"/>
                  <w:vAlign w:val="center"/>
                </w:tcPr>
                <w:p w14:paraId="674B10F3">
                  <w:pPr>
                    <w:pStyle w:val="50"/>
                    <w:bidi w:val="0"/>
                    <w:jc w:val="center"/>
                    <w:rPr>
                      <w:rFonts w:hint="default"/>
                      <w:lang w:val="en-US" w:eastAsia="zh-CN"/>
                    </w:rPr>
                  </w:pPr>
                  <w:r>
                    <w:rPr>
                      <w:rFonts w:hint="eastAsia"/>
                      <w:lang w:val="en-US" w:eastAsia="zh-CN"/>
                    </w:rPr>
                    <w:t>废气收集方式</w:t>
                  </w:r>
                </w:p>
              </w:tc>
              <w:tc>
                <w:tcPr>
                  <w:tcW w:w="3054" w:type="pct"/>
                </w:tcPr>
                <w:p w14:paraId="6C6CDF6C">
                  <w:pPr>
                    <w:pStyle w:val="50"/>
                    <w:bidi w:val="0"/>
                    <w:rPr>
                      <w:rFonts w:hint="default"/>
                      <w:lang w:val="en-US" w:eastAsia="zh-CN"/>
                    </w:rPr>
                  </w:pPr>
                  <w:r>
                    <w:rPr>
                      <w:rFonts w:hint="eastAsia"/>
                      <w:lang w:val="en-US" w:eastAsia="zh-CN"/>
                    </w:rPr>
                    <w:t>密闭空间（含密闭式集气罩）</w:t>
                  </w:r>
                </w:p>
              </w:tc>
            </w:tr>
            <w:tr w14:paraId="2536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pct"/>
                  <w:vMerge w:val="continue"/>
                </w:tcPr>
                <w:p w14:paraId="6163CF1E">
                  <w:pPr>
                    <w:pStyle w:val="50"/>
                    <w:bidi w:val="0"/>
                    <w:rPr>
                      <w:rFonts w:hint="default"/>
                      <w:lang w:val="en-US" w:eastAsia="zh-CN"/>
                    </w:rPr>
                  </w:pPr>
                </w:p>
              </w:tc>
              <w:tc>
                <w:tcPr>
                  <w:tcW w:w="3054" w:type="pct"/>
                </w:tcPr>
                <w:p w14:paraId="1AAF8EC4">
                  <w:pPr>
                    <w:pStyle w:val="50"/>
                    <w:bidi w:val="0"/>
                    <w:rPr>
                      <w:rFonts w:hint="default"/>
                      <w:lang w:val="en-US" w:eastAsia="zh-CN"/>
                    </w:rPr>
                  </w:pPr>
                  <w:r>
                    <w:rPr>
                      <w:rFonts w:hint="eastAsia"/>
                      <w:lang w:val="en-US" w:eastAsia="zh-CN"/>
                    </w:rPr>
                    <w:t>负压</w:t>
                  </w:r>
                </w:p>
              </w:tc>
            </w:tr>
            <w:tr w14:paraId="3912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5" w:type="pct"/>
                </w:tcPr>
                <w:p w14:paraId="5936DB81">
                  <w:pPr>
                    <w:pStyle w:val="50"/>
                    <w:bidi w:val="0"/>
                    <w:rPr>
                      <w:rFonts w:hint="eastAsia"/>
                      <w:lang w:val="en-US" w:eastAsia="zh-CN"/>
                    </w:rPr>
                  </w:pPr>
                  <w:r>
                    <w:rPr>
                      <w:rFonts w:hint="eastAsia"/>
                      <w:lang w:val="en-US" w:eastAsia="zh-CN"/>
                    </w:rPr>
                    <w:t>废气收集率</w:t>
                  </w:r>
                </w:p>
              </w:tc>
              <w:tc>
                <w:tcPr>
                  <w:tcW w:w="3054" w:type="pct"/>
                </w:tcPr>
                <w:p w14:paraId="7343EE21">
                  <w:pPr>
                    <w:pStyle w:val="50"/>
                    <w:bidi w:val="0"/>
                    <w:rPr>
                      <w:rFonts w:hint="default"/>
                      <w:lang w:val="en-US" w:eastAsia="zh-CN"/>
                    </w:rPr>
                  </w:pPr>
                  <w:r>
                    <w:rPr>
                      <w:rFonts w:hint="eastAsia"/>
                      <w:lang w:val="en-US" w:eastAsia="zh-CN"/>
                    </w:rPr>
                    <w:t>90%</w:t>
                  </w:r>
                </w:p>
              </w:tc>
            </w:tr>
          </w:tbl>
          <w:p w14:paraId="428FB45C">
            <w:pPr>
              <w:pStyle w:val="62"/>
              <w:bidi w:val="0"/>
              <w:rPr>
                <w:rFonts w:hint="eastAsia"/>
                <w:lang w:val="en-US" w:eastAsia="zh-CN"/>
              </w:rPr>
            </w:pPr>
            <w:r>
              <w:rPr>
                <w:rFonts w:hint="eastAsia"/>
                <w:lang w:val="en-US" w:eastAsia="zh-CN"/>
              </w:rPr>
              <w:t>表4-2    治理设施去除率通用系数一览表</w:t>
            </w:r>
          </w:p>
          <w:tbl>
            <w:tblPr>
              <w:tblStyle w:val="24"/>
              <w:tblW w:w="7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4190"/>
              <w:gridCol w:w="1837"/>
            </w:tblGrid>
            <w:tr w14:paraId="537B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14:paraId="69880C1A">
                  <w:pPr>
                    <w:pStyle w:val="61"/>
                    <w:bidi w:val="0"/>
                    <w:jc w:val="center"/>
                    <w:rPr>
                      <w:rFonts w:hint="default"/>
                      <w:lang w:val="en-US" w:eastAsia="zh-CN"/>
                    </w:rPr>
                  </w:pPr>
                  <w:r>
                    <w:rPr>
                      <w:rFonts w:hint="eastAsia"/>
                      <w:lang w:val="en-US" w:eastAsia="zh-CN"/>
                    </w:rPr>
                    <w:t>治理技术</w:t>
                  </w:r>
                </w:p>
              </w:tc>
              <w:tc>
                <w:tcPr>
                  <w:tcW w:w="4190" w:type="dxa"/>
                  <w:vAlign w:val="center"/>
                </w:tcPr>
                <w:p w14:paraId="5D69786F">
                  <w:pPr>
                    <w:pStyle w:val="61"/>
                    <w:bidi w:val="0"/>
                    <w:jc w:val="center"/>
                    <w:rPr>
                      <w:rFonts w:hint="default"/>
                      <w:lang w:val="en-US" w:eastAsia="zh-CN"/>
                    </w:rPr>
                  </w:pPr>
                  <w:r>
                    <w:rPr>
                      <w:rFonts w:hint="eastAsia"/>
                      <w:lang w:val="en-US" w:eastAsia="zh-CN"/>
                    </w:rPr>
                    <w:t>治理工艺</w:t>
                  </w:r>
                </w:p>
              </w:tc>
              <w:tc>
                <w:tcPr>
                  <w:tcW w:w="1837" w:type="dxa"/>
                  <w:vAlign w:val="center"/>
                </w:tcPr>
                <w:p w14:paraId="12E4D3C1">
                  <w:pPr>
                    <w:pStyle w:val="61"/>
                    <w:bidi w:val="0"/>
                    <w:jc w:val="center"/>
                    <w:rPr>
                      <w:rFonts w:hint="default"/>
                      <w:lang w:val="en-US" w:eastAsia="zh-CN"/>
                    </w:rPr>
                  </w:pPr>
                  <w:r>
                    <w:rPr>
                      <w:rFonts w:hint="eastAsia"/>
                      <w:lang w:val="en-US" w:eastAsia="zh-CN"/>
                    </w:rPr>
                    <w:t>VOCs去除率</w:t>
                  </w:r>
                </w:p>
              </w:tc>
            </w:tr>
            <w:tr w14:paraId="3B78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14:paraId="40DAE8CE">
                  <w:pPr>
                    <w:pStyle w:val="61"/>
                    <w:bidi w:val="0"/>
                    <w:jc w:val="center"/>
                    <w:rPr>
                      <w:rFonts w:hint="default"/>
                      <w:lang w:val="en-US" w:eastAsia="zh-CN"/>
                    </w:rPr>
                  </w:pPr>
                  <w:r>
                    <w:rPr>
                      <w:rFonts w:hint="eastAsia"/>
                      <w:lang w:val="en-US" w:eastAsia="zh-CN"/>
                    </w:rPr>
                    <w:t>吸附及其组合技术</w:t>
                  </w:r>
                </w:p>
              </w:tc>
              <w:tc>
                <w:tcPr>
                  <w:tcW w:w="4190" w:type="dxa"/>
                  <w:vAlign w:val="center"/>
                </w:tcPr>
                <w:p w14:paraId="52EFB7B5">
                  <w:pPr>
                    <w:pStyle w:val="61"/>
                    <w:bidi w:val="0"/>
                    <w:jc w:val="center"/>
                    <w:rPr>
                      <w:rFonts w:hint="default"/>
                      <w:lang w:val="en-US" w:eastAsia="zh-CN"/>
                    </w:rPr>
                  </w:pPr>
                  <w:r>
                    <w:rPr>
                      <w:rFonts w:hint="eastAsia"/>
                      <w:lang w:val="en-US" w:eastAsia="zh-CN"/>
                    </w:rPr>
                    <w:t>一次性活性炭吸附（集中再生）</w:t>
                  </w:r>
                </w:p>
              </w:tc>
              <w:tc>
                <w:tcPr>
                  <w:tcW w:w="1837" w:type="dxa"/>
                  <w:vAlign w:val="center"/>
                </w:tcPr>
                <w:p w14:paraId="7F1022BB">
                  <w:pPr>
                    <w:pStyle w:val="61"/>
                    <w:bidi w:val="0"/>
                    <w:jc w:val="center"/>
                    <w:rPr>
                      <w:rFonts w:hint="default"/>
                      <w:lang w:val="en-US" w:eastAsia="zh-CN"/>
                    </w:rPr>
                  </w:pPr>
                  <w:r>
                    <w:rPr>
                      <w:rFonts w:hint="eastAsia"/>
                      <w:lang w:val="en-US" w:eastAsia="zh-CN"/>
                    </w:rPr>
                    <w:t>30%</w:t>
                  </w:r>
                </w:p>
              </w:tc>
            </w:tr>
          </w:tbl>
          <w:p w14:paraId="3DCC85D2">
            <w:pPr>
              <w:pStyle w:val="47"/>
              <w:bidi w:val="0"/>
              <w:rPr>
                <w:rFonts w:hint="eastAsia"/>
                <w:lang w:val="en-US" w:eastAsia="zh-CN"/>
              </w:rPr>
            </w:pPr>
            <w:r>
              <w:rPr>
                <w:rFonts w:hint="eastAsia"/>
                <w:lang w:val="en-US" w:eastAsia="zh-CN"/>
              </w:rPr>
              <w:t>（1）喷漆废气</w:t>
            </w:r>
          </w:p>
          <w:p w14:paraId="5E0AA097">
            <w:pPr>
              <w:pStyle w:val="47"/>
              <w:keepNext w:val="0"/>
              <w:keepLines w:val="0"/>
              <w:pageBreakBefore w:val="0"/>
              <w:widowControl w:val="0"/>
              <w:kinsoku/>
              <w:wordWrap w:val="0"/>
              <w:overflowPunct/>
              <w:topLinePunct w:val="0"/>
              <w:autoSpaceDE/>
              <w:autoSpaceDN/>
              <w:bidi w:val="0"/>
              <w:adjustRightInd w:val="0"/>
              <w:snapToGrid w:val="0"/>
              <w:textAlignment w:val="auto"/>
              <w:rPr>
                <w:rFonts w:hint="eastAsia"/>
                <w:lang w:val="en-US" w:eastAsia="zh-CN"/>
              </w:rPr>
            </w:pPr>
            <w:r>
              <w:rPr>
                <w:rFonts w:hint="eastAsia"/>
                <w:lang w:val="en-US" w:eastAsia="zh-CN"/>
              </w:rPr>
              <w:t>本项目喷漆工序使用的是环保性材料（水性涂料），会产生挥发性的有机废气和漆雾（颗粒物），项目所用的水性涂料为其主要成分为固份含量60%（水性醇酸树脂50%、环保颜料10%）、水性助剂8%、去离子水32%。通过查阅《油漆作业有机废气发生量的确定》等学术文献，喷漆过程中，漆料中的固态物质会以漆雾形式散失（散失量约为10%），在喷漆过程中油漆中的以非甲烷总烃为主的水性助剂全部挥发。根据行业经验上漆率取70%，即固体分中有70%涂着于工件表面，另有20%的固体分落到操作台面上，其余10%的固体分在空气中固化形成漆雾颗粒。</w:t>
            </w:r>
          </w:p>
          <w:p w14:paraId="0188EC0D">
            <w:pPr>
              <w:pStyle w:val="47"/>
              <w:keepNext w:val="0"/>
              <w:keepLines w:val="0"/>
              <w:pageBreakBefore w:val="0"/>
              <w:widowControl w:val="0"/>
              <w:kinsoku/>
              <w:wordWrap w:val="0"/>
              <w:overflowPunct/>
              <w:topLinePunct w:val="0"/>
              <w:autoSpaceDE/>
              <w:autoSpaceDN/>
              <w:bidi w:val="0"/>
              <w:adjustRightInd w:val="0"/>
              <w:snapToGrid w:val="0"/>
              <w:textAlignment w:val="auto"/>
              <w:rPr>
                <w:rFonts w:hint="eastAsia"/>
                <w:lang w:val="en-US" w:eastAsia="zh-CN"/>
              </w:rPr>
            </w:pPr>
            <w:r>
              <w:rPr>
                <w:rFonts w:hint="eastAsia"/>
                <w:lang w:val="en-US" w:eastAsia="zh-CN"/>
              </w:rPr>
              <w:t>综上所述，本项目喷漆工序颗粒物产生量为0.75t/a喷漆工序运行时间约1440h/a，则颗粒物产生速率为0.52kg/h。</w:t>
            </w:r>
          </w:p>
          <w:p w14:paraId="289E482B">
            <w:pPr>
              <w:pStyle w:val="47"/>
              <w:keepNext w:val="0"/>
              <w:keepLines w:val="0"/>
              <w:pageBreakBefore w:val="0"/>
              <w:widowControl w:val="0"/>
              <w:kinsoku/>
              <w:wordWrap w:val="0"/>
              <w:overflowPunct/>
              <w:topLinePunct w:val="0"/>
              <w:autoSpaceDE/>
              <w:autoSpaceDN/>
              <w:bidi w:val="0"/>
              <w:adjustRightInd w:val="0"/>
              <w:snapToGrid w:val="0"/>
              <w:textAlignment w:val="auto"/>
              <w:rPr>
                <w:rFonts w:hint="eastAsia"/>
                <w:lang w:val="en-US" w:eastAsia="zh-CN"/>
              </w:rPr>
            </w:pPr>
            <w:r>
              <w:rPr>
                <w:rFonts w:hint="eastAsia"/>
                <w:lang w:val="en-US" w:eastAsia="zh-CN"/>
              </w:rPr>
              <w:t>①有机废气处理情况</w:t>
            </w:r>
          </w:p>
          <w:p w14:paraId="6D754898">
            <w:pPr>
              <w:pStyle w:val="47"/>
              <w:keepNext w:val="0"/>
              <w:keepLines w:val="0"/>
              <w:pageBreakBefore w:val="0"/>
              <w:widowControl w:val="0"/>
              <w:kinsoku/>
              <w:wordWrap w:val="0"/>
              <w:overflowPunct/>
              <w:topLinePunct w:val="0"/>
              <w:autoSpaceDE/>
              <w:autoSpaceDN/>
              <w:bidi w:val="0"/>
              <w:adjustRightInd w:val="0"/>
              <w:snapToGrid w:val="0"/>
              <w:textAlignment w:val="auto"/>
              <w:rPr>
                <w:rFonts w:hint="eastAsia"/>
                <w:vertAlign w:val="baseline"/>
                <w:lang w:val="en-US" w:eastAsia="zh-CN"/>
              </w:rPr>
            </w:pPr>
            <w:r>
              <w:rPr>
                <w:rFonts w:hint="eastAsia"/>
                <w:lang w:val="en-US" w:eastAsia="zh-CN"/>
              </w:rPr>
              <w:t>喷漆工序和烘干工序分别在密闭喷漆房和烘道内进行，收集效率为90%，根据《排放源统计调查产排污核算方法和系数手册》</w:t>
            </w:r>
            <w:r>
              <w:rPr>
                <w:rFonts w:hint="eastAsia"/>
                <w:color w:val="auto"/>
                <w:highlight w:val="none"/>
                <w:lang w:val="en-US" w:eastAsia="zh-CN"/>
              </w:rPr>
              <w:t>33金属制品业</w:t>
            </w:r>
            <w:r>
              <w:rPr>
                <w:rFonts w:hint="default"/>
                <w:color w:val="auto"/>
                <w:highlight w:val="none"/>
              </w:rPr>
              <w:t>产排污量核算系数手册对该项目</w:t>
            </w:r>
            <w:r>
              <w:rPr>
                <w:rFonts w:hint="eastAsia"/>
                <w:color w:val="auto"/>
                <w:highlight w:val="none"/>
                <w:lang w:val="en-US" w:eastAsia="zh-CN"/>
              </w:rPr>
              <w:t>非甲烷总烃</w:t>
            </w:r>
            <w:r>
              <w:rPr>
                <w:rFonts w:hint="default"/>
                <w:color w:val="auto"/>
                <w:highlight w:val="none"/>
              </w:rPr>
              <w:t>的产生量进行估算</w:t>
            </w:r>
            <w:r>
              <w:rPr>
                <w:rFonts w:hint="eastAsia"/>
                <w:color w:val="auto"/>
                <w:highlight w:val="none"/>
                <w:lang w:eastAsia="zh-CN"/>
              </w:rPr>
              <w:t>（</w:t>
            </w:r>
            <w:r>
              <w:rPr>
                <w:rFonts w:hint="eastAsia"/>
                <w:color w:val="auto"/>
                <w:highlight w:val="none"/>
                <w:lang w:val="en-US" w:eastAsia="zh-CN"/>
              </w:rPr>
              <w:t>产污系数见下表4-3</w:t>
            </w:r>
            <w:r>
              <w:rPr>
                <w:rFonts w:hint="eastAsia"/>
                <w:color w:val="auto"/>
                <w:highlight w:val="none"/>
                <w:lang w:eastAsia="zh-CN"/>
              </w:rPr>
              <w:t>），</w:t>
            </w:r>
            <w:r>
              <w:rPr>
                <w:rFonts w:hint="eastAsia"/>
                <w:lang w:val="en-US" w:eastAsia="zh-CN"/>
              </w:rPr>
              <w:t>则喷漆过程中非甲烷总烃有组织产生量为1.52t/a，产生速率1.05kg/h，产生浓度21.65mg/m³，通过二级活性炭吸附装置进行处理（综合处理效率约为51%），处理后经一根15m排气筒（DA001）进行排放，则挥发性有机物有组织排放量为0.744t/a，排放速率为0.517kg/h，排放浓度为10.61mg/m</w:t>
            </w:r>
            <w:r>
              <w:rPr>
                <w:rFonts w:hint="eastAsia"/>
                <w:vertAlign w:val="superscript"/>
                <w:lang w:val="en-US" w:eastAsia="zh-CN"/>
              </w:rPr>
              <w:t>3</w:t>
            </w:r>
            <w:r>
              <w:rPr>
                <w:rFonts w:hint="eastAsia"/>
                <w:vertAlign w:val="baseline"/>
                <w:lang w:val="en-US" w:eastAsia="zh-CN"/>
              </w:rPr>
              <w:t>，</w:t>
            </w:r>
            <w:r>
              <w:rPr>
                <w:rFonts w:hint="eastAsia"/>
                <w:lang w:val="en-US" w:eastAsia="zh-CN"/>
              </w:rPr>
              <w:t>未被收集的废气全部无组织排放，排放</w:t>
            </w:r>
            <w:r>
              <w:rPr>
                <w:rFonts w:hint="eastAsia"/>
                <w:vertAlign w:val="baseline"/>
                <w:lang w:val="en-US" w:eastAsia="zh-CN"/>
              </w:rPr>
              <w:t>量为0.169t/a，排放速率为0.117kg/h。</w:t>
            </w:r>
          </w:p>
          <w:p w14:paraId="0A69D741">
            <w:pPr>
              <w:pStyle w:val="47"/>
              <w:keepNext w:val="0"/>
              <w:keepLines w:val="0"/>
              <w:pageBreakBefore w:val="0"/>
              <w:widowControl w:val="0"/>
              <w:kinsoku/>
              <w:wordWrap w:val="0"/>
              <w:overflowPunct/>
              <w:topLinePunct w:val="0"/>
              <w:autoSpaceDE/>
              <w:autoSpaceDN/>
              <w:bidi w:val="0"/>
              <w:adjustRightInd w:val="0"/>
              <w:snapToGrid w:val="0"/>
              <w:textAlignment w:val="auto"/>
              <w:rPr>
                <w:rFonts w:hint="eastAsia"/>
                <w:vertAlign w:val="baseline"/>
                <w:lang w:val="en-US" w:eastAsia="zh-CN"/>
              </w:rPr>
            </w:pPr>
            <w:r>
              <w:rPr>
                <w:rFonts w:hint="eastAsia"/>
                <w:vertAlign w:val="baseline"/>
                <w:lang w:val="en-US" w:eastAsia="zh-CN"/>
              </w:rPr>
              <w:t>喷漆烘干过程中非甲烷总烃有组织产生量为0.169t/a，产生速率0.117kg/h，产生浓度124.85mg/m³，</w:t>
            </w:r>
            <w:r>
              <w:rPr>
                <w:rFonts w:hint="eastAsia"/>
                <w:lang w:val="en-US" w:eastAsia="zh-CN"/>
              </w:rPr>
              <w:t>通过二级活性炭吸附装置进行处理（综合处理效率约为51%），处理后经一根15m排气筒（DA003）进行排放，则挥发性有机物有组织排放量为0.083t/a，排放速率为0.057kg/h，排放浓度为61.18mg/m³，未被收集的废气全部无组织排放，排放</w:t>
            </w:r>
            <w:r>
              <w:rPr>
                <w:rFonts w:hint="eastAsia"/>
                <w:vertAlign w:val="baseline"/>
                <w:lang w:val="en-US" w:eastAsia="zh-CN"/>
              </w:rPr>
              <w:t>量为0.019t/a，排放速率为0.013kg/h。</w:t>
            </w:r>
          </w:p>
          <w:p w14:paraId="7BDBCD39">
            <w:pPr>
              <w:pStyle w:val="47"/>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b/>
                <w:bCs w:val="0"/>
                <w:sz w:val="21"/>
                <w:szCs w:val="21"/>
                <w:vertAlign w:val="baseline"/>
                <w:lang w:val="en-US" w:eastAsia="zh-CN"/>
              </w:rPr>
            </w:pPr>
            <w:r>
              <w:rPr>
                <w:rFonts w:hint="eastAsia"/>
                <w:b/>
                <w:bCs w:val="0"/>
                <w:sz w:val="21"/>
                <w:szCs w:val="21"/>
                <w:vertAlign w:val="baseline"/>
                <w:lang w:val="en-US" w:eastAsia="zh-CN"/>
              </w:rPr>
              <w:t>表4-3   喷漆、烘干工序污染物产生量计算表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667"/>
              <w:gridCol w:w="1070"/>
              <w:gridCol w:w="1149"/>
              <w:gridCol w:w="813"/>
              <w:gridCol w:w="1364"/>
              <w:gridCol w:w="1070"/>
            </w:tblGrid>
            <w:tr w14:paraId="63C2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98BCF30">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工段名称</w:t>
                  </w:r>
                </w:p>
              </w:tc>
              <w:tc>
                <w:tcPr>
                  <w:tcW w:w="0" w:type="auto"/>
                  <w:vAlign w:val="center"/>
                </w:tcPr>
                <w:p w14:paraId="5B7B8A37">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工艺名称</w:t>
                  </w:r>
                </w:p>
              </w:tc>
              <w:tc>
                <w:tcPr>
                  <w:tcW w:w="0" w:type="auto"/>
                  <w:vAlign w:val="center"/>
                </w:tcPr>
                <w:p w14:paraId="40912BDE">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污染物指标</w:t>
                  </w:r>
                </w:p>
              </w:tc>
              <w:tc>
                <w:tcPr>
                  <w:tcW w:w="0" w:type="auto"/>
                  <w:vAlign w:val="center"/>
                </w:tcPr>
                <w:p w14:paraId="4E05191F">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单位</w:t>
                  </w:r>
                </w:p>
              </w:tc>
              <w:tc>
                <w:tcPr>
                  <w:tcW w:w="0" w:type="auto"/>
                  <w:vAlign w:val="center"/>
                </w:tcPr>
                <w:p w14:paraId="4098E6F6">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产污系数</w:t>
                  </w:r>
                </w:p>
              </w:tc>
              <w:tc>
                <w:tcPr>
                  <w:tcW w:w="0" w:type="auto"/>
                  <w:vAlign w:val="center"/>
                </w:tcPr>
                <w:p w14:paraId="792D4AB3">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原料使用量（t/a）</w:t>
                  </w:r>
                </w:p>
              </w:tc>
              <w:tc>
                <w:tcPr>
                  <w:tcW w:w="0" w:type="auto"/>
                  <w:vAlign w:val="center"/>
                </w:tcPr>
                <w:p w14:paraId="5AB74894">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污染物产生量</w:t>
                  </w:r>
                </w:p>
              </w:tc>
            </w:tr>
            <w:tr w14:paraId="7183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14:paraId="4E5AF5A9">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涂装</w:t>
                  </w:r>
                </w:p>
              </w:tc>
              <w:tc>
                <w:tcPr>
                  <w:tcW w:w="0" w:type="auto"/>
                  <w:vMerge w:val="restart"/>
                  <w:vAlign w:val="center"/>
                </w:tcPr>
                <w:p w14:paraId="56A19587">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喷漆（水性漆）</w:t>
                  </w:r>
                </w:p>
              </w:tc>
              <w:tc>
                <w:tcPr>
                  <w:tcW w:w="0" w:type="auto"/>
                  <w:vAlign w:val="center"/>
                </w:tcPr>
                <w:p w14:paraId="463C1949">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工业废气量</w:t>
                  </w:r>
                </w:p>
              </w:tc>
              <w:tc>
                <w:tcPr>
                  <w:tcW w:w="0" w:type="auto"/>
                  <w:vAlign w:val="center"/>
                </w:tcPr>
                <w:p w14:paraId="0FBD81EF">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立方米/吨-原料</w:t>
                  </w:r>
                </w:p>
              </w:tc>
              <w:tc>
                <w:tcPr>
                  <w:tcW w:w="0" w:type="auto"/>
                  <w:vAlign w:val="center"/>
                </w:tcPr>
                <w:p w14:paraId="6D910A2E">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5612499</w:t>
                  </w:r>
                </w:p>
              </w:tc>
              <w:tc>
                <w:tcPr>
                  <w:tcW w:w="0" w:type="auto"/>
                  <w:vMerge w:val="restart"/>
                  <w:vAlign w:val="center"/>
                </w:tcPr>
                <w:p w14:paraId="55BFD047">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12.5</w:t>
                  </w:r>
                </w:p>
              </w:tc>
              <w:tc>
                <w:tcPr>
                  <w:tcW w:w="0" w:type="auto"/>
                  <w:vAlign w:val="center"/>
                </w:tcPr>
                <w:p w14:paraId="70C722B5">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70156237.5</w:t>
                  </w:r>
                </w:p>
              </w:tc>
            </w:tr>
            <w:tr w14:paraId="4737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58DC57DC">
                  <w:pPr>
                    <w:pStyle w:val="47"/>
                    <w:bidi w:val="0"/>
                    <w:spacing w:line="240" w:lineRule="auto"/>
                    <w:ind w:firstLine="0" w:firstLineChars="0"/>
                    <w:jc w:val="center"/>
                    <w:rPr>
                      <w:rFonts w:hint="eastAsia"/>
                      <w:sz w:val="21"/>
                      <w:szCs w:val="21"/>
                      <w:vertAlign w:val="baseline"/>
                      <w:lang w:val="en-US" w:eastAsia="zh-CN"/>
                    </w:rPr>
                  </w:pPr>
                </w:p>
              </w:tc>
              <w:tc>
                <w:tcPr>
                  <w:tcW w:w="0" w:type="auto"/>
                  <w:vMerge w:val="continue"/>
                  <w:vAlign w:val="center"/>
                </w:tcPr>
                <w:p w14:paraId="07181F4A">
                  <w:pPr>
                    <w:pStyle w:val="47"/>
                    <w:bidi w:val="0"/>
                    <w:spacing w:line="240" w:lineRule="auto"/>
                    <w:ind w:firstLine="0" w:firstLineChars="0"/>
                    <w:jc w:val="center"/>
                    <w:rPr>
                      <w:rFonts w:hint="eastAsia"/>
                      <w:sz w:val="21"/>
                      <w:szCs w:val="21"/>
                      <w:vertAlign w:val="baseline"/>
                      <w:lang w:val="en-US" w:eastAsia="zh-CN"/>
                    </w:rPr>
                  </w:pPr>
                </w:p>
              </w:tc>
              <w:tc>
                <w:tcPr>
                  <w:tcW w:w="0" w:type="auto"/>
                  <w:vAlign w:val="center"/>
                </w:tcPr>
                <w:p w14:paraId="4A20A60E">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挥发性有机物</w:t>
                  </w:r>
                </w:p>
              </w:tc>
              <w:tc>
                <w:tcPr>
                  <w:tcW w:w="0" w:type="auto"/>
                  <w:vAlign w:val="center"/>
                </w:tcPr>
                <w:p w14:paraId="2E79CFEE">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千克/吨-原料</w:t>
                  </w:r>
                </w:p>
              </w:tc>
              <w:tc>
                <w:tcPr>
                  <w:tcW w:w="0" w:type="auto"/>
                  <w:vAlign w:val="center"/>
                </w:tcPr>
                <w:p w14:paraId="68D5D796">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135</w:t>
                  </w:r>
                </w:p>
              </w:tc>
              <w:tc>
                <w:tcPr>
                  <w:tcW w:w="0" w:type="auto"/>
                  <w:vMerge w:val="continue"/>
                  <w:vAlign w:val="center"/>
                </w:tcPr>
                <w:p w14:paraId="051028FA">
                  <w:pPr>
                    <w:pStyle w:val="47"/>
                    <w:bidi w:val="0"/>
                    <w:spacing w:line="240" w:lineRule="auto"/>
                    <w:ind w:firstLine="0" w:firstLineChars="0"/>
                    <w:jc w:val="center"/>
                    <w:rPr>
                      <w:rFonts w:hint="eastAsia"/>
                      <w:sz w:val="21"/>
                      <w:szCs w:val="21"/>
                      <w:vertAlign w:val="baseline"/>
                      <w:lang w:val="en-US" w:eastAsia="zh-CN"/>
                    </w:rPr>
                  </w:pPr>
                </w:p>
              </w:tc>
              <w:tc>
                <w:tcPr>
                  <w:tcW w:w="0" w:type="auto"/>
                  <w:vAlign w:val="center"/>
                </w:tcPr>
                <w:p w14:paraId="425469C6">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1.6875</w:t>
                  </w:r>
                </w:p>
              </w:tc>
            </w:tr>
            <w:tr w14:paraId="3F83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16D5CB06">
                  <w:pPr>
                    <w:pStyle w:val="47"/>
                    <w:bidi w:val="0"/>
                    <w:spacing w:line="240" w:lineRule="auto"/>
                    <w:ind w:firstLine="0" w:firstLineChars="0"/>
                    <w:jc w:val="center"/>
                    <w:rPr>
                      <w:rFonts w:hint="eastAsia"/>
                      <w:sz w:val="21"/>
                      <w:szCs w:val="21"/>
                      <w:vertAlign w:val="baseline"/>
                      <w:lang w:val="en-US" w:eastAsia="zh-CN"/>
                    </w:rPr>
                  </w:pPr>
                </w:p>
              </w:tc>
              <w:tc>
                <w:tcPr>
                  <w:tcW w:w="0" w:type="auto"/>
                  <w:vMerge w:val="restart"/>
                  <w:vAlign w:val="center"/>
                </w:tcPr>
                <w:p w14:paraId="70492AEF">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喷漆后烘干（水性漆）</w:t>
                  </w:r>
                </w:p>
              </w:tc>
              <w:tc>
                <w:tcPr>
                  <w:tcW w:w="0" w:type="auto"/>
                  <w:vAlign w:val="center"/>
                </w:tcPr>
                <w:p w14:paraId="3465E1CE">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工业废气量</w:t>
                  </w:r>
                </w:p>
              </w:tc>
              <w:tc>
                <w:tcPr>
                  <w:tcW w:w="0" w:type="auto"/>
                  <w:vAlign w:val="center"/>
                </w:tcPr>
                <w:p w14:paraId="3F1C9F7B">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立方米/吨-原料</w:t>
                  </w:r>
                </w:p>
              </w:tc>
              <w:tc>
                <w:tcPr>
                  <w:tcW w:w="0" w:type="auto"/>
                  <w:vAlign w:val="center"/>
                </w:tcPr>
                <w:p w14:paraId="74C13527">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108126</w:t>
                  </w:r>
                </w:p>
              </w:tc>
              <w:tc>
                <w:tcPr>
                  <w:tcW w:w="0" w:type="auto"/>
                  <w:vMerge w:val="continue"/>
                  <w:vAlign w:val="center"/>
                </w:tcPr>
                <w:p w14:paraId="7A8B6A8A">
                  <w:pPr>
                    <w:pStyle w:val="47"/>
                    <w:bidi w:val="0"/>
                    <w:spacing w:line="240" w:lineRule="auto"/>
                    <w:ind w:firstLine="0" w:firstLineChars="0"/>
                    <w:jc w:val="center"/>
                    <w:rPr>
                      <w:rFonts w:hint="eastAsia"/>
                      <w:sz w:val="21"/>
                      <w:szCs w:val="21"/>
                      <w:vertAlign w:val="baseline"/>
                      <w:lang w:val="en-US" w:eastAsia="zh-CN"/>
                    </w:rPr>
                  </w:pPr>
                </w:p>
              </w:tc>
              <w:tc>
                <w:tcPr>
                  <w:tcW w:w="0" w:type="auto"/>
                  <w:vAlign w:val="center"/>
                </w:tcPr>
                <w:p w14:paraId="07BE7713">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1351575</w:t>
                  </w:r>
                </w:p>
              </w:tc>
            </w:tr>
            <w:tr w14:paraId="4BB2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2C449CE">
                  <w:pPr>
                    <w:pStyle w:val="47"/>
                    <w:bidi w:val="0"/>
                    <w:spacing w:line="240" w:lineRule="auto"/>
                    <w:ind w:firstLine="0" w:firstLineChars="0"/>
                    <w:jc w:val="center"/>
                    <w:rPr>
                      <w:rFonts w:hint="eastAsia"/>
                      <w:sz w:val="21"/>
                      <w:szCs w:val="21"/>
                      <w:vertAlign w:val="baseline"/>
                      <w:lang w:val="en-US" w:eastAsia="zh-CN"/>
                    </w:rPr>
                  </w:pPr>
                </w:p>
              </w:tc>
              <w:tc>
                <w:tcPr>
                  <w:tcW w:w="0" w:type="auto"/>
                  <w:vMerge w:val="continue"/>
                  <w:vAlign w:val="center"/>
                </w:tcPr>
                <w:p w14:paraId="2522C00E">
                  <w:pPr>
                    <w:pStyle w:val="47"/>
                    <w:bidi w:val="0"/>
                    <w:spacing w:line="240" w:lineRule="auto"/>
                    <w:ind w:firstLine="0" w:firstLineChars="0"/>
                    <w:jc w:val="center"/>
                    <w:rPr>
                      <w:rFonts w:hint="eastAsia"/>
                      <w:sz w:val="21"/>
                      <w:szCs w:val="21"/>
                      <w:vertAlign w:val="baseline"/>
                      <w:lang w:val="en-US" w:eastAsia="zh-CN"/>
                    </w:rPr>
                  </w:pPr>
                </w:p>
              </w:tc>
              <w:tc>
                <w:tcPr>
                  <w:tcW w:w="0" w:type="auto"/>
                  <w:vAlign w:val="center"/>
                </w:tcPr>
                <w:p w14:paraId="2D74AF8B">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挥发性有机物</w:t>
                  </w:r>
                </w:p>
              </w:tc>
              <w:tc>
                <w:tcPr>
                  <w:tcW w:w="0" w:type="auto"/>
                  <w:vAlign w:val="center"/>
                </w:tcPr>
                <w:p w14:paraId="685C5CC7">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千克/吨-原料</w:t>
                  </w:r>
                </w:p>
              </w:tc>
              <w:tc>
                <w:tcPr>
                  <w:tcW w:w="0" w:type="auto"/>
                  <w:vAlign w:val="center"/>
                </w:tcPr>
                <w:p w14:paraId="3F026B49">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15</w:t>
                  </w:r>
                </w:p>
              </w:tc>
              <w:tc>
                <w:tcPr>
                  <w:tcW w:w="0" w:type="auto"/>
                  <w:vMerge w:val="continue"/>
                  <w:vAlign w:val="center"/>
                </w:tcPr>
                <w:p w14:paraId="2C3BA265">
                  <w:pPr>
                    <w:pStyle w:val="47"/>
                    <w:bidi w:val="0"/>
                    <w:spacing w:line="240" w:lineRule="auto"/>
                    <w:ind w:firstLine="0" w:firstLineChars="0"/>
                    <w:jc w:val="center"/>
                    <w:rPr>
                      <w:rFonts w:hint="eastAsia"/>
                      <w:sz w:val="21"/>
                      <w:szCs w:val="21"/>
                      <w:vertAlign w:val="baseline"/>
                      <w:lang w:val="en-US" w:eastAsia="zh-CN"/>
                    </w:rPr>
                  </w:pPr>
                </w:p>
              </w:tc>
              <w:tc>
                <w:tcPr>
                  <w:tcW w:w="0" w:type="auto"/>
                  <w:vAlign w:val="center"/>
                </w:tcPr>
                <w:p w14:paraId="542BEC38">
                  <w:pPr>
                    <w:pStyle w:val="47"/>
                    <w:bidi w:val="0"/>
                    <w:spacing w:line="240" w:lineRule="auto"/>
                    <w:ind w:firstLine="0" w:firstLineChars="0"/>
                    <w:jc w:val="center"/>
                    <w:rPr>
                      <w:rFonts w:hint="default"/>
                      <w:sz w:val="21"/>
                      <w:szCs w:val="21"/>
                      <w:vertAlign w:val="baseline"/>
                      <w:lang w:val="en-US" w:eastAsia="zh-CN"/>
                    </w:rPr>
                  </w:pPr>
                  <w:r>
                    <w:rPr>
                      <w:rFonts w:hint="eastAsia"/>
                      <w:sz w:val="21"/>
                      <w:szCs w:val="21"/>
                      <w:vertAlign w:val="baseline"/>
                      <w:lang w:val="en-US" w:eastAsia="zh-CN"/>
                    </w:rPr>
                    <w:t>0.1875</w:t>
                  </w:r>
                </w:p>
              </w:tc>
            </w:tr>
          </w:tbl>
          <w:p w14:paraId="68CD60EF">
            <w:pPr>
              <w:pStyle w:val="47"/>
              <w:bidi w:val="0"/>
              <w:rPr>
                <w:rFonts w:hint="eastAsia"/>
                <w:vertAlign w:val="baseline"/>
                <w:lang w:val="en-US" w:eastAsia="zh-CN"/>
              </w:rPr>
            </w:pPr>
            <w:r>
              <w:rPr>
                <w:rFonts w:hint="eastAsia"/>
                <w:vertAlign w:val="baseline"/>
                <w:lang w:val="en-US" w:eastAsia="zh-CN"/>
              </w:rPr>
              <w:t>②漆雾（颗粒物）处理情况</w:t>
            </w:r>
          </w:p>
          <w:p w14:paraId="55697A83">
            <w:pPr>
              <w:pStyle w:val="47"/>
              <w:bidi w:val="0"/>
              <w:ind w:firstLine="480" w:firstLineChars="200"/>
              <w:rPr>
                <w:rFonts w:hint="default"/>
                <w:vertAlign w:val="baseline"/>
                <w:lang w:val="en-US" w:eastAsia="zh-CN"/>
              </w:rPr>
            </w:pPr>
            <w:r>
              <w:rPr>
                <w:rFonts w:hint="eastAsia"/>
                <w:vertAlign w:val="baseline"/>
                <w:lang w:val="en-US" w:eastAsia="zh-CN"/>
              </w:rPr>
              <w:t>喷漆工序在密闭喷漆房内进行，收集效率为90%，由于《排污许可证申请与核发技术规范 总则》（HJ942-2018）以及《排放源统计调查产排污核算方法和系数手册》中33-37,431-434机械行业手册无相关漆雾处理效率，参考《家具制造工业污染防治可行技术指南》（HJ1180-2021）：“干式过滤技术除尘效率通常可达85%以上”，本项目干式过滤除尘效率按85%计，则颗粒物有组织产生量为0.675t/a，通过干式过滤进行处理，处理后由引风机（风机风量5000m³/h）经一根15m排气筒（DA001）进行排放，则颗粒物排放量为0.1t/a，排放速率为0.07kg/h，排放浓度为14.06mg/m³。未被收集的废气无组织排放，排放量为0.075t/a，排放速率0.05kg/h。</w:t>
            </w:r>
          </w:p>
          <w:p w14:paraId="6614D9DD">
            <w:pPr>
              <w:pStyle w:val="47"/>
              <w:bidi w:val="0"/>
              <w:rPr>
                <w:rFonts w:hint="default"/>
                <w:lang w:val="en-US" w:eastAsia="zh-CN"/>
              </w:rPr>
            </w:pPr>
            <w:r>
              <w:rPr>
                <w:rFonts w:hint="eastAsia"/>
                <w:vertAlign w:val="baseline"/>
                <w:lang w:val="en-US" w:eastAsia="zh-CN"/>
              </w:rPr>
              <w:t>综上所述，本项目颗粒物和非甲烷总烃排放浓度及排放速率满足《</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大气污染物</w:t>
            </w:r>
            <w:r>
              <w:rPr>
                <w:rFonts w:hint="eastAsia" w:cs="Times New Roman"/>
                <w:color w:val="000000" w:themeColor="text1"/>
                <w:szCs w:val="21"/>
                <w:highlight w:val="none"/>
                <w:lang w:val="en-US" w:eastAsia="zh-CN"/>
                <w14:textFill>
                  <w14:solidFill>
                    <w14:schemeClr w14:val="tx1"/>
                  </w14:solidFill>
                </w14:textFill>
              </w:rPr>
              <w:t>综合</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排放标准</w:t>
            </w:r>
            <w:r>
              <w:rPr>
                <w:rFonts w:hint="eastAsia"/>
                <w:vertAlign w:val="baseline"/>
                <w:lang w:val="en-US" w:eastAsia="zh-CN"/>
              </w:rPr>
              <w:t>》</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（GB</w:t>
            </w:r>
            <w:r>
              <w:rPr>
                <w:rFonts w:hint="eastAsia" w:cs="Times New Roman"/>
                <w:color w:val="000000" w:themeColor="text1"/>
                <w:szCs w:val="21"/>
                <w:highlight w:val="none"/>
                <w:lang w:val="en-US" w:eastAsia="zh-CN"/>
                <w14:textFill>
                  <w14:solidFill>
                    <w14:schemeClr w14:val="tx1"/>
                  </w14:solidFill>
                </w14:textFill>
              </w:rPr>
              <w:t>16297</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1996）中的要求。</w:t>
            </w:r>
            <w:bookmarkStart w:id="8" w:name="_GoBack"/>
            <w:bookmarkEnd w:id="8"/>
          </w:p>
          <w:p w14:paraId="46912BEA">
            <w:pPr>
              <w:pStyle w:val="47"/>
              <w:bidi w:val="0"/>
              <w:rPr>
                <w:rFonts w:hint="eastAsia"/>
                <w:lang w:val="en-US" w:eastAsia="zh-CN"/>
              </w:rPr>
            </w:pPr>
            <w:r>
              <w:rPr>
                <w:rFonts w:hint="eastAsia"/>
                <w:lang w:val="en-US" w:eastAsia="zh-CN"/>
              </w:rPr>
              <w:t>（2）天然气燃烧废气</w:t>
            </w:r>
          </w:p>
          <w:p w14:paraId="142F9803">
            <w:pPr>
              <w:pStyle w:val="54"/>
              <w:bidi w:val="0"/>
              <w:rPr>
                <w:rFonts w:hint="default" w:eastAsia="宋体"/>
                <w:color w:val="auto"/>
                <w:highlight w:val="none"/>
                <w:lang w:val="en-US" w:eastAsia="zh-CN"/>
              </w:rPr>
            </w:pPr>
            <w:r>
              <w:rPr>
                <w:rFonts w:hint="eastAsia"/>
                <w:lang w:val="en-US" w:eastAsia="zh-CN"/>
              </w:rPr>
              <w:t>本项目天然气烘干炉运行过程中会产生的氮氧化物、二氧化硫和颗粒物，年天然气消耗量为10</w:t>
            </w:r>
            <w:r>
              <w:rPr>
                <w:rFonts w:hint="eastAsia"/>
                <w:b w:val="0"/>
                <w:bCs w:val="0"/>
                <w:vertAlign w:val="baseline"/>
                <w:lang w:val="en-US" w:eastAsia="zh-CN"/>
              </w:rPr>
              <w:t>万m</w:t>
            </w:r>
            <w:r>
              <w:rPr>
                <w:rFonts w:hint="eastAsia"/>
                <w:b w:val="0"/>
                <w:bCs w:val="0"/>
                <w:vertAlign w:val="superscript"/>
                <w:lang w:val="en-US" w:eastAsia="zh-CN"/>
              </w:rPr>
              <w:t>3</w:t>
            </w:r>
            <w:r>
              <w:rPr>
                <w:rFonts w:hint="eastAsia"/>
                <w:b w:val="0"/>
                <w:bCs w:val="0"/>
                <w:vertAlign w:val="baseline"/>
                <w:lang w:val="en-US" w:eastAsia="zh-CN"/>
              </w:rPr>
              <w:t>。其中3.33万m³为清洗烘干使用，6.67万m³为喷漆烘干使用，</w:t>
            </w:r>
            <w:r>
              <w:rPr>
                <w:rFonts w:hint="eastAsia"/>
                <w:lang w:val="en-US" w:eastAsia="zh-CN"/>
              </w:rPr>
              <w:t>参考《排放源统计调查产排污核算方法和系数手册》</w:t>
            </w:r>
            <w:r>
              <w:rPr>
                <w:rFonts w:hint="eastAsia"/>
                <w:color w:val="auto"/>
                <w:highlight w:val="none"/>
                <w:lang w:val="en-US" w:eastAsia="zh-CN"/>
              </w:rPr>
              <w:t>33金属制品业</w:t>
            </w:r>
            <w:r>
              <w:rPr>
                <w:rFonts w:hint="default"/>
                <w:color w:val="auto"/>
                <w:highlight w:val="none"/>
              </w:rPr>
              <w:t>产排污量核算系数手册对该项目</w:t>
            </w:r>
            <w:r>
              <w:rPr>
                <w:rFonts w:hint="eastAsia"/>
                <w:color w:val="auto"/>
                <w:highlight w:val="none"/>
                <w:lang w:val="en-US" w:eastAsia="zh-CN"/>
              </w:rPr>
              <w:t>颗粒物、</w:t>
            </w:r>
            <w:r>
              <w:rPr>
                <w:rFonts w:hint="default"/>
                <w:color w:val="auto"/>
                <w:highlight w:val="none"/>
              </w:rPr>
              <w:t>NO</w:t>
            </w:r>
            <w:r>
              <w:rPr>
                <w:rFonts w:hint="default"/>
                <w:color w:val="auto"/>
                <w:highlight w:val="none"/>
                <w:vertAlign w:val="subscript"/>
              </w:rPr>
              <w:t>X</w:t>
            </w:r>
            <w:r>
              <w:rPr>
                <w:rFonts w:hint="default"/>
                <w:color w:val="auto"/>
                <w:highlight w:val="none"/>
              </w:rPr>
              <w:t>和SO</w:t>
            </w:r>
            <w:r>
              <w:rPr>
                <w:rFonts w:hint="default"/>
                <w:color w:val="auto"/>
                <w:highlight w:val="none"/>
                <w:vertAlign w:val="subscript"/>
              </w:rPr>
              <w:t>2</w:t>
            </w:r>
            <w:r>
              <w:rPr>
                <w:rFonts w:hint="default"/>
                <w:color w:val="auto"/>
                <w:highlight w:val="none"/>
              </w:rPr>
              <w:t>的产生量进行估算</w:t>
            </w:r>
            <w:r>
              <w:rPr>
                <w:rFonts w:hint="eastAsia" w:ascii="Times New Roman" w:hAnsi="Times New Roman" w:cs="Times New Roman"/>
                <w:color w:val="auto"/>
                <w:highlight w:val="none"/>
                <w:vertAlign w:val="baseline"/>
                <w:lang w:val="en-US" w:eastAsia="zh-CN"/>
              </w:rPr>
              <w:t>。</w:t>
            </w:r>
          </w:p>
          <w:p w14:paraId="52CEABEE">
            <w:pPr>
              <w:pStyle w:val="54"/>
              <w:shd w:val="clear"/>
              <w:bidi w:val="0"/>
              <w:rPr>
                <w:rFonts w:hint="default"/>
                <w:color w:val="000000" w:themeColor="text1"/>
                <w:highlight w:val="none"/>
                <w:vertAlign w:val="baseline"/>
                <w:lang w:val="en-US" w:eastAsia="zh-CN"/>
                <w14:textFill>
                  <w14:solidFill>
                    <w14:schemeClr w14:val="tx1"/>
                  </w14:solidFill>
                </w14:textFill>
              </w:rPr>
            </w:pPr>
            <w:r>
              <w:rPr>
                <w:rFonts w:hint="eastAsia"/>
                <w:color w:val="000000" w:themeColor="text1"/>
                <w:highlight w:val="none"/>
                <w:shd w:val="clear"/>
                <w:vertAlign w:val="baseline"/>
                <w:lang w:val="en-US" w:eastAsia="zh-CN"/>
                <w14:textFill>
                  <w14:solidFill>
                    <w14:schemeClr w14:val="tx1"/>
                  </w14:solidFill>
                </w14:textFill>
              </w:rPr>
              <w:t>SO</w:t>
            </w:r>
            <w:r>
              <w:rPr>
                <w:rFonts w:hint="eastAsia"/>
                <w:color w:val="000000" w:themeColor="text1"/>
                <w:highlight w:val="none"/>
                <w:shd w:val="clear"/>
                <w:vertAlign w:val="subscript"/>
                <w:lang w:val="en-US" w:eastAsia="zh-CN"/>
                <w14:textFill>
                  <w14:solidFill>
                    <w14:schemeClr w14:val="tx1"/>
                  </w14:solidFill>
                </w14:textFill>
              </w:rPr>
              <w:t>2：</w:t>
            </w:r>
            <w:r>
              <w:rPr>
                <w:rFonts w:hint="eastAsia" w:ascii="宋体" w:hAnsi="宋体" w:eastAsia="宋体" w:cs="宋体"/>
                <w:color w:val="000000" w:themeColor="text1"/>
                <w:highlight w:val="none"/>
                <w:shd w:val="clear"/>
                <w:vertAlign w:val="baseline"/>
                <w:lang w:val="en-US" w:eastAsia="zh-CN"/>
                <w14:textFill>
                  <w14:solidFill>
                    <w14:schemeClr w14:val="tx1"/>
                  </w14:solidFill>
                </w14:textFill>
              </w:rPr>
              <w:t>产污系数为</w:t>
            </w:r>
            <w:r>
              <w:rPr>
                <w:rFonts w:hint="default" w:ascii="Times New Roman" w:hAnsi="Times New Roman" w:eastAsia="宋体" w:cs="Times New Roman"/>
                <w:color w:val="000000" w:themeColor="text1"/>
                <w:highlight w:val="none"/>
                <w:shd w:val="clear"/>
                <w:vertAlign w:val="baseline"/>
                <w:lang w:val="en-US" w:eastAsia="zh-CN"/>
                <w14:textFill>
                  <w14:solidFill>
                    <w14:schemeClr w14:val="tx1"/>
                  </w14:solidFill>
                </w14:textFill>
              </w:rPr>
              <w:t>0.0</w:t>
            </w:r>
            <w:r>
              <w:rPr>
                <w:rFonts w:hint="eastAsia" w:cs="Times New Roman"/>
                <w:color w:val="000000" w:themeColor="text1"/>
                <w:highlight w:val="none"/>
                <w:shd w:val="clear"/>
                <w:vertAlign w:val="baseline"/>
                <w:lang w:val="en-US" w:eastAsia="zh-CN"/>
                <w14:textFill>
                  <w14:solidFill>
                    <w14:schemeClr w14:val="tx1"/>
                  </w14:solidFill>
                </w14:textFill>
              </w:rPr>
              <w:t>0000</w:t>
            </w:r>
            <w:r>
              <w:rPr>
                <w:rFonts w:hint="default" w:ascii="Times New Roman" w:hAnsi="Times New Roman" w:eastAsia="宋体" w:cs="Times New Roman"/>
                <w:color w:val="000000" w:themeColor="text1"/>
                <w:highlight w:val="none"/>
                <w:shd w:val="clear"/>
                <w:vertAlign w:val="baseline"/>
                <w:lang w:val="en-US" w:eastAsia="zh-CN"/>
                <w14:textFill>
                  <w14:solidFill>
                    <w14:schemeClr w14:val="tx1"/>
                  </w14:solidFill>
                </w14:textFill>
              </w:rPr>
              <w:t>2S</w:t>
            </w:r>
            <w:r>
              <w:rPr>
                <w:rFonts w:hint="eastAsia" w:ascii="Times New Roman" w:hAnsi="Times New Roman" w:eastAsia="宋体" w:cs="Times New Roman"/>
                <w:color w:val="000000" w:themeColor="text1"/>
                <w:highlight w:val="none"/>
                <w:shd w:val="clear"/>
                <w:vertAlign w:val="baseline"/>
                <w:lang w:val="en-US" w:eastAsia="zh-CN"/>
                <w14:textFill>
                  <w14:solidFill>
                    <w14:schemeClr w14:val="tx1"/>
                  </w14:solidFill>
                </w14:textFill>
              </w:rPr>
              <w:t>（</w:t>
            </w:r>
            <w:r>
              <w:rPr>
                <w:rFonts w:hint="eastAsia" w:cs="Times New Roman"/>
                <w:color w:val="000000" w:themeColor="text1"/>
                <w:highlight w:val="none"/>
                <w:shd w:val="clear"/>
                <w:vertAlign w:val="baseline"/>
                <w:lang w:val="en-US" w:eastAsia="zh-CN"/>
                <w14:textFill>
                  <w14:solidFill>
                    <w14:schemeClr w14:val="tx1"/>
                  </w14:solidFill>
                </w14:textFill>
              </w:rPr>
              <w:t>根据天然气分析报告，</w:t>
            </w:r>
            <w:r>
              <w:rPr>
                <w:rFonts w:hint="eastAsia" w:ascii="Times New Roman" w:hAnsi="Times New Roman" w:eastAsia="宋体" w:cs="Times New Roman"/>
                <w:color w:val="000000" w:themeColor="text1"/>
                <w:highlight w:val="none"/>
                <w:shd w:val="clear"/>
                <w:vertAlign w:val="baseline"/>
                <w:lang w:val="en-US" w:eastAsia="zh-CN"/>
                <w14:textFill>
                  <w14:solidFill>
                    <w14:schemeClr w14:val="tx1"/>
                  </w14:solidFill>
                </w14:textFill>
              </w:rPr>
              <w:t>含硫量为</w:t>
            </w:r>
            <w:r>
              <w:rPr>
                <w:rFonts w:hint="eastAsia" w:cs="Times New Roman"/>
                <w:color w:val="000000" w:themeColor="text1"/>
                <w:highlight w:val="none"/>
                <w:shd w:val="clear"/>
                <w:vertAlign w:val="baseline"/>
                <w:lang w:val="en-US" w:eastAsia="zh-CN"/>
                <w14:textFill>
                  <w14:solidFill>
                    <w14:schemeClr w14:val="tx1"/>
                  </w14:solidFill>
                </w14:textFill>
              </w:rPr>
              <w:t>0</w:t>
            </w:r>
            <w:r>
              <w:rPr>
                <w:rFonts w:hint="eastAsia" w:ascii="Times New Roman" w:hAnsi="Times New Roman" w:eastAsia="宋体" w:cs="Times New Roman"/>
                <w:color w:val="000000" w:themeColor="text1"/>
                <w:highlight w:val="none"/>
                <w:shd w:val="clear"/>
                <w:vertAlign w:val="baseline"/>
                <w:lang w:val="en-US" w:eastAsia="zh-CN"/>
                <w14:textFill>
                  <w14:solidFill>
                    <w14:schemeClr w14:val="tx1"/>
                  </w14:solidFill>
                </w14:textFill>
              </w:rPr>
              <w:t>mg/m</w:t>
            </w:r>
            <w:r>
              <w:rPr>
                <w:rFonts w:hint="eastAsia" w:ascii="Times New Roman" w:hAnsi="Times New Roman" w:eastAsia="宋体" w:cs="Times New Roman"/>
                <w:color w:val="000000" w:themeColor="text1"/>
                <w:highlight w:val="none"/>
                <w:shd w:val="clear"/>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shd w:val="clear"/>
                <w:vertAlign w:val="baseline"/>
                <w:lang w:val="en-US" w:eastAsia="zh-CN"/>
                <w14:textFill>
                  <w14:solidFill>
                    <w14:schemeClr w14:val="tx1"/>
                  </w14:solidFill>
                </w14:textFill>
              </w:rPr>
              <w:t>）千克/立方米-原料，则</w:t>
            </w:r>
            <w:r>
              <w:rPr>
                <w:rFonts w:hint="eastAsia"/>
                <w:color w:val="000000" w:themeColor="text1"/>
                <w:highlight w:val="none"/>
                <w:shd w:val="clear"/>
                <w:vertAlign w:val="baseline"/>
                <w:lang w:val="en-US" w:eastAsia="zh-CN"/>
                <w14:textFill>
                  <w14:solidFill>
                    <w14:schemeClr w14:val="tx1"/>
                  </w14:solidFill>
                </w14:textFill>
              </w:rPr>
              <w:t>SO</w:t>
            </w:r>
            <w:r>
              <w:rPr>
                <w:rFonts w:hint="eastAsia"/>
                <w:color w:val="000000" w:themeColor="text1"/>
                <w:highlight w:val="none"/>
                <w:shd w:val="clear"/>
                <w:vertAlign w:val="subscript"/>
                <w:lang w:val="en-US" w:eastAsia="zh-CN"/>
                <w14:textFill>
                  <w14:solidFill>
                    <w14:schemeClr w14:val="tx1"/>
                  </w14:solidFill>
                </w14:textFill>
              </w:rPr>
              <w:t>2</w:t>
            </w:r>
            <w:r>
              <w:rPr>
                <w:rFonts w:hint="eastAsia"/>
                <w:color w:val="000000" w:themeColor="text1"/>
                <w:highlight w:val="none"/>
                <w:shd w:val="clear"/>
                <w:lang w:val="en-US" w:eastAsia="zh-CN"/>
                <w14:textFill>
                  <w14:solidFill>
                    <w14:schemeClr w14:val="tx1"/>
                  </w14:solidFill>
                </w14:textFill>
              </w:rPr>
              <w:t>排放</w:t>
            </w:r>
            <w:r>
              <w:rPr>
                <w:rFonts w:hint="eastAsia"/>
                <w:color w:val="000000" w:themeColor="text1"/>
                <w:highlight w:val="none"/>
                <w:shd w:val="clear"/>
                <w:vertAlign w:val="baseline"/>
                <w:lang w:val="en-US" w:eastAsia="zh-CN"/>
                <w14:textFill>
                  <w14:solidFill>
                    <w14:schemeClr w14:val="tx1"/>
                  </w14:solidFill>
                </w14:textFill>
              </w:rPr>
              <w:t>量为0t/a，</w:t>
            </w:r>
            <w:r>
              <w:rPr>
                <w:rFonts w:hint="eastAsia"/>
                <w:color w:val="000000" w:themeColor="text1"/>
                <w:highlight w:val="none"/>
                <w:shd w:val="clear"/>
                <w:lang w:val="en-US" w:eastAsia="zh-CN"/>
                <w14:textFill>
                  <w14:solidFill>
                    <w14:schemeClr w14:val="tx1"/>
                  </w14:solidFill>
                </w14:textFill>
              </w:rPr>
              <w:t>排放</w:t>
            </w:r>
            <w:r>
              <w:rPr>
                <w:rFonts w:hint="eastAsia"/>
                <w:color w:val="000000" w:themeColor="text1"/>
                <w:highlight w:val="none"/>
                <w:shd w:val="clear"/>
                <w:vertAlign w:val="baseline"/>
                <w:lang w:val="en-US" w:eastAsia="zh-CN"/>
                <w14:textFill>
                  <w14:solidFill>
                    <w14:schemeClr w14:val="tx1"/>
                  </w14:solidFill>
                </w14:textFill>
              </w:rPr>
              <w:t>速率为0kg/h，</w:t>
            </w:r>
            <w:r>
              <w:rPr>
                <w:rFonts w:hint="eastAsia"/>
                <w:color w:val="000000" w:themeColor="text1"/>
                <w:highlight w:val="none"/>
                <w:shd w:val="clear"/>
                <w:lang w:val="en-US" w:eastAsia="zh-CN"/>
                <w14:textFill>
                  <w14:solidFill>
                    <w14:schemeClr w14:val="tx1"/>
                  </w14:solidFill>
                </w14:textFill>
              </w:rPr>
              <w:t>排放</w:t>
            </w:r>
            <w:r>
              <w:rPr>
                <w:rFonts w:hint="eastAsia"/>
                <w:color w:val="000000" w:themeColor="text1"/>
                <w:highlight w:val="none"/>
                <w:shd w:val="clear"/>
                <w:vertAlign w:val="baseline"/>
                <w:lang w:val="en-US" w:eastAsia="zh-CN"/>
                <w14:textFill>
                  <w14:solidFill>
                    <w14:schemeClr w14:val="tx1"/>
                  </w14:solidFill>
                </w14:textFill>
              </w:rPr>
              <w:t>浓度为0</w:t>
            </w:r>
            <w:r>
              <w:rPr>
                <w:rFonts w:hint="eastAsia" w:ascii="Times New Roman" w:hAnsi="Times New Roman" w:eastAsia="宋体" w:cs="Times New Roman"/>
                <w:color w:val="000000" w:themeColor="text1"/>
                <w:highlight w:val="none"/>
                <w:shd w:val="clear"/>
                <w:vertAlign w:val="baseline"/>
                <w:lang w:val="en-US" w:eastAsia="zh-CN"/>
                <w14:textFill>
                  <w14:solidFill>
                    <w14:schemeClr w14:val="tx1"/>
                  </w14:solidFill>
                </w14:textFill>
              </w:rPr>
              <w:t>mg/m</w:t>
            </w:r>
            <w:r>
              <w:rPr>
                <w:rFonts w:hint="eastAsia" w:ascii="Times New Roman" w:hAnsi="Times New Roman" w:eastAsia="宋体" w:cs="Times New Roman"/>
                <w:color w:val="000000" w:themeColor="text1"/>
                <w:highlight w:val="none"/>
                <w:shd w:val="clear"/>
                <w:vertAlign w:val="superscript"/>
                <w:lang w:val="en-US" w:eastAsia="zh-CN"/>
                <w14:textFill>
                  <w14:solidFill>
                    <w14:schemeClr w14:val="tx1"/>
                  </w14:solidFill>
                </w14:textFill>
              </w:rPr>
              <w:t>3</w:t>
            </w:r>
            <w:r>
              <w:rPr>
                <w:rFonts w:hint="eastAsia"/>
                <w:color w:val="000000" w:themeColor="text1"/>
                <w:highlight w:val="none"/>
                <w:vertAlign w:val="baseline"/>
                <w:lang w:val="en-US" w:eastAsia="zh-CN"/>
                <w14:textFill>
                  <w14:solidFill>
                    <w14:schemeClr w14:val="tx1"/>
                  </w14:solidFill>
                </w14:textFill>
              </w:rPr>
              <w:t>。</w:t>
            </w:r>
          </w:p>
          <w:p w14:paraId="6BE4EF0A">
            <w:pPr>
              <w:pStyle w:val="54"/>
              <w:bidi w:val="0"/>
              <w:rPr>
                <w:rFonts w:hint="eastAsia"/>
                <w:color w:val="auto"/>
                <w:highlight w:val="none"/>
                <w:vertAlign w:val="baseline"/>
                <w:lang w:val="en-US" w:eastAsia="zh-CN"/>
              </w:rPr>
            </w:pPr>
            <w:r>
              <w:rPr>
                <w:rFonts w:hint="default"/>
                <w:color w:val="auto"/>
                <w:highlight w:val="none"/>
              </w:rPr>
              <w:t>NO</w:t>
            </w:r>
            <w:r>
              <w:rPr>
                <w:rFonts w:hint="default"/>
                <w:color w:val="auto"/>
                <w:highlight w:val="none"/>
                <w:vertAlign w:val="subscript"/>
              </w:rPr>
              <w:t>X</w:t>
            </w:r>
            <w:r>
              <w:rPr>
                <w:rFonts w:hint="eastAsia"/>
                <w:color w:val="auto"/>
                <w:highlight w:val="none"/>
                <w:lang w:eastAsia="zh-CN"/>
              </w:rPr>
              <w:t>：</w:t>
            </w:r>
            <w:r>
              <w:rPr>
                <w:rFonts w:hint="eastAsia"/>
                <w:color w:val="auto"/>
                <w:highlight w:val="none"/>
                <w:lang w:val="en-US" w:eastAsia="zh-CN"/>
              </w:rPr>
              <w:t>产污系数为0.00187</w:t>
            </w:r>
            <w:r>
              <w:rPr>
                <w:rFonts w:hint="eastAsia" w:ascii="Times New Roman" w:hAnsi="Times New Roman" w:eastAsia="宋体" w:cs="Times New Roman"/>
                <w:color w:val="auto"/>
                <w:highlight w:val="none"/>
                <w:vertAlign w:val="baseline"/>
                <w:lang w:val="en-US" w:eastAsia="zh-CN"/>
              </w:rPr>
              <w:t>千克/立方米-原料</w:t>
            </w:r>
            <w:r>
              <w:rPr>
                <w:rFonts w:hint="eastAsia" w:ascii="Times New Roman" w:hAnsi="Times New Roman" w:cs="Times New Roman"/>
                <w:color w:val="auto"/>
                <w:highlight w:val="none"/>
                <w:vertAlign w:val="baseline"/>
                <w:lang w:val="en-US" w:eastAsia="zh-CN"/>
              </w:rPr>
              <w:t>，则</w:t>
            </w:r>
            <w:r>
              <w:rPr>
                <w:rFonts w:hint="eastAsia" w:cs="Times New Roman"/>
                <w:color w:val="auto"/>
                <w:highlight w:val="none"/>
                <w:vertAlign w:val="baseline"/>
                <w:lang w:val="en-US" w:eastAsia="zh-CN"/>
              </w:rPr>
              <w:t>清洗烘干生产线</w:t>
            </w:r>
            <w:r>
              <w:rPr>
                <w:rFonts w:hint="default"/>
                <w:color w:val="auto"/>
                <w:highlight w:val="none"/>
              </w:rPr>
              <w:t>NO</w:t>
            </w:r>
            <w:r>
              <w:rPr>
                <w:rFonts w:hint="default"/>
                <w:color w:val="auto"/>
                <w:highlight w:val="none"/>
                <w:vertAlign w:val="subscript"/>
              </w:rPr>
              <w:t>X</w:t>
            </w:r>
            <w:r>
              <w:rPr>
                <w:rFonts w:hint="eastAsia"/>
                <w:color w:val="auto"/>
                <w:highlight w:val="none"/>
                <w:vertAlign w:val="baseline"/>
                <w:lang w:val="en-US" w:eastAsia="zh-CN"/>
              </w:rPr>
              <w:t>产生量为0.062t/a，产生速率为0.04kg/h，产生浓度为137.5</w:t>
            </w:r>
            <w:r>
              <w:rPr>
                <w:rFonts w:hint="eastAsia" w:ascii="Times New Roman" w:hAnsi="Times New Roman" w:eastAsia="宋体" w:cs="Times New Roman"/>
                <w:color w:val="auto"/>
                <w:highlight w:val="none"/>
                <w:vertAlign w:val="baseline"/>
                <w:lang w:val="en-US" w:eastAsia="zh-CN"/>
              </w:rPr>
              <w:t>mg/m</w:t>
            </w:r>
            <w:r>
              <w:rPr>
                <w:rFonts w:hint="eastAsia" w:ascii="Times New Roman" w:hAnsi="Times New Roman" w:eastAsia="宋体" w:cs="Times New Roman"/>
                <w:color w:val="auto"/>
                <w:highlight w:val="none"/>
                <w:vertAlign w:val="superscript"/>
                <w:lang w:val="en-US" w:eastAsia="zh-CN"/>
              </w:rPr>
              <w:t>3</w:t>
            </w:r>
            <w:r>
              <w:rPr>
                <w:rFonts w:hint="eastAsia" w:cs="Times New Roman"/>
                <w:color w:val="auto"/>
                <w:highlight w:val="none"/>
                <w:vertAlign w:val="baseline"/>
                <w:lang w:val="en-US" w:eastAsia="zh-CN"/>
              </w:rPr>
              <w:t>，经低氮燃烧处理（效率50%）后，排放量为0.031t/a，排放速率为0.02kg/h，排放浓度为68.75mg/m³；喷漆烘干生产线</w:t>
            </w:r>
            <w:r>
              <w:rPr>
                <w:rFonts w:hint="default"/>
                <w:color w:val="auto"/>
                <w:highlight w:val="none"/>
              </w:rPr>
              <w:t>NO</w:t>
            </w:r>
            <w:r>
              <w:rPr>
                <w:rFonts w:hint="default"/>
                <w:color w:val="auto"/>
                <w:highlight w:val="none"/>
                <w:vertAlign w:val="subscript"/>
              </w:rPr>
              <w:t>X</w:t>
            </w:r>
            <w:r>
              <w:rPr>
                <w:rFonts w:hint="eastAsia"/>
                <w:color w:val="auto"/>
                <w:highlight w:val="none"/>
                <w:vertAlign w:val="baseline"/>
                <w:lang w:val="en-US" w:eastAsia="zh-CN"/>
              </w:rPr>
              <w:t>产生量为0.125t/a，产生速率为0.09kg/h，产生浓度为137.5</w:t>
            </w:r>
            <w:r>
              <w:rPr>
                <w:rFonts w:hint="eastAsia" w:ascii="Times New Roman" w:hAnsi="Times New Roman" w:eastAsia="宋体" w:cs="Times New Roman"/>
                <w:color w:val="auto"/>
                <w:highlight w:val="none"/>
                <w:vertAlign w:val="baseline"/>
                <w:lang w:val="en-US" w:eastAsia="zh-CN"/>
              </w:rPr>
              <w:t>mg/m</w:t>
            </w:r>
            <w:r>
              <w:rPr>
                <w:rFonts w:hint="eastAsia" w:ascii="Times New Roman" w:hAnsi="Times New Roman" w:eastAsia="宋体" w:cs="Times New Roman"/>
                <w:color w:val="auto"/>
                <w:highlight w:val="none"/>
                <w:vertAlign w:val="superscript"/>
                <w:lang w:val="en-US" w:eastAsia="zh-CN"/>
              </w:rPr>
              <w:t>3</w:t>
            </w:r>
            <w:r>
              <w:rPr>
                <w:rFonts w:hint="eastAsia" w:cs="Times New Roman"/>
                <w:color w:val="auto"/>
                <w:highlight w:val="none"/>
                <w:vertAlign w:val="baseline"/>
                <w:lang w:val="en-US" w:eastAsia="zh-CN"/>
              </w:rPr>
              <w:t>，经低氮燃烧处理（效率50%）后，排放量为0.0625t/a，排放速率为0.045kg/h，排放浓度为68.75mg/m³</w:t>
            </w:r>
            <w:r>
              <w:rPr>
                <w:rFonts w:hint="eastAsia"/>
                <w:color w:val="auto"/>
                <w:highlight w:val="none"/>
                <w:vertAlign w:val="baseline"/>
                <w:lang w:val="en-US" w:eastAsia="zh-CN"/>
              </w:rPr>
              <w:t>。</w:t>
            </w:r>
          </w:p>
          <w:p w14:paraId="5C627E33">
            <w:pPr>
              <w:pStyle w:val="54"/>
              <w:bidi w:val="0"/>
              <w:rPr>
                <w:rFonts w:hint="eastAsia"/>
                <w:color w:val="auto"/>
                <w:highlight w:val="none"/>
                <w:vertAlign w:val="baseline"/>
                <w:lang w:val="en-US" w:eastAsia="zh-CN"/>
              </w:rPr>
            </w:pPr>
            <w:r>
              <w:rPr>
                <w:rFonts w:hint="eastAsia"/>
                <w:color w:val="auto"/>
                <w:highlight w:val="none"/>
                <w:vertAlign w:val="baseline"/>
                <w:lang w:val="en-US" w:eastAsia="zh-CN"/>
              </w:rPr>
              <w:t>颗粒物：</w:t>
            </w:r>
            <w:r>
              <w:rPr>
                <w:rFonts w:hint="eastAsia"/>
                <w:color w:val="auto"/>
                <w:highlight w:val="none"/>
                <w:lang w:val="en-US" w:eastAsia="zh-CN"/>
              </w:rPr>
              <w:t>产污系数为0.000286</w:t>
            </w:r>
            <w:r>
              <w:rPr>
                <w:rFonts w:hint="eastAsia" w:ascii="Times New Roman" w:hAnsi="Times New Roman" w:eastAsia="宋体" w:cs="Times New Roman"/>
                <w:color w:val="auto"/>
                <w:highlight w:val="none"/>
                <w:vertAlign w:val="baseline"/>
                <w:lang w:val="en-US" w:eastAsia="zh-CN"/>
              </w:rPr>
              <w:t>千克/立方米-原料</w:t>
            </w:r>
            <w:r>
              <w:rPr>
                <w:rFonts w:hint="eastAsia" w:ascii="Times New Roman" w:hAnsi="Times New Roman" w:cs="Times New Roman"/>
                <w:color w:val="auto"/>
                <w:highlight w:val="none"/>
                <w:vertAlign w:val="baseline"/>
                <w:lang w:val="en-US" w:eastAsia="zh-CN"/>
              </w:rPr>
              <w:t>，则</w:t>
            </w:r>
            <w:r>
              <w:rPr>
                <w:rFonts w:hint="eastAsia" w:cs="Times New Roman"/>
                <w:color w:val="auto"/>
                <w:highlight w:val="none"/>
                <w:vertAlign w:val="baseline"/>
                <w:lang w:val="en-US" w:eastAsia="zh-CN"/>
              </w:rPr>
              <w:t>清洗烘干生产线</w:t>
            </w:r>
            <w:r>
              <w:rPr>
                <w:rFonts w:hint="eastAsia"/>
                <w:color w:val="auto"/>
                <w:highlight w:val="none"/>
                <w:vertAlign w:val="baseline"/>
                <w:lang w:val="en-US" w:eastAsia="zh-CN"/>
              </w:rPr>
              <w:t>颗粒物</w:t>
            </w:r>
            <w:r>
              <w:rPr>
                <w:rFonts w:hint="eastAsia"/>
                <w:color w:val="auto"/>
                <w:highlight w:val="none"/>
                <w:lang w:val="en-US" w:eastAsia="zh-CN"/>
              </w:rPr>
              <w:t>排放</w:t>
            </w:r>
            <w:r>
              <w:rPr>
                <w:rFonts w:hint="eastAsia"/>
                <w:color w:val="auto"/>
                <w:highlight w:val="none"/>
                <w:vertAlign w:val="baseline"/>
                <w:lang w:val="en-US" w:eastAsia="zh-CN"/>
              </w:rPr>
              <w:t>量为0.01t/a，</w:t>
            </w:r>
            <w:r>
              <w:rPr>
                <w:rFonts w:hint="eastAsia"/>
                <w:color w:val="auto"/>
                <w:highlight w:val="none"/>
                <w:lang w:val="en-US" w:eastAsia="zh-CN"/>
              </w:rPr>
              <w:t>排放</w:t>
            </w:r>
            <w:r>
              <w:rPr>
                <w:rFonts w:hint="eastAsia"/>
                <w:color w:val="auto"/>
                <w:highlight w:val="none"/>
                <w:vertAlign w:val="baseline"/>
                <w:lang w:val="en-US" w:eastAsia="zh-CN"/>
              </w:rPr>
              <w:t>速率为0.007kg/h，</w:t>
            </w:r>
            <w:r>
              <w:rPr>
                <w:rFonts w:hint="eastAsia"/>
                <w:color w:val="auto"/>
                <w:highlight w:val="none"/>
                <w:lang w:val="en-US" w:eastAsia="zh-CN"/>
              </w:rPr>
              <w:t>排放</w:t>
            </w:r>
            <w:r>
              <w:rPr>
                <w:rFonts w:hint="eastAsia"/>
                <w:color w:val="auto"/>
                <w:highlight w:val="none"/>
                <w:vertAlign w:val="baseline"/>
                <w:lang w:val="en-US" w:eastAsia="zh-CN"/>
              </w:rPr>
              <w:t>浓度为21.03</w:t>
            </w:r>
            <w:r>
              <w:rPr>
                <w:rFonts w:hint="eastAsia" w:ascii="Times New Roman" w:hAnsi="Times New Roman" w:eastAsia="宋体" w:cs="Times New Roman"/>
                <w:color w:val="auto"/>
                <w:highlight w:val="none"/>
                <w:vertAlign w:val="baseline"/>
                <w:lang w:val="en-US" w:eastAsia="zh-CN"/>
              </w:rPr>
              <w:t>mg/m</w:t>
            </w:r>
            <w:r>
              <w:rPr>
                <w:rFonts w:hint="eastAsia" w:ascii="Times New Roman" w:hAnsi="Times New Roman" w:eastAsia="宋体" w:cs="Times New Roman"/>
                <w:color w:val="auto"/>
                <w:highlight w:val="none"/>
                <w:vertAlign w:val="superscript"/>
                <w:lang w:val="en-US" w:eastAsia="zh-CN"/>
              </w:rPr>
              <w:t>3</w:t>
            </w:r>
            <w:r>
              <w:rPr>
                <w:rFonts w:hint="eastAsia" w:cs="Times New Roman"/>
                <w:color w:val="auto"/>
                <w:highlight w:val="none"/>
                <w:vertAlign w:val="baseline"/>
                <w:lang w:val="en-US" w:eastAsia="zh-CN"/>
              </w:rPr>
              <w:t>，喷漆烘干生产线</w:t>
            </w:r>
            <w:r>
              <w:rPr>
                <w:rFonts w:hint="eastAsia"/>
                <w:color w:val="auto"/>
                <w:highlight w:val="none"/>
                <w:vertAlign w:val="baseline"/>
                <w:lang w:val="en-US" w:eastAsia="zh-CN"/>
              </w:rPr>
              <w:t>颗粒物</w:t>
            </w:r>
            <w:r>
              <w:rPr>
                <w:rFonts w:hint="eastAsia"/>
                <w:color w:val="auto"/>
                <w:highlight w:val="none"/>
                <w:lang w:val="en-US" w:eastAsia="zh-CN"/>
              </w:rPr>
              <w:t>排放</w:t>
            </w:r>
            <w:r>
              <w:rPr>
                <w:rFonts w:hint="eastAsia"/>
                <w:color w:val="auto"/>
                <w:highlight w:val="none"/>
                <w:vertAlign w:val="baseline"/>
                <w:lang w:val="en-US" w:eastAsia="zh-CN"/>
              </w:rPr>
              <w:t>量为0.02t/a，</w:t>
            </w:r>
            <w:r>
              <w:rPr>
                <w:rFonts w:hint="eastAsia"/>
                <w:color w:val="auto"/>
                <w:highlight w:val="none"/>
                <w:lang w:val="en-US" w:eastAsia="zh-CN"/>
              </w:rPr>
              <w:t>排放</w:t>
            </w:r>
            <w:r>
              <w:rPr>
                <w:rFonts w:hint="eastAsia"/>
                <w:color w:val="auto"/>
                <w:highlight w:val="none"/>
                <w:vertAlign w:val="baseline"/>
                <w:lang w:val="en-US" w:eastAsia="zh-CN"/>
              </w:rPr>
              <w:t>速率为0.013kg/h，</w:t>
            </w:r>
            <w:r>
              <w:rPr>
                <w:rFonts w:hint="eastAsia"/>
                <w:color w:val="auto"/>
                <w:highlight w:val="none"/>
                <w:lang w:val="en-US" w:eastAsia="zh-CN"/>
              </w:rPr>
              <w:t>排放</w:t>
            </w:r>
            <w:r>
              <w:rPr>
                <w:rFonts w:hint="eastAsia"/>
                <w:color w:val="auto"/>
                <w:highlight w:val="none"/>
                <w:vertAlign w:val="baseline"/>
                <w:lang w:val="en-US" w:eastAsia="zh-CN"/>
              </w:rPr>
              <w:t>浓度为21.03</w:t>
            </w:r>
            <w:r>
              <w:rPr>
                <w:rFonts w:hint="eastAsia" w:ascii="Times New Roman" w:hAnsi="Times New Roman" w:eastAsia="宋体" w:cs="Times New Roman"/>
                <w:color w:val="auto"/>
                <w:highlight w:val="none"/>
                <w:vertAlign w:val="baseline"/>
                <w:lang w:val="en-US" w:eastAsia="zh-CN"/>
              </w:rPr>
              <w:t>mg/m</w:t>
            </w:r>
            <w:r>
              <w:rPr>
                <w:rFonts w:hint="eastAsia" w:ascii="Times New Roman" w:hAnsi="Times New Roman" w:eastAsia="宋体" w:cs="Times New Roman"/>
                <w:color w:val="auto"/>
                <w:highlight w:val="none"/>
                <w:vertAlign w:val="superscript"/>
                <w:lang w:val="en-US" w:eastAsia="zh-CN"/>
              </w:rPr>
              <w:t>3</w:t>
            </w:r>
            <w:r>
              <w:rPr>
                <w:rFonts w:hint="eastAsia"/>
                <w:color w:val="auto"/>
                <w:highlight w:val="none"/>
                <w:vertAlign w:val="baseline"/>
                <w:lang w:val="en-US" w:eastAsia="zh-CN"/>
              </w:rPr>
              <w:t>。</w:t>
            </w:r>
          </w:p>
          <w:p w14:paraId="280554FA">
            <w:pPr>
              <w:pStyle w:val="54"/>
              <w:bidi w:val="0"/>
              <w:rPr>
                <w:rFonts w:hint="default"/>
                <w:lang w:val="en-US" w:eastAsia="zh-CN"/>
              </w:rPr>
            </w:pPr>
            <w:r>
              <w:rPr>
                <w:rFonts w:hint="eastAsia"/>
                <w:color w:val="auto"/>
                <w:highlight w:val="none"/>
                <w:vertAlign w:val="baseline"/>
                <w:lang w:val="en-US" w:eastAsia="zh-CN"/>
              </w:rPr>
              <w:t>综上，本项目天然气烘干炉燃烧产生的NOx、SO</w:t>
            </w:r>
            <w:r>
              <w:rPr>
                <w:rFonts w:hint="eastAsia"/>
                <w:color w:val="auto"/>
                <w:highlight w:val="none"/>
                <w:vertAlign w:val="subscript"/>
                <w:lang w:val="en-US" w:eastAsia="zh-CN"/>
              </w:rPr>
              <w:t>2</w:t>
            </w:r>
            <w:r>
              <w:rPr>
                <w:rFonts w:hint="eastAsia"/>
                <w:color w:val="auto"/>
                <w:highlight w:val="none"/>
                <w:vertAlign w:val="baseline"/>
                <w:lang w:val="en-US" w:eastAsia="zh-CN"/>
              </w:rPr>
              <w:t>和颗粒物排放浓度满足</w:t>
            </w:r>
            <w:r>
              <w:rPr>
                <w:rFonts w:hint="eastAsia" w:cs="Times New Roman"/>
                <w:color w:val="000000" w:themeColor="text1"/>
                <w:szCs w:val="21"/>
                <w:highlight w:val="none"/>
                <w:lang w:val="en-US" w:eastAsia="zh-CN"/>
                <w14:textFill>
                  <w14:solidFill>
                    <w14:schemeClr w14:val="tx1"/>
                  </w14:solidFill>
                </w14:textFill>
              </w:rPr>
              <w:t>《关于印发自治州工业炉窑大气污染综合治理实施方案的通知》（巴环发〔2019〕170号）中排放限值要求（颗粒物：30mg/m³、SO</w:t>
            </w:r>
            <w:r>
              <w:rPr>
                <w:rFonts w:hint="eastAsia" w:cs="Times New Roman"/>
                <w:color w:val="000000" w:themeColor="text1"/>
                <w:szCs w:val="21"/>
                <w:highlight w:val="none"/>
                <w:vertAlign w:val="subscript"/>
                <w:lang w:val="en-US" w:eastAsia="zh-CN"/>
                <w14:textFill>
                  <w14:solidFill>
                    <w14:schemeClr w14:val="tx1"/>
                  </w14:solidFill>
                </w14:textFill>
              </w:rPr>
              <w:t>2</w:t>
            </w:r>
            <w:r>
              <w:rPr>
                <w:rFonts w:hint="eastAsia" w:cs="Times New Roman"/>
                <w:color w:val="000000" w:themeColor="text1"/>
                <w:szCs w:val="21"/>
                <w:highlight w:val="none"/>
                <w:lang w:val="en-US" w:eastAsia="zh-CN"/>
                <w14:textFill>
                  <w14:solidFill>
                    <w14:schemeClr w14:val="tx1"/>
                  </w14:solidFill>
                </w14:textFill>
              </w:rPr>
              <w:t>：200mg/m³、NOx：300mg/m³）。</w:t>
            </w:r>
          </w:p>
          <w:p w14:paraId="1827C678">
            <w:pPr>
              <w:pStyle w:val="47"/>
              <w:numPr>
                <w:ilvl w:val="0"/>
                <w:numId w:val="0"/>
              </w:numPr>
              <w:bidi w:val="0"/>
              <w:ind w:firstLine="480" w:firstLineChars="200"/>
              <w:rPr>
                <w:rFonts w:hint="eastAsia" w:cs="宋体"/>
                <w:bCs/>
                <w:kern w:val="2"/>
                <w:sz w:val="24"/>
                <w:szCs w:val="24"/>
                <w:lang w:val="en-US" w:eastAsia="zh-CN" w:bidi="ar-SA"/>
              </w:rPr>
            </w:pPr>
            <w:r>
              <w:rPr>
                <w:rFonts w:hint="eastAsia" w:ascii="Times New Roman" w:hAnsi="Times New Roman" w:eastAsia="宋体" w:cs="宋体"/>
                <w:bCs/>
                <w:kern w:val="2"/>
                <w:sz w:val="24"/>
                <w:szCs w:val="24"/>
                <w:lang w:val="en-US" w:eastAsia="zh-CN" w:bidi="ar-SA"/>
              </w:rPr>
              <w:t>（3）</w:t>
            </w:r>
            <w:r>
              <w:rPr>
                <w:rFonts w:hint="eastAsia" w:cs="宋体"/>
                <w:bCs/>
                <w:kern w:val="2"/>
                <w:sz w:val="24"/>
                <w:szCs w:val="24"/>
                <w:lang w:val="en-US" w:eastAsia="zh-CN" w:bidi="ar-SA"/>
              </w:rPr>
              <w:t>焊接废气</w:t>
            </w:r>
          </w:p>
          <w:p w14:paraId="75C166AD">
            <w:pPr>
              <w:pStyle w:val="47"/>
              <w:numPr>
                <w:ilvl w:val="-1"/>
                <w:numId w:val="0"/>
              </w:numPr>
              <w:bidi w:val="0"/>
              <w:ind w:firstLine="480" w:firstLineChars="200"/>
              <w:rPr>
                <w:rFonts w:hint="eastAsia" w:cs="宋体"/>
                <w:bCs/>
                <w:kern w:val="2"/>
                <w:sz w:val="24"/>
                <w:szCs w:val="24"/>
                <w:lang w:val="en-US" w:eastAsia="zh-CN" w:bidi="ar-SA"/>
              </w:rPr>
            </w:pPr>
            <w:r>
              <w:rPr>
                <w:rFonts w:hint="eastAsia" w:cs="宋体"/>
                <w:bCs/>
                <w:kern w:val="2"/>
                <w:sz w:val="24"/>
                <w:szCs w:val="24"/>
                <w:lang w:val="en-US" w:eastAsia="zh-CN" w:bidi="ar-SA"/>
              </w:rPr>
              <w:t>本项目采用自动激光焊缝机对桶身进行焊接，工作原理为通过激光束照射工件表面，将光能转化为热能，使材料局部熔化并形成熔池。激光束的能量密度极高，能够快速加热材料至熔点或沸点，从而实现焊接。</w:t>
            </w:r>
          </w:p>
          <w:p w14:paraId="3F8DD041">
            <w:pPr>
              <w:pStyle w:val="47"/>
              <w:numPr>
                <w:ilvl w:val="-1"/>
                <w:numId w:val="0"/>
              </w:numPr>
              <w:bidi w:val="0"/>
              <w:ind w:firstLine="480" w:firstLineChars="200"/>
              <w:rPr>
                <w:rFonts w:hint="default" w:cs="宋体"/>
                <w:bCs/>
                <w:kern w:val="2"/>
                <w:sz w:val="24"/>
                <w:szCs w:val="24"/>
                <w:lang w:val="en-US" w:eastAsia="zh-CN" w:bidi="ar-SA"/>
              </w:rPr>
            </w:pPr>
            <w:r>
              <w:rPr>
                <w:rFonts w:hint="eastAsia" w:cs="宋体"/>
                <w:bCs/>
                <w:kern w:val="2"/>
                <w:sz w:val="24"/>
                <w:szCs w:val="24"/>
                <w:lang w:val="en-US" w:eastAsia="zh-CN" w:bidi="ar-SA"/>
              </w:rPr>
              <w:t>焊接过程中由于高温会产生少量的金属颗粒物和挥发性有机物。由于本项目焊接量较少，且激光焊接机配备有密封罩，本次评价要求在焊接过程中通过优化焊接参数、加强车间通风等措施降低焊接废气的影响，故本次评价不对焊接废气提出定量分析。</w:t>
            </w:r>
          </w:p>
          <w:p w14:paraId="4E0CF144">
            <w:pPr>
              <w:pStyle w:val="47"/>
              <w:numPr>
                <w:ilvl w:val="0"/>
                <w:numId w:val="0"/>
              </w:numPr>
              <w:bidi w:val="0"/>
              <w:ind w:firstLine="480" w:firstLineChars="200"/>
              <w:rPr>
                <w:rFonts w:hint="eastAsia"/>
                <w:lang w:val="en-US" w:eastAsia="zh-CN"/>
              </w:rPr>
            </w:pPr>
            <w:r>
              <w:rPr>
                <w:rFonts w:hint="eastAsia" w:ascii="Times New Roman" w:hAnsi="Times New Roman" w:eastAsia="宋体" w:cs="宋体"/>
                <w:bCs/>
                <w:kern w:val="2"/>
                <w:sz w:val="24"/>
                <w:szCs w:val="24"/>
                <w:lang w:val="en-US" w:eastAsia="zh-CN" w:bidi="ar-SA"/>
              </w:rPr>
              <w:t>（</w:t>
            </w:r>
            <w:r>
              <w:rPr>
                <w:rFonts w:hint="eastAsia" w:cs="宋体"/>
                <w:bCs/>
                <w:kern w:val="2"/>
                <w:sz w:val="24"/>
                <w:szCs w:val="24"/>
                <w:lang w:val="en-US" w:eastAsia="zh-CN" w:bidi="ar-SA"/>
              </w:rPr>
              <w:t>4</w:t>
            </w:r>
            <w:r>
              <w:rPr>
                <w:rFonts w:hint="eastAsia" w:ascii="Times New Roman" w:hAnsi="Times New Roman" w:eastAsia="宋体" w:cs="宋体"/>
                <w:bCs/>
                <w:kern w:val="2"/>
                <w:sz w:val="24"/>
                <w:szCs w:val="24"/>
                <w:lang w:val="en-US" w:eastAsia="zh-CN" w:bidi="ar-SA"/>
              </w:rPr>
              <w:t>）</w:t>
            </w:r>
            <w:r>
              <w:rPr>
                <w:rFonts w:hint="eastAsia"/>
                <w:lang w:val="en-US" w:eastAsia="zh-CN"/>
              </w:rPr>
              <w:t>食堂油烟</w:t>
            </w:r>
          </w:p>
          <w:p w14:paraId="55AAFB8F">
            <w:pPr>
              <w:pStyle w:val="51"/>
              <w:keepNext w:val="0"/>
              <w:keepLines w:val="0"/>
              <w:suppressLineNumbers w:val="0"/>
              <w:bidi w:val="0"/>
              <w:spacing w:before="0" w:beforeAutospacing="0" w:after="0" w:afterAutospacing="0"/>
              <w:ind w:left="0" w:right="0"/>
              <w:rPr>
                <w:rFonts w:hint="eastAsia" w:cs="Times New Roman"/>
                <w:color w:val="auto"/>
                <w:highlight w:val="none"/>
                <w:lang w:val="en-US" w:eastAsia="zh-CN"/>
              </w:rPr>
            </w:pPr>
            <w:r>
              <w:rPr>
                <w:rFonts w:hint="eastAsia" w:cs="Times New Roman"/>
                <w:color w:val="auto"/>
                <w:highlight w:val="none"/>
                <w:lang w:val="en-US" w:eastAsia="zh-CN"/>
              </w:rPr>
              <w:t>本项目设置1个职工食堂，设1个灶台，属小型规模。劳动定员15人，年工作天数为180天，</w:t>
            </w:r>
            <w:r>
              <w:rPr>
                <w:rFonts w:hint="eastAsia" w:cs="Times New Roman"/>
                <w:color w:val="auto"/>
                <w:sz w:val="24"/>
                <w:highlight w:val="none"/>
              </w:rPr>
              <w:t>其食用油用量平均按0.05kg/人·天计</w:t>
            </w:r>
            <w:r>
              <w:rPr>
                <w:rFonts w:hint="eastAsia" w:cs="Times New Roman"/>
                <w:color w:val="auto"/>
                <w:highlight w:val="none"/>
                <w:lang w:val="en-US" w:eastAsia="zh-CN"/>
              </w:rPr>
              <w:t>，根据该项目规模，可推算出每年食堂食用油消耗量为135kg，油烟挥发量一般占食用油量的2%～4%，本项目按挥发量3%计算，则油烟的产生量为4.05kg/a，油烟废气经</w:t>
            </w:r>
            <w:r>
              <w:rPr>
                <w:rFonts w:hint="eastAsia" w:cs="Times New Roman"/>
                <w:color w:val="auto"/>
                <w:sz w:val="24"/>
                <w:highlight w:val="none"/>
              </w:rPr>
              <w:t>抽油烟机</w:t>
            </w:r>
            <w:r>
              <w:rPr>
                <w:rFonts w:hint="eastAsia" w:cs="Times New Roman"/>
                <w:color w:val="auto"/>
                <w:highlight w:val="none"/>
                <w:lang w:val="en-US" w:eastAsia="zh-CN"/>
              </w:rPr>
              <w:t>处理后由专用排气筒排出，每天做饭按照4小时计，单灶头排风量1500m</w:t>
            </w:r>
            <w:r>
              <w:rPr>
                <w:rFonts w:hint="default" w:ascii="Times New Roman" w:hAnsi="Times New Roman" w:cs="Times New Roman"/>
                <w:color w:val="auto"/>
                <w:highlight w:val="none"/>
                <w:lang w:val="en-US" w:eastAsia="zh-CN"/>
              </w:rPr>
              <w:t>³</w:t>
            </w:r>
            <w:r>
              <w:rPr>
                <w:rFonts w:hint="eastAsia" w:cs="Times New Roman"/>
                <w:color w:val="auto"/>
                <w:highlight w:val="none"/>
                <w:lang w:val="en-US" w:eastAsia="zh-CN"/>
              </w:rPr>
              <w:t>/h，净化率按照60%计算，则油烟排放量为1.62kg/a，排放速率为2.25</w:t>
            </w:r>
            <w:r>
              <w:rPr>
                <w:rFonts w:hint="default" w:cs="Times New Roman"/>
                <w:color w:val="auto"/>
                <w:highlight w:val="none"/>
                <w:lang w:val="en-US" w:eastAsia="zh-CN"/>
              </w:rPr>
              <w:t>×</w:t>
            </w:r>
            <w:r>
              <w:rPr>
                <w:rFonts w:hint="eastAsia" w:cs="Times New Roman"/>
                <w:color w:val="auto"/>
                <w:highlight w:val="none"/>
                <w:lang w:val="en-US" w:eastAsia="zh-CN"/>
              </w:rPr>
              <w:t>10</w:t>
            </w:r>
            <w:r>
              <w:rPr>
                <w:rFonts w:hint="eastAsia" w:cs="Times New Roman"/>
                <w:color w:val="auto"/>
                <w:highlight w:val="none"/>
                <w:vertAlign w:val="superscript"/>
                <w:lang w:val="en-US" w:eastAsia="zh-CN"/>
              </w:rPr>
              <w:t>-3</w:t>
            </w:r>
            <w:r>
              <w:rPr>
                <w:rFonts w:hint="eastAsia" w:cs="Times New Roman"/>
                <w:color w:val="auto"/>
                <w:highlight w:val="none"/>
                <w:lang w:val="en-US" w:eastAsia="zh-CN"/>
              </w:rPr>
              <w:t>kg/h，排放浓度为1.5mg/m</w:t>
            </w:r>
            <w:r>
              <w:rPr>
                <w:rFonts w:hint="eastAsia" w:cs="Times New Roman"/>
                <w:color w:val="auto"/>
                <w:highlight w:val="none"/>
                <w:vertAlign w:val="superscript"/>
                <w:lang w:val="en-US" w:eastAsia="zh-CN"/>
              </w:rPr>
              <w:t>3</w:t>
            </w:r>
            <w:r>
              <w:rPr>
                <w:rFonts w:hint="eastAsia" w:cs="Times New Roman"/>
                <w:color w:val="auto"/>
                <w:highlight w:val="none"/>
                <w:lang w:val="en-US" w:eastAsia="zh-CN"/>
              </w:rPr>
              <w:t>，由此本项目产生的油烟废气较少，能够满足《饮食业油烟排放标准》（GB18483-2001）中的要求小于2mg/m</w:t>
            </w:r>
            <w:r>
              <w:rPr>
                <w:rFonts w:hint="eastAsia" w:cs="Times New Roman"/>
                <w:color w:val="auto"/>
                <w:highlight w:val="none"/>
                <w:vertAlign w:val="superscript"/>
                <w:lang w:val="en-US" w:eastAsia="zh-CN"/>
              </w:rPr>
              <w:t>3</w:t>
            </w:r>
            <w:r>
              <w:rPr>
                <w:rFonts w:hint="eastAsia" w:cs="Times New Roman"/>
                <w:color w:val="auto"/>
                <w:highlight w:val="none"/>
                <w:lang w:val="en-US" w:eastAsia="zh-CN"/>
              </w:rPr>
              <w:t>。</w:t>
            </w:r>
          </w:p>
          <w:p w14:paraId="7DD28F3D">
            <w:pPr>
              <w:pStyle w:val="47"/>
              <w:numPr>
                <w:ilvl w:val="-1"/>
                <w:numId w:val="0"/>
              </w:numPr>
              <w:bidi w:val="0"/>
              <w:ind w:firstLine="0" w:firstLineChars="0"/>
              <w:rPr>
                <w:rFonts w:hint="default"/>
                <w:lang w:val="en-US" w:eastAsia="zh-CN"/>
              </w:rPr>
            </w:pPr>
          </w:p>
        </w:tc>
      </w:tr>
    </w:tbl>
    <w:p w14:paraId="5B385FEB">
      <w:pPr>
        <w:rPr>
          <w:rFonts w:hint="eastAsia" w:ascii="宋体" w:cs="宋体"/>
          <w:b/>
          <w:kern w:val="0"/>
          <w:sz w:val="28"/>
          <w:szCs w:val="28"/>
        </w:rPr>
      </w:pPr>
    </w:p>
    <w:p w14:paraId="19C9D048">
      <w:pPr>
        <w:pStyle w:val="54"/>
        <w:bidi w:val="0"/>
        <w:rPr>
          <w:rFonts w:hint="eastAsia"/>
        </w:rPr>
        <w:sectPr>
          <w:pgSz w:w="11907" w:h="16840"/>
          <w:pgMar w:top="1701" w:right="1531" w:bottom="2127" w:left="1531" w:header="851" w:footer="851" w:gutter="0"/>
          <w:pgNumType w:fmt="decimal"/>
          <w:cols w:space="720" w:num="1"/>
          <w:docGrid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
        <w:gridCol w:w="13317"/>
      </w:tblGrid>
      <w:tr w14:paraId="0D7E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trPr>
        <w:tc>
          <w:tcPr>
            <w:tcW w:w="335" w:type="dxa"/>
          </w:tcPr>
          <w:p w14:paraId="433FC14B">
            <w:pPr>
              <w:pStyle w:val="19"/>
              <w:jc w:val="center"/>
              <w:outlineLvl w:val="0"/>
              <w:rPr>
                <w:rFonts w:hint="eastAsia" w:ascii="黑体" w:hAnsi="黑体" w:eastAsia="黑体"/>
                <w:snapToGrid w:val="0"/>
                <w:sz w:val="30"/>
                <w:szCs w:val="30"/>
                <w:vertAlign w:val="baseline"/>
              </w:rPr>
            </w:pPr>
          </w:p>
        </w:tc>
        <w:tc>
          <w:tcPr>
            <w:tcW w:w="13317" w:type="dxa"/>
          </w:tcPr>
          <w:p w14:paraId="0E93FDA0">
            <w:pPr>
              <w:pStyle w:val="48"/>
              <w:bidi w:val="0"/>
              <w:rPr>
                <w:rFonts w:hint="eastAsia"/>
                <w:lang w:val="en-US" w:eastAsia="zh-CN"/>
              </w:rPr>
            </w:pPr>
            <w:r>
              <w:rPr>
                <w:rFonts w:hint="eastAsia"/>
                <w:lang w:val="en-US" w:eastAsia="zh-CN"/>
              </w:rPr>
              <w:t>1.2废气污染源源强核算</w:t>
            </w:r>
          </w:p>
          <w:p w14:paraId="1A8E3719">
            <w:pPr>
              <w:pStyle w:val="53"/>
              <w:bidi w:val="0"/>
              <w:rPr>
                <w:rFonts w:hint="eastAsia"/>
                <w:lang w:val="en-US" w:eastAsia="zh-CN"/>
              </w:rPr>
            </w:pPr>
            <w:r>
              <w:rPr>
                <w:rFonts w:hint="eastAsia"/>
                <w:lang w:val="en-US" w:eastAsia="zh-CN"/>
              </w:rPr>
              <w:t>表4-4    废气污染源源强核算结果一览表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736"/>
              <w:gridCol w:w="447"/>
              <w:gridCol w:w="640"/>
              <w:gridCol w:w="952"/>
              <w:gridCol w:w="1231"/>
              <w:gridCol w:w="824"/>
              <w:gridCol w:w="833"/>
              <w:gridCol w:w="701"/>
              <w:gridCol w:w="623"/>
              <w:gridCol w:w="623"/>
              <w:gridCol w:w="469"/>
              <w:gridCol w:w="952"/>
              <w:gridCol w:w="1130"/>
              <w:gridCol w:w="806"/>
              <w:gridCol w:w="850"/>
              <w:gridCol w:w="806"/>
            </w:tblGrid>
            <w:tr w14:paraId="1830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6278047B">
                  <w:pPr>
                    <w:pStyle w:val="50"/>
                    <w:bidi w:val="0"/>
                    <w:rPr>
                      <w:rFonts w:hint="eastAsia"/>
                      <w:lang w:val="en-US" w:eastAsia="zh-CN"/>
                    </w:rPr>
                  </w:pPr>
                  <w:r>
                    <w:rPr>
                      <w:rFonts w:hint="eastAsia"/>
                      <w:lang w:val="en-US" w:eastAsia="zh-CN"/>
                    </w:rPr>
                    <w:t>污染源</w:t>
                  </w:r>
                </w:p>
              </w:tc>
              <w:tc>
                <w:tcPr>
                  <w:tcW w:w="0" w:type="auto"/>
                  <w:vMerge w:val="restart"/>
                  <w:vAlign w:val="center"/>
                </w:tcPr>
                <w:p w14:paraId="3E7E3674">
                  <w:pPr>
                    <w:pStyle w:val="50"/>
                    <w:bidi w:val="0"/>
                    <w:rPr>
                      <w:rFonts w:hint="eastAsia"/>
                      <w:lang w:val="en-US" w:eastAsia="zh-CN"/>
                    </w:rPr>
                  </w:pPr>
                  <w:r>
                    <w:rPr>
                      <w:rFonts w:hint="eastAsia"/>
                      <w:lang w:val="en-US" w:eastAsia="zh-CN"/>
                    </w:rPr>
                    <w:t>产污环节</w:t>
                  </w:r>
                </w:p>
              </w:tc>
              <w:tc>
                <w:tcPr>
                  <w:tcW w:w="0" w:type="auto"/>
                  <w:vMerge w:val="restart"/>
                  <w:vAlign w:val="center"/>
                </w:tcPr>
                <w:p w14:paraId="2FA5DC6A">
                  <w:pPr>
                    <w:pStyle w:val="50"/>
                    <w:bidi w:val="0"/>
                    <w:rPr>
                      <w:rFonts w:hint="eastAsia"/>
                      <w:lang w:val="en-US" w:eastAsia="zh-CN"/>
                    </w:rPr>
                  </w:pPr>
                  <w:r>
                    <w:rPr>
                      <w:rFonts w:hint="eastAsia"/>
                      <w:lang w:val="en-US" w:eastAsia="zh-CN"/>
                    </w:rPr>
                    <w:t>排放形式</w:t>
                  </w:r>
                </w:p>
              </w:tc>
              <w:tc>
                <w:tcPr>
                  <w:tcW w:w="0" w:type="auto"/>
                  <w:vMerge w:val="restart"/>
                  <w:vAlign w:val="center"/>
                </w:tcPr>
                <w:p w14:paraId="7855985F">
                  <w:pPr>
                    <w:pStyle w:val="50"/>
                    <w:bidi w:val="0"/>
                    <w:rPr>
                      <w:rFonts w:hint="default"/>
                      <w:lang w:val="en-US" w:eastAsia="zh-CN"/>
                    </w:rPr>
                  </w:pPr>
                  <w:r>
                    <w:rPr>
                      <w:rFonts w:hint="eastAsia"/>
                      <w:lang w:val="en-US" w:eastAsia="zh-CN"/>
                    </w:rPr>
                    <w:t>污染物名称</w:t>
                  </w:r>
                </w:p>
              </w:tc>
              <w:tc>
                <w:tcPr>
                  <w:tcW w:w="0" w:type="auto"/>
                  <w:gridSpan w:val="3"/>
                  <w:vAlign w:val="center"/>
                </w:tcPr>
                <w:p w14:paraId="631BEA5C">
                  <w:pPr>
                    <w:pStyle w:val="50"/>
                    <w:bidi w:val="0"/>
                    <w:rPr>
                      <w:rFonts w:hint="eastAsia"/>
                      <w:lang w:val="en-US" w:eastAsia="zh-CN"/>
                    </w:rPr>
                  </w:pPr>
                  <w:r>
                    <w:rPr>
                      <w:rFonts w:hint="eastAsia"/>
                      <w:lang w:val="en-US" w:eastAsia="zh-CN"/>
                    </w:rPr>
                    <w:t>污染物产生情况</w:t>
                  </w:r>
                </w:p>
              </w:tc>
              <w:tc>
                <w:tcPr>
                  <w:tcW w:w="0" w:type="auto"/>
                  <w:gridSpan w:val="5"/>
                  <w:vAlign w:val="center"/>
                </w:tcPr>
                <w:p w14:paraId="06A301EA">
                  <w:pPr>
                    <w:pStyle w:val="50"/>
                    <w:bidi w:val="0"/>
                    <w:rPr>
                      <w:rFonts w:hint="eastAsia"/>
                      <w:lang w:val="en-US" w:eastAsia="zh-CN"/>
                    </w:rPr>
                  </w:pPr>
                  <w:r>
                    <w:rPr>
                      <w:rFonts w:hint="eastAsia"/>
                      <w:lang w:val="en-US" w:eastAsia="zh-CN"/>
                    </w:rPr>
                    <w:t>污染治理设施情况</w:t>
                  </w:r>
                </w:p>
              </w:tc>
              <w:tc>
                <w:tcPr>
                  <w:tcW w:w="0" w:type="auto"/>
                  <w:gridSpan w:val="4"/>
                  <w:vAlign w:val="center"/>
                </w:tcPr>
                <w:p w14:paraId="764691AC">
                  <w:pPr>
                    <w:pStyle w:val="50"/>
                    <w:bidi w:val="0"/>
                    <w:rPr>
                      <w:rFonts w:hint="eastAsia"/>
                      <w:lang w:val="en-US" w:eastAsia="zh-CN"/>
                    </w:rPr>
                  </w:pPr>
                  <w:r>
                    <w:rPr>
                      <w:rFonts w:hint="eastAsia"/>
                      <w:lang w:val="en-US" w:eastAsia="zh-CN"/>
                    </w:rPr>
                    <w:t>污染物排放情况</w:t>
                  </w:r>
                </w:p>
              </w:tc>
              <w:tc>
                <w:tcPr>
                  <w:tcW w:w="0" w:type="auto"/>
                  <w:vAlign w:val="center"/>
                </w:tcPr>
                <w:p w14:paraId="31613334">
                  <w:pPr>
                    <w:pStyle w:val="50"/>
                    <w:bidi w:val="0"/>
                    <w:rPr>
                      <w:rFonts w:hint="default"/>
                      <w:lang w:val="en-US" w:eastAsia="zh-CN"/>
                    </w:rPr>
                  </w:pPr>
                  <w:r>
                    <w:rPr>
                      <w:rFonts w:hint="eastAsia"/>
                      <w:lang w:val="en-US" w:eastAsia="zh-CN"/>
                    </w:rPr>
                    <w:t>执行标准</w:t>
                  </w:r>
                </w:p>
              </w:tc>
            </w:tr>
            <w:tr w14:paraId="7245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24AE1C23">
                  <w:pPr>
                    <w:pStyle w:val="50"/>
                    <w:bidi w:val="0"/>
                    <w:rPr>
                      <w:rFonts w:hint="eastAsia"/>
                      <w:lang w:val="en-US" w:eastAsia="zh-CN"/>
                    </w:rPr>
                  </w:pPr>
                </w:p>
              </w:tc>
              <w:tc>
                <w:tcPr>
                  <w:tcW w:w="0" w:type="auto"/>
                  <w:vMerge w:val="continue"/>
                  <w:vAlign w:val="center"/>
                </w:tcPr>
                <w:p w14:paraId="282493AA">
                  <w:pPr>
                    <w:pStyle w:val="50"/>
                    <w:bidi w:val="0"/>
                    <w:rPr>
                      <w:rFonts w:hint="eastAsia"/>
                      <w:lang w:val="en-US" w:eastAsia="zh-CN"/>
                    </w:rPr>
                  </w:pPr>
                </w:p>
              </w:tc>
              <w:tc>
                <w:tcPr>
                  <w:tcW w:w="0" w:type="auto"/>
                  <w:vMerge w:val="continue"/>
                  <w:vAlign w:val="center"/>
                </w:tcPr>
                <w:p w14:paraId="2982FF81">
                  <w:pPr>
                    <w:pStyle w:val="50"/>
                    <w:bidi w:val="0"/>
                    <w:rPr>
                      <w:rFonts w:hint="eastAsia"/>
                      <w:lang w:val="en-US" w:eastAsia="zh-CN"/>
                    </w:rPr>
                  </w:pPr>
                </w:p>
              </w:tc>
              <w:tc>
                <w:tcPr>
                  <w:tcW w:w="0" w:type="auto"/>
                  <w:vMerge w:val="continue"/>
                  <w:vAlign w:val="center"/>
                </w:tcPr>
                <w:p w14:paraId="3184FE1E">
                  <w:pPr>
                    <w:pStyle w:val="50"/>
                    <w:bidi w:val="0"/>
                    <w:rPr>
                      <w:rFonts w:hint="default"/>
                      <w:lang w:val="en-US" w:eastAsia="zh-CN"/>
                    </w:rPr>
                  </w:pPr>
                </w:p>
              </w:tc>
              <w:tc>
                <w:tcPr>
                  <w:tcW w:w="0" w:type="auto"/>
                  <w:vAlign w:val="center"/>
                </w:tcPr>
                <w:p w14:paraId="0F6C0515">
                  <w:pPr>
                    <w:pStyle w:val="50"/>
                    <w:bidi w:val="0"/>
                    <w:rPr>
                      <w:rFonts w:hint="default"/>
                      <w:lang w:val="en-US" w:eastAsia="zh-CN"/>
                    </w:rPr>
                  </w:pPr>
                  <w:r>
                    <w:rPr>
                      <w:rFonts w:hint="eastAsia"/>
                      <w:lang w:val="en-US" w:eastAsia="zh-CN"/>
                    </w:rPr>
                    <w:t>产生量t/a</w:t>
                  </w:r>
                </w:p>
              </w:tc>
              <w:tc>
                <w:tcPr>
                  <w:tcW w:w="0" w:type="auto"/>
                  <w:vAlign w:val="center"/>
                </w:tcPr>
                <w:p w14:paraId="35E0F662">
                  <w:pPr>
                    <w:pStyle w:val="50"/>
                    <w:bidi w:val="0"/>
                    <w:rPr>
                      <w:rFonts w:hint="default"/>
                      <w:lang w:val="en-US" w:eastAsia="zh-CN"/>
                    </w:rPr>
                  </w:pPr>
                  <w:r>
                    <w:rPr>
                      <w:rFonts w:hint="eastAsia"/>
                      <w:lang w:val="en-US" w:eastAsia="zh-CN"/>
                    </w:rPr>
                    <w:t>产生速率kg/h</w:t>
                  </w:r>
                </w:p>
              </w:tc>
              <w:tc>
                <w:tcPr>
                  <w:tcW w:w="0" w:type="auto"/>
                  <w:vAlign w:val="center"/>
                </w:tcPr>
                <w:p w14:paraId="46E7F3AE">
                  <w:pPr>
                    <w:pStyle w:val="50"/>
                    <w:bidi w:val="0"/>
                    <w:rPr>
                      <w:rFonts w:hint="default"/>
                      <w:lang w:val="en-US" w:eastAsia="zh-CN"/>
                    </w:rPr>
                  </w:pPr>
                  <w:r>
                    <w:rPr>
                      <w:rFonts w:hint="eastAsia"/>
                      <w:lang w:val="en-US" w:eastAsia="zh-CN"/>
                    </w:rPr>
                    <w:t>产生浓度mg/m</w:t>
                  </w:r>
                  <w:r>
                    <w:rPr>
                      <w:rFonts w:hint="eastAsia"/>
                      <w:vertAlign w:val="superscript"/>
                      <w:lang w:val="en-US" w:eastAsia="zh-CN"/>
                    </w:rPr>
                    <w:t>3</w:t>
                  </w:r>
                </w:p>
              </w:tc>
              <w:tc>
                <w:tcPr>
                  <w:tcW w:w="0" w:type="auto"/>
                  <w:vAlign w:val="center"/>
                </w:tcPr>
                <w:p w14:paraId="1EB61A6D">
                  <w:pPr>
                    <w:pStyle w:val="50"/>
                    <w:bidi w:val="0"/>
                    <w:rPr>
                      <w:rFonts w:hint="default"/>
                      <w:lang w:val="en-US" w:eastAsia="zh-CN"/>
                    </w:rPr>
                  </w:pPr>
                  <w:r>
                    <w:rPr>
                      <w:rFonts w:hint="eastAsia"/>
                      <w:lang w:val="en-US" w:eastAsia="zh-CN"/>
                    </w:rPr>
                    <w:t>污染治理设施编号</w:t>
                  </w:r>
                </w:p>
              </w:tc>
              <w:tc>
                <w:tcPr>
                  <w:tcW w:w="0" w:type="auto"/>
                  <w:vAlign w:val="center"/>
                </w:tcPr>
                <w:p w14:paraId="1E290358">
                  <w:pPr>
                    <w:pStyle w:val="50"/>
                    <w:bidi w:val="0"/>
                    <w:rPr>
                      <w:rFonts w:hint="default"/>
                      <w:lang w:val="en-US" w:eastAsia="zh-CN"/>
                    </w:rPr>
                  </w:pPr>
                  <w:r>
                    <w:rPr>
                      <w:rFonts w:hint="eastAsia"/>
                      <w:lang w:val="en-US" w:eastAsia="zh-CN"/>
                    </w:rPr>
                    <w:t>污染治理设施工艺</w:t>
                  </w:r>
                </w:p>
                <w:p w14:paraId="02C2FF18">
                  <w:pPr>
                    <w:pStyle w:val="50"/>
                    <w:bidi w:val="0"/>
                    <w:rPr>
                      <w:rFonts w:hint="default"/>
                      <w:lang w:val="en-US" w:eastAsia="zh-CN"/>
                    </w:rPr>
                  </w:pPr>
                </w:p>
              </w:tc>
              <w:tc>
                <w:tcPr>
                  <w:tcW w:w="0" w:type="auto"/>
                  <w:vAlign w:val="center"/>
                </w:tcPr>
                <w:p w14:paraId="6F4332ED">
                  <w:pPr>
                    <w:pStyle w:val="50"/>
                    <w:bidi w:val="0"/>
                    <w:rPr>
                      <w:rFonts w:hint="eastAsia"/>
                      <w:lang w:val="en-US" w:eastAsia="zh-CN"/>
                    </w:rPr>
                  </w:pPr>
                  <w:r>
                    <w:t>收集效率%</w:t>
                  </w:r>
                </w:p>
              </w:tc>
              <w:tc>
                <w:tcPr>
                  <w:tcW w:w="0" w:type="auto"/>
                  <w:vAlign w:val="center"/>
                </w:tcPr>
                <w:p w14:paraId="507B8250">
                  <w:pPr>
                    <w:pStyle w:val="50"/>
                    <w:bidi w:val="0"/>
                    <w:rPr>
                      <w:rFonts w:hint="eastAsia"/>
                      <w:lang w:val="en-US" w:eastAsia="zh-CN"/>
                    </w:rPr>
                  </w:pPr>
                  <w:r>
                    <w:t>去除效率%</w:t>
                  </w:r>
                </w:p>
              </w:tc>
              <w:tc>
                <w:tcPr>
                  <w:tcW w:w="0" w:type="auto"/>
                  <w:vAlign w:val="center"/>
                </w:tcPr>
                <w:p w14:paraId="0046BB8A">
                  <w:pPr>
                    <w:pStyle w:val="50"/>
                    <w:bidi w:val="0"/>
                    <w:rPr>
                      <w:rFonts w:hint="default"/>
                      <w:lang w:val="en-US" w:eastAsia="zh-CN"/>
                    </w:rPr>
                  </w:pPr>
                  <w:r>
                    <w:rPr>
                      <w:rFonts w:hint="eastAsia"/>
                      <w:lang w:val="en-US" w:eastAsia="zh-CN"/>
                    </w:rPr>
                    <w:t>是否为可行技术</w:t>
                  </w:r>
                </w:p>
              </w:tc>
              <w:tc>
                <w:tcPr>
                  <w:tcW w:w="0" w:type="auto"/>
                  <w:vAlign w:val="center"/>
                </w:tcPr>
                <w:p w14:paraId="7C07798E">
                  <w:pPr>
                    <w:pStyle w:val="50"/>
                    <w:bidi w:val="0"/>
                    <w:rPr>
                      <w:rFonts w:hint="default"/>
                      <w:lang w:val="en-US" w:eastAsia="zh-CN"/>
                    </w:rPr>
                  </w:pPr>
                  <w:r>
                    <w:rPr>
                      <w:rFonts w:hint="eastAsia"/>
                      <w:lang w:val="en-US" w:eastAsia="zh-CN"/>
                    </w:rPr>
                    <w:t>排放量t/a</w:t>
                  </w:r>
                </w:p>
              </w:tc>
              <w:tc>
                <w:tcPr>
                  <w:tcW w:w="0" w:type="auto"/>
                  <w:vAlign w:val="center"/>
                </w:tcPr>
                <w:p w14:paraId="756482B4">
                  <w:pPr>
                    <w:pStyle w:val="50"/>
                    <w:bidi w:val="0"/>
                    <w:rPr>
                      <w:rFonts w:hint="default"/>
                      <w:lang w:val="en-US" w:eastAsia="zh-CN"/>
                    </w:rPr>
                  </w:pPr>
                  <w:r>
                    <w:rPr>
                      <w:rFonts w:hint="eastAsia"/>
                      <w:lang w:val="en-US" w:eastAsia="zh-CN"/>
                    </w:rPr>
                    <w:t>排放速率kg/h</w:t>
                  </w:r>
                </w:p>
              </w:tc>
              <w:tc>
                <w:tcPr>
                  <w:tcW w:w="0" w:type="auto"/>
                  <w:vAlign w:val="center"/>
                </w:tcPr>
                <w:p w14:paraId="6FB67B5C">
                  <w:pPr>
                    <w:pStyle w:val="50"/>
                    <w:bidi w:val="0"/>
                    <w:rPr>
                      <w:rFonts w:hint="eastAsia"/>
                      <w:lang w:val="en-US" w:eastAsia="zh-CN"/>
                    </w:rPr>
                  </w:pPr>
                  <w:r>
                    <w:rPr>
                      <w:rFonts w:hint="eastAsia"/>
                      <w:lang w:val="en-US" w:eastAsia="zh-CN"/>
                    </w:rPr>
                    <w:t>排放浓度mg/m</w:t>
                  </w:r>
                  <w:r>
                    <w:rPr>
                      <w:rFonts w:hint="eastAsia"/>
                      <w:vertAlign w:val="superscript"/>
                      <w:lang w:val="en-US" w:eastAsia="zh-CN"/>
                    </w:rPr>
                    <w:t>3</w:t>
                  </w:r>
                </w:p>
              </w:tc>
              <w:tc>
                <w:tcPr>
                  <w:tcW w:w="0" w:type="auto"/>
                  <w:vAlign w:val="center"/>
                </w:tcPr>
                <w:p w14:paraId="5B6973ED">
                  <w:pPr>
                    <w:pStyle w:val="50"/>
                    <w:bidi w:val="0"/>
                    <w:rPr>
                      <w:rFonts w:hint="default"/>
                      <w:lang w:val="en-US" w:eastAsia="zh-CN"/>
                    </w:rPr>
                  </w:pPr>
                  <w:r>
                    <w:rPr>
                      <w:rFonts w:hint="eastAsia"/>
                      <w:lang w:val="en-US" w:eastAsia="zh-CN"/>
                    </w:rPr>
                    <w:t>排放口编号</w:t>
                  </w:r>
                </w:p>
              </w:tc>
              <w:tc>
                <w:tcPr>
                  <w:tcW w:w="0" w:type="auto"/>
                  <w:vAlign w:val="center"/>
                </w:tcPr>
                <w:p w14:paraId="231D4F7D">
                  <w:pPr>
                    <w:pStyle w:val="50"/>
                    <w:bidi w:val="0"/>
                    <w:rPr>
                      <w:rFonts w:hint="eastAsia"/>
                      <w:lang w:val="en-US" w:eastAsia="zh-CN"/>
                    </w:rPr>
                  </w:pPr>
                  <w:r>
                    <w:rPr>
                      <w:rFonts w:hint="eastAsia"/>
                      <w:lang w:val="en-US" w:eastAsia="zh-CN"/>
                    </w:rPr>
                    <w:t>排放浓度mg/m</w:t>
                  </w:r>
                  <w:r>
                    <w:rPr>
                      <w:rFonts w:hint="eastAsia"/>
                      <w:vertAlign w:val="superscript"/>
                      <w:lang w:val="en-US" w:eastAsia="zh-CN"/>
                    </w:rPr>
                    <w:t>3</w:t>
                  </w:r>
                </w:p>
              </w:tc>
            </w:tr>
            <w:tr w14:paraId="19D7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0" w:type="auto"/>
                  <w:vMerge w:val="restart"/>
                  <w:vAlign w:val="center"/>
                </w:tcPr>
                <w:p w14:paraId="1D73854B">
                  <w:pPr>
                    <w:pStyle w:val="50"/>
                    <w:bidi w:val="0"/>
                    <w:rPr>
                      <w:rFonts w:hint="default"/>
                      <w:lang w:val="en-US" w:eastAsia="zh-CN"/>
                    </w:rPr>
                  </w:pPr>
                  <w:r>
                    <w:rPr>
                      <w:rFonts w:hint="eastAsia"/>
                      <w:lang w:val="en-US" w:eastAsia="zh-CN"/>
                    </w:rPr>
                    <w:t>金属桶生产废气</w:t>
                  </w:r>
                </w:p>
              </w:tc>
              <w:tc>
                <w:tcPr>
                  <w:tcW w:w="0" w:type="auto"/>
                  <w:vMerge w:val="restart"/>
                  <w:vAlign w:val="center"/>
                </w:tcPr>
                <w:p w14:paraId="583722F7">
                  <w:pPr>
                    <w:pStyle w:val="50"/>
                    <w:bidi w:val="0"/>
                    <w:rPr>
                      <w:rFonts w:hint="default"/>
                      <w:lang w:val="en-US" w:eastAsia="zh-CN"/>
                    </w:rPr>
                  </w:pPr>
                  <w:r>
                    <w:rPr>
                      <w:rFonts w:hint="eastAsia"/>
                      <w:lang w:val="en-US" w:eastAsia="zh-CN"/>
                    </w:rPr>
                    <w:t>喷漆</w:t>
                  </w:r>
                </w:p>
              </w:tc>
              <w:tc>
                <w:tcPr>
                  <w:tcW w:w="0" w:type="auto"/>
                  <w:vAlign w:val="center"/>
                </w:tcPr>
                <w:p w14:paraId="23ABEFC3">
                  <w:pPr>
                    <w:pStyle w:val="50"/>
                    <w:bidi w:val="0"/>
                    <w:rPr>
                      <w:rFonts w:hint="default"/>
                      <w:lang w:val="en-US" w:eastAsia="zh-CN"/>
                    </w:rPr>
                  </w:pPr>
                  <w:r>
                    <w:rPr>
                      <w:rFonts w:hint="eastAsia"/>
                      <w:lang w:val="en-US" w:eastAsia="zh-CN"/>
                    </w:rPr>
                    <w:t>有组织</w:t>
                  </w:r>
                </w:p>
              </w:tc>
              <w:tc>
                <w:tcPr>
                  <w:tcW w:w="0" w:type="auto"/>
                  <w:vMerge w:val="restart"/>
                  <w:vAlign w:val="center"/>
                </w:tcPr>
                <w:p w14:paraId="377371F2">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非甲烷总烃</w:t>
                  </w:r>
                </w:p>
              </w:tc>
              <w:tc>
                <w:tcPr>
                  <w:tcW w:w="0" w:type="auto"/>
                  <w:vAlign w:val="center"/>
                </w:tcPr>
                <w:p w14:paraId="62133132">
                  <w:pPr>
                    <w:pStyle w:val="50"/>
                    <w:bidi w:val="0"/>
                    <w:rPr>
                      <w:rFonts w:hint="default"/>
                      <w:lang w:val="en-US" w:eastAsia="zh-CN"/>
                    </w:rPr>
                  </w:pPr>
                  <w:r>
                    <w:rPr>
                      <w:rFonts w:hint="eastAsia"/>
                      <w:lang w:val="en-US" w:eastAsia="zh-CN"/>
                    </w:rPr>
                    <w:t>1.52</w:t>
                  </w:r>
                </w:p>
              </w:tc>
              <w:tc>
                <w:tcPr>
                  <w:tcW w:w="0" w:type="auto"/>
                  <w:vAlign w:val="center"/>
                </w:tcPr>
                <w:p w14:paraId="7E9189B9">
                  <w:pPr>
                    <w:pStyle w:val="50"/>
                    <w:bidi w:val="0"/>
                    <w:rPr>
                      <w:rFonts w:hint="default"/>
                      <w:lang w:val="en-US" w:eastAsia="zh-CN"/>
                    </w:rPr>
                  </w:pPr>
                  <w:r>
                    <w:rPr>
                      <w:rFonts w:hint="eastAsia"/>
                      <w:lang w:val="en-US" w:eastAsia="zh-CN"/>
                    </w:rPr>
                    <w:t>1.05</w:t>
                  </w:r>
                </w:p>
              </w:tc>
              <w:tc>
                <w:tcPr>
                  <w:tcW w:w="0" w:type="auto"/>
                  <w:vAlign w:val="center"/>
                </w:tcPr>
                <w:p w14:paraId="62FFE57F">
                  <w:pPr>
                    <w:pStyle w:val="50"/>
                    <w:bidi w:val="0"/>
                    <w:rPr>
                      <w:rFonts w:hint="default"/>
                      <w:lang w:val="en-US" w:eastAsia="zh-CN"/>
                    </w:rPr>
                  </w:pPr>
                  <w:r>
                    <w:rPr>
                      <w:rFonts w:hint="eastAsia"/>
                      <w:lang w:val="en-US" w:eastAsia="zh-CN"/>
                    </w:rPr>
                    <w:t>21.65</w:t>
                  </w:r>
                </w:p>
              </w:tc>
              <w:tc>
                <w:tcPr>
                  <w:tcW w:w="0" w:type="auto"/>
                  <w:vAlign w:val="center"/>
                </w:tcPr>
                <w:p w14:paraId="67CD9BA7">
                  <w:pPr>
                    <w:pStyle w:val="50"/>
                    <w:bidi w:val="0"/>
                    <w:rPr>
                      <w:rFonts w:hint="default"/>
                      <w:lang w:val="en-US" w:eastAsia="zh-CN"/>
                    </w:rPr>
                  </w:pPr>
                  <w:r>
                    <w:rPr>
                      <w:rFonts w:hint="eastAsia"/>
                      <w:lang w:val="en-US" w:eastAsia="zh-CN"/>
                    </w:rPr>
                    <w:t>TA001</w:t>
                  </w:r>
                </w:p>
              </w:tc>
              <w:tc>
                <w:tcPr>
                  <w:tcW w:w="0" w:type="auto"/>
                  <w:vAlign w:val="center"/>
                </w:tcPr>
                <w:p w14:paraId="3D4AFCB3">
                  <w:pPr>
                    <w:pStyle w:val="50"/>
                    <w:bidi w:val="0"/>
                    <w:rPr>
                      <w:rFonts w:hint="default"/>
                      <w:lang w:val="en-US" w:eastAsia="zh-CN"/>
                    </w:rPr>
                  </w:pPr>
                  <w:r>
                    <w:rPr>
                      <w:rFonts w:hint="eastAsia"/>
                      <w:lang w:val="en-US" w:eastAsia="zh-CN"/>
                    </w:rPr>
                    <w:t>二级</w:t>
                  </w:r>
                  <w:r>
                    <w:rPr>
                      <w:rFonts w:hint="default"/>
                      <w:lang w:val="en-US" w:eastAsia="zh-CN"/>
                    </w:rPr>
                    <w:t>活性炭吸附装置</w:t>
                  </w:r>
                </w:p>
                <w:p w14:paraId="1D18778F">
                  <w:pPr>
                    <w:pStyle w:val="50"/>
                    <w:bidi w:val="0"/>
                    <w:rPr>
                      <w:rFonts w:hint="default"/>
                      <w:lang w:val="en-US" w:eastAsia="zh-CN"/>
                    </w:rPr>
                  </w:pPr>
                </w:p>
              </w:tc>
              <w:tc>
                <w:tcPr>
                  <w:tcW w:w="0" w:type="auto"/>
                  <w:vAlign w:val="center"/>
                </w:tcPr>
                <w:p w14:paraId="24F281C2">
                  <w:pPr>
                    <w:pStyle w:val="50"/>
                    <w:bidi w:val="0"/>
                    <w:rPr>
                      <w:rFonts w:hint="default"/>
                      <w:lang w:val="en-US" w:eastAsia="zh-CN"/>
                    </w:rPr>
                  </w:pPr>
                  <w:r>
                    <w:rPr>
                      <w:rFonts w:hint="eastAsia"/>
                      <w:lang w:val="en-US" w:eastAsia="zh-CN"/>
                    </w:rPr>
                    <w:t>90</w:t>
                  </w:r>
                </w:p>
              </w:tc>
              <w:tc>
                <w:tcPr>
                  <w:tcW w:w="0" w:type="auto"/>
                  <w:vAlign w:val="center"/>
                </w:tcPr>
                <w:p w14:paraId="2C97C2F3">
                  <w:pPr>
                    <w:pStyle w:val="50"/>
                    <w:bidi w:val="0"/>
                    <w:rPr>
                      <w:rFonts w:hint="default"/>
                      <w:lang w:val="en-US" w:eastAsia="zh-CN"/>
                    </w:rPr>
                  </w:pPr>
                  <w:r>
                    <w:rPr>
                      <w:rFonts w:hint="eastAsia"/>
                      <w:lang w:val="en-US" w:eastAsia="zh-CN"/>
                    </w:rPr>
                    <w:t>51</w:t>
                  </w:r>
                </w:p>
              </w:tc>
              <w:tc>
                <w:tcPr>
                  <w:tcW w:w="0" w:type="auto"/>
                  <w:vAlign w:val="center"/>
                </w:tcPr>
                <w:p w14:paraId="224D820A">
                  <w:pPr>
                    <w:pStyle w:val="50"/>
                    <w:bidi w:val="0"/>
                    <w:rPr>
                      <w:rFonts w:hint="default"/>
                      <w:lang w:val="en-US" w:eastAsia="zh-CN"/>
                    </w:rPr>
                  </w:pPr>
                  <w:r>
                    <w:rPr>
                      <w:rFonts w:hint="eastAsia"/>
                      <w:lang w:val="en-US" w:eastAsia="zh-CN"/>
                    </w:rPr>
                    <w:t>是</w:t>
                  </w:r>
                </w:p>
              </w:tc>
              <w:tc>
                <w:tcPr>
                  <w:tcW w:w="0" w:type="auto"/>
                  <w:vAlign w:val="center"/>
                </w:tcPr>
                <w:p w14:paraId="59D359EA">
                  <w:pPr>
                    <w:pStyle w:val="50"/>
                    <w:bidi w:val="0"/>
                    <w:rPr>
                      <w:rFonts w:hint="default"/>
                      <w:lang w:val="en-US" w:eastAsia="zh-CN"/>
                    </w:rPr>
                  </w:pPr>
                  <w:r>
                    <w:rPr>
                      <w:rFonts w:hint="eastAsia"/>
                      <w:lang w:val="en-US" w:eastAsia="zh-CN"/>
                    </w:rPr>
                    <w:t>0.744</w:t>
                  </w:r>
                </w:p>
              </w:tc>
              <w:tc>
                <w:tcPr>
                  <w:tcW w:w="0" w:type="auto"/>
                  <w:vAlign w:val="center"/>
                </w:tcPr>
                <w:p w14:paraId="26EA1480">
                  <w:pPr>
                    <w:pStyle w:val="50"/>
                    <w:bidi w:val="0"/>
                    <w:rPr>
                      <w:rFonts w:hint="default"/>
                      <w:lang w:val="en-US" w:eastAsia="zh-CN"/>
                    </w:rPr>
                  </w:pPr>
                  <w:r>
                    <w:rPr>
                      <w:rFonts w:hint="eastAsia"/>
                      <w:lang w:val="en-US" w:eastAsia="zh-CN"/>
                    </w:rPr>
                    <w:t>0.517</w:t>
                  </w:r>
                </w:p>
              </w:tc>
              <w:tc>
                <w:tcPr>
                  <w:tcW w:w="0" w:type="auto"/>
                  <w:vAlign w:val="center"/>
                </w:tcPr>
                <w:p w14:paraId="03ECB29F">
                  <w:pPr>
                    <w:pStyle w:val="50"/>
                    <w:bidi w:val="0"/>
                    <w:rPr>
                      <w:rFonts w:hint="default"/>
                      <w:lang w:val="en-US" w:eastAsia="zh-CN"/>
                    </w:rPr>
                  </w:pPr>
                  <w:r>
                    <w:rPr>
                      <w:rFonts w:hint="eastAsia"/>
                      <w:lang w:val="en-US" w:eastAsia="zh-CN"/>
                    </w:rPr>
                    <w:t>10.61</w:t>
                  </w:r>
                </w:p>
              </w:tc>
              <w:tc>
                <w:tcPr>
                  <w:tcW w:w="0" w:type="auto"/>
                  <w:vAlign w:val="center"/>
                </w:tcPr>
                <w:p w14:paraId="425701E7">
                  <w:pPr>
                    <w:pStyle w:val="50"/>
                    <w:bidi w:val="0"/>
                    <w:rPr>
                      <w:rFonts w:hint="default"/>
                      <w:lang w:val="en-US" w:eastAsia="zh-CN"/>
                    </w:rPr>
                  </w:pPr>
                  <w:r>
                    <w:rPr>
                      <w:rFonts w:hint="eastAsia"/>
                      <w:lang w:val="en-US" w:eastAsia="zh-CN"/>
                    </w:rPr>
                    <w:t>DA001</w:t>
                  </w:r>
                </w:p>
              </w:tc>
              <w:tc>
                <w:tcPr>
                  <w:tcW w:w="0" w:type="auto"/>
                  <w:vAlign w:val="center"/>
                </w:tcPr>
                <w:p w14:paraId="1C1CB520">
                  <w:pPr>
                    <w:pStyle w:val="50"/>
                    <w:bidi w:val="0"/>
                    <w:rPr>
                      <w:rFonts w:hint="default"/>
                      <w:lang w:val="en-US" w:eastAsia="zh-CN"/>
                    </w:rPr>
                  </w:pPr>
                  <w:r>
                    <w:rPr>
                      <w:rFonts w:hint="eastAsia"/>
                      <w:lang w:val="en-US" w:eastAsia="zh-CN"/>
                    </w:rPr>
                    <w:t>120</w:t>
                  </w:r>
                </w:p>
              </w:tc>
            </w:tr>
            <w:tr w14:paraId="7520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C7DF62F">
                  <w:pPr>
                    <w:pStyle w:val="50"/>
                    <w:bidi w:val="0"/>
                    <w:rPr>
                      <w:rFonts w:hint="eastAsia"/>
                      <w:lang w:val="en-US" w:eastAsia="zh-CN"/>
                    </w:rPr>
                  </w:pPr>
                </w:p>
              </w:tc>
              <w:tc>
                <w:tcPr>
                  <w:tcW w:w="0" w:type="auto"/>
                  <w:vMerge w:val="continue"/>
                  <w:vAlign w:val="center"/>
                </w:tcPr>
                <w:p w14:paraId="3DD5F036">
                  <w:pPr>
                    <w:pStyle w:val="50"/>
                    <w:bidi w:val="0"/>
                    <w:rPr>
                      <w:rFonts w:hint="eastAsia"/>
                      <w:lang w:val="en-US" w:eastAsia="zh-CN"/>
                    </w:rPr>
                  </w:pPr>
                </w:p>
              </w:tc>
              <w:tc>
                <w:tcPr>
                  <w:tcW w:w="0" w:type="auto"/>
                  <w:vAlign w:val="center"/>
                </w:tcPr>
                <w:p w14:paraId="224B98AD">
                  <w:pPr>
                    <w:pStyle w:val="50"/>
                    <w:bidi w:val="0"/>
                    <w:rPr>
                      <w:rFonts w:hint="eastAsia"/>
                      <w:lang w:val="en-US" w:eastAsia="zh-CN"/>
                    </w:rPr>
                  </w:pPr>
                  <w:r>
                    <w:rPr>
                      <w:rFonts w:hint="eastAsia"/>
                      <w:lang w:val="en-US" w:eastAsia="zh-CN"/>
                    </w:rPr>
                    <w:t>无组织</w:t>
                  </w:r>
                </w:p>
              </w:tc>
              <w:tc>
                <w:tcPr>
                  <w:tcW w:w="0" w:type="auto"/>
                  <w:vMerge w:val="continue"/>
                  <w:vAlign w:val="center"/>
                </w:tcPr>
                <w:p w14:paraId="454420AE">
                  <w:pPr>
                    <w:pStyle w:val="50"/>
                    <w:bidi w:val="0"/>
                    <w:rPr>
                      <w:rFonts w:hint="default" w:ascii="Times New Roman" w:hAnsi="Times New Roman" w:eastAsiaTheme="minorEastAsia" w:cstheme="minorEastAsia"/>
                      <w:color w:val="auto"/>
                      <w:kern w:val="2"/>
                      <w:sz w:val="21"/>
                      <w:szCs w:val="21"/>
                      <w:lang w:val="en-US" w:eastAsia="zh-CN" w:bidi="ar-SA"/>
                    </w:rPr>
                  </w:pPr>
                </w:p>
              </w:tc>
              <w:tc>
                <w:tcPr>
                  <w:tcW w:w="0" w:type="auto"/>
                  <w:vAlign w:val="center"/>
                </w:tcPr>
                <w:p w14:paraId="064D3158">
                  <w:pPr>
                    <w:pStyle w:val="50"/>
                    <w:bidi w:val="0"/>
                    <w:rPr>
                      <w:rFonts w:hint="default"/>
                      <w:lang w:val="en-US" w:eastAsia="zh-CN"/>
                    </w:rPr>
                  </w:pPr>
                  <w:r>
                    <w:rPr>
                      <w:rFonts w:hint="eastAsia"/>
                      <w:lang w:val="en-US" w:eastAsia="zh-CN"/>
                    </w:rPr>
                    <w:t>0.169</w:t>
                  </w:r>
                </w:p>
              </w:tc>
              <w:tc>
                <w:tcPr>
                  <w:tcW w:w="0" w:type="auto"/>
                  <w:vAlign w:val="center"/>
                </w:tcPr>
                <w:p w14:paraId="74773F11">
                  <w:pPr>
                    <w:pStyle w:val="50"/>
                    <w:bidi w:val="0"/>
                    <w:rPr>
                      <w:rFonts w:hint="default"/>
                      <w:lang w:val="en-US" w:eastAsia="zh-CN"/>
                    </w:rPr>
                  </w:pPr>
                  <w:r>
                    <w:rPr>
                      <w:rFonts w:hint="eastAsia"/>
                      <w:lang w:val="en-US" w:eastAsia="zh-CN"/>
                    </w:rPr>
                    <w:t>0.117</w:t>
                  </w:r>
                </w:p>
              </w:tc>
              <w:tc>
                <w:tcPr>
                  <w:tcW w:w="0" w:type="auto"/>
                  <w:vAlign w:val="center"/>
                </w:tcPr>
                <w:p w14:paraId="49F54E31">
                  <w:pPr>
                    <w:pStyle w:val="50"/>
                    <w:bidi w:val="0"/>
                    <w:rPr>
                      <w:rFonts w:hint="eastAsia"/>
                      <w:lang w:val="en-US" w:eastAsia="zh-CN"/>
                    </w:rPr>
                  </w:pPr>
                  <w:r>
                    <w:rPr>
                      <w:rFonts w:hint="eastAsia"/>
                      <w:lang w:val="en-US" w:eastAsia="zh-CN"/>
                    </w:rPr>
                    <w:t>/</w:t>
                  </w:r>
                </w:p>
              </w:tc>
              <w:tc>
                <w:tcPr>
                  <w:tcW w:w="0" w:type="auto"/>
                  <w:vAlign w:val="center"/>
                </w:tcPr>
                <w:p w14:paraId="5A3C7452">
                  <w:pPr>
                    <w:pStyle w:val="50"/>
                    <w:bidi w:val="0"/>
                    <w:rPr>
                      <w:rFonts w:hint="eastAsia"/>
                      <w:lang w:val="en-US" w:eastAsia="zh-CN"/>
                    </w:rPr>
                  </w:pPr>
                  <w:r>
                    <w:rPr>
                      <w:rFonts w:hint="eastAsia"/>
                      <w:lang w:val="en-US" w:eastAsia="zh-CN"/>
                    </w:rPr>
                    <w:t>/</w:t>
                  </w:r>
                </w:p>
              </w:tc>
              <w:tc>
                <w:tcPr>
                  <w:tcW w:w="0" w:type="auto"/>
                  <w:vAlign w:val="center"/>
                </w:tcPr>
                <w:p w14:paraId="5B85AC3C">
                  <w:pPr>
                    <w:pStyle w:val="50"/>
                    <w:bidi w:val="0"/>
                    <w:rPr>
                      <w:rFonts w:hint="default"/>
                      <w:lang w:val="en-US" w:eastAsia="zh-CN"/>
                    </w:rPr>
                  </w:pPr>
                  <w:r>
                    <w:rPr>
                      <w:rFonts w:hint="eastAsia"/>
                      <w:lang w:val="en-US" w:eastAsia="zh-CN"/>
                    </w:rPr>
                    <w:t>加强管理、加强车间通风</w:t>
                  </w:r>
                </w:p>
                <w:p w14:paraId="55F73575">
                  <w:pPr>
                    <w:pStyle w:val="50"/>
                    <w:bidi w:val="0"/>
                    <w:rPr>
                      <w:rFonts w:hint="eastAsia"/>
                      <w:lang w:val="en-US" w:eastAsia="zh-CN"/>
                    </w:rPr>
                  </w:pPr>
                </w:p>
              </w:tc>
              <w:tc>
                <w:tcPr>
                  <w:tcW w:w="0" w:type="auto"/>
                  <w:vAlign w:val="center"/>
                </w:tcPr>
                <w:p w14:paraId="576F6D27">
                  <w:pPr>
                    <w:pStyle w:val="50"/>
                    <w:bidi w:val="0"/>
                    <w:rPr>
                      <w:rFonts w:hint="eastAsia"/>
                      <w:lang w:val="en-US" w:eastAsia="zh-CN"/>
                    </w:rPr>
                  </w:pPr>
                  <w:r>
                    <w:rPr>
                      <w:rFonts w:hint="eastAsia"/>
                      <w:lang w:val="en-US" w:eastAsia="zh-CN"/>
                    </w:rPr>
                    <w:t>/</w:t>
                  </w:r>
                </w:p>
              </w:tc>
              <w:tc>
                <w:tcPr>
                  <w:tcW w:w="0" w:type="auto"/>
                  <w:vAlign w:val="center"/>
                </w:tcPr>
                <w:p w14:paraId="4797DD36">
                  <w:pPr>
                    <w:pStyle w:val="50"/>
                    <w:bidi w:val="0"/>
                    <w:rPr>
                      <w:rFonts w:hint="eastAsia"/>
                      <w:lang w:val="en-US" w:eastAsia="zh-CN"/>
                    </w:rPr>
                  </w:pPr>
                  <w:r>
                    <w:rPr>
                      <w:rFonts w:hint="eastAsia"/>
                      <w:lang w:val="en-US" w:eastAsia="zh-CN"/>
                    </w:rPr>
                    <w:t>/</w:t>
                  </w:r>
                </w:p>
              </w:tc>
              <w:tc>
                <w:tcPr>
                  <w:tcW w:w="0" w:type="auto"/>
                  <w:vAlign w:val="center"/>
                </w:tcPr>
                <w:p w14:paraId="0989F3B2">
                  <w:pPr>
                    <w:pStyle w:val="50"/>
                    <w:bidi w:val="0"/>
                    <w:rPr>
                      <w:rFonts w:hint="default"/>
                      <w:lang w:val="en-US" w:eastAsia="zh-CN"/>
                    </w:rPr>
                  </w:pPr>
                  <w:r>
                    <w:rPr>
                      <w:rFonts w:hint="eastAsia"/>
                      <w:lang w:val="en-US" w:eastAsia="zh-CN"/>
                    </w:rPr>
                    <w:t>是</w:t>
                  </w:r>
                </w:p>
              </w:tc>
              <w:tc>
                <w:tcPr>
                  <w:tcW w:w="0" w:type="auto"/>
                  <w:vAlign w:val="center"/>
                </w:tcPr>
                <w:p w14:paraId="5F184407">
                  <w:pPr>
                    <w:pStyle w:val="50"/>
                    <w:bidi w:val="0"/>
                    <w:rPr>
                      <w:rFonts w:hint="default"/>
                      <w:lang w:val="en-US" w:eastAsia="zh-CN"/>
                    </w:rPr>
                  </w:pPr>
                  <w:r>
                    <w:rPr>
                      <w:rFonts w:hint="eastAsia"/>
                      <w:lang w:val="en-US" w:eastAsia="zh-CN"/>
                    </w:rPr>
                    <w:t>0.169</w:t>
                  </w:r>
                </w:p>
              </w:tc>
              <w:tc>
                <w:tcPr>
                  <w:tcW w:w="0" w:type="auto"/>
                  <w:vAlign w:val="center"/>
                </w:tcPr>
                <w:p w14:paraId="64D89361">
                  <w:pPr>
                    <w:pStyle w:val="50"/>
                    <w:bidi w:val="0"/>
                    <w:rPr>
                      <w:rFonts w:hint="default"/>
                      <w:lang w:val="en-US" w:eastAsia="zh-CN"/>
                    </w:rPr>
                  </w:pPr>
                  <w:r>
                    <w:rPr>
                      <w:rFonts w:hint="eastAsia"/>
                      <w:lang w:val="en-US" w:eastAsia="zh-CN"/>
                    </w:rPr>
                    <w:t>0.117</w:t>
                  </w:r>
                </w:p>
              </w:tc>
              <w:tc>
                <w:tcPr>
                  <w:tcW w:w="0" w:type="auto"/>
                  <w:vAlign w:val="center"/>
                </w:tcPr>
                <w:p w14:paraId="3B993A11">
                  <w:pPr>
                    <w:pStyle w:val="50"/>
                    <w:bidi w:val="0"/>
                    <w:rPr>
                      <w:rFonts w:hint="eastAsia"/>
                      <w:lang w:val="en-US" w:eastAsia="zh-CN"/>
                    </w:rPr>
                  </w:pPr>
                  <w:r>
                    <w:rPr>
                      <w:rFonts w:hint="eastAsia"/>
                      <w:lang w:val="en-US" w:eastAsia="zh-CN"/>
                    </w:rPr>
                    <w:t>/</w:t>
                  </w:r>
                </w:p>
              </w:tc>
              <w:tc>
                <w:tcPr>
                  <w:tcW w:w="0" w:type="auto"/>
                  <w:vAlign w:val="center"/>
                </w:tcPr>
                <w:p w14:paraId="3754C97D">
                  <w:pPr>
                    <w:pStyle w:val="50"/>
                    <w:bidi w:val="0"/>
                    <w:rPr>
                      <w:rFonts w:hint="eastAsia"/>
                      <w:lang w:val="en-US" w:eastAsia="zh-CN"/>
                    </w:rPr>
                  </w:pPr>
                  <w:r>
                    <w:rPr>
                      <w:rFonts w:hint="eastAsia"/>
                      <w:lang w:val="en-US" w:eastAsia="zh-CN"/>
                    </w:rPr>
                    <w:t>/</w:t>
                  </w:r>
                </w:p>
              </w:tc>
              <w:tc>
                <w:tcPr>
                  <w:tcW w:w="0" w:type="auto"/>
                  <w:vAlign w:val="center"/>
                </w:tcPr>
                <w:p w14:paraId="7F7CB0A6">
                  <w:pPr>
                    <w:pStyle w:val="50"/>
                    <w:bidi w:val="0"/>
                    <w:rPr>
                      <w:rFonts w:hint="default"/>
                      <w:lang w:val="en-US" w:eastAsia="zh-CN"/>
                    </w:rPr>
                  </w:pPr>
                  <w:r>
                    <w:rPr>
                      <w:rFonts w:hint="eastAsia"/>
                      <w:lang w:val="en-US" w:eastAsia="zh-CN"/>
                    </w:rPr>
                    <w:t>4</w:t>
                  </w:r>
                </w:p>
              </w:tc>
            </w:tr>
            <w:tr w14:paraId="1955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374FE93">
                  <w:pPr>
                    <w:pStyle w:val="50"/>
                    <w:bidi w:val="0"/>
                    <w:rPr>
                      <w:rFonts w:hint="eastAsia"/>
                      <w:lang w:val="en-US" w:eastAsia="zh-CN"/>
                    </w:rPr>
                  </w:pPr>
                </w:p>
              </w:tc>
              <w:tc>
                <w:tcPr>
                  <w:tcW w:w="0" w:type="auto"/>
                  <w:vMerge w:val="continue"/>
                  <w:vAlign w:val="center"/>
                </w:tcPr>
                <w:p w14:paraId="385E71FE">
                  <w:pPr>
                    <w:pStyle w:val="50"/>
                    <w:bidi w:val="0"/>
                    <w:rPr>
                      <w:rFonts w:hint="eastAsia"/>
                      <w:lang w:val="en-US" w:eastAsia="zh-CN"/>
                    </w:rPr>
                  </w:pPr>
                </w:p>
              </w:tc>
              <w:tc>
                <w:tcPr>
                  <w:tcW w:w="0" w:type="auto"/>
                  <w:vAlign w:val="center"/>
                </w:tcPr>
                <w:p w14:paraId="5D1DF617">
                  <w:pPr>
                    <w:pStyle w:val="50"/>
                    <w:bidi w:val="0"/>
                    <w:rPr>
                      <w:rFonts w:hint="default"/>
                      <w:lang w:val="en-US" w:eastAsia="zh-CN"/>
                    </w:rPr>
                  </w:pPr>
                  <w:r>
                    <w:rPr>
                      <w:rFonts w:hint="eastAsia"/>
                      <w:lang w:val="en-US" w:eastAsia="zh-CN"/>
                    </w:rPr>
                    <w:t>有组织</w:t>
                  </w:r>
                </w:p>
              </w:tc>
              <w:tc>
                <w:tcPr>
                  <w:tcW w:w="0" w:type="auto"/>
                  <w:vMerge w:val="restart"/>
                  <w:vAlign w:val="center"/>
                </w:tcPr>
                <w:p w14:paraId="7B5D0E5D">
                  <w:pPr>
                    <w:pStyle w:val="50"/>
                    <w:bidi w:val="0"/>
                    <w:rPr>
                      <w:rFonts w:hint="default"/>
                      <w:lang w:val="en-US" w:eastAsia="zh-CN"/>
                    </w:rPr>
                  </w:pPr>
                  <w:r>
                    <w:rPr>
                      <w:rFonts w:hint="eastAsia"/>
                      <w:lang w:val="en-US" w:eastAsia="zh-CN"/>
                    </w:rPr>
                    <w:t>颗粒物</w:t>
                  </w:r>
                </w:p>
              </w:tc>
              <w:tc>
                <w:tcPr>
                  <w:tcW w:w="0" w:type="auto"/>
                  <w:vAlign w:val="center"/>
                </w:tcPr>
                <w:p w14:paraId="32C37F60">
                  <w:pPr>
                    <w:pStyle w:val="50"/>
                    <w:bidi w:val="0"/>
                    <w:rPr>
                      <w:rFonts w:hint="default"/>
                      <w:lang w:val="en-US" w:eastAsia="zh-CN"/>
                    </w:rPr>
                  </w:pPr>
                  <w:r>
                    <w:rPr>
                      <w:rFonts w:hint="eastAsia"/>
                      <w:lang w:val="en-US" w:eastAsia="zh-CN"/>
                    </w:rPr>
                    <w:t>0.675</w:t>
                  </w:r>
                </w:p>
              </w:tc>
              <w:tc>
                <w:tcPr>
                  <w:tcW w:w="0" w:type="auto"/>
                  <w:vAlign w:val="center"/>
                </w:tcPr>
                <w:p w14:paraId="18BB25E8">
                  <w:pPr>
                    <w:pStyle w:val="50"/>
                    <w:bidi w:val="0"/>
                    <w:rPr>
                      <w:rFonts w:hint="default"/>
                      <w:lang w:val="en-US" w:eastAsia="zh-CN"/>
                    </w:rPr>
                  </w:pPr>
                  <w:r>
                    <w:rPr>
                      <w:rFonts w:hint="eastAsia"/>
                      <w:lang w:val="en-US" w:eastAsia="zh-CN"/>
                    </w:rPr>
                    <w:t>0.469</w:t>
                  </w:r>
                </w:p>
              </w:tc>
              <w:tc>
                <w:tcPr>
                  <w:tcW w:w="0" w:type="auto"/>
                  <w:vAlign w:val="center"/>
                </w:tcPr>
                <w:p w14:paraId="4D5FB4C1">
                  <w:pPr>
                    <w:pStyle w:val="50"/>
                    <w:bidi w:val="0"/>
                    <w:rPr>
                      <w:rFonts w:hint="default"/>
                      <w:lang w:val="en-US" w:eastAsia="zh-CN"/>
                    </w:rPr>
                  </w:pPr>
                  <w:r>
                    <w:rPr>
                      <w:rFonts w:hint="eastAsia"/>
                      <w:lang w:val="en-US" w:eastAsia="zh-CN"/>
                    </w:rPr>
                    <w:t>9.62</w:t>
                  </w:r>
                </w:p>
              </w:tc>
              <w:tc>
                <w:tcPr>
                  <w:tcW w:w="0" w:type="auto"/>
                  <w:vAlign w:val="center"/>
                </w:tcPr>
                <w:p w14:paraId="5F23E769">
                  <w:pPr>
                    <w:pStyle w:val="50"/>
                    <w:bidi w:val="0"/>
                    <w:rPr>
                      <w:rFonts w:hint="default"/>
                      <w:lang w:val="en-US" w:eastAsia="zh-CN"/>
                    </w:rPr>
                  </w:pPr>
                  <w:r>
                    <w:rPr>
                      <w:rFonts w:hint="eastAsia"/>
                      <w:lang w:val="en-US" w:eastAsia="zh-CN"/>
                    </w:rPr>
                    <w:t>TA001</w:t>
                  </w:r>
                </w:p>
              </w:tc>
              <w:tc>
                <w:tcPr>
                  <w:tcW w:w="0" w:type="auto"/>
                  <w:vAlign w:val="center"/>
                </w:tcPr>
                <w:p w14:paraId="6F260C12">
                  <w:pPr>
                    <w:pStyle w:val="50"/>
                    <w:bidi w:val="0"/>
                    <w:rPr>
                      <w:rFonts w:hint="default"/>
                      <w:lang w:val="en-US" w:eastAsia="zh-CN"/>
                    </w:rPr>
                  </w:pPr>
                  <w:r>
                    <w:rPr>
                      <w:rFonts w:hint="eastAsia"/>
                      <w:lang w:val="en-US" w:eastAsia="zh-CN"/>
                    </w:rPr>
                    <w:t>干式过滤器</w:t>
                  </w:r>
                </w:p>
                <w:p w14:paraId="3FAF6112">
                  <w:pPr>
                    <w:pStyle w:val="50"/>
                    <w:bidi w:val="0"/>
                    <w:rPr>
                      <w:rFonts w:hint="default"/>
                      <w:lang w:val="en-US" w:eastAsia="zh-CN"/>
                    </w:rPr>
                  </w:pPr>
                </w:p>
              </w:tc>
              <w:tc>
                <w:tcPr>
                  <w:tcW w:w="0" w:type="auto"/>
                  <w:vAlign w:val="center"/>
                </w:tcPr>
                <w:p w14:paraId="43410D25">
                  <w:pPr>
                    <w:pStyle w:val="50"/>
                    <w:bidi w:val="0"/>
                    <w:rPr>
                      <w:rFonts w:hint="default"/>
                      <w:lang w:val="en-US" w:eastAsia="zh-CN"/>
                    </w:rPr>
                  </w:pPr>
                  <w:r>
                    <w:rPr>
                      <w:rFonts w:hint="eastAsia"/>
                      <w:lang w:val="en-US" w:eastAsia="zh-CN"/>
                    </w:rPr>
                    <w:t>90</w:t>
                  </w:r>
                </w:p>
              </w:tc>
              <w:tc>
                <w:tcPr>
                  <w:tcW w:w="0" w:type="auto"/>
                  <w:vAlign w:val="center"/>
                </w:tcPr>
                <w:p w14:paraId="3E59E8FD">
                  <w:pPr>
                    <w:pStyle w:val="50"/>
                    <w:bidi w:val="0"/>
                    <w:rPr>
                      <w:rFonts w:hint="default"/>
                      <w:lang w:val="en-US" w:eastAsia="zh-CN"/>
                    </w:rPr>
                  </w:pPr>
                  <w:r>
                    <w:rPr>
                      <w:rFonts w:hint="eastAsia"/>
                      <w:lang w:val="en-US" w:eastAsia="zh-CN"/>
                    </w:rPr>
                    <w:t>85</w:t>
                  </w:r>
                </w:p>
              </w:tc>
              <w:tc>
                <w:tcPr>
                  <w:tcW w:w="0" w:type="auto"/>
                  <w:vAlign w:val="center"/>
                </w:tcPr>
                <w:p w14:paraId="4266F561">
                  <w:pPr>
                    <w:pStyle w:val="50"/>
                    <w:bidi w:val="0"/>
                    <w:rPr>
                      <w:rFonts w:hint="default"/>
                      <w:lang w:val="en-US" w:eastAsia="zh-CN"/>
                    </w:rPr>
                  </w:pPr>
                  <w:r>
                    <w:rPr>
                      <w:rFonts w:hint="eastAsia"/>
                      <w:lang w:val="en-US" w:eastAsia="zh-CN"/>
                    </w:rPr>
                    <w:t>是</w:t>
                  </w:r>
                </w:p>
              </w:tc>
              <w:tc>
                <w:tcPr>
                  <w:tcW w:w="0" w:type="auto"/>
                  <w:vAlign w:val="center"/>
                </w:tcPr>
                <w:p w14:paraId="18A8A617">
                  <w:pPr>
                    <w:pStyle w:val="50"/>
                    <w:bidi w:val="0"/>
                    <w:rPr>
                      <w:rFonts w:hint="default"/>
                      <w:lang w:val="en-US" w:eastAsia="zh-CN"/>
                    </w:rPr>
                  </w:pPr>
                  <w:r>
                    <w:rPr>
                      <w:rFonts w:hint="eastAsia"/>
                      <w:lang w:val="en-US" w:eastAsia="zh-CN"/>
                    </w:rPr>
                    <w:t>0.1</w:t>
                  </w:r>
                </w:p>
              </w:tc>
              <w:tc>
                <w:tcPr>
                  <w:tcW w:w="0" w:type="auto"/>
                  <w:vAlign w:val="center"/>
                </w:tcPr>
                <w:p w14:paraId="5DBB38FC">
                  <w:pPr>
                    <w:pStyle w:val="50"/>
                    <w:bidi w:val="0"/>
                    <w:rPr>
                      <w:rFonts w:hint="default"/>
                      <w:lang w:val="en-US" w:eastAsia="zh-CN"/>
                    </w:rPr>
                  </w:pPr>
                  <w:r>
                    <w:rPr>
                      <w:rFonts w:hint="eastAsia"/>
                      <w:lang w:val="en-US" w:eastAsia="zh-CN"/>
                    </w:rPr>
                    <w:t>0.07</w:t>
                  </w:r>
                </w:p>
              </w:tc>
              <w:tc>
                <w:tcPr>
                  <w:tcW w:w="0" w:type="auto"/>
                  <w:vAlign w:val="center"/>
                </w:tcPr>
                <w:p w14:paraId="0AC21FD3">
                  <w:pPr>
                    <w:pStyle w:val="50"/>
                    <w:bidi w:val="0"/>
                    <w:rPr>
                      <w:rFonts w:hint="default"/>
                      <w:lang w:val="en-US" w:eastAsia="zh-CN"/>
                    </w:rPr>
                  </w:pPr>
                  <w:r>
                    <w:rPr>
                      <w:rFonts w:hint="eastAsia"/>
                      <w:lang w:val="en-US" w:eastAsia="zh-CN"/>
                    </w:rPr>
                    <w:t>0.013</w:t>
                  </w:r>
                </w:p>
              </w:tc>
              <w:tc>
                <w:tcPr>
                  <w:tcW w:w="0" w:type="auto"/>
                  <w:vAlign w:val="center"/>
                </w:tcPr>
                <w:p w14:paraId="51A273DA">
                  <w:pPr>
                    <w:pStyle w:val="50"/>
                    <w:bidi w:val="0"/>
                    <w:rPr>
                      <w:rFonts w:hint="default"/>
                      <w:lang w:val="en-US" w:eastAsia="zh-CN"/>
                    </w:rPr>
                  </w:pPr>
                  <w:r>
                    <w:rPr>
                      <w:rFonts w:hint="eastAsia"/>
                      <w:lang w:val="en-US" w:eastAsia="zh-CN"/>
                    </w:rPr>
                    <w:t>DA001</w:t>
                  </w:r>
                </w:p>
              </w:tc>
              <w:tc>
                <w:tcPr>
                  <w:tcW w:w="0" w:type="auto"/>
                  <w:vAlign w:val="center"/>
                </w:tcPr>
                <w:p w14:paraId="52BD3C72">
                  <w:pPr>
                    <w:pStyle w:val="50"/>
                    <w:bidi w:val="0"/>
                    <w:rPr>
                      <w:rFonts w:hint="default"/>
                      <w:lang w:val="en-US" w:eastAsia="zh-CN"/>
                    </w:rPr>
                  </w:pPr>
                  <w:r>
                    <w:rPr>
                      <w:rFonts w:hint="eastAsia"/>
                      <w:lang w:val="en-US" w:eastAsia="zh-CN"/>
                    </w:rPr>
                    <w:t>120</w:t>
                  </w:r>
                </w:p>
              </w:tc>
            </w:tr>
            <w:tr w14:paraId="60BD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3D0D563">
                  <w:pPr>
                    <w:pStyle w:val="50"/>
                    <w:bidi w:val="0"/>
                    <w:rPr>
                      <w:rFonts w:hint="eastAsia"/>
                      <w:lang w:val="en-US" w:eastAsia="zh-CN"/>
                    </w:rPr>
                  </w:pPr>
                </w:p>
              </w:tc>
              <w:tc>
                <w:tcPr>
                  <w:tcW w:w="0" w:type="auto"/>
                  <w:vMerge w:val="continue"/>
                  <w:vAlign w:val="center"/>
                </w:tcPr>
                <w:p w14:paraId="3B078FA4">
                  <w:pPr>
                    <w:pStyle w:val="50"/>
                    <w:bidi w:val="0"/>
                    <w:rPr>
                      <w:rFonts w:hint="eastAsia"/>
                      <w:lang w:val="en-US" w:eastAsia="zh-CN"/>
                    </w:rPr>
                  </w:pPr>
                </w:p>
              </w:tc>
              <w:tc>
                <w:tcPr>
                  <w:tcW w:w="0" w:type="auto"/>
                  <w:vAlign w:val="center"/>
                </w:tcPr>
                <w:p w14:paraId="18798343">
                  <w:pPr>
                    <w:pStyle w:val="50"/>
                    <w:bidi w:val="0"/>
                    <w:rPr>
                      <w:rFonts w:hint="default"/>
                      <w:lang w:val="en-US" w:eastAsia="zh-CN"/>
                    </w:rPr>
                  </w:pPr>
                  <w:r>
                    <w:rPr>
                      <w:rFonts w:hint="eastAsia"/>
                      <w:lang w:val="en-US" w:eastAsia="zh-CN"/>
                    </w:rPr>
                    <w:t>无组织</w:t>
                  </w:r>
                </w:p>
              </w:tc>
              <w:tc>
                <w:tcPr>
                  <w:tcW w:w="0" w:type="auto"/>
                  <w:vMerge w:val="continue"/>
                  <w:vAlign w:val="center"/>
                </w:tcPr>
                <w:p w14:paraId="7A0FB194">
                  <w:pPr>
                    <w:pStyle w:val="50"/>
                    <w:bidi w:val="0"/>
                    <w:rPr>
                      <w:rFonts w:hint="eastAsia"/>
                      <w:lang w:val="en-US" w:eastAsia="zh-CN"/>
                    </w:rPr>
                  </w:pPr>
                </w:p>
              </w:tc>
              <w:tc>
                <w:tcPr>
                  <w:tcW w:w="0" w:type="auto"/>
                  <w:vAlign w:val="center"/>
                </w:tcPr>
                <w:p w14:paraId="52A9CC9F">
                  <w:pPr>
                    <w:pStyle w:val="50"/>
                    <w:bidi w:val="0"/>
                    <w:rPr>
                      <w:rFonts w:hint="default"/>
                      <w:lang w:val="en-US" w:eastAsia="zh-CN"/>
                    </w:rPr>
                  </w:pPr>
                  <w:r>
                    <w:rPr>
                      <w:rFonts w:hint="eastAsia"/>
                      <w:lang w:val="en-US" w:eastAsia="zh-CN"/>
                    </w:rPr>
                    <w:t>0.075</w:t>
                  </w:r>
                </w:p>
              </w:tc>
              <w:tc>
                <w:tcPr>
                  <w:tcW w:w="0" w:type="auto"/>
                  <w:vAlign w:val="center"/>
                </w:tcPr>
                <w:p w14:paraId="0A64F1F9">
                  <w:pPr>
                    <w:pStyle w:val="50"/>
                    <w:bidi w:val="0"/>
                    <w:rPr>
                      <w:rFonts w:hint="default"/>
                      <w:lang w:val="en-US" w:eastAsia="zh-CN"/>
                    </w:rPr>
                  </w:pPr>
                  <w:r>
                    <w:rPr>
                      <w:rFonts w:hint="eastAsia"/>
                      <w:lang w:val="en-US" w:eastAsia="zh-CN"/>
                    </w:rPr>
                    <w:t>0.052</w:t>
                  </w:r>
                </w:p>
              </w:tc>
              <w:tc>
                <w:tcPr>
                  <w:tcW w:w="0" w:type="auto"/>
                  <w:vAlign w:val="center"/>
                </w:tcPr>
                <w:p w14:paraId="7C1E2574">
                  <w:pPr>
                    <w:pStyle w:val="50"/>
                    <w:bidi w:val="0"/>
                    <w:rPr>
                      <w:rFonts w:hint="default"/>
                      <w:lang w:val="en-US" w:eastAsia="zh-CN"/>
                    </w:rPr>
                  </w:pPr>
                  <w:r>
                    <w:rPr>
                      <w:rFonts w:hint="eastAsia"/>
                      <w:lang w:val="en-US" w:eastAsia="zh-CN"/>
                    </w:rPr>
                    <w:t>/</w:t>
                  </w:r>
                </w:p>
              </w:tc>
              <w:tc>
                <w:tcPr>
                  <w:tcW w:w="0" w:type="auto"/>
                  <w:vAlign w:val="center"/>
                </w:tcPr>
                <w:p w14:paraId="68A72C2E">
                  <w:pPr>
                    <w:pStyle w:val="50"/>
                    <w:bidi w:val="0"/>
                    <w:rPr>
                      <w:rFonts w:hint="default"/>
                      <w:lang w:val="en-US" w:eastAsia="zh-CN"/>
                    </w:rPr>
                  </w:pPr>
                  <w:r>
                    <w:rPr>
                      <w:rFonts w:hint="eastAsia"/>
                      <w:lang w:val="en-US" w:eastAsia="zh-CN"/>
                    </w:rPr>
                    <w:t>/</w:t>
                  </w:r>
                </w:p>
              </w:tc>
              <w:tc>
                <w:tcPr>
                  <w:tcW w:w="0" w:type="auto"/>
                  <w:vAlign w:val="center"/>
                </w:tcPr>
                <w:p w14:paraId="575A1981">
                  <w:pPr>
                    <w:pStyle w:val="50"/>
                    <w:bidi w:val="0"/>
                    <w:rPr>
                      <w:rFonts w:hint="eastAsia"/>
                      <w:lang w:val="en-US" w:eastAsia="zh-CN"/>
                    </w:rPr>
                  </w:pPr>
                  <w:r>
                    <w:rPr>
                      <w:rFonts w:hint="eastAsia"/>
                      <w:lang w:val="en-US" w:eastAsia="zh-CN"/>
                    </w:rPr>
                    <w:t>加强管理、加强车间通风</w:t>
                  </w:r>
                </w:p>
                <w:p w14:paraId="20026918">
                  <w:pPr>
                    <w:pStyle w:val="50"/>
                    <w:bidi w:val="0"/>
                    <w:rPr>
                      <w:rFonts w:hint="default"/>
                      <w:lang w:val="en-US" w:eastAsia="zh-CN"/>
                    </w:rPr>
                  </w:pPr>
                </w:p>
              </w:tc>
              <w:tc>
                <w:tcPr>
                  <w:tcW w:w="0" w:type="auto"/>
                  <w:vAlign w:val="center"/>
                </w:tcPr>
                <w:p w14:paraId="21880327">
                  <w:pPr>
                    <w:pStyle w:val="50"/>
                    <w:bidi w:val="0"/>
                    <w:rPr>
                      <w:rFonts w:hint="default"/>
                      <w:lang w:val="en-US" w:eastAsia="zh-CN"/>
                    </w:rPr>
                  </w:pPr>
                  <w:r>
                    <w:rPr>
                      <w:rFonts w:hint="eastAsia"/>
                      <w:lang w:val="en-US" w:eastAsia="zh-CN"/>
                    </w:rPr>
                    <w:t>/</w:t>
                  </w:r>
                </w:p>
              </w:tc>
              <w:tc>
                <w:tcPr>
                  <w:tcW w:w="0" w:type="auto"/>
                  <w:vAlign w:val="center"/>
                </w:tcPr>
                <w:p w14:paraId="198A9CF7">
                  <w:pPr>
                    <w:pStyle w:val="50"/>
                    <w:bidi w:val="0"/>
                    <w:rPr>
                      <w:rFonts w:hint="default"/>
                      <w:lang w:val="en-US" w:eastAsia="zh-CN"/>
                    </w:rPr>
                  </w:pPr>
                  <w:r>
                    <w:rPr>
                      <w:rFonts w:hint="eastAsia"/>
                      <w:lang w:val="en-US" w:eastAsia="zh-CN"/>
                    </w:rPr>
                    <w:t>/</w:t>
                  </w:r>
                </w:p>
              </w:tc>
              <w:tc>
                <w:tcPr>
                  <w:tcW w:w="0" w:type="auto"/>
                  <w:vAlign w:val="center"/>
                </w:tcPr>
                <w:p w14:paraId="478AB859">
                  <w:pPr>
                    <w:pStyle w:val="50"/>
                    <w:bidi w:val="0"/>
                    <w:rPr>
                      <w:rFonts w:hint="default"/>
                      <w:lang w:val="en-US" w:eastAsia="zh-CN"/>
                    </w:rPr>
                  </w:pPr>
                  <w:r>
                    <w:rPr>
                      <w:rFonts w:hint="eastAsia"/>
                      <w:lang w:val="en-US" w:eastAsia="zh-CN"/>
                    </w:rPr>
                    <w:t>是</w:t>
                  </w:r>
                </w:p>
              </w:tc>
              <w:tc>
                <w:tcPr>
                  <w:tcW w:w="0" w:type="auto"/>
                  <w:vAlign w:val="center"/>
                </w:tcPr>
                <w:p w14:paraId="06532A15">
                  <w:pPr>
                    <w:pStyle w:val="50"/>
                    <w:bidi w:val="0"/>
                    <w:rPr>
                      <w:rFonts w:hint="default"/>
                      <w:lang w:val="en-US" w:eastAsia="zh-CN"/>
                    </w:rPr>
                  </w:pPr>
                  <w:r>
                    <w:rPr>
                      <w:rFonts w:hint="eastAsia"/>
                      <w:lang w:val="en-US" w:eastAsia="zh-CN"/>
                    </w:rPr>
                    <w:t>0.075</w:t>
                  </w:r>
                </w:p>
              </w:tc>
              <w:tc>
                <w:tcPr>
                  <w:tcW w:w="0" w:type="auto"/>
                  <w:vAlign w:val="center"/>
                </w:tcPr>
                <w:p w14:paraId="2E179DC7">
                  <w:pPr>
                    <w:pStyle w:val="50"/>
                    <w:bidi w:val="0"/>
                    <w:rPr>
                      <w:rFonts w:hint="default"/>
                      <w:lang w:val="en-US" w:eastAsia="zh-CN"/>
                    </w:rPr>
                  </w:pPr>
                  <w:r>
                    <w:rPr>
                      <w:rFonts w:hint="eastAsia"/>
                      <w:lang w:val="en-US" w:eastAsia="zh-CN"/>
                    </w:rPr>
                    <w:t>0.052</w:t>
                  </w:r>
                </w:p>
              </w:tc>
              <w:tc>
                <w:tcPr>
                  <w:tcW w:w="0" w:type="auto"/>
                  <w:vAlign w:val="center"/>
                </w:tcPr>
                <w:p w14:paraId="1CD6F84D">
                  <w:pPr>
                    <w:pStyle w:val="50"/>
                    <w:bidi w:val="0"/>
                    <w:rPr>
                      <w:rFonts w:hint="default"/>
                      <w:lang w:val="en-US" w:eastAsia="zh-CN"/>
                    </w:rPr>
                  </w:pPr>
                  <w:r>
                    <w:rPr>
                      <w:rFonts w:hint="eastAsia"/>
                      <w:lang w:val="en-US" w:eastAsia="zh-CN"/>
                    </w:rPr>
                    <w:t>/</w:t>
                  </w:r>
                </w:p>
              </w:tc>
              <w:tc>
                <w:tcPr>
                  <w:tcW w:w="0" w:type="auto"/>
                  <w:vAlign w:val="center"/>
                </w:tcPr>
                <w:p w14:paraId="0E1CDD70">
                  <w:pPr>
                    <w:pStyle w:val="50"/>
                    <w:bidi w:val="0"/>
                    <w:rPr>
                      <w:rFonts w:hint="default"/>
                      <w:lang w:val="en-US" w:eastAsia="zh-CN"/>
                    </w:rPr>
                  </w:pPr>
                  <w:r>
                    <w:rPr>
                      <w:rFonts w:hint="eastAsia"/>
                      <w:lang w:val="en-US" w:eastAsia="zh-CN"/>
                    </w:rPr>
                    <w:t>/</w:t>
                  </w:r>
                </w:p>
              </w:tc>
              <w:tc>
                <w:tcPr>
                  <w:tcW w:w="0" w:type="auto"/>
                  <w:vAlign w:val="center"/>
                </w:tcPr>
                <w:p w14:paraId="62CFC2D4">
                  <w:pPr>
                    <w:pStyle w:val="50"/>
                    <w:bidi w:val="0"/>
                    <w:rPr>
                      <w:rFonts w:hint="default"/>
                      <w:lang w:val="en-US" w:eastAsia="zh-CN"/>
                    </w:rPr>
                  </w:pPr>
                  <w:r>
                    <w:rPr>
                      <w:rFonts w:hint="eastAsia"/>
                      <w:lang w:val="en-US" w:eastAsia="zh-CN"/>
                    </w:rPr>
                    <w:t>1</w:t>
                  </w:r>
                </w:p>
              </w:tc>
            </w:tr>
            <w:tr w14:paraId="0537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0" w:type="auto"/>
                  <w:vMerge w:val="continue"/>
                  <w:vAlign w:val="center"/>
                </w:tcPr>
                <w:p w14:paraId="5DA10924">
                  <w:pPr>
                    <w:pStyle w:val="50"/>
                    <w:bidi w:val="0"/>
                    <w:rPr>
                      <w:rFonts w:hint="eastAsia"/>
                      <w:lang w:val="en-US" w:eastAsia="zh-CN"/>
                    </w:rPr>
                  </w:pPr>
                </w:p>
              </w:tc>
              <w:tc>
                <w:tcPr>
                  <w:tcW w:w="0" w:type="auto"/>
                  <w:vMerge w:val="restart"/>
                  <w:vAlign w:val="center"/>
                </w:tcPr>
                <w:p w14:paraId="768CFFE2">
                  <w:pPr>
                    <w:pStyle w:val="50"/>
                    <w:bidi w:val="0"/>
                    <w:rPr>
                      <w:rFonts w:hint="default"/>
                      <w:lang w:val="en-US" w:eastAsia="zh-CN"/>
                    </w:rPr>
                  </w:pPr>
                  <w:r>
                    <w:rPr>
                      <w:rFonts w:hint="eastAsia"/>
                      <w:lang w:val="en-US" w:eastAsia="zh-CN"/>
                    </w:rPr>
                    <w:t>天然气燃烧废气（清洗、陶化烘干）</w:t>
                  </w:r>
                </w:p>
              </w:tc>
              <w:tc>
                <w:tcPr>
                  <w:tcW w:w="0" w:type="auto"/>
                  <w:vMerge w:val="restart"/>
                  <w:vAlign w:val="center"/>
                </w:tcPr>
                <w:p w14:paraId="1E927BBD">
                  <w:pPr>
                    <w:pStyle w:val="50"/>
                    <w:bidi w:val="0"/>
                    <w:rPr>
                      <w:rFonts w:hint="eastAsia"/>
                      <w:lang w:val="en-US" w:eastAsia="zh-CN"/>
                    </w:rPr>
                  </w:pPr>
                  <w:r>
                    <w:rPr>
                      <w:rFonts w:hint="eastAsia"/>
                      <w:lang w:val="en-US" w:eastAsia="zh-CN"/>
                    </w:rPr>
                    <w:t>有组织</w:t>
                  </w:r>
                </w:p>
              </w:tc>
              <w:tc>
                <w:tcPr>
                  <w:tcW w:w="0" w:type="auto"/>
                  <w:vAlign w:val="center"/>
                </w:tcPr>
                <w:p w14:paraId="116F1515">
                  <w:pPr>
                    <w:pStyle w:val="50"/>
                    <w:bidi w:val="0"/>
                    <w:rPr>
                      <w:rFonts w:hint="default"/>
                      <w:lang w:val="en-US" w:eastAsia="zh-CN"/>
                    </w:rPr>
                  </w:pPr>
                  <w:r>
                    <w:rPr>
                      <w:rFonts w:hint="eastAsia"/>
                      <w:lang w:val="en-US" w:eastAsia="zh-CN"/>
                    </w:rPr>
                    <w:t>SO</w:t>
                  </w:r>
                  <w:r>
                    <w:rPr>
                      <w:rFonts w:hint="eastAsia"/>
                      <w:vertAlign w:val="subscript"/>
                      <w:lang w:val="en-US" w:eastAsia="zh-CN"/>
                    </w:rPr>
                    <w:t>2</w:t>
                  </w:r>
                </w:p>
              </w:tc>
              <w:tc>
                <w:tcPr>
                  <w:tcW w:w="0" w:type="auto"/>
                  <w:vAlign w:val="center"/>
                </w:tcPr>
                <w:p w14:paraId="351445E6">
                  <w:pPr>
                    <w:pStyle w:val="50"/>
                    <w:bidi w:val="0"/>
                    <w:rPr>
                      <w:rFonts w:hint="default"/>
                      <w:lang w:val="en-US" w:eastAsia="zh-CN"/>
                    </w:rPr>
                  </w:pPr>
                  <w:r>
                    <w:rPr>
                      <w:rFonts w:hint="eastAsia"/>
                      <w:lang w:val="en-US" w:eastAsia="zh-CN"/>
                    </w:rPr>
                    <w:t>0</w:t>
                  </w:r>
                </w:p>
              </w:tc>
              <w:tc>
                <w:tcPr>
                  <w:tcW w:w="0" w:type="auto"/>
                  <w:vAlign w:val="center"/>
                </w:tcPr>
                <w:p w14:paraId="2D175C6C">
                  <w:pPr>
                    <w:pStyle w:val="50"/>
                    <w:bidi w:val="0"/>
                    <w:rPr>
                      <w:rFonts w:hint="default"/>
                      <w:lang w:val="en-US" w:eastAsia="zh-CN"/>
                    </w:rPr>
                  </w:pPr>
                  <w:r>
                    <w:rPr>
                      <w:rFonts w:hint="eastAsia"/>
                      <w:lang w:val="en-US" w:eastAsia="zh-CN"/>
                    </w:rPr>
                    <w:t>0</w:t>
                  </w:r>
                </w:p>
              </w:tc>
              <w:tc>
                <w:tcPr>
                  <w:tcW w:w="0" w:type="auto"/>
                  <w:vAlign w:val="center"/>
                </w:tcPr>
                <w:p w14:paraId="0C70CBF5">
                  <w:pPr>
                    <w:pStyle w:val="50"/>
                    <w:bidi w:val="0"/>
                    <w:rPr>
                      <w:rFonts w:hint="default"/>
                      <w:lang w:val="en-US" w:eastAsia="zh-CN"/>
                    </w:rPr>
                  </w:pPr>
                  <w:r>
                    <w:rPr>
                      <w:rFonts w:hint="eastAsia"/>
                      <w:lang w:val="en-US" w:eastAsia="zh-CN"/>
                    </w:rPr>
                    <w:t>0</w:t>
                  </w:r>
                </w:p>
              </w:tc>
              <w:tc>
                <w:tcPr>
                  <w:tcW w:w="0" w:type="auto"/>
                  <w:vMerge w:val="restart"/>
                  <w:vAlign w:val="center"/>
                </w:tcPr>
                <w:p w14:paraId="3036F5F1">
                  <w:pPr>
                    <w:pStyle w:val="50"/>
                    <w:bidi w:val="0"/>
                    <w:rPr>
                      <w:rFonts w:hint="default"/>
                      <w:lang w:val="en-US" w:eastAsia="zh-CN"/>
                    </w:rPr>
                  </w:pPr>
                  <w:r>
                    <w:rPr>
                      <w:rFonts w:hint="eastAsia"/>
                      <w:lang w:val="en-US" w:eastAsia="zh-CN"/>
                    </w:rPr>
                    <w:t>TA002</w:t>
                  </w:r>
                </w:p>
              </w:tc>
              <w:tc>
                <w:tcPr>
                  <w:tcW w:w="0" w:type="auto"/>
                  <w:vAlign w:val="center"/>
                </w:tcPr>
                <w:p w14:paraId="2059775E">
                  <w:pPr>
                    <w:pStyle w:val="50"/>
                    <w:bidi w:val="0"/>
                    <w:rPr>
                      <w:rFonts w:hint="default"/>
                      <w:lang w:val="en-US" w:eastAsia="zh-CN"/>
                    </w:rPr>
                  </w:pPr>
                  <w:r>
                    <w:rPr>
                      <w:rFonts w:hint="eastAsia"/>
                      <w:lang w:val="en-US" w:eastAsia="zh-CN"/>
                    </w:rPr>
                    <w:t>/</w:t>
                  </w:r>
                </w:p>
              </w:tc>
              <w:tc>
                <w:tcPr>
                  <w:tcW w:w="0" w:type="auto"/>
                  <w:vAlign w:val="center"/>
                </w:tcPr>
                <w:p w14:paraId="517B72FA">
                  <w:pPr>
                    <w:pStyle w:val="50"/>
                    <w:bidi w:val="0"/>
                    <w:rPr>
                      <w:rFonts w:hint="eastAsia"/>
                      <w:lang w:val="en-US" w:eastAsia="zh-CN"/>
                    </w:rPr>
                  </w:pPr>
                  <w:r>
                    <w:rPr>
                      <w:rFonts w:hint="eastAsia"/>
                      <w:lang w:val="en-US" w:eastAsia="zh-CN"/>
                    </w:rPr>
                    <w:t>/</w:t>
                  </w:r>
                </w:p>
              </w:tc>
              <w:tc>
                <w:tcPr>
                  <w:tcW w:w="0" w:type="auto"/>
                  <w:vAlign w:val="center"/>
                </w:tcPr>
                <w:p w14:paraId="152776B3">
                  <w:pPr>
                    <w:pStyle w:val="50"/>
                    <w:bidi w:val="0"/>
                    <w:rPr>
                      <w:rFonts w:hint="default"/>
                      <w:lang w:val="en-US" w:eastAsia="zh-CN"/>
                    </w:rPr>
                  </w:pPr>
                  <w:r>
                    <w:rPr>
                      <w:rFonts w:hint="eastAsia"/>
                      <w:lang w:val="en-US" w:eastAsia="zh-CN"/>
                    </w:rPr>
                    <w:t>/</w:t>
                  </w:r>
                </w:p>
              </w:tc>
              <w:tc>
                <w:tcPr>
                  <w:tcW w:w="0" w:type="auto"/>
                  <w:vAlign w:val="center"/>
                </w:tcPr>
                <w:p w14:paraId="6109B5AB">
                  <w:pPr>
                    <w:pStyle w:val="50"/>
                    <w:bidi w:val="0"/>
                    <w:rPr>
                      <w:rFonts w:hint="eastAsia"/>
                      <w:lang w:val="en-US" w:eastAsia="zh-CN"/>
                    </w:rPr>
                  </w:pPr>
                  <w:r>
                    <w:rPr>
                      <w:rFonts w:hint="eastAsia"/>
                      <w:lang w:val="en-US" w:eastAsia="zh-CN"/>
                    </w:rPr>
                    <w:t>/</w:t>
                  </w:r>
                </w:p>
              </w:tc>
              <w:tc>
                <w:tcPr>
                  <w:tcW w:w="0" w:type="auto"/>
                  <w:vAlign w:val="center"/>
                </w:tcPr>
                <w:p w14:paraId="3AED7B43">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0</w:t>
                  </w:r>
                </w:p>
              </w:tc>
              <w:tc>
                <w:tcPr>
                  <w:tcW w:w="0" w:type="auto"/>
                  <w:vAlign w:val="center"/>
                </w:tcPr>
                <w:p w14:paraId="75F305FF">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0</w:t>
                  </w:r>
                </w:p>
              </w:tc>
              <w:tc>
                <w:tcPr>
                  <w:tcW w:w="0" w:type="auto"/>
                  <w:vAlign w:val="center"/>
                </w:tcPr>
                <w:p w14:paraId="7A89ACF4">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0</w:t>
                  </w:r>
                </w:p>
              </w:tc>
              <w:tc>
                <w:tcPr>
                  <w:tcW w:w="0" w:type="auto"/>
                  <w:vMerge w:val="restart"/>
                  <w:vAlign w:val="center"/>
                </w:tcPr>
                <w:p w14:paraId="1FA40CDD">
                  <w:pPr>
                    <w:pStyle w:val="50"/>
                    <w:bidi w:val="0"/>
                    <w:rPr>
                      <w:rFonts w:hint="default"/>
                      <w:lang w:val="en-US" w:eastAsia="zh-CN"/>
                    </w:rPr>
                  </w:pPr>
                  <w:r>
                    <w:rPr>
                      <w:rFonts w:hint="eastAsia"/>
                      <w:lang w:val="en-US" w:eastAsia="zh-CN"/>
                    </w:rPr>
                    <w:t>DA002</w:t>
                  </w:r>
                </w:p>
              </w:tc>
              <w:tc>
                <w:tcPr>
                  <w:tcW w:w="0" w:type="auto"/>
                  <w:vAlign w:val="center"/>
                </w:tcPr>
                <w:p w14:paraId="2EFD3A7C">
                  <w:pPr>
                    <w:pStyle w:val="50"/>
                    <w:bidi w:val="0"/>
                    <w:rPr>
                      <w:rFonts w:hint="default"/>
                      <w:lang w:val="en-US" w:eastAsia="zh-CN"/>
                    </w:rPr>
                  </w:pPr>
                  <w:r>
                    <w:rPr>
                      <w:rFonts w:hint="eastAsia"/>
                      <w:lang w:val="en-US" w:eastAsia="zh-CN"/>
                    </w:rPr>
                    <w:t>200</w:t>
                  </w:r>
                </w:p>
              </w:tc>
            </w:tr>
            <w:tr w14:paraId="0C25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0" w:type="auto"/>
                  <w:vMerge w:val="continue"/>
                  <w:vAlign w:val="center"/>
                </w:tcPr>
                <w:p w14:paraId="1EBC8C26">
                  <w:pPr>
                    <w:pStyle w:val="50"/>
                    <w:bidi w:val="0"/>
                    <w:rPr>
                      <w:rFonts w:hint="eastAsia"/>
                      <w:lang w:val="en-US" w:eastAsia="zh-CN"/>
                    </w:rPr>
                  </w:pPr>
                </w:p>
              </w:tc>
              <w:tc>
                <w:tcPr>
                  <w:tcW w:w="0" w:type="auto"/>
                  <w:vMerge w:val="continue"/>
                  <w:vAlign w:val="center"/>
                </w:tcPr>
                <w:p w14:paraId="5AFF929F">
                  <w:pPr>
                    <w:pStyle w:val="50"/>
                    <w:bidi w:val="0"/>
                    <w:rPr>
                      <w:rFonts w:hint="eastAsia"/>
                      <w:lang w:val="en-US" w:eastAsia="zh-CN"/>
                    </w:rPr>
                  </w:pPr>
                </w:p>
              </w:tc>
              <w:tc>
                <w:tcPr>
                  <w:tcW w:w="0" w:type="auto"/>
                  <w:vMerge w:val="continue"/>
                  <w:vAlign w:val="center"/>
                </w:tcPr>
                <w:p w14:paraId="68002853">
                  <w:pPr>
                    <w:pStyle w:val="50"/>
                    <w:bidi w:val="0"/>
                    <w:rPr>
                      <w:rFonts w:hint="eastAsia"/>
                      <w:lang w:val="en-US" w:eastAsia="zh-CN"/>
                    </w:rPr>
                  </w:pPr>
                </w:p>
              </w:tc>
              <w:tc>
                <w:tcPr>
                  <w:tcW w:w="0" w:type="auto"/>
                  <w:vAlign w:val="center"/>
                </w:tcPr>
                <w:p w14:paraId="5CBCE672">
                  <w:pPr>
                    <w:pStyle w:val="50"/>
                    <w:bidi w:val="0"/>
                    <w:rPr>
                      <w:rFonts w:hint="default"/>
                      <w:vertAlign w:val="subscript"/>
                      <w:lang w:val="en-US" w:eastAsia="zh-CN"/>
                    </w:rPr>
                  </w:pPr>
                  <w:r>
                    <w:rPr>
                      <w:rFonts w:hint="eastAsia"/>
                      <w:lang w:val="en-US" w:eastAsia="zh-CN"/>
                    </w:rPr>
                    <w:t>NO</w:t>
                  </w:r>
                  <w:r>
                    <w:rPr>
                      <w:rFonts w:hint="eastAsia"/>
                      <w:vertAlign w:val="subscript"/>
                      <w:lang w:val="en-US" w:eastAsia="zh-CN"/>
                    </w:rPr>
                    <w:t>X</w:t>
                  </w:r>
                </w:p>
              </w:tc>
              <w:tc>
                <w:tcPr>
                  <w:tcW w:w="0" w:type="auto"/>
                  <w:vAlign w:val="center"/>
                </w:tcPr>
                <w:p w14:paraId="16F88FAB">
                  <w:pPr>
                    <w:pStyle w:val="50"/>
                    <w:bidi w:val="0"/>
                    <w:rPr>
                      <w:rFonts w:hint="default"/>
                      <w:lang w:val="en-US" w:eastAsia="zh-CN"/>
                    </w:rPr>
                  </w:pPr>
                  <w:r>
                    <w:rPr>
                      <w:rFonts w:hint="eastAsia"/>
                      <w:lang w:val="en-US" w:eastAsia="zh-CN"/>
                    </w:rPr>
                    <w:t>0.062</w:t>
                  </w:r>
                </w:p>
              </w:tc>
              <w:tc>
                <w:tcPr>
                  <w:tcW w:w="0" w:type="auto"/>
                  <w:vAlign w:val="center"/>
                </w:tcPr>
                <w:p w14:paraId="638728EE">
                  <w:pPr>
                    <w:pStyle w:val="50"/>
                    <w:bidi w:val="0"/>
                    <w:rPr>
                      <w:rFonts w:hint="default"/>
                      <w:lang w:val="en-US" w:eastAsia="zh-CN"/>
                    </w:rPr>
                  </w:pPr>
                  <w:r>
                    <w:rPr>
                      <w:rFonts w:hint="eastAsia"/>
                      <w:lang w:val="en-US" w:eastAsia="zh-CN"/>
                    </w:rPr>
                    <w:t>0.04</w:t>
                  </w:r>
                </w:p>
              </w:tc>
              <w:tc>
                <w:tcPr>
                  <w:tcW w:w="0" w:type="auto"/>
                  <w:vAlign w:val="center"/>
                </w:tcPr>
                <w:p w14:paraId="327A0E75">
                  <w:pPr>
                    <w:pStyle w:val="50"/>
                    <w:bidi w:val="0"/>
                    <w:rPr>
                      <w:rFonts w:hint="default"/>
                      <w:lang w:val="en-US" w:eastAsia="zh-CN"/>
                    </w:rPr>
                  </w:pPr>
                  <w:r>
                    <w:rPr>
                      <w:rFonts w:hint="eastAsia"/>
                      <w:lang w:val="en-US" w:eastAsia="zh-CN"/>
                    </w:rPr>
                    <w:t>137.5</w:t>
                  </w:r>
                </w:p>
              </w:tc>
              <w:tc>
                <w:tcPr>
                  <w:tcW w:w="0" w:type="auto"/>
                  <w:vMerge w:val="continue"/>
                  <w:vAlign w:val="center"/>
                </w:tcPr>
                <w:p w14:paraId="2D1020F9">
                  <w:pPr>
                    <w:pStyle w:val="50"/>
                    <w:bidi w:val="0"/>
                    <w:rPr>
                      <w:rFonts w:hint="eastAsia"/>
                      <w:lang w:val="en-US" w:eastAsia="zh-CN"/>
                    </w:rPr>
                  </w:pPr>
                </w:p>
              </w:tc>
              <w:tc>
                <w:tcPr>
                  <w:tcW w:w="0" w:type="auto"/>
                  <w:vAlign w:val="center"/>
                </w:tcPr>
                <w:p w14:paraId="523654EE">
                  <w:pPr>
                    <w:pStyle w:val="50"/>
                    <w:bidi w:val="0"/>
                    <w:rPr>
                      <w:rFonts w:hint="default"/>
                      <w:lang w:val="en-US" w:eastAsia="zh-CN"/>
                    </w:rPr>
                  </w:pPr>
                  <w:r>
                    <w:rPr>
                      <w:rFonts w:hint="eastAsia"/>
                      <w:lang w:val="en-US" w:eastAsia="zh-CN"/>
                    </w:rPr>
                    <w:t>低氮燃烧</w:t>
                  </w:r>
                </w:p>
                <w:p w14:paraId="7F63C307">
                  <w:pPr>
                    <w:pStyle w:val="50"/>
                    <w:bidi w:val="0"/>
                    <w:rPr>
                      <w:rFonts w:hint="eastAsia"/>
                      <w:lang w:val="en-US" w:eastAsia="zh-CN"/>
                    </w:rPr>
                  </w:pPr>
                </w:p>
              </w:tc>
              <w:tc>
                <w:tcPr>
                  <w:tcW w:w="0" w:type="auto"/>
                  <w:vAlign w:val="center"/>
                </w:tcPr>
                <w:p w14:paraId="7BD04C69">
                  <w:pPr>
                    <w:pStyle w:val="50"/>
                    <w:bidi w:val="0"/>
                    <w:rPr>
                      <w:rFonts w:hint="eastAsia"/>
                      <w:lang w:val="en-US" w:eastAsia="zh-CN"/>
                    </w:rPr>
                  </w:pPr>
                  <w:r>
                    <w:rPr>
                      <w:rFonts w:hint="eastAsia"/>
                      <w:lang w:val="en-US" w:eastAsia="zh-CN"/>
                    </w:rPr>
                    <w:t>/</w:t>
                  </w:r>
                </w:p>
              </w:tc>
              <w:tc>
                <w:tcPr>
                  <w:tcW w:w="0" w:type="auto"/>
                  <w:vAlign w:val="center"/>
                </w:tcPr>
                <w:p w14:paraId="764EB2E6">
                  <w:pPr>
                    <w:pStyle w:val="50"/>
                    <w:bidi w:val="0"/>
                    <w:rPr>
                      <w:rFonts w:hint="eastAsia"/>
                      <w:lang w:val="en-US" w:eastAsia="zh-CN"/>
                    </w:rPr>
                  </w:pPr>
                  <w:r>
                    <w:rPr>
                      <w:rFonts w:hint="eastAsia"/>
                      <w:lang w:val="en-US" w:eastAsia="zh-CN"/>
                    </w:rPr>
                    <w:t>50</w:t>
                  </w:r>
                </w:p>
              </w:tc>
              <w:tc>
                <w:tcPr>
                  <w:tcW w:w="0" w:type="auto"/>
                  <w:vAlign w:val="center"/>
                </w:tcPr>
                <w:p w14:paraId="5FF04743">
                  <w:pPr>
                    <w:pStyle w:val="50"/>
                    <w:bidi w:val="0"/>
                    <w:rPr>
                      <w:rFonts w:hint="eastAsia"/>
                      <w:lang w:val="en-US" w:eastAsia="zh-CN"/>
                    </w:rPr>
                  </w:pPr>
                  <w:r>
                    <w:rPr>
                      <w:rFonts w:hint="eastAsia"/>
                      <w:lang w:val="en-US" w:eastAsia="zh-CN"/>
                    </w:rPr>
                    <w:t>是</w:t>
                  </w:r>
                </w:p>
              </w:tc>
              <w:tc>
                <w:tcPr>
                  <w:tcW w:w="0" w:type="auto"/>
                  <w:vAlign w:val="center"/>
                </w:tcPr>
                <w:p w14:paraId="553735FE">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0.031</w:t>
                  </w:r>
                </w:p>
              </w:tc>
              <w:tc>
                <w:tcPr>
                  <w:tcW w:w="0" w:type="auto"/>
                  <w:vAlign w:val="center"/>
                </w:tcPr>
                <w:p w14:paraId="76CB929A">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0.02</w:t>
                  </w:r>
                </w:p>
              </w:tc>
              <w:tc>
                <w:tcPr>
                  <w:tcW w:w="0" w:type="auto"/>
                  <w:vAlign w:val="center"/>
                </w:tcPr>
                <w:p w14:paraId="26904BAF">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68.75</w:t>
                  </w:r>
                </w:p>
              </w:tc>
              <w:tc>
                <w:tcPr>
                  <w:tcW w:w="0" w:type="auto"/>
                  <w:vMerge w:val="continue"/>
                  <w:vAlign w:val="center"/>
                </w:tcPr>
                <w:p w14:paraId="33FE68C5">
                  <w:pPr>
                    <w:pStyle w:val="50"/>
                    <w:bidi w:val="0"/>
                    <w:rPr>
                      <w:rFonts w:hint="default"/>
                      <w:lang w:val="en-US" w:eastAsia="zh-CN"/>
                    </w:rPr>
                  </w:pPr>
                </w:p>
              </w:tc>
              <w:tc>
                <w:tcPr>
                  <w:tcW w:w="0" w:type="auto"/>
                  <w:vAlign w:val="center"/>
                </w:tcPr>
                <w:p w14:paraId="0921C0AF">
                  <w:pPr>
                    <w:pStyle w:val="50"/>
                    <w:bidi w:val="0"/>
                    <w:rPr>
                      <w:rFonts w:hint="default"/>
                      <w:lang w:val="en-US" w:eastAsia="zh-CN"/>
                    </w:rPr>
                  </w:pPr>
                  <w:r>
                    <w:rPr>
                      <w:rFonts w:hint="eastAsia"/>
                      <w:lang w:val="en-US" w:eastAsia="zh-CN"/>
                    </w:rPr>
                    <w:t>300</w:t>
                  </w:r>
                </w:p>
              </w:tc>
            </w:tr>
            <w:tr w14:paraId="63C1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D0D521B">
                  <w:pPr>
                    <w:pStyle w:val="50"/>
                    <w:bidi w:val="0"/>
                    <w:rPr>
                      <w:rFonts w:hint="eastAsia"/>
                      <w:lang w:val="en-US" w:eastAsia="zh-CN"/>
                    </w:rPr>
                  </w:pPr>
                </w:p>
              </w:tc>
              <w:tc>
                <w:tcPr>
                  <w:tcW w:w="0" w:type="auto"/>
                  <w:vMerge w:val="continue"/>
                  <w:vAlign w:val="center"/>
                </w:tcPr>
                <w:p w14:paraId="542A9805">
                  <w:pPr>
                    <w:pStyle w:val="50"/>
                    <w:bidi w:val="0"/>
                    <w:rPr>
                      <w:rFonts w:hint="eastAsia"/>
                      <w:lang w:val="en-US" w:eastAsia="zh-CN"/>
                    </w:rPr>
                  </w:pPr>
                </w:p>
              </w:tc>
              <w:tc>
                <w:tcPr>
                  <w:tcW w:w="0" w:type="auto"/>
                  <w:vMerge w:val="continue"/>
                  <w:vAlign w:val="center"/>
                </w:tcPr>
                <w:p w14:paraId="24828C75">
                  <w:pPr>
                    <w:pStyle w:val="50"/>
                    <w:bidi w:val="0"/>
                    <w:rPr>
                      <w:rFonts w:hint="eastAsia"/>
                      <w:lang w:val="en-US" w:eastAsia="zh-CN"/>
                    </w:rPr>
                  </w:pPr>
                </w:p>
              </w:tc>
              <w:tc>
                <w:tcPr>
                  <w:tcW w:w="0" w:type="auto"/>
                  <w:vAlign w:val="center"/>
                </w:tcPr>
                <w:p w14:paraId="7A762545">
                  <w:pPr>
                    <w:pStyle w:val="50"/>
                    <w:bidi w:val="0"/>
                    <w:rPr>
                      <w:rFonts w:hint="default"/>
                      <w:lang w:val="en-US" w:eastAsia="zh-CN"/>
                    </w:rPr>
                  </w:pPr>
                  <w:r>
                    <w:rPr>
                      <w:rFonts w:hint="eastAsia"/>
                      <w:lang w:val="en-US" w:eastAsia="zh-CN"/>
                    </w:rPr>
                    <w:t>颗粒物</w:t>
                  </w:r>
                </w:p>
              </w:tc>
              <w:tc>
                <w:tcPr>
                  <w:tcW w:w="0" w:type="auto"/>
                  <w:vAlign w:val="center"/>
                </w:tcPr>
                <w:p w14:paraId="77BD85E5">
                  <w:pPr>
                    <w:pStyle w:val="50"/>
                    <w:bidi w:val="0"/>
                    <w:rPr>
                      <w:rFonts w:hint="default"/>
                      <w:lang w:val="en-US" w:eastAsia="zh-CN"/>
                    </w:rPr>
                  </w:pPr>
                  <w:r>
                    <w:rPr>
                      <w:rFonts w:hint="eastAsia"/>
                      <w:lang w:val="en-US" w:eastAsia="zh-CN"/>
                    </w:rPr>
                    <w:t>0.01</w:t>
                  </w:r>
                </w:p>
              </w:tc>
              <w:tc>
                <w:tcPr>
                  <w:tcW w:w="0" w:type="auto"/>
                  <w:vAlign w:val="center"/>
                </w:tcPr>
                <w:p w14:paraId="173AB3F0">
                  <w:pPr>
                    <w:pStyle w:val="50"/>
                    <w:bidi w:val="0"/>
                    <w:rPr>
                      <w:rFonts w:hint="default"/>
                      <w:lang w:val="en-US" w:eastAsia="zh-CN"/>
                    </w:rPr>
                  </w:pPr>
                  <w:r>
                    <w:rPr>
                      <w:rFonts w:hint="eastAsia"/>
                      <w:lang w:val="en-US" w:eastAsia="zh-CN"/>
                    </w:rPr>
                    <w:t>0.007</w:t>
                  </w:r>
                </w:p>
              </w:tc>
              <w:tc>
                <w:tcPr>
                  <w:tcW w:w="0" w:type="auto"/>
                  <w:vAlign w:val="center"/>
                </w:tcPr>
                <w:p w14:paraId="25F0BBA5">
                  <w:pPr>
                    <w:pStyle w:val="50"/>
                    <w:bidi w:val="0"/>
                    <w:rPr>
                      <w:rFonts w:hint="default"/>
                      <w:lang w:val="en-US" w:eastAsia="zh-CN"/>
                    </w:rPr>
                  </w:pPr>
                  <w:r>
                    <w:rPr>
                      <w:rFonts w:hint="eastAsia"/>
                      <w:lang w:val="en-US" w:eastAsia="zh-CN"/>
                    </w:rPr>
                    <w:t>21.03</w:t>
                  </w:r>
                </w:p>
              </w:tc>
              <w:tc>
                <w:tcPr>
                  <w:tcW w:w="0" w:type="auto"/>
                  <w:vMerge w:val="continue"/>
                  <w:vAlign w:val="center"/>
                </w:tcPr>
                <w:p w14:paraId="73BAFD1F">
                  <w:pPr>
                    <w:pStyle w:val="50"/>
                    <w:bidi w:val="0"/>
                    <w:rPr>
                      <w:rFonts w:hint="eastAsia"/>
                      <w:lang w:val="en-US" w:eastAsia="zh-CN"/>
                    </w:rPr>
                  </w:pPr>
                </w:p>
              </w:tc>
              <w:tc>
                <w:tcPr>
                  <w:tcW w:w="0" w:type="auto"/>
                  <w:vAlign w:val="center"/>
                </w:tcPr>
                <w:p w14:paraId="0C640041">
                  <w:pPr>
                    <w:pStyle w:val="50"/>
                    <w:bidi w:val="0"/>
                    <w:rPr>
                      <w:rFonts w:hint="eastAsia"/>
                      <w:lang w:val="en-US" w:eastAsia="zh-CN"/>
                    </w:rPr>
                  </w:pPr>
                  <w:r>
                    <w:rPr>
                      <w:rFonts w:hint="eastAsia"/>
                      <w:lang w:val="en-US" w:eastAsia="zh-CN"/>
                    </w:rPr>
                    <w:t>/</w:t>
                  </w:r>
                </w:p>
              </w:tc>
              <w:tc>
                <w:tcPr>
                  <w:tcW w:w="0" w:type="auto"/>
                  <w:vAlign w:val="center"/>
                </w:tcPr>
                <w:p w14:paraId="4B869071">
                  <w:pPr>
                    <w:pStyle w:val="50"/>
                    <w:bidi w:val="0"/>
                    <w:rPr>
                      <w:rFonts w:hint="eastAsia"/>
                      <w:lang w:val="en-US" w:eastAsia="zh-CN"/>
                    </w:rPr>
                  </w:pPr>
                  <w:r>
                    <w:rPr>
                      <w:rFonts w:hint="eastAsia"/>
                      <w:lang w:val="en-US" w:eastAsia="zh-CN"/>
                    </w:rPr>
                    <w:t>/</w:t>
                  </w:r>
                </w:p>
              </w:tc>
              <w:tc>
                <w:tcPr>
                  <w:tcW w:w="0" w:type="auto"/>
                  <w:vAlign w:val="center"/>
                </w:tcPr>
                <w:p w14:paraId="1ECF09CD">
                  <w:pPr>
                    <w:pStyle w:val="50"/>
                    <w:bidi w:val="0"/>
                    <w:rPr>
                      <w:rFonts w:hint="eastAsia"/>
                      <w:lang w:val="en-US" w:eastAsia="zh-CN"/>
                    </w:rPr>
                  </w:pPr>
                  <w:r>
                    <w:rPr>
                      <w:rFonts w:hint="eastAsia"/>
                      <w:lang w:val="en-US" w:eastAsia="zh-CN"/>
                    </w:rPr>
                    <w:t>/</w:t>
                  </w:r>
                </w:p>
              </w:tc>
              <w:tc>
                <w:tcPr>
                  <w:tcW w:w="0" w:type="auto"/>
                  <w:vAlign w:val="center"/>
                </w:tcPr>
                <w:p w14:paraId="68BF45E2">
                  <w:pPr>
                    <w:pStyle w:val="50"/>
                    <w:bidi w:val="0"/>
                    <w:rPr>
                      <w:rFonts w:hint="eastAsia"/>
                      <w:lang w:val="en-US" w:eastAsia="zh-CN"/>
                    </w:rPr>
                  </w:pPr>
                  <w:r>
                    <w:rPr>
                      <w:rFonts w:hint="eastAsia"/>
                      <w:lang w:val="en-US" w:eastAsia="zh-CN"/>
                    </w:rPr>
                    <w:t>/</w:t>
                  </w:r>
                </w:p>
              </w:tc>
              <w:tc>
                <w:tcPr>
                  <w:tcW w:w="0" w:type="auto"/>
                  <w:vAlign w:val="center"/>
                </w:tcPr>
                <w:p w14:paraId="2A1D3A0E">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0.01</w:t>
                  </w:r>
                </w:p>
              </w:tc>
              <w:tc>
                <w:tcPr>
                  <w:tcW w:w="0" w:type="auto"/>
                  <w:vAlign w:val="center"/>
                </w:tcPr>
                <w:p w14:paraId="4F065C1E">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0.007</w:t>
                  </w:r>
                </w:p>
              </w:tc>
              <w:tc>
                <w:tcPr>
                  <w:tcW w:w="0" w:type="auto"/>
                  <w:vAlign w:val="center"/>
                </w:tcPr>
                <w:p w14:paraId="6D9AE35D">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21.03</w:t>
                  </w:r>
                </w:p>
              </w:tc>
              <w:tc>
                <w:tcPr>
                  <w:tcW w:w="0" w:type="auto"/>
                  <w:vMerge w:val="continue"/>
                  <w:vAlign w:val="center"/>
                </w:tcPr>
                <w:p w14:paraId="7919B9C4">
                  <w:pPr>
                    <w:pStyle w:val="50"/>
                    <w:bidi w:val="0"/>
                    <w:rPr>
                      <w:rFonts w:hint="eastAsia"/>
                      <w:lang w:val="en-US" w:eastAsia="zh-CN"/>
                    </w:rPr>
                  </w:pPr>
                </w:p>
              </w:tc>
              <w:tc>
                <w:tcPr>
                  <w:tcW w:w="0" w:type="auto"/>
                  <w:vAlign w:val="center"/>
                </w:tcPr>
                <w:p w14:paraId="38C00CF0">
                  <w:pPr>
                    <w:pStyle w:val="50"/>
                    <w:bidi w:val="0"/>
                    <w:rPr>
                      <w:rFonts w:hint="default"/>
                      <w:lang w:val="en-US" w:eastAsia="zh-CN"/>
                    </w:rPr>
                  </w:pPr>
                  <w:r>
                    <w:rPr>
                      <w:rFonts w:hint="eastAsia"/>
                      <w:lang w:val="en-US" w:eastAsia="zh-CN"/>
                    </w:rPr>
                    <w:t>30</w:t>
                  </w:r>
                </w:p>
              </w:tc>
            </w:tr>
            <w:tr w14:paraId="7195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0" w:type="auto"/>
                  <w:vMerge w:val="continue"/>
                  <w:vAlign w:val="center"/>
                </w:tcPr>
                <w:p w14:paraId="570D3764">
                  <w:pPr>
                    <w:pStyle w:val="50"/>
                    <w:bidi w:val="0"/>
                    <w:rPr>
                      <w:rFonts w:hint="eastAsia"/>
                      <w:lang w:val="en-US" w:eastAsia="zh-CN"/>
                    </w:rPr>
                  </w:pPr>
                </w:p>
              </w:tc>
              <w:tc>
                <w:tcPr>
                  <w:tcW w:w="0" w:type="auto"/>
                  <w:vMerge w:val="restart"/>
                  <w:vAlign w:val="center"/>
                </w:tcPr>
                <w:p w14:paraId="5CD955E3">
                  <w:pPr>
                    <w:pStyle w:val="50"/>
                    <w:bidi w:val="0"/>
                    <w:rPr>
                      <w:rFonts w:hint="eastAsia"/>
                      <w:lang w:val="en-US" w:eastAsia="zh-CN"/>
                    </w:rPr>
                  </w:pPr>
                  <w:r>
                    <w:rPr>
                      <w:rFonts w:hint="eastAsia"/>
                      <w:lang w:val="en-US" w:eastAsia="zh-CN"/>
                    </w:rPr>
                    <w:t>然气燃烧废气（喷漆烘干）</w:t>
                  </w:r>
                </w:p>
              </w:tc>
              <w:tc>
                <w:tcPr>
                  <w:tcW w:w="0" w:type="auto"/>
                  <w:vMerge w:val="restart"/>
                  <w:vAlign w:val="center"/>
                </w:tcPr>
                <w:p w14:paraId="46E7F5A7">
                  <w:pPr>
                    <w:pStyle w:val="50"/>
                    <w:bidi w:val="0"/>
                    <w:rPr>
                      <w:rFonts w:hint="default"/>
                      <w:lang w:val="en-US" w:eastAsia="zh-CN"/>
                    </w:rPr>
                  </w:pPr>
                  <w:r>
                    <w:rPr>
                      <w:rFonts w:hint="eastAsia"/>
                      <w:lang w:val="en-US" w:eastAsia="zh-CN"/>
                    </w:rPr>
                    <w:t>有组织</w:t>
                  </w:r>
                </w:p>
              </w:tc>
              <w:tc>
                <w:tcPr>
                  <w:tcW w:w="0" w:type="auto"/>
                  <w:shd w:val="clear" w:color="auto" w:fill="auto"/>
                  <w:vAlign w:val="center"/>
                </w:tcPr>
                <w:p w14:paraId="74C9702A">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SO</w:t>
                  </w:r>
                  <w:r>
                    <w:rPr>
                      <w:rFonts w:hint="eastAsia"/>
                      <w:vertAlign w:val="subscript"/>
                      <w:lang w:val="en-US" w:eastAsia="zh-CN"/>
                    </w:rPr>
                    <w:t>2</w:t>
                  </w:r>
                </w:p>
              </w:tc>
              <w:tc>
                <w:tcPr>
                  <w:tcW w:w="0" w:type="auto"/>
                  <w:shd w:val="clear" w:color="auto" w:fill="auto"/>
                  <w:vAlign w:val="center"/>
                </w:tcPr>
                <w:p w14:paraId="044218D8">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0</w:t>
                  </w:r>
                </w:p>
              </w:tc>
              <w:tc>
                <w:tcPr>
                  <w:tcW w:w="0" w:type="auto"/>
                  <w:shd w:val="clear" w:color="auto" w:fill="auto"/>
                  <w:vAlign w:val="center"/>
                </w:tcPr>
                <w:p w14:paraId="2AC35C29">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0</w:t>
                  </w:r>
                </w:p>
              </w:tc>
              <w:tc>
                <w:tcPr>
                  <w:tcW w:w="0" w:type="auto"/>
                  <w:shd w:val="clear" w:color="auto" w:fill="auto"/>
                  <w:vAlign w:val="center"/>
                </w:tcPr>
                <w:p w14:paraId="6CAD71AC">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0</w:t>
                  </w:r>
                </w:p>
              </w:tc>
              <w:tc>
                <w:tcPr>
                  <w:tcW w:w="0" w:type="auto"/>
                  <w:vMerge w:val="restart"/>
                  <w:shd w:val="clear" w:color="auto" w:fill="auto"/>
                  <w:vAlign w:val="center"/>
                </w:tcPr>
                <w:p w14:paraId="1381935A">
                  <w:pPr>
                    <w:pStyle w:val="50"/>
                    <w:bidi w:val="0"/>
                    <w:rPr>
                      <w:rFonts w:hint="default"/>
                      <w:lang w:val="en-US" w:eastAsia="zh-CN"/>
                    </w:rPr>
                  </w:pPr>
                  <w:r>
                    <w:rPr>
                      <w:rFonts w:hint="eastAsia"/>
                      <w:lang w:val="en-US" w:eastAsia="zh-CN"/>
                    </w:rPr>
                    <w:t>TA003</w:t>
                  </w:r>
                </w:p>
              </w:tc>
              <w:tc>
                <w:tcPr>
                  <w:tcW w:w="0" w:type="auto"/>
                  <w:shd w:val="clear" w:color="auto" w:fill="auto"/>
                  <w:vAlign w:val="center"/>
                </w:tcPr>
                <w:p w14:paraId="24686F81">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w:t>
                  </w:r>
                </w:p>
              </w:tc>
              <w:tc>
                <w:tcPr>
                  <w:tcW w:w="0" w:type="auto"/>
                  <w:shd w:val="clear" w:color="auto" w:fill="auto"/>
                  <w:vAlign w:val="center"/>
                </w:tcPr>
                <w:p w14:paraId="69BEBC45">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w:t>
                  </w:r>
                </w:p>
              </w:tc>
              <w:tc>
                <w:tcPr>
                  <w:tcW w:w="0" w:type="auto"/>
                  <w:shd w:val="clear" w:color="auto" w:fill="auto"/>
                  <w:vAlign w:val="center"/>
                </w:tcPr>
                <w:p w14:paraId="372B54E4">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w:t>
                  </w:r>
                </w:p>
              </w:tc>
              <w:tc>
                <w:tcPr>
                  <w:tcW w:w="0" w:type="auto"/>
                  <w:shd w:val="clear" w:color="auto" w:fill="auto"/>
                  <w:vAlign w:val="center"/>
                </w:tcPr>
                <w:p w14:paraId="3811EC85">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w:t>
                  </w:r>
                </w:p>
              </w:tc>
              <w:tc>
                <w:tcPr>
                  <w:tcW w:w="0" w:type="auto"/>
                  <w:shd w:val="clear" w:color="auto" w:fill="auto"/>
                  <w:vAlign w:val="center"/>
                </w:tcPr>
                <w:p w14:paraId="2B9F8C5E">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0</w:t>
                  </w:r>
                </w:p>
              </w:tc>
              <w:tc>
                <w:tcPr>
                  <w:tcW w:w="0" w:type="auto"/>
                  <w:shd w:val="clear" w:color="auto" w:fill="auto"/>
                  <w:vAlign w:val="center"/>
                </w:tcPr>
                <w:p w14:paraId="057DE5A9">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0</w:t>
                  </w:r>
                </w:p>
              </w:tc>
              <w:tc>
                <w:tcPr>
                  <w:tcW w:w="0" w:type="auto"/>
                  <w:shd w:val="clear" w:color="auto" w:fill="auto"/>
                  <w:vAlign w:val="center"/>
                </w:tcPr>
                <w:p w14:paraId="40292008">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0</w:t>
                  </w:r>
                </w:p>
              </w:tc>
              <w:tc>
                <w:tcPr>
                  <w:tcW w:w="0" w:type="auto"/>
                  <w:vMerge w:val="restart"/>
                  <w:shd w:val="clear" w:color="auto" w:fill="auto"/>
                  <w:vAlign w:val="center"/>
                </w:tcPr>
                <w:p w14:paraId="0E00753F">
                  <w:pPr>
                    <w:pStyle w:val="50"/>
                    <w:bidi w:val="0"/>
                    <w:rPr>
                      <w:rFonts w:hint="default"/>
                      <w:lang w:val="en-US" w:eastAsia="zh-CN"/>
                    </w:rPr>
                  </w:pPr>
                  <w:r>
                    <w:rPr>
                      <w:rFonts w:hint="eastAsia"/>
                      <w:lang w:val="en-US" w:eastAsia="zh-CN"/>
                    </w:rPr>
                    <w:t>DA003</w:t>
                  </w:r>
                </w:p>
              </w:tc>
              <w:tc>
                <w:tcPr>
                  <w:tcW w:w="0" w:type="auto"/>
                  <w:shd w:val="clear" w:color="auto" w:fill="auto"/>
                  <w:vAlign w:val="center"/>
                </w:tcPr>
                <w:p w14:paraId="29053627">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200</w:t>
                  </w:r>
                </w:p>
              </w:tc>
            </w:tr>
            <w:tr w14:paraId="6D7E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0" w:type="auto"/>
                  <w:vMerge w:val="continue"/>
                  <w:vAlign w:val="center"/>
                </w:tcPr>
                <w:p w14:paraId="3FC45713">
                  <w:pPr>
                    <w:pStyle w:val="50"/>
                    <w:bidi w:val="0"/>
                    <w:rPr>
                      <w:rFonts w:hint="eastAsia"/>
                      <w:lang w:val="en-US" w:eastAsia="zh-CN"/>
                    </w:rPr>
                  </w:pPr>
                </w:p>
              </w:tc>
              <w:tc>
                <w:tcPr>
                  <w:tcW w:w="0" w:type="auto"/>
                  <w:vMerge w:val="continue"/>
                  <w:vAlign w:val="center"/>
                </w:tcPr>
                <w:p w14:paraId="320ECB6B">
                  <w:pPr>
                    <w:pStyle w:val="50"/>
                    <w:bidi w:val="0"/>
                    <w:rPr>
                      <w:rFonts w:hint="eastAsia"/>
                      <w:lang w:val="en-US" w:eastAsia="zh-CN"/>
                    </w:rPr>
                  </w:pPr>
                </w:p>
              </w:tc>
              <w:tc>
                <w:tcPr>
                  <w:tcW w:w="0" w:type="auto"/>
                  <w:vMerge w:val="continue"/>
                  <w:vAlign w:val="center"/>
                </w:tcPr>
                <w:p w14:paraId="45284F08">
                  <w:pPr>
                    <w:pStyle w:val="50"/>
                    <w:bidi w:val="0"/>
                    <w:rPr>
                      <w:rFonts w:hint="eastAsia"/>
                      <w:lang w:val="en-US" w:eastAsia="zh-CN"/>
                    </w:rPr>
                  </w:pPr>
                </w:p>
              </w:tc>
              <w:tc>
                <w:tcPr>
                  <w:tcW w:w="0" w:type="auto"/>
                  <w:shd w:val="clear" w:color="auto" w:fill="auto"/>
                  <w:vAlign w:val="center"/>
                </w:tcPr>
                <w:p w14:paraId="6C0287EA">
                  <w:pPr>
                    <w:pStyle w:val="50"/>
                    <w:bidi w:val="0"/>
                    <w:rPr>
                      <w:rFonts w:hint="eastAsia" w:ascii="Times New Roman" w:hAnsi="Times New Roman" w:eastAsiaTheme="minorEastAsia" w:cstheme="minorEastAsia"/>
                      <w:color w:val="auto"/>
                      <w:kern w:val="2"/>
                      <w:sz w:val="21"/>
                      <w:szCs w:val="21"/>
                      <w:vertAlign w:val="subscript"/>
                      <w:lang w:val="en-US" w:eastAsia="zh-CN" w:bidi="ar-SA"/>
                    </w:rPr>
                  </w:pPr>
                  <w:r>
                    <w:rPr>
                      <w:rFonts w:hint="eastAsia"/>
                      <w:lang w:val="en-US" w:eastAsia="zh-CN"/>
                    </w:rPr>
                    <w:t>NO</w:t>
                  </w:r>
                  <w:r>
                    <w:rPr>
                      <w:rFonts w:hint="eastAsia"/>
                      <w:vertAlign w:val="subscript"/>
                      <w:lang w:val="en-US" w:eastAsia="zh-CN"/>
                    </w:rPr>
                    <w:t>X</w:t>
                  </w:r>
                </w:p>
              </w:tc>
              <w:tc>
                <w:tcPr>
                  <w:tcW w:w="0" w:type="auto"/>
                  <w:shd w:val="clear" w:color="auto" w:fill="auto"/>
                  <w:vAlign w:val="center"/>
                </w:tcPr>
                <w:p w14:paraId="62BAC4F6">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0.125</w:t>
                  </w:r>
                </w:p>
              </w:tc>
              <w:tc>
                <w:tcPr>
                  <w:tcW w:w="0" w:type="auto"/>
                  <w:shd w:val="clear" w:color="auto" w:fill="auto"/>
                  <w:vAlign w:val="center"/>
                </w:tcPr>
                <w:p w14:paraId="570F244A">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0.09</w:t>
                  </w:r>
                </w:p>
              </w:tc>
              <w:tc>
                <w:tcPr>
                  <w:tcW w:w="0" w:type="auto"/>
                  <w:shd w:val="clear" w:color="auto" w:fill="auto"/>
                  <w:vAlign w:val="center"/>
                </w:tcPr>
                <w:p w14:paraId="2867A199">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cstheme="minorEastAsia"/>
                      <w:color w:val="auto"/>
                      <w:kern w:val="2"/>
                      <w:sz w:val="21"/>
                      <w:szCs w:val="21"/>
                      <w:lang w:val="en-US" w:eastAsia="zh-CN" w:bidi="ar-SA"/>
                    </w:rPr>
                    <w:t>137.5</w:t>
                  </w:r>
                </w:p>
              </w:tc>
              <w:tc>
                <w:tcPr>
                  <w:tcW w:w="0" w:type="auto"/>
                  <w:vMerge w:val="continue"/>
                  <w:vAlign w:val="center"/>
                </w:tcPr>
                <w:p w14:paraId="0BC17EC5">
                  <w:pPr>
                    <w:pStyle w:val="50"/>
                    <w:bidi w:val="0"/>
                    <w:rPr>
                      <w:rFonts w:hint="eastAsia"/>
                      <w:lang w:val="en-US" w:eastAsia="zh-CN"/>
                    </w:rPr>
                  </w:pPr>
                </w:p>
              </w:tc>
              <w:tc>
                <w:tcPr>
                  <w:tcW w:w="0" w:type="auto"/>
                  <w:shd w:val="clear" w:color="auto" w:fill="auto"/>
                  <w:vAlign w:val="center"/>
                </w:tcPr>
                <w:p w14:paraId="7FD0C488">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低氮燃烧</w:t>
                  </w:r>
                </w:p>
                <w:p w14:paraId="5C913E51">
                  <w:pPr>
                    <w:pStyle w:val="50"/>
                    <w:bidi w:val="0"/>
                    <w:rPr>
                      <w:rFonts w:hint="eastAsia" w:ascii="Times New Roman" w:hAnsi="Times New Roman" w:eastAsiaTheme="minorEastAsia" w:cstheme="minorEastAsia"/>
                      <w:color w:val="auto"/>
                      <w:kern w:val="2"/>
                      <w:sz w:val="21"/>
                      <w:szCs w:val="21"/>
                      <w:lang w:val="en-US" w:eastAsia="zh-CN" w:bidi="ar-SA"/>
                    </w:rPr>
                  </w:pPr>
                </w:p>
              </w:tc>
              <w:tc>
                <w:tcPr>
                  <w:tcW w:w="0" w:type="auto"/>
                  <w:shd w:val="clear" w:color="auto" w:fill="auto"/>
                  <w:vAlign w:val="center"/>
                </w:tcPr>
                <w:p w14:paraId="39740F8D">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w:t>
                  </w:r>
                </w:p>
              </w:tc>
              <w:tc>
                <w:tcPr>
                  <w:tcW w:w="0" w:type="auto"/>
                  <w:shd w:val="clear" w:color="auto" w:fill="auto"/>
                  <w:vAlign w:val="center"/>
                </w:tcPr>
                <w:p w14:paraId="627DA950">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50</w:t>
                  </w:r>
                </w:p>
              </w:tc>
              <w:tc>
                <w:tcPr>
                  <w:tcW w:w="0" w:type="auto"/>
                  <w:shd w:val="clear" w:color="auto" w:fill="auto"/>
                  <w:vAlign w:val="center"/>
                </w:tcPr>
                <w:p w14:paraId="296AB949">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是</w:t>
                  </w:r>
                </w:p>
              </w:tc>
              <w:tc>
                <w:tcPr>
                  <w:tcW w:w="0" w:type="auto"/>
                  <w:shd w:val="clear" w:color="auto" w:fill="auto"/>
                  <w:vAlign w:val="center"/>
                </w:tcPr>
                <w:p w14:paraId="3A449CE9">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0.0625</w:t>
                  </w:r>
                </w:p>
              </w:tc>
              <w:tc>
                <w:tcPr>
                  <w:tcW w:w="0" w:type="auto"/>
                  <w:shd w:val="clear" w:color="auto" w:fill="auto"/>
                  <w:vAlign w:val="center"/>
                </w:tcPr>
                <w:p w14:paraId="7BC7E755">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0.045</w:t>
                  </w:r>
                </w:p>
              </w:tc>
              <w:tc>
                <w:tcPr>
                  <w:tcW w:w="0" w:type="auto"/>
                  <w:shd w:val="clear" w:color="auto" w:fill="auto"/>
                  <w:vAlign w:val="center"/>
                </w:tcPr>
                <w:p w14:paraId="0DA5B416">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cstheme="minorEastAsia"/>
                      <w:color w:val="auto"/>
                      <w:kern w:val="2"/>
                      <w:sz w:val="21"/>
                      <w:szCs w:val="21"/>
                      <w:lang w:val="en-US" w:eastAsia="zh-CN" w:bidi="ar-SA"/>
                    </w:rPr>
                    <w:t>68.75</w:t>
                  </w:r>
                </w:p>
              </w:tc>
              <w:tc>
                <w:tcPr>
                  <w:tcW w:w="0" w:type="auto"/>
                  <w:vMerge w:val="continue"/>
                  <w:vAlign w:val="center"/>
                </w:tcPr>
                <w:p w14:paraId="78BFBB59">
                  <w:pPr>
                    <w:pStyle w:val="50"/>
                    <w:bidi w:val="0"/>
                    <w:rPr>
                      <w:rFonts w:hint="eastAsia"/>
                      <w:lang w:val="en-US" w:eastAsia="zh-CN"/>
                    </w:rPr>
                  </w:pPr>
                </w:p>
              </w:tc>
              <w:tc>
                <w:tcPr>
                  <w:tcW w:w="0" w:type="auto"/>
                  <w:shd w:val="clear" w:color="auto" w:fill="auto"/>
                  <w:vAlign w:val="center"/>
                </w:tcPr>
                <w:p w14:paraId="1A719FD0">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cstheme="minorEastAsia"/>
                      <w:color w:val="auto"/>
                      <w:kern w:val="2"/>
                      <w:sz w:val="21"/>
                      <w:szCs w:val="21"/>
                      <w:lang w:val="en-US" w:eastAsia="zh-CN" w:bidi="ar-SA"/>
                    </w:rPr>
                    <w:t>300</w:t>
                  </w:r>
                </w:p>
              </w:tc>
            </w:tr>
            <w:tr w14:paraId="2707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E9FB823">
                  <w:pPr>
                    <w:pStyle w:val="50"/>
                    <w:bidi w:val="0"/>
                    <w:rPr>
                      <w:rFonts w:hint="eastAsia"/>
                      <w:lang w:val="en-US" w:eastAsia="zh-CN"/>
                    </w:rPr>
                  </w:pPr>
                </w:p>
              </w:tc>
              <w:tc>
                <w:tcPr>
                  <w:tcW w:w="0" w:type="auto"/>
                  <w:vMerge w:val="continue"/>
                  <w:vAlign w:val="center"/>
                </w:tcPr>
                <w:p w14:paraId="55350216">
                  <w:pPr>
                    <w:pStyle w:val="50"/>
                    <w:bidi w:val="0"/>
                    <w:rPr>
                      <w:rFonts w:hint="eastAsia"/>
                      <w:lang w:val="en-US" w:eastAsia="zh-CN"/>
                    </w:rPr>
                  </w:pPr>
                </w:p>
              </w:tc>
              <w:tc>
                <w:tcPr>
                  <w:tcW w:w="0" w:type="auto"/>
                  <w:vMerge w:val="continue"/>
                  <w:vAlign w:val="center"/>
                </w:tcPr>
                <w:p w14:paraId="0066B97B">
                  <w:pPr>
                    <w:pStyle w:val="50"/>
                    <w:bidi w:val="0"/>
                    <w:rPr>
                      <w:rFonts w:hint="eastAsia"/>
                      <w:lang w:val="en-US" w:eastAsia="zh-CN"/>
                    </w:rPr>
                  </w:pPr>
                </w:p>
              </w:tc>
              <w:tc>
                <w:tcPr>
                  <w:tcW w:w="0" w:type="auto"/>
                  <w:shd w:val="clear" w:color="auto" w:fill="auto"/>
                  <w:vAlign w:val="center"/>
                </w:tcPr>
                <w:p w14:paraId="2C74436A">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颗粒物</w:t>
                  </w:r>
                </w:p>
              </w:tc>
              <w:tc>
                <w:tcPr>
                  <w:tcW w:w="0" w:type="auto"/>
                  <w:shd w:val="clear" w:color="auto" w:fill="auto"/>
                  <w:vAlign w:val="center"/>
                </w:tcPr>
                <w:p w14:paraId="698CE806">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0.02</w:t>
                  </w:r>
                </w:p>
              </w:tc>
              <w:tc>
                <w:tcPr>
                  <w:tcW w:w="0" w:type="auto"/>
                  <w:shd w:val="clear" w:color="auto" w:fill="auto"/>
                  <w:vAlign w:val="center"/>
                </w:tcPr>
                <w:p w14:paraId="26135ABE">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0.013</w:t>
                  </w:r>
                </w:p>
              </w:tc>
              <w:tc>
                <w:tcPr>
                  <w:tcW w:w="0" w:type="auto"/>
                  <w:shd w:val="clear" w:color="auto" w:fill="auto"/>
                  <w:vAlign w:val="center"/>
                </w:tcPr>
                <w:p w14:paraId="36024B82">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21.03</w:t>
                  </w:r>
                </w:p>
              </w:tc>
              <w:tc>
                <w:tcPr>
                  <w:tcW w:w="0" w:type="auto"/>
                  <w:vMerge w:val="continue"/>
                  <w:vAlign w:val="center"/>
                </w:tcPr>
                <w:p w14:paraId="75B1DE0B">
                  <w:pPr>
                    <w:pStyle w:val="50"/>
                    <w:bidi w:val="0"/>
                    <w:rPr>
                      <w:rFonts w:hint="eastAsia"/>
                      <w:lang w:val="en-US" w:eastAsia="zh-CN"/>
                    </w:rPr>
                  </w:pPr>
                </w:p>
              </w:tc>
              <w:tc>
                <w:tcPr>
                  <w:tcW w:w="0" w:type="auto"/>
                  <w:shd w:val="clear" w:color="auto" w:fill="auto"/>
                  <w:vAlign w:val="center"/>
                </w:tcPr>
                <w:p w14:paraId="228546C8">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w:t>
                  </w:r>
                </w:p>
              </w:tc>
              <w:tc>
                <w:tcPr>
                  <w:tcW w:w="0" w:type="auto"/>
                  <w:shd w:val="clear" w:color="auto" w:fill="auto"/>
                  <w:vAlign w:val="center"/>
                </w:tcPr>
                <w:p w14:paraId="1C1FF081">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w:t>
                  </w:r>
                </w:p>
              </w:tc>
              <w:tc>
                <w:tcPr>
                  <w:tcW w:w="0" w:type="auto"/>
                  <w:shd w:val="clear" w:color="auto" w:fill="auto"/>
                  <w:vAlign w:val="center"/>
                </w:tcPr>
                <w:p w14:paraId="42520B7E">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w:t>
                  </w:r>
                </w:p>
              </w:tc>
              <w:tc>
                <w:tcPr>
                  <w:tcW w:w="0" w:type="auto"/>
                  <w:shd w:val="clear" w:color="auto" w:fill="auto"/>
                  <w:vAlign w:val="center"/>
                </w:tcPr>
                <w:p w14:paraId="28C6A172">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w:t>
                  </w:r>
                </w:p>
              </w:tc>
              <w:tc>
                <w:tcPr>
                  <w:tcW w:w="0" w:type="auto"/>
                  <w:shd w:val="clear" w:color="auto" w:fill="auto"/>
                  <w:vAlign w:val="center"/>
                </w:tcPr>
                <w:p w14:paraId="2C443F65">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0.02</w:t>
                  </w:r>
                </w:p>
              </w:tc>
              <w:tc>
                <w:tcPr>
                  <w:tcW w:w="0" w:type="auto"/>
                  <w:shd w:val="clear" w:color="auto" w:fill="auto"/>
                  <w:vAlign w:val="center"/>
                </w:tcPr>
                <w:p w14:paraId="74F5AA40">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0.013</w:t>
                  </w:r>
                </w:p>
              </w:tc>
              <w:tc>
                <w:tcPr>
                  <w:tcW w:w="0" w:type="auto"/>
                  <w:shd w:val="clear" w:color="auto" w:fill="auto"/>
                  <w:vAlign w:val="center"/>
                </w:tcPr>
                <w:p w14:paraId="65EA1E26">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21.03</w:t>
                  </w:r>
                </w:p>
              </w:tc>
              <w:tc>
                <w:tcPr>
                  <w:tcW w:w="0" w:type="auto"/>
                  <w:vMerge w:val="continue"/>
                  <w:vAlign w:val="center"/>
                </w:tcPr>
                <w:p w14:paraId="1AD0856A">
                  <w:pPr>
                    <w:pStyle w:val="50"/>
                    <w:bidi w:val="0"/>
                    <w:rPr>
                      <w:rFonts w:hint="eastAsia"/>
                      <w:lang w:val="en-US" w:eastAsia="zh-CN"/>
                    </w:rPr>
                  </w:pPr>
                </w:p>
              </w:tc>
              <w:tc>
                <w:tcPr>
                  <w:tcW w:w="0" w:type="auto"/>
                  <w:shd w:val="clear" w:color="auto" w:fill="auto"/>
                  <w:vAlign w:val="center"/>
                </w:tcPr>
                <w:p w14:paraId="4B302AC8">
                  <w:pPr>
                    <w:pStyle w:val="50"/>
                    <w:bidi w:val="0"/>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30</w:t>
                  </w:r>
                </w:p>
              </w:tc>
            </w:tr>
            <w:tr w14:paraId="0BD9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0614F44">
                  <w:pPr>
                    <w:pStyle w:val="50"/>
                    <w:bidi w:val="0"/>
                    <w:rPr>
                      <w:rFonts w:hint="eastAsia"/>
                      <w:lang w:val="en-US" w:eastAsia="zh-CN"/>
                    </w:rPr>
                  </w:pPr>
                </w:p>
              </w:tc>
              <w:tc>
                <w:tcPr>
                  <w:tcW w:w="0" w:type="auto"/>
                  <w:vMerge w:val="continue"/>
                  <w:vAlign w:val="center"/>
                </w:tcPr>
                <w:p w14:paraId="60624F66">
                  <w:pPr>
                    <w:pStyle w:val="50"/>
                    <w:bidi w:val="0"/>
                    <w:rPr>
                      <w:rFonts w:hint="eastAsia"/>
                      <w:lang w:val="en-US" w:eastAsia="zh-CN"/>
                    </w:rPr>
                  </w:pPr>
                </w:p>
              </w:tc>
              <w:tc>
                <w:tcPr>
                  <w:tcW w:w="0" w:type="auto"/>
                  <w:vAlign w:val="center"/>
                </w:tcPr>
                <w:p w14:paraId="66BB573B">
                  <w:pPr>
                    <w:pStyle w:val="50"/>
                    <w:bidi w:val="0"/>
                    <w:rPr>
                      <w:rFonts w:hint="default"/>
                      <w:lang w:val="en-US" w:eastAsia="zh-CN"/>
                    </w:rPr>
                  </w:pPr>
                  <w:r>
                    <w:rPr>
                      <w:rFonts w:hint="eastAsia"/>
                      <w:lang w:val="en-US" w:eastAsia="zh-CN"/>
                    </w:rPr>
                    <w:t>有组织</w:t>
                  </w:r>
                </w:p>
              </w:tc>
              <w:tc>
                <w:tcPr>
                  <w:tcW w:w="0" w:type="auto"/>
                  <w:vMerge w:val="restart"/>
                  <w:shd w:val="clear" w:color="auto" w:fill="auto"/>
                  <w:vAlign w:val="center"/>
                </w:tcPr>
                <w:p w14:paraId="6486D763">
                  <w:pPr>
                    <w:pStyle w:val="50"/>
                    <w:bidi w:val="0"/>
                    <w:rPr>
                      <w:rFonts w:hint="eastAsia"/>
                      <w:lang w:val="en-US" w:eastAsia="zh-CN"/>
                    </w:rPr>
                  </w:pPr>
                  <w:r>
                    <w:rPr>
                      <w:rFonts w:hint="eastAsia"/>
                      <w:lang w:val="en-US" w:eastAsia="zh-CN"/>
                    </w:rPr>
                    <w:t>非甲烷总烃</w:t>
                  </w:r>
                </w:p>
              </w:tc>
              <w:tc>
                <w:tcPr>
                  <w:tcW w:w="0" w:type="auto"/>
                  <w:shd w:val="clear" w:color="auto" w:fill="auto"/>
                  <w:vAlign w:val="center"/>
                </w:tcPr>
                <w:p w14:paraId="70CE7DA5">
                  <w:pPr>
                    <w:pStyle w:val="50"/>
                    <w:bidi w:val="0"/>
                    <w:rPr>
                      <w:rFonts w:hint="default"/>
                      <w:lang w:val="en-US" w:eastAsia="zh-CN"/>
                    </w:rPr>
                  </w:pPr>
                  <w:r>
                    <w:rPr>
                      <w:rFonts w:hint="eastAsia"/>
                      <w:lang w:val="en-US" w:eastAsia="zh-CN"/>
                    </w:rPr>
                    <w:t>0.169</w:t>
                  </w:r>
                </w:p>
              </w:tc>
              <w:tc>
                <w:tcPr>
                  <w:tcW w:w="0" w:type="auto"/>
                  <w:shd w:val="clear" w:color="auto" w:fill="auto"/>
                  <w:vAlign w:val="center"/>
                </w:tcPr>
                <w:p w14:paraId="129877AC">
                  <w:pPr>
                    <w:pStyle w:val="50"/>
                    <w:bidi w:val="0"/>
                    <w:rPr>
                      <w:rFonts w:hint="default"/>
                      <w:lang w:val="en-US" w:eastAsia="zh-CN"/>
                    </w:rPr>
                  </w:pPr>
                  <w:r>
                    <w:rPr>
                      <w:rFonts w:hint="eastAsia"/>
                      <w:lang w:val="en-US" w:eastAsia="zh-CN"/>
                    </w:rPr>
                    <w:t>0.117</w:t>
                  </w:r>
                </w:p>
              </w:tc>
              <w:tc>
                <w:tcPr>
                  <w:tcW w:w="0" w:type="auto"/>
                  <w:shd w:val="clear" w:color="auto" w:fill="auto"/>
                  <w:vAlign w:val="center"/>
                </w:tcPr>
                <w:p w14:paraId="0DA9453A">
                  <w:pPr>
                    <w:pStyle w:val="50"/>
                    <w:bidi w:val="0"/>
                    <w:rPr>
                      <w:rFonts w:hint="default"/>
                      <w:lang w:val="en-US" w:eastAsia="zh-CN"/>
                    </w:rPr>
                  </w:pPr>
                  <w:r>
                    <w:rPr>
                      <w:rFonts w:hint="eastAsia"/>
                      <w:lang w:val="en-US" w:eastAsia="zh-CN"/>
                    </w:rPr>
                    <w:t>124.85</w:t>
                  </w:r>
                </w:p>
              </w:tc>
              <w:tc>
                <w:tcPr>
                  <w:tcW w:w="0" w:type="auto"/>
                  <w:vMerge w:val="restart"/>
                  <w:vAlign w:val="center"/>
                </w:tcPr>
                <w:p w14:paraId="2102966B">
                  <w:pPr>
                    <w:pStyle w:val="50"/>
                    <w:bidi w:val="0"/>
                    <w:rPr>
                      <w:rFonts w:hint="default"/>
                      <w:lang w:val="en-US" w:eastAsia="zh-CN"/>
                    </w:rPr>
                  </w:pPr>
                  <w:r>
                    <w:rPr>
                      <w:rFonts w:hint="eastAsia"/>
                      <w:lang w:val="en-US" w:eastAsia="zh-CN"/>
                    </w:rPr>
                    <w:t>TA004</w:t>
                  </w:r>
                </w:p>
              </w:tc>
              <w:tc>
                <w:tcPr>
                  <w:tcW w:w="0" w:type="auto"/>
                  <w:shd w:val="clear" w:color="auto" w:fill="auto"/>
                  <w:vAlign w:val="center"/>
                </w:tcPr>
                <w:p w14:paraId="4E899F63">
                  <w:pPr>
                    <w:pStyle w:val="50"/>
                    <w:bidi w:val="0"/>
                    <w:rPr>
                      <w:rFonts w:hint="default"/>
                      <w:lang w:val="en-US" w:eastAsia="zh-CN"/>
                    </w:rPr>
                  </w:pPr>
                  <w:r>
                    <w:rPr>
                      <w:rFonts w:hint="eastAsia"/>
                      <w:lang w:val="en-US" w:eastAsia="zh-CN"/>
                    </w:rPr>
                    <w:t>二级活性炭吸附装置</w:t>
                  </w:r>
                </w:p>
                <w:p w14:paraId="646977F1">
                  <w:pPr>
                    <w:pStyle w:val="50"/>
                    <w:bidi w:val="0"/>
                    <w:rPr>
                      <w:rFonts w:hint="default"/>
                      <w:lang w:val="en-US" w:eastAsia="zh-CN"/>
                    </w:rPr>
                  </w:pPr>
                </w:p>
              </w:tc>
              <w:tc>
                <w:tcPr>
                  <w:tcW w:w="0" w:type="auto"/>
                  <w:shd w:val="clear" w:color="auto" w:fill="auto"/>
                  <w:vAlign w:val="center"/>
                </w:tcPr>
                <w:p w14:paraId="24E9A08F">
                  <w:pPr>
                    <w:pStyle w:val="50"/>
                    <w:bidi w:val="0"/>
                    <w:rPr>
                      <w:rFonts w:hint="default"/>
                      <w:lang w:val="en-US" w:eastAsia="zh-CN"/>
                    </w:rPr>
                  </w:pPr>
                  <w:r>
                    <w:rPr>
                      <w:rFonts w:hint="eastAsia"/>
                      <w:lang w:val="en-US" w:eastAsia="zh-CN"/>
                    </w:rPr>
                    <w:t>90</w:t>
                  </w:r>
                </w:p>
              </w:tc>
              <w:tc>
                <w:tcPr>
                  <w:tcW w:w="0" w:type="auto"/>
                  <w:shd w:val="clear" w:color="auto" w:fill="auto"/>
                  <w:vAlign w:val="center"/>
                </w:tcPr>
                <w:p w14:paraId="503A87BA">
                  <w:pPr>
                    <w:pStyle w:val="50"/>
                    <w:bidi w:val="0"/>
                    <w:rPr>
                      <w:rFonts w:hint="default"/>
                      <w:lang w:val="en-US" w:eastAsia="zh-CN"/>
                    </w:rPr>
                  </w:pPr>
                  <w:r>
                    <w:rPr>
                      <w:rFonts w:hint="eastAsia"/>
                      <w:lang w:val="en-US" w:eastAsia="zh-CN"/>
                    </w:rPr>
                    <w:t>51</w:t>
                  </w:r>
                </w:p>
              </w:tc>
              <w:tc>
                <w:tcPr>
                  <w:tcW w:w="0" w:type="auto"/>
                  <w:shd w:val="clear" w:color="auto" w:fill="auto"/>
                  <w:vAlign w:val="center"/>
                </w:tcPr>
                <w:p w14:paraId="6427195B">
                  <w:pPr>
                    <w:pStyle w:val="50"/>
                    <w:bidi w:val="0"/>
                    <w:rPr>
                      <w:rFonts w:hint="default"/>
                      <w:lang w:val="en-US" w:eastAsia="zh-CN"/>
                    </w:rPr>
                  </w:pPr>
                  <w:r>
                    <w:rPr>
                      <w:rFonts w:hint="eastAsia"/>
                      <w:lang w:val="en-US" w:eastAsia="zh-CN"/>
                    </w:rPr>
                    <w:t>是</w:t>
                  </w:r>
                </w:p>
              </w:tc>
              <w:tc>
                <w:tcPr>
                  <w:tcW w:w="0" w:type="auto"/>
                  <w:shd w:val="clear" w:color="auto" w:fill="auto"/>
                  <w:vAlign w:val="center"/>
                </w:tcPr>
                <w:p w14:paraId="428EAB70">
                  <w:pPr>
                    <w:pStyle w:val="50"/>
                    <w:bidi w:val="0"/>
                    <w:rPr>
                      <w:rFonts w:hint="default"/>
                      <w:lang w:val="en-US" w:eastAsia="zh-CN"/>
                    </w:rPr>
                  </w:pPr>
                  <w:r>
                    <w:rPr>
                      <w:rFonts w:hint="eastAsia"/>
                      <w:lang w:val="en-US" w:eastAsia="zh-CN"/>
                    </w:rPr>
                    <w:t>0.083</w:t>
                  </w:r>
                </w:p>
              </w:tc>
              <w:tc>
                <w:tcPr>
                  <w:tcW w:w="0" w:type="auto"/>
                  <w:shd w:val="clear" w:color="auto" w:fill="auto"/>
                  <w:vAlign w:val="center"/>
                </w:tcPr>
                <w:p w14:paraId="2E46014D">
                  <w:pPr>
                    <w:pStyle w:val="50"/>
                    <w:bidi w:val="0"/>
                    <w:rPr>
                      <w:rFonts w:hint="default"/>
                      <w:lang w:val="en-US" w:eastAsia="zh-CN"/>
                    </w:rPr>
                  </w:pPr>
                  <w:r>
                    <w:rPr>
                      <w:rFonts w:hint="eastAsia"/>
                      <w:lang w:val="en-US" w:eastAsia="zh-CN"/>
                    </w:rPr>
                    <w:t>0.057</w:t>
                  </w:r>
                </w:p>
              </w:tc>
              <w:tc>
                <w:tcPr>
                  <w:tcW w:w="0" w:type="auto"/>
                  <w:shd w:val="clear" w:color="auto" w:fill="auto"/>
                  <w:vAlign w:val="center"/>
                </w:tcPr>
                <w:p w14:paraId="77AF4B6C">
                  <w:pPr>
                    <w:pStyle w:val="50"/>
                    <w:bidi w:val="0"/>
                    <w:rPr>
                      <w:rFonts w:hint="default"/>
                      <w:lang w:val="en-US" w:eastAsia="zh-CN"/>
                    </w:rPr>
                  </w:pPr>
                  <w:r>
                    <w:rPr>
                      <w:rFonts w:hint="eastAsia"/>
                      <w:lang w:val="en-US" w:eastAsia="zh-CN"/>
                    </w:rPr>
                    <w:t>61.18</w:t>
                  </w:r>
                </w:p>
              </w:tc>
              <w:tc>
                <w:tcPr>
                  <w:tcW w:w="0" w:type="auto"/>
                  <w:vAlign w:val="center"/>
                </w:tcPr>
                <w:p w14:paraId="019928EC">
                  <w:pPr>
                    <w:pStyle w:val="50"/>
                    <w:bidi w:val="0"/>
                    <w:rPr>
                      <w:rFonts w:hint="default"/>
                      <w:lang w:val="en-US" w:eastAsia="zh-CN"/>
                    </w:rPr>
                  </w:pPr>
                  <w:r>
                    <w:rPr>
                      <w:rFonts w:hint="eastAsia"/>
                      <w:lang w:val="en-US" w:eastAsia="zh-CN"/>
                    </w:rPr>
                    <w:t>DA003</w:t>
                  </w:r>
                </w:p>
              </w:tc>
              <w:tc>
                <w:tcPr>
                  <w:tcW w:w="0" w:type="auto"/>
                  <w:shd w:val="clear" w:color="auto" w:fill="auto"/>
                  <w:vAlign w:val="center"/>
                </w:tcPr>
                <w:p w14:paraId="5DBC1FC6">
                  <w:pPr>
                    <w:pStyle w:val="50"/>
                    <w:bidi w:val="0"/>
                    <w:rPr>
                      <w:rFonts w:hint="default"/>
                      <w:lang w:val="en-US" w:eastAsia="zh-CN"/>
                    </w:rPr>
                  </w:pPr>
                  <w:r>
                    <w:rPr>
                      <w:rFonts w:hint="eastAsia"/>
                      <w:lang w:val="en-US" w:eastAsia="zh-CN"/>
                    </w:rPr>
                    <w:t>120</w:t>
                  </w:r>
                </w:p>
              </w:tc>
            </w:tr>
            <w:tr w14:paraId="67D4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692FDAF">
                  <w:pPr>
                    <w:pStyle w:val="50"/>
                    <w:bidi w:val="0"/>
                    <w:rPr>
                      <w:rFonts w:hint="eastAsia"/>
                      <w:lang w:val="en-US" w:eastAsia="zh-CN"/>
                    </w:rPr>
                  </w:pPr>
                </w:p>
              </w:tc>
              <w:tc>
                <w:tcPr>
                  <w:tcW w:w="0" w:type="auto"/>
                  <w:vMerge w:val="continue"/>
                  <w:vAlign w:val="center"/>
                </w:tcPr>
                <w:p w14:paraId="153CC55F">
                  <w:pPr>
                    <w:pStyle w:val="50"/>
                    <w:bidi w:val="0"/>
                    <w:rPr>
                      <w:rFonts w:hint="eastAsia"/>
                      <w:lang w:val="en-US" w:eastAsia="zh-CN"/>
                    </w:rPr>
                  </w:pPr>
                </w:p>
              </w:tc>
              <w:tc>
                <w:tcPr>
                  <w:tcW w:w="0" w:type="auto"/>
                  <w:vAlign w:val="center"/>
                </w:tcPr>
                <w:p w14:paraId="64F3641F">
                  <w:pPr>
                    <w:pStyle w:val="50"/>
                    <w:bidi w:val="0"/>
                    <w:rPr>
                      <w:rFonts w:hint="default"/>
                      <w:lang w:val="en-US" w:eastAsia="zh-CN"/>
                    </w:rPr>
                  </w:pPr>
                  <w:r>
                    <w:rPr>
                      <w:rFonts w:hint="eastAsia"/>
                      <w:lang w:val="en-US" w:eastAsia="zh-CN"/>
                    </w:rPr>
                    <w:t>无组织</w:t>
                  </w:r>
                </w:p>
              </w:tc>
              <w:tc>
                <w:tcPr>
                  <w:tcW w:w="0" w:type="auto"/>
                  <w:vMerge w:val="continue"/>
                  <w:shd w:val="clear" w:color="auto" w:fill="auto"/>
                  <w:vAlign w:val="center"/>
                </w:tcPr>
                <w:p w14:paraId="6A9E8EB3">
                  <w:pPr>
                    <w:pStyle w:val="50"/>
                    <w:bidi w:val="0"/>
                    <w:rPr>
                      <w:rFonts w:hint="eastAsia"/>
                      <w:lang w:val="en-US" w:eastAsia="zh-CN"/>
                    </w:rPr>
                  </w:pPr>
                </w:p>
              </w:tc>
              <w:tc>
                <w:tcPr>
                  <w:tcW w:w="0" w:type="auto"/>
                  <w:shd w:val="clear" w:color="auto" w:fill="auto"/>
                  <w:vAlign w:val="center"/>
                </w:tcPr>
                <w:p w14:paraId="2CF24A44">
                  <w:pPr>
                    <w:pStyle w:val="50"/>
                    <w:bidi w:val="0"/>
                    <w:rPr>
                      <w:rFonts w:hint="default"/>
                      <w:lang w:val="en-US" w:eastAsia="zh-CN"/>
                    </w:rPr>
                  </w:pPr>
                  <w:r>
                    <w:rPr>
                      <w:rFonts w:hint="eastAsia"/>
                      <w:lang w:val="en-US" w:eastAsia="zh-CN"/>
                    </w:rPr>
                    <w:t>0.019</w:t>
                  </w:r>
                </w:p>
              </w:tc>
              <w:tc>
                <w:tcPr>
                  <w:tcW w:w="0" w:type="auto"/>
                  <w:shd w:val="clear" w:color="auto" w:fill="auto"/>
                  <w:vAlign w:val="center"/>
                </w:tcPr>
                <w:p w14:paraId="6869E100">
                  <w:pPr>
                    <w:pStyle w:val="50"/>
                    <w:bidi w:val="0"/>
                    <w:rPr>
                      <w:rFonts w:hint="default"/>
                      <w:lang w:val="en-US" w:eastAsia="zh-CN"/>
                    </w:rPr>
                  </w:pPr>
                  <w:r>
                    <w:rPr>
                      <w:rFonts w:hint="eastAsia"/>
                      <w:lang w:val="en-US" w:eastAsia="zh-CN"/>
                    </w:rPr>
                    <w:t>0.013</w:t>
                  </w:r>
                </w:p>
              </w:tc>
              <w:tc>
                <w:tcPr>
                  <w:tcW w:w="0" w:type="auto"/>
                  <w:shd w:val="clear" w:color="auto" w:fill="auto"/>
                  <w:vAlign w:val="center"/>
                </w:tcPr>
                <w:p w14:paraId="70D4F821">
                  <w:pPr>
                    <w:pStyle w:val="50"/>
                    <w:bidi w:val="0"/>
                    <w:rPr>
                      <w:rFonts w:hint="default"/>
                      <w:lang w:val="en-US" w:eastAsia="zh-CN"/>
                    </w:rPr>
                  </w:pPr>
                  <w:r>
                    <w:rPr>
                      <w:rFonts w:hint="eastAsia"/>
                      <w:lang w:val="en-US" w:eastAsia="zh-CN"/>
                    </w:rPr>
                    <w:t>/</w:t>
                  </w:r>
                </w:p>
              </w:tc>
              <w:tc>
                <w:tcPr>
                  <w:tcW w:w="0" w:type="auto"/>
                  <w:vMerge w:val="continue"/>
                  <w:vAlign w:val="center"/>
                </w:tcPr>
                <w:p w14:paraId="18C5364D">
                  <w:pPr>
                    <w:pStyle w:val="50"/>
                    <w:bidi w:val="0"/>
                    <w:rPr>
                      <w:rFonts w:hint="eastAsia"/>
                      <w:lang w:val="en-US" w:eastAsia="zh-CN"/>
                    </w:rPr>
                  </w:pPr>
                </w:p>
              </w:tc>
              <w:tc>
                <w:tcPr>
                  <w:tcW w:w="0" w:type="auto"/>
                  <w:shd w:val="clear" w:color="auto" w:fill="auto"/>
                  <w:vAlign w:val="center"/>
                </w:tcPr>
                <w:p w14:paraId="4C37C0B9">
                  <w:pPr>
                    <w:pStyle w:val="50"/>
                    <w:bidi w:val="0"/>
                    <w:rPr>
                      <w:rFonts w:hint="default"/>
                      <w:lang w:val="en-US" w:eastAsia="zh-CN"/>
                    </w:rPr>
                  </w:pPr>
                </w:p>
              </w:tc>
              <w:tc>
                <w:tcPr>
                  <w:tcW w:w="0" w:type="auto"/>
                  <w:shd w:val="clear" w:color="auto" w:fill="auto"/>
                  <w:vAlign w:val="center"/>
                </w:tcPr>
                <w:p w14:paraId="5F3860B2">
                  <w:pPr>
                    <w:pStyle w:val="50"/>
                    <w:bidi w:val="0"/>
                    <w:rPr>
                      <w:rFonts w:hint="default"/>
                      <w:lang w:val="en-US" w:eastAsia="zh-CN"/>
                    </w:rPr>
                  </w:pPr>
                  <w:r>
                    <w:rPr>
                      <w:rFonts w:hint="eastAsia"/>
                      <w:lang w:val="en-US" w:eastAsia="zh-CN"/>
                    </w:rPr>
                    <w:t>/</w:t>
                  </w:r>
                </w:p>
              </w:tc>
              <w:tc>
                <w:tcPr>
                  <w:tcW w:w="0" w:type="auto"/>
                  <w:shd w:val="clear" w:color="auto" w:fill="auto"/>
                  <w:vAlign w:val="center"/>
                </w:tcPr>
                <w:p w14:paraId="480F1C1C">
                  <w:pPr>
                    <w:pStyle w:val="50"/>
                    <w:bidi w:val="0"/>
                    <w:rPr>
                      <w:rFonts w:hint="default"/>
                      <w:lang w:val="en-US" w:eastAsia="zh-CN"/>
                    </w:rPr>
                  </w:pPr>
                  <w:r>
                    <w:rPr>
                      <w:rFonts w:hint="eastAsia"/>
                      <w:lang w:val="en-US" w:eastAsia="zh-CN"/>
                    </w:rPr>
                    <w:t>/</w:t>
                  </w:r>
                </w:p>
              </w:tc>
              <w:tc>
                <w:tcPr>
                  <w:tcW w:w="0" w:type="auto"/>
                  <w:shd w:val="clear" w:color="auto" w:fill="auto"/>
                  <w:vAlign w:val="center"/>
                </w:tcPr>
                <w:p w14:paraId="294BC321">
                  <w:pPr>
                    <w:pStyle w:val="50"/>
                    <w:bidi w:val="0"/>
                    <w:rPr>
                      <w:rFonts w:hint="default"/>
                      <w:lang w:val="en-US" w:eastAsia="zh-CN"/>
                    </w:rPr>
                  </w:pPr>
                  <w:r>
                    <w:rPr>
                      <w:rFonts w:hint="eastAsia"/>
                      <w:lang w:val="en-US" w:eastAsia="zh-CN"/>
                    </w:rPr>
                    <w:t>/</w:t>
                  </w:r>
                </w:p>
              </w:tc>
              <w:tc>
                <w:tcPr>
                  <w:tcW w:w="0" w:type="auto"/>
                  <w:shd w:val="clear" w:color="auto" w:fill="auto"/>
                  <w:vAlign w:val="center"/>
                </w:tcPr>
                <w:p w14:paraId="39F5139D">
                  <w:pPr>
                    <w:pStyle w:val="50"/>
                    <w:bidi w:val="0"/>
                    <w:rPr>
                      <w:rFonts w:hint="default"/>
                      <w:lang w:val="en-US" w:eastAsia="zh-CN"/>
                    </w:rPr>
                  </w:pPr>
                  <w:r>
                    <w:rPr>
                      <w:rFonts w:hint="eastAsia"/>
                      <w:lang w:val="en-US" w:eastAsia="zh-CN"/>
                    </w:rPr>
                    <w:t>0.019</w:t>
                  </w:r>
                </w:p>
              </w:tc>
              <w:tc>
                <w:tcPr>
                  <w:tcW w:w="0" w:type="auto"/>
                  <w:shd w:val="clear" w:color="auto" w:fill="auto"/>
                  <w:vAlign w:val="center"/>
                </w:tcPr>
                <w:p w14:paraId="20754982">
                  <w:pPr>
                    <w:pStyle w:val="50"/>
                    <w:bidi w:val="0"/>
                    <w:rPr>
                      <w:rFonts w:hint="default"/>
                      <w:lang w:val="en-US" w:eastAsia="zh-CN"/>
                    </w:rPr>
                  </w:pPr>
                  <w:r>
                    <w:rPr>
                      <w:rFonts w:hint="eastAsia"/>
                      <w:lang w:val="en-US" w:eastAsia="zh-CN"/>
                    </w:rPr>
                    <w:t>0.013</w:t>
                  </w:r>
                </w:p>
              </w:tc>
              <w:tc>
                <w:tcPr>
                  <w:tcW w:w="0" w:type="auto"/>
                  <w:shd w:val="clear" w:color="auto" w:fill="auto"/>
                  <w:vAlign w:val="center"/>
                </w:tcPr>
                <w:p w14:paraId="486F300A">
                  <w:pPr>
                    <w:pStyle w:val="50"/>
                    <w:bidi w:val="0"/>
                    <w:rPr>
                      <w:rFonts w:hint="default"/>
                      <w:lang w:val="en-US" w:eastAsia="zh-CN"/>
                    </w:rPr>
                  </w:pPr>
                  <w:r>
                    <w:rPr>
                      <w:rFonts w:hint="eastAsia"/>
                      <w:lang w:val="en-US" w:eastAsia="zh-CN"/>
                    </w:rPr>
                    <w:t>/</w:t>
                  </w:r>
                </w:p>
              </w:tc>
              <w:tc>
                <w:tcPr>
                  <w:tcW w:w="0" w:type="auto"/>
                  <w:vAlign w:val="center"/>
                </w:tcPr>
                <w:p w14:paraId="6682EDA3">
                  <w:pPr>
                    <w:pStyle w:val="50"/>
                    <w:bidi w:val="0"/>
                    <w:rPr>
                      <w:rFonts w:hint="default"/>
                      <w:lang w:val="en-US" w:eastAsia="zh-CN"/>
                    </w:rPr>
                  </w:pPr>
                  <w:r>
                    <w:rPr>
                      <w:rFonts w:hint="eastAsia"/>
                      <w:lang w:val="en-US" w:eastAsia="zh-CN"/>
                    </w:rPr>
                    <w:t>/</w:t>
                  </w:r>
                </w:p>
              </w:tc>
              <w:tc>
                <w:tcPr>
                  <w:tcW w:w="0" w:type="auto"/>
                  <w:shd w:val="clear" w:color="auto" w:fill="auto"/>
                  <w:vAlign w:val="center"/>
                </w:tcPr>
                <w:p w14:paraId="69848314">
                  <w:pPr>
                    <w:pStyle w:val="50"/>
                    <w:bidi w:val="0"/>
                    <w:rPr>
                      <w:rFonts w:hint="default"/>
                      <w:lang w:val="en-US" w:eastAsia="zh-CN"/>
                    </w:rPr>
                  </w:pPr>
                  <w:r>
                    <w:rPr>
                      <w:rFonts w:hint="eastAsia"/>
                      <w:lang w:val="en-US" w:eastAsia="zh-CN"/>
                    </w:rPr>
                    <w:t>4</w:t>
                  </w:r>
                </w:p>
              </w:tc>
            </w:tr>
            <w:tr w14:paraId="527C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D74C629">
                  <w:pPr>
                    <w:pStyle w:val="50"/>
                    <w:bidi w:val="0"/>
                    <w:rPr>
                      <w:rFonts w:hint="eastAsia"/>
                      <w:lang w:val="en-US" w:eastAsia="zh-CN"/>
                    </w:rPr>
                  </w:pPr>
                </w:p>
              </w:tc>
              <w:tc>
                <w:tcPr>
                  <w:tcW w:w="0" w:type="auto"/>
                  <w:vAlign w:val="center"/>
                </w:tcPr>
                <w:p w14:paraId="1723F423">
                  <w:pPr>
                    <w:pStyle w:val="50"/>
                    <w:bidi w:val="0"/>
                    <w:rPr>
                      <w:rFonts w:hint="default"/>
                      <w:lang w:val="en-US" w:eastAsia="zh-CN"/>
                    </w:rPr>
                  </w:pPr>
                  <w:r>
                    <w:rPr>
                      <w:rFonts w:hint="eastAsia"/>
                      <w:lang w:val="en-US" w:eastAsia="zh-CN"/>
                    </w:rPr>
                    <w:t>食堂</w:t>
                  </w:r>
                </w:p>
              </w:tc>
              <w:tc>
                <w:tcPr>
                  <w:tcW w:w="0" w:type="auto"/>
                  <w:vAlign w:val="center"/>
                </w:tcPr>
                <w:p w14:paraId="165A6120">
                  <w:pPr>
                    <w:pStyle w:val="50"/>
                    <w:bidi w:val="0"/>
                    <w:rPr>
                      <w:rFonts w:hint="default"/>
                      <w:lang w:val="en-US" w:eastAsia="zh-CN"/>
                    </w:rPr>
                  </w:pPr>
                  <w:r>
                    <w:rPr>
                      <w:rFonts w:hint="eastAsia"/>
                      <w:lang w:val="en-US" w:eastAsia="zh-CN"/>
                    </w:rPr>
                    <w:t>有组织</w:t>
                  </w:r>
                </w:p>
              </w:tc>
              <w:tc>
                <w:tcPr>
                  <w:tcW w:w="0" w:type="auto"/>
                  <w:shd w:val="clear" w:color="auto" w:fill="auto"/>
                  <w:vAlign w:val="center"/>
                </w:tcPr>
                <w:p w14:paraId="4D6A204F">
                  <w:pPr>
                    <w:pStyle w:val="50"/>
                    <w:bidi w:val="0"/>
                    <w:rPr>
                      <w:rFonts w:hint="default"/>
                      <w:lang w:val="en-US" w:eastAsia="zh-CN"/>
                    </w:rPr>
                  </w:pPr>
                  <w:r>
                    <w:rPr>
                      <w:rFonts w:hint="eastAsia"/>
                      <w:lang w:val="en-US" w:eastAsia="zh-CN"/>
                    </w:rPr>
                    <w:t>食堂油烟</w:t>
                  </w:r>
                </w:p>
              </w:tc>
              <w:tc>
                <w:tcPr>
                  <w:tcW w:w="0" w:type="auto"/>
                  <w:shd w:val="clear" w:color="auto" w:fill="auto"/>
                  <w:vAlign w:val="center"/>
                </w:tcPr>
                <w:p w14:paraId="385264F8">
                  <w:pPr>
                    <w:pStyle w:val="50"/>
                    <w:bidi w:val="0"/>
                    <w:rPr>
                      <w:rFonts w:hint="default"/>
                      <w:lang w:val="en-US" w:eastAsia="zh-CN"/>
                    </w:rPr>
                  </w:pPr>
                  <w:r>
                    <w:rPr>
                      <w:rFonts w:hint="eastAsia"/>
                      <w:lang w:val="en-US" w:eastAsia="zh-CN"/>
                    </w:rPr>
                    <w:t>4.05kg/a</w:t>
                  </w:r>
                </w:p>
              </w:tc>
              <w:tc>
                <w:tcPr>
                  <w:tcW w:w="0" w:type="auto"/>
                  <w:shd w:val="clear" w:color="auto" w:fill="auto"/>
                  <w:vAlign w:val="center"/>
                </w:tcPr>
                <w:p w14:paraId="0ADF0E89">
                  <w:pPr>
                    <w:pStyle w:val="50"/>
                    <w:bidi w:val="0"/>
                    <w:rPr>
                      <w:rFonts w:hint="default"/>
                      <w:lang w:val="en-US" w:eastAsia="zh-CN"/>
                    </w:rPr>
                  </w:pPr>
                  <w:r>
                    <w:rPr>
                      <w:rFonts w:hint="eastAsia"/>
                      <w:lang w:val="en-US" w:eastAsia="zh-CN"/>
                    </w:rPr>
                    <w:t>5.625×10</w:t>
                  </w:r>
                  <w:r>
                    <w:rPr>
                      <w:rFonts w:hint="eastAsia"/>
                      <w:vertAlign w:val="superscript"/>
                      <w:lang w:val="en-US" w:eastAsia="zh-CN"/>
                    </w:rPr>
                    <w:t>-3</w:t>
                  </w:r>
                </w:p>
              </w:tc>
              <w:tc>
                <w:tcPr>
                  <w:tcW w:w="0" w:type="auto"/>
                  <w:shd w:val="clear" w:color="auto" w:fill="auto"/>
                  <w:vAlign w:val="center"/>
                </w:tcPr>
                <w:p w14:paraId="04920A64">
                  <w:pPr>
                    <w:pStyle w:val="50"/>
                    <w:bidi w:val="0"/>
                    <w:rPr>
                      <w:rFonts w:hint="default"/>
                      <w:lang w:val="en-US" w:eastAsia="zh-CN"/>
                    </w:rPr>
                  </w:pPr>
                  <w:r>
                    <w:rPr>
                      <w:rFonts w:hint="eastAsia"/>
                      <w:lang w:val="en-US" w:eastAsia="zh-CN"/>
                    </w:rPr>
                    <w:t>3.75</w:t>
                  </w:r>
                </w:p>
              </w:tc>
              <w:tc>
                <w:tcPr>
                  <w:tcW w:w="0" w:type="auto"/>
                  <w:vAlign w:val="center"/>
                </w:tcPr>
                <w:p w14:paraId="27873B59">
                  <w:pPr>
                    <w:pStyle w:val="50"/>
                    <w:bidi w:val="0"/>
                    <w:rPr>
                      <w:rFonts w:hint="default"/>
                      <w:lang w:val="en-US" w:eastAsia="zh-CN"/>
                    </w:rPr>
                  </w:pPr>
                  <w:r>
                    <w:rPr>
                      <w:rFonts w:hint="eastAsia"/>
                      <w:lang w:val="en-US" w:eastAsia="zh-CN"/>
                    </w:rPr>
                    <w:t>TA005</w:t>
                  </w:r>
                </w:p>
              </w:tc>
              <w:tc>
                <w:tcPr>
                  <w:tcW w:w="0" w:type="auto"/>
                  <w:shd w:val="clear" w:color="auto" w:fill="auto"/>
                  <w:vAlign w:val="center"/>
                </w:tcPr>
                <w:p w14:paraId="1F871C07">
                  <w:pPr>
                    <w:pStyle w:val="50"/>
                    <w:bidi w:val="0"/>
                    <w:rPr>
                      <w:rFonts w:hint="default"/>
                      <w:lang w:val="en-US" w:eastAsia="zh-CN"/>
                    </w:rPr>
                  </w:pPr>
                  <w:r>
                    <w:rPr>
                      <w:rFonts w:hint="eastAsia"/>
                      <w:lang w:val="en-US" w:eastAsia="zh-CN"/>
                    </w:rPr>
                    <w:t>抽油烟机</w:t>
                  </w:r>
                </w:p>
                <w:p w14:paraId="1821F8D1">
                  <w:pPr>
                    <w:pStyle w:val="50"/>
                    <w:bidi w:val="0"/>
                    <w:rPr>
                      <w:rFonts w:hint="default"/>
                      <w:lang w:val="en-US" w:eastAsia="zh-CN"/>
                    </w:rPr>
                  </w:pPr>
                </w:p>
              </w:tc>
              <w:tc>
                <w:tcPr>
                  <w:tcW w:w="0" w:type="auto"/>
                  <w:shd w:val="clear" w:color="auto" w:fill="auto"/>
                  <w:vAlign w:val="center"/>
                </w:tcPr>
                <w:p w14:paraId="073E5C97">
                  <w:pPr>
                    <w:pStyle w:val="50"/>
                    <w:bidi w:val="0"/>
                    <w:rPr>
                      <w:rFonts w:hint="default"/>
                      <w:lang w:val="en-US" w:eastAsia="zh-CN"/>
                    </w:rPr>
                  </w:pPr>
                  <w:r>
                    <w:rPr>
                      <w:rFonts w:hint="eastAsia"/>
                      <w:lang w:val="en-US" w:eastAsia="zh-CN"/>
                    </w:rPr>
                    <w:t>100</w:t>
                  </w:r>
                </w:p>
              </w:tc>
              <w:tc>
                <w:tcPr>
                  <w:tcW w:w="0" w:type="auto"/>
                  <w:shd w:val="clear" w:color="auto" w:fill="auto"/>
                  <w:vAlign w:val="center"/>
                </w:tcPr>
                <w:p w14:paraId="5C145B65">
                  <w:pPr>
                    <w:pStyle w:val="50"/>
                    <w:bidi w:val="0"/>
                    <w:rPr>
                      <w:rFonts w:hint="default"/>
                      <w:lang w:val="en-US" w:eastAsia="zh-CN"/>
                    </w:rPr>
                  </w:pPr>
                  <w:r>
                    <w:rPr>
                      <w:rFonts w:hint="eastAsia"/>
                      <w:lang w:val="en-US" w:eastAsia="zh-CN"/>
                    </w:rPr>
                    <w:t>60</w:t>
                  </w:r>
                </w:p>
              </w:tc>
              <w:tc>
                <w:tcPr>
                  <w:tcW w:w="0" w:type="auto"/>
                  <w:shd w:val="clear" w:color="auto" w:fill="auto"/>
                  <w:vAlign w:val="center"/>
                </w:tcPr>
                <w:p w14:paraId="56C1F559">
                  <w:pPr>
                    <w:pStyle w:val="50"/>
                    <w:bidi w:val="0"/>
                    <w:rPr>
                      <w:rFonts w:hint="default"/>
                      <w:lang w:val="en-US" w:eastAsia="zh-CN"/>
                    </w:rPr>
                  </w:pPr>
                  <w:r>
                    <w:rPr>
                      <w:rFonts w:hint="eastAsia"/>
                      <w:lang w:val="en-US" w:eastAsia="zh-CN"/>
                    </w:rPr>
                    <w:t>/</w:t>
                  </w:r>
                </w:p>
              </w:tc>
              <w:tc>
                <w:tcPr>
                  <w:tcW w:w="0" w:type="auto"/>
                  <w:shd w:val="clear" w:color="auto" w:fill="auto"/>
                  <w:vAlign w:val="center"/>
                </w:tcPr>
                <w:p w14:paraId="4B3AE4F0">
                  <w:pPr>
                    <w:pStyle w:val="50"/>
                    <w:bidi w:val="0"/>
                    <w:rPr>
                      <w:rFonts w:hint="default"/>
                      <w:lang w:val="en-US" w:eastAsia="zh-CN"/>
                    </w:rPr>
                  </w:pPr>
                  <w:r>
                    <w:rPr>
                      <w:rFonts w:hint="eastAsia"/>
                      <w:lang w:val="en-US" w:eastAsia="zh-CN"/>
                    </w:rPr>
                    <w:t>1.62kg/a</w:t>
                  </w:r>
                </w:p>
              </w:tc>
              <w:tc>
                <w:tcPr>
                  <w:tcW w:w="0" w:type="auto"/>
                  <w:shd w:val="clear" w:color="auto" w:fill="auto"/>
                  <w:vAlign w:val="center"/>
                </w:tcPr>
                <w:p w14:paraId="28047CDF">
                  <w:pPr>
                    <w:pStyle w:val="50"/>
                    <w:bidi w:val="0"/>
                    <w:rPr>
                      <w:rFonts w:hint="default"/>
                      <w:lang w:val="en-US" w:eastAsia="zh-CN"/>
                    </w:rPr>
                  </w:pPr>
                  <w:r>
                    <w:rPr>
                      <w:rFonts w:hint="eastAsia"/>
                      <w:lang w:val="en-US" w:eastAsia="zh-CN"/>
                    </w:rPr>
                    <w:t>2.25×10</w:t>
                  </w:r>
                  <w:r>
                    <w:rPr>
                      <w:rFonts w:hint="eastAsia"/>
                      <w:vertAlign w:val="superscript"/>
                      <w:lang w:val="en-US" w:eastAsia="zh-CN"/>
                    </w:rPr>
                    <w:t>-3</w:t>
                  </w:r>
                </w:p>
              </w:tc>
              <w:tc>
                <w:tcPr>
                  <w:tcW w:w="0" w:type="auto"/>
                  <w:shd w:val="clear" w:color="auto" w:fill="auto"/>
                  <w:vAlign w:val="center"/>
                </w:tcPr>
                <w:p w14:paraId="11215035">
                  <w:pPr>
                    <w:pStyle w:val="50"/>
                    <w:bidi w:val="0"/>
                    <w:rPr>
                      <w:rFonts w:hint="default"/>
                      <w:lang w:val="en-US" w:eastAsia="zh-CN"/>
                    </w:rPr>
                  </w:pPr>
                  <w:r>
                    <w:rPr>
                      <w:rFonts w:hint="eastAsia"/>
                      <w:lang w:val="en-US" w:eastAsia="zh-CN"/>
                    </w:rPr>
                    <w:t>1.5</w:t>
                  </w:r>
                </w:p>
              </w:tc>
              <w:tc>
                <w:tcPr>
                  <w:tcW w:w="0" w:type="auto"/>
                  <w:vAlign w:val="center"/>
                </w:tcPr>
                <w:p w14:paraId="01AC781C">
                  <w:pPr>
                    <w:pStyle w:val="50"/>
                    <w:bidi w:val="0"/>
                    <w:rPr>
                      <w:rFonts w:hint="default"/>
                      <w:lang w:val="en-US" w:eastAsia="zh-CN"/>
                    </w:rPr>
                  </w:pPr>
                  <w:r>
                    <w:rPr>
                      <w:rFonts w:hint="eastAsia"/>
                      <w:lang w:val="en-US" w:eastAsia="zh-CN"/>
                    </w:rPr>
                    <w:t>/</w:t>
                  </w:r>
                </w:p>
              </w:tc>
              <w:tc>
                <w:tcPr>
                  <w:tcW w:w="0" w:type="auto"/>
                  <w:shd w:val="clear" w:color="auto" w:fill="auto"/>
                  <w:vAlign w:val="center"/>
                </w:tcPr>
                <w:p w14:paraId="6D0DA3E3">
                  <w:pPr>
                    <w:pStyle w:val="50"/>
                    <w:bidi w:val="0"/>
                    <w:rPr>
                      <w:rFonts w:hint="default"/>
                      <w:lang w:val="en-US" w:eastAsia="zh-CN"/>
                    </w:rPr>
                  </w:pPr>
                  <w:r>
                    <w:rPr>
                      <w:rFonts w:hint="eastAsia"/>
                      <w:lang w:val="en-US" w:eastAsia="zh-CN"/>
                    </w:rPr>
                    <w:t>2</w:t>
                  </w:r>
                </w:p>
              </w:tc>
            </w:tr>
          </w:tbl>
          <w:p w14:paraId="6C31A29E">
            <w:pPr>
              <w:widowControl/>
              <w:wordWrap w:val="0"/>
              <w:bidi w:val="0"/>
              <w:snapToGrid w:val="0"/>
              <w:spacing w:line="520" w:lineRule="exact"/>
              <w:jc w:val="left"/>
              <w:rPr>
                <w:rFonts w:hint="eastAsia" w:ascii="Times New Roman" w:hAnsi="Times New Roman" w:eastAsia="宋体" w:cs="Times New Roman"/>
                <w:b/>
                <w:kern w:val="0"/>
                <w:sz w:val="24"/>
                <w:szCs w:val="24"/>
                <w:lang w:val="en-US" w:eastAsia="zh-CN" w:bidi="ar-SA"/>
              </w:rPr>
            </w:pPr>
            <w:r>
              <w:rPr>
                <w:rFonts w:hint="eastAsia" w:ascii="Times New Roman" w:hAnsi="Times New Roman" w:eastAsia="宋体" w:cs="Times New Roman"/>
                <w:b/>
                <w:kern w:val="0"/>
                <w:sz w:val="24"/>
                <w:szCs w:val="24"/>
                <w:lang w:val="en-US" w:eastAsia="zh-CN" w:bidi="ar-SA"/>
              </w:rPr>
              <w:t>1.3废气排放口基本情况</w:t>
            </w:r>
          </w:p>
          <w:p w14:paraId="631EC553">
            <w:pPr>
              <w:pStyle w:val="49"/>
              <w:bidi w:val="0"/>
              <w:rPr>
                <w:rFonts w:hint="eastAsia"/>
              </w:rPr>
            </w:pPr>
            <w:r>
              <w:rPr>
                <w:rFonts w:hint="eastAsia"/>
                <w:lang w:val="en-US" w:eastAsia="zh-CN"/>
              </w:rPr>
              <w:t>表4-5    排放口基本情况一览表</w:t>
            </w:r>
          </w:p>
          <w:tbl>
            <w:tblPr>
              <w:tblStyle w:val="24"/>
              <w:tblW w:w="4996"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076"/>
              <w:gridCol w:w="1445"/>
              <w:gridCol w:w="2490"/>
              <w:gridCol w:w="1390"/>
              <w:gridCol w:w="1170"/>
              <w:gridCol w:w="1147"/>
              <w:gridCol w:w="1285"/>
              <w:gridCol w:w="1492"/>
            </w:tblGrid>
            <w:tr w14:paraId="02D2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noWrap w:val="0"/>
                  <w:vAlign w:val="center"/>
                </w:tcPr>
                <w:p w14:paraId="79240A86">
                  <w:pPr>
                    <w:pStyle w:val="50"/>
                    <w:bidi w:val="0"/>
                    <w:rPr>
                      <w:rFonts w:hint="default"/>
                      <w:lang w:val="en-US" w:eastAsia="zh-CN"/>
                    </w:rPr>
                  </w:pPr>
                  <w:r>
                    <w:rPr>
                      <w:rFonts w:hint="eastAsia"/>
                      <w:lang w:val="en-US" w:eastAsia="zh-CN"/>
                    </w:rPr>
                    <w:t>排放口名称</w:t>
                  </w:r>
                </w:p>
              </w:tc>
              <w:tc>
                <w:tcPr>
                  <w:tcW w:w="411" w:type="pct"/>
                  <w:noWrap w:val="0"/>
                  <w:vAlign w:val="center"/>
                </w:tcPr>
                <w:p w14:paraId="1F576D80">
                  <w:pPr>
                    <w:pStyle w:val="50"/>
                    <w:bidi w:val="0"/>
                    <w:rPr>
                      <w:rFonts w:hint="default"/>
                      <w:lang w:val="en-US" w:eastAsia="zh-CN"/>
                    </w:rPr>
                  </w:pPr>
                  <w:r>
                    <w:rPr>
                      <w:rFonts w:hint="eastAsia"/>
                      <w:lang w:val="en-US" w:eastAsia="zh-CN"/>
                    </w:rPr>
                    <w:t>排放口编号</w:t>
                  </w:r>
                </w:p>
              </w:tc>
              <w:tc>
                <w:tcPr>
                  <w:tcW w:w="552" w:type="pct"/>
                  <w:noWrap w:val="0"/>
                  <w:vAlign w:val="center"/>
                </w:tcPr>
                <w:p w14:paraId="16F36ED2">
                  <w:pPr>
                    <w:pStyle w:val="50"/>
                    <w:bidi w:val="0"/>
                    <w:rPr>
                      <w:rFonts w:hint="default"/>
                      <w:lang w:val="en-US" w:eastAsia="zh-CN"/>
                    </w:rPr>
                  </w:pPr>
                  <w:r>
                    <w:rPr>
                      <w:rFonts w:hint="eastAsia"/>
                      <w:lang w:val="en-US" w:eastAsia="zh-CN"/>
                    </w:rPr>
                    <w:t>污染物种类</w:t>
                  </w:r>
                </w:p>
              </w:tc>
              <w:tc>
                <w:tcPr>
                  <w:tcW w:w="951" w:type="pct"/>
                  <w:noWrap w:val="0"/>
                  <w:vAlign w:val="center"/>
                </w:tcPr>
                <w:p w14:paraId="10B1F366">
                  <w:pPr>
                    <w:pStyle w:val="50"/>
                    <w:bidi w:val="0"/>
                    <w:rPr>
                      <w:rFonts w:hint="default"/>
                      <w:lang w:val="en-US" w:eastAsia="zh-CN"/>
                    </w:rPr>
                  </w:pPr>
                  <w:r>
                    <w:rPr>
                      <w:rFonts w:hint="eastAsia"/>
                      <w:lang w:val="en-US" w:eastAsia="zh-CN"/>
                    </w:rPr>
                    <w:t>地理坐标</w:t>
                  </w:r>
                </w:p>
              </w:tc>
              <w:tc>
                <w:tcPr>
                  <w:tcW w:w="531" w:type="pct"/>
                  <w:noWrap w:val="0"/>
                  <w:vAlign w:val="center"/>
                </w:tcPr>
                <w:p w14:paraId="44C65F97">
                  <w:pPr>
                    <w:pStyle w:val="50"/>
                    <w:bidi w:val="0"/>
                    <w:rPr>
                      <w:rFonts w:hint="default"/>
                      <w:lang w:val="en-US" w:eastAsia="zh-CN"/>
                    </w:rPr>
                  </w:pPr>
                  <w:r>
                    <w:rPr>
                      <w:rFonts w:hint="eastAsia"/>
                      <w:lang w:val="en-US" w:eastAsia="zh-CN"/>
                    </w:rPr>
                    <w:t>排气筒高度（m）</w:t>
                  </w:r>
                </w:p>
              </w:tc>
              <w:tc>
                <w:tcPr>
                  <w:tcW w:w="447" w:type="pct"/>
                  <w:noWrap w:val="0"/>
                  <w:vAlign w:val="center"/>
                </w:tcPr>
                <w:p w14:paraId="45B52DDC">
                  <w:pPr>
                    <w:pStyle w:val="50"/>
                    <w:bidi w:val="0"/>
                    <w:rPr>
                      <w:rFonts w:hint="eastAsia"/>
                      <w:lang w:val="en-US" w:eastAsia="zh-CN"/>
                    </w:rPr>
                  </w:pPr>
                  <w:r>
                    <w:rPr>
                      <w:rFonts w:hint="eastAsia"/>
                    </w:rPr>
                    <w:t>排气筒出口内径（m）</w:t>
                  </w:r>
                </w:p>
              </w:tc>
              <w:tc>
                <w:tcPr>
                  <w:tcW w:w="438" w:type="pct"/>
                  <w:noWrap w:val="0"/>
                  <w:vAlign w:val="center"/>
                </w:tcPr>
                <w:p w14:paraId="6769AE7A">
                  <w:pPr>
                    <w:pStyle w:val="50"/>
                    <w:bidi w:val="0"/>
                    <w:rPr>
                      <w:rFonts w:hint="eastAsia"/>
                      <w:lang w:val="en-US" w:eastAsia="zh-CN"/>
                    </w:rPr>
                  </w:pPr>
                  <w:r>
                    <w:rPr>
                      <w:rFonts w:hint="eastAsia"/>
                      <w:lang w:val="en-US" w:eastAsia="zh-CN"/>
                    </w:rPr>
                    <w:t>烟气温度（</w:t>
                  </w:r>
                  <w:r>
                    <w:rPr>
                      <w:rFonts w:hint="default"/>
                      <w:lang w:val="en-US" w:eastAsia="zh-CN"/>
                    </w:rPr>
                    <w:t>℃</w:t>
                  </w:r>
                  <w:r>
                    <w:rPr>
                      <w:rFonts w:hint="eastAsia"/>
                      <w:lang w:val="en-US" w:eastAsia="zh-CN"/>
                    </w:rPr>
                    <w:t>）</w:t>
                  </w:r>
                </w:p>
              </w:tc>
              <w:tc>
                <w:tcPr>
                  <w:tcW w:w="491" w:type="pct"/>
                  <w:noWrap w:val="0"/>
                  <w:vAlign w:val="center"/>
                </w:tcPr>
                <w:p w14:paraId="78E7DF35">
                  <w:pPr>
                    <w:pStyle w:val="50"/>
                    <w:bidi w:val="0"/>
                    <w:rPr>
                      <w:rFonts w:hint="default"/>
                      <w:lang w:val="en-US" w:eastAsia="zh-CN"/>
                    </w:rPr>
                  </w:pPr>
                  <w:r>
                    <w:rPr>
                      <w:rFonts w:hint="eastAsia"/>
                      <w:lang w:val="en-US" w:eastAsia="zh-CN"/>
                    </w:rPr>
                    <w:t>年排放小时数</w:t>
                  </w:r>
                </w:p>
              </w:tc>
              <w:tc>
                <w:tcPr>
                  <w:tcW w:w="570" w:type="pct"/>
                  <w:noWrap w:val="0"/>
                  <w:vAlign w:val="center"/>
                </w:tcPr>
                <w:p w14:paraId="48777BB1">
                  <w:pPr>
                    <w:pStyle w:val="50"/>
                    <w:bidi w:val="0"/>
                    <w:rPr>
                      <w:rFonts w:hint="eastAsia"/>
                      <w:lang w:val="en-US" w:eastAsia="zh-CN"/>
                    </w:rPr>
                  </w:pPr>
                  <w:r>
                    <w:rPr>
                      <w:rFonts w:hint="eastAsia"/>
                    </w:rPr>
                    <w:t>排气筒</w:t>
                  </w:r>
                  <w:r>
                    <w:rPr>
                      <w:rFonts w:hint="eastAsia"/>
                      <w:lang w:val="en-US" w:eastAsia="zh-CN"/>
                    </w:rPr>
                    <w:t>类型</w:t>
                  </w:r>
                </w:p>
              </w:tc>
            </w:tr>
            <w:tr w14:paraId="3FF9A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06" w:type="pct"/>
                  <w:noWrap w:val="0"/>
                  <w:vAlign w:val="center"/>
                </w:tcPr>
                <w:p w14:paraId="7B703F32">
                  <w:pPr>
                    <w:pStyle w:val="50"/>
                    <w:bidi w:val="0"/>
                    <w:rPr>
                      <w:rFonts w:hint="default"/>
                      <w:lang w:val="en-US" w:eastAsia="zh-CN"/>
                    </w:rPr>
                  </w:pPr>
                  <w:r>
                    <w:rPr>
                      <w:rFonts w:hint="eastAsia"/>
                      <w:lang w:val="en-US" w:eastAsia="zh-CN"/>
                    </w:rPr>
                    <w:t>喷漆废气</w:t>
                  </w:r>
                </w:p>
              </w:tc>
              <w:tc>
                <w:tcPr>
                  <w:tcW w:w="411" w:type="pct"/>
                  <w:noWrap w:val="0"/>
                  <w:vAlign w:val="center"/>
                </w:tcPr>
                <w:p w14:paraId="2442F56E">
                  <w:pPr>
                    <w:pStyle w:val="50"/>
                    <w:bidi w:val="0"/>
                    <w:rPr>
                      <w:rFonts w:hint="default"/>
                      <w:lang w:val="en-US" w:eastAsia="zh-CN"/>
                    </w:rPr>
                  </w:pPr>
                  <w:r>
                    <w:rPr>
                      <w:rFonts w:hint="eastAsia"/>
                      <w:lang w:val="en-US" w:eastAsia="zh-CN"/>
                    </w:rPr>
                    <w:t>DA001</w:t>
                  </w:r>
                </w:p>
              </w:tc>
              <w:tc>
                <w:tcPr>
                  <w:tcW w:w="552" w:type="pct"/>
                  <w:noWrap w:val="0"/>
                  <w:vAlign w:val="center"/>
                </w:tcPr>
                <w:p w14:paraId="0D6521C5">
                  <w:pPr>
                    <w:pStyle w:val="50"/>
                    <w:bidi w:val="0"/>
                    <w:rPr>
                      <w:rFonts w:hint="default"/>
                      <w:lang w:val="en-US" w:eastAsia="zh-CN"/>
                    </w:rPr>
                  </w:pPr>
                  <w:r>
                    <w:rPr>
                      <w:rFonts w:hint="eastAsia"/>
                      <w:lang w:val="en-US" w:eastAsia="zh-CN"/>
                    </w:rPr>
                    <w:t>颗粒物、非甲烷总烃</w:t>
                  </w:r>
                </w:p>
              </w:tc>
              <w:tc>
                <w:tcPr>
                  <w:tcW w:w="951" w:type="pct"/>
                  <w:noWrap w:val="0"/>
                  <w:vAlign w:val="center"/>
                </w:tcPr>
                <w:p w14:paraId="68E6CB48">
                  <w:pPr>
                    <w:pStyle w:val="50"/>
                    <w:bidi w:val="0"/>
                    <w:rPr>
                      <w:rFonts w:hint="default"/>
                      <w:lang w:val="en-US" w:eastAsia="zh-CN"/>
                    </w:rPr>
                  </w:pPr>
                  <w:r>
                    <w:rPr>
                      <w:rFonts w:hint="eastAsia"/>
                      <w:lang w:val="en-US" w:eastAsia="zh-CN"/>
                    </w:rPr>
                    <w:t>E:85°55′57.386″</w:t>
                  </w:r>
                </w:p>
                <w:p w14:paraId="2741858E">
                  <w:pPr>
                    <w:pStyle w:val="50"/>
                    <w:bidi w:val="0"/>
                    <w:rPr>
                      <w:rFonts w:hint="default"/>
                      <w:lang w:val="en-US" w:eastAsia="zh-CN"/>
                    </w:rPr>
                  </w:pPr>
                  <w:r>
                    <w:rPr>
                      <w:rFonts w:hint="eastAsia"/>
                      <w:lang w:val="en-US" w:eastAsia="zh-CN"/>
                    </w:rPr>
                    <w:t>N:41°51′26.070″</w:t>
                  </w:r>
                </w:p>
              </w:tc>
              <w:tc>
                <w:tcPr>
                  <w:tcW w:w="531" w:type="pct"/>
                  <w:noWrap w:val="0"/>
                  <w:vAlign w:val="center"/>
                </w:tcPr>
                <w:p w14:paraId="594A599E">
                  <w:pPr>
                    <w:pStyle w:val="50"/>
                    <w:bidi w:val="0"/>
                    <w:rPr>
                      <w:rFonts w:hint="default"/>
                      <w:lang w:val="en-US" w:eastAsia="zh-CN"/>
                    </w:rPr>
                  </w:pPr>
                  <w:r>
                    <w:rPr>
                      <w:rFonts w:hint="eastAsia"/>
                      <w:lang w:val="en-US" w:eastAsia="zh-CN"/>
                    </w:rPr>
                    <w:t>15</w:t>
                  </w:r>
                </w:p>
              </w:tc>
              <w:tc>
                <w:tcPr>
                  <w:tcW w:w="447" w:type="pct"/>
                  <w:noWrap w:val="0"/>
                  <w:vAlign w:val="center"/>
                </w:tcPr>
                <w:p w14:paraId="5A10BBAB">
                  <w:pPr>
                    <w:pStyle w:val="50"/>
                    <w:bidi w:val="0"/>
                    <w:rPr>
                      <w:rFonts w:hint="default"/>
                      <w:lang w:val="en-US" w:eastAsia="zh-CN"/>
                    </w:rPr>
                  </w:pPr>
                  <w:r>
                    <w:rPr>
                      <w:rFonts w:hint="eastAsia"/>
                      <w:lang w:val="en-US" w:eastAsia="zh-CN"/>
                    </w:rPr>
                    <w:t>0.3</w:t>
                  </w:r>
                </w:p>
              </w:tc>
              <w:tc>
                <w:tcPr>
                  <w:tcW w:w="438" w:type="pct"/>
                  <w:noWrap w:val="0"/>
                  <w:vAlign w:val="center"/>
                </w:tcPr>
                <w:p w14:paraId="75E9FC73">
                  <w:pPr>
                    <w:pStyle w:val="50"/>
                    <w:bidi w:val="0"/>
                    <w:rPr>
                      <w:rFonts w:hint="default"/>
                      <w:lang w:val="en-US" w:eastAsia="zh-CN"/>
                    </w:rPr>
                  </w:pPr>
                  <w:r>
                    <w:rPr>
                      <w:rFonts w:hint="eastAsia"/>
                      <w:lang w:val="en-US" w:eastAsia="zh-CN"/>
                    </w:rPr>
                    <w:t>25</w:t>
                  </w:r>
                </w:p>
              </w:tc>
              <w:tc>
                <w:tcPr>
                  <w:tcW w:w="491" w:type="pct"/>
                  <w:noWrap w:val="0"/>
                  <w:vAlign w:val="center"/>
                </w:tcPr>
                <w:p w14:paraId="31C2242C">
                  <w:pPr>
                    <w:pStyle w:val="50"/>
                    <w:bidi w:val="0"/>
                    <w:rPr>
                      <w:rFonts w:hint="default"/>
                      <w:lang w:val="en-US" w:eastAsia="zh-CN"/>
                    </w:rPr>
                  </w:pPr>
                  <w:r>
                    <w:rPr>
                      <w:rFonts w:hint="eastAsia"/>
                      <w:lang w:val="en-US" w:eastAsia="zh-CN"/>
                    </w:rPr>
                    <w:t>1440</w:t>
                  </w:r>
                </w:p>
              </w:tc>
              <w:tc>
                <w:tcPr>
                  <w:tcW w:w="570" w:type="pct"/>
                  <w:noWrap w:val="0"/>
                  <w:vAlign w:val="center"/>
                </w:tcPr>
                <w:p w14:paraId="228D3FA2">
                  <w:pPr>
                    <w:pStyle w:val="50"/>
                    <w:bidi w:val="0"/>
                    <w:rPr>
                      <w:rFonts w:hint="default"/>
                      <w:lang w:val="en-US" w:eastAsia="zh-CN"/>
                    </w:rPr>
                  </w:pPr>
                  <w:r>
                    <w:rPr>
                      <w:rFonts w:hint="eastAsia"/>
                      <w:lang w:val="en-US" w:eastAsia="zh-CN"/>
                    </w:rPr>
                    <w:t>一般排放口</w:t>
                  </w:r>
                </w:p>
              </w:tc>
            </w:tr>
            <w:tr w14:paraId="4FAD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06" w:type="pct"/>
                  <w:noWrap w:val="0"/>
                  <w:vAlign w:val="center"/>
                </w:tcPr>
                <w:p w14:paraId="085232CB">
                  <w:pPr>
                    <w:pStyle w:val="50"/>
                    <w:bidi w:val="0"/>
                    <w:rPr>
                      <w:rFonts w:hint="default"/>
                      <w:lang w:val="en-US" w:eastAsia="zh-CN"/>
                    </w:rPr>
                  </w:pPr>
                  <w:r>
                    <w:rPr>
                      <w:rFonts w:hint="eastAsia"/>
                      <w:lang w:val="en-US" w:eastAsia="zh-CN"/>
                    </w:rPr>
                    <w:t>天然气燃烧废气（清洗、陶化烘干）</w:t>
                  </w:r>
                </w:p>
              </w:tc>
              <w:tc>
                <w:tcPr>
                  <w:tcW w:w="411" w:type="pct"/>
                  <w:noWrap w:val="0"/>
                  <w:vAlign w:val="center"/>
                </w:tcPr>
                <w:p w14:paraId="0D1814F1">
                  <w:pPr>
                    <w:pStyle w:val="50"/>
                    <w:bidi w:val="0"/>
                    <w:rPr>
                      <w:rFonts w:hint="default"/>
                      <w:lang w:val="en-US" w:eastAsia="zh-CN"/>
                    </w:rPr>
                  </w:pPr>
                  <w:r>
                    <w:rPr>
                      <w:rFonts w:hint="eastAsia"/>
                      <w:lang w:val="en-US" w:eastAsia="zh-CN"/>
                    </w:rPr>
                    <w:t>DA002</w:t>
                  </w:r>
                </w:p>
              </w:tc>
              <w:tc>
                <w:tcPr>
                  <w:tcW w:w="552" w:type="pct"/>
                  <w:noWrap w:val="0"/>
                  <w:vAlign w:val="center"/>
                </w:tcPr>
                <w:p w14:paraId="1DEED94E">
                  <w:pPr>
                    <w:pStyle w:val="50"/>
                    <w:bidi w:val="0"/>
                    <w:rPr>
                      <w:rFonts w:hint="eastAsia"/>
                      <w:lang w:val="en-US" w:eastAsia="zh-CN"/>
                    </w:rPr>
                  </w:pPr>
                  <w:r>
                    <w:rPr>
                      <w:rFonts w:hint="eastAsia"/>
                      <w:lang w:val="en-US" w:eastAsia="zh-CN"/>
                    </w:rPr>
                    <w:t>颗粒物</w:t>
                  </w:r>
                </w:p>
                <w:p w14:paraId="0DBE252A">
                  <w:pPr>
                    <w:pStyle w:val="50"/>
                    <w:bidi w:val="0"/>
                    <w:rPr>
                      <w:rFonts w:hint="eastAsia"/>
                      <w:lang w:val="en-US" w:eastAsia="zh-CN"/>
                    </w:rPr>
                  </w:pPr>
                  <w:r>
                    <w:rPr>
                      <w:rFonts w:hint="eastAsia"/>
                      <w:lang w:val="en-US" w:eastAsia="zh-CN"/>
                    </w:rPr>
                    <w:t>SO</w:t>
                  </w:r>
                  <w:r>
                    <w:rPr>
                      <w:rFonts w:hint="eastAsia"/>
                      <w:vertAlign w:val="subscript"/>
                      <w:lang w:val="en-US" w:eastAsia="zh-CN"/>
                    </w:rPr>
                    <w:t>2</w:t>
                  </w:r>
                </w:p>
                <w:p w14:paraId="0D029B96">
                  <w:pPr>
                    <w:pStyle w:val="50"/>
                    <w:bidi w:val="0"/>
                    <w:rPr>
                      <w:rFonts w:hint="eastAsia"/>
                      <w:lang w:val="en-US" w:eastAsia="zh-CN"/>
                    </w:rPr>
                  </w:pPr>
                  <w:r>
                    <w:rPr>
                      <w:rFonts w:hint="eastAsia"/>
                      <w:lang w:val="en-US" w:eastAsia="zh-CN"/>
                    </w:rPr>
                    <w:t>NO</w:t>
                  </w:r>
                  <w:r>
                    <w:rPr>
                      <w:rFonts w:hint="eastAsia"/>
                      <w:vertAlign w:val="subscript"/>
                      <w:lang w:val="en-US" w:eastAsia="zh-CN"/>
                    </w:rPr>
                    <w:t>X</w:t>
                  </w:r>
                </w:p>
              </w:tc>
              <w:tc>
                <w:tcPr>
                  <w:tcW w:w="951" w:type="pct"/>
                  <w:noWrap w:val="0"/>
                  <w:vAlign w:val="center"/>
                </w:tcPr>
                <w:p w14:paraId="2B8352EC">
                  <w:pPr>
                    <w:pStyle w:val="50"/>
                    <w:bidi w:val="0"/>
                    <w:rPr>
                      <w:rFonts w:hint="default"/>
                      <w:lang w:val="en-US" w:eastAsia="zh-CN"/>
                    </w:rPr>
                  </w:pPr>
                  <w:r>
                    <w:rPr>
                      <w:rFonts w:hint="eastAsia"/>
                      <w:lang w:val="en-US" w:eastAsia="zh-CN"/>
                    </w:rPr>
                    <w:t>E:85°55′55.088″</w:t>
                  </w:r>
                </w:p>
                <w:p w14:paraId="587A14F2">
                  <w:pPr>
                    <w:pStyle w:val="50"/>
                    <w:bidi w:val="0"/>
                    <w:rPr>
                      <w:rFonts w:hint="eastAsia"/>
                      <w:lang w:val="en-US" w:eastAsia="zh-CN"/>
                    </w:rPr>
                  </w:pPr>
                  <w:r>
                    <w:rPr>
                      <w:rFonts w:hint="eastAsia"/>
                      <w:lang w:val="en-US" w:eastAsia="zh-CN"/>
                    </w:rPr>
                    <w:t>N:41°51′26.495″</w:t>
                  </w:r>
                </w:p>
              </w:tc>
              <w:tc>
                <w:tcPr>
                  <w:tcW w:w="531" w:type="pct"/>
                  <w:noWrap w:val="0"/>
                  <w:vAlign w:val="center"/>
                </w:tcPr>
                <w:p w14:paraId="5544770B">
                  <w:pPr>
                    <w:pStyle w:val="50"/>
                    <w:bidi w:val="0"/>
                    <w:rPr>
                      <w:rFonts w:hint="default"/>
                      <w:lang w:val="en-US" w:eastAsia="zh-CN"/>
                    </w:rPr>
                  </w:pPr>
                  <w:r>
                    <w:rPr>
                      <w:rFonts w:hint="eastAsia"/>
                      <w:lang w:val="en-US" w:eastAsia="zh-CN"/>
                    </w:rPr>
                    <w:t>15</w:t>
                  </w:r>
                </w:p>
              </w:tc>
              <w:tc>
                <w:tcPr>
                  <w:tcW w:w="447" w:type="pct"/>
                  <w:noWrap w:val="0"/>
                  <w:vAlign w:val="center"/>
                </w:tcPr>
                <w:p w14:paraId="7333B999">
                  <w:pPr>
                    <w:pStyle w:val="50"/>
                    <w:bidi w:val="0"/>
                    <w:rPr>
                      <w:rFonts w:hint="default"/>
                      <w:lang w:val="en-US" w:eastAsia="zh-CN"/>
                    </w:rPr>
                  </w:pPr>
                  <w:r>
                    <w:rPr>
                      <w:rFonts w:hint="eastAsia"/>
                      <w:lang w:val="en-US" w:eastAsia="zh-CN"/>
                    </w:rPr>
                    <w:t>0.2</w:t>
                  </w:r>
                </w:p>
              </w:tc>
              <w:tc>
                <w:tcPr>
                  <w:tcW w:w="438" w:type="pct"/>
                  <w:noWrap w:val="0"/>
                  <w:vAlign w:val="center"/>
                </w:tcPr>
                <w:p w14:paraId="00452195">
                  <w:pPr>
                    <w:pStyle w:val="50"/>
                    <w:bidi w:val="0"/>
                    <w:rPr>
                      <w:rFonts w:hint="default"/>
                      <w:lang w:val="en-US" w:eastAsia="zh-CN"/>
                    </w:rPr>
                  </w:pPr>
                  <w:r>
                    <w:rPr>
                      <w:rFonts w:hint="eastAsia"/>
                      <w:lang w:val="en-US" w:eastAsia="zh-CN"/>
                    </w:rPr>
                    <w:t>70</w:t>
                  </w:r>
                </w:p>
              </w:tc>
              <w:tc>
                <w:tcPr>
                  <w:tcW w:w="491" w:type="pct"/>
                  <w:noWrap w:val="0"/>
                  <w:vAlign w:val="center"/>
                </w:tcPr>
                <w:p w14:paraId="716DC14A">
                  <w:pPr>
                    <w:pStyle w:val="50"/>
                    <w:bidi w:val="0"/>
                    <w:rPr>
                      <w:rFonts w:hint="default"/>
                      <w:lang w:val="en-US" w:eastAsia="zh-CN"/>
                    </w:rPr>
                  </w:pPr>
                  <w:r>
                    <w:rPr>
                      <w:rFonts w:hint="eastAsia"/>
                      <w:lang w:val="en-US" w:eastAsia="zh-CN"/>
                    </w:rPr>
                    <w:t>1440</w:t>
                  </w:r>
                </w:p>
              </w:tc>
              <w:tc>
                <w:tcPr>
                  <w:tcW w:w="570" w:type="pct"/>
                  <w:vMerge w:val="restart"/>
                  <w:noWrap w:val="0"/>
                  <w:vAlign w:val="center"/>
                </w:tcPr>
                <w:p w14:paraId="15A080D2">
                  <w:pPr>
                    <w:pStyle w:val="50"/>
                    <w:bidi w:val="0"/>
                    <w:rPr>
                      <w:rFonts w:hint="eastAsia"/>
                      <w:lang w:val="en-US" w:eastAsia="zh-CN"/>
                    </w:rPr>
                  </w:pPr>
                  <w:r>
                    <w:rPr>
                      <w:rFonts w:hint="eastAsia"/>
                      <w:lang w:val="en-US" w:eastAsia="zh-CN"/>
                    </w:rPr>
                    <w:t>一般排放口</w:t>
                  </w:r>
                </w:p>
              </w:tc>
            </w:tr>
            <w:tr w14:paraId="5718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pct"/>
                  <w:noWrap w:val="0"/>
                  <w:vAlign w:val="center"/>
                </w:tcPr>
                <w:p w14:paraId="5251C418">
                  <w:pPr>
                    <w:pStyle w:val="50"/>
                    <w:bidi w:val="0"/>
                    <w:rPr>
                      <w:rFonts w:hint="default"/>
                      <w:lang w:val="en-US" w:eastAsia="zh-CN"/>
                    </w:rPr>
                  </w:pPr>
                  <w:r>
                    <w:rPr>
                      <w:rFonts w:hint="eastAsia"/>
                      <w:lang w:val="en-US" w:eastAsia="zh-CN"/>
                    </w:rPr>
                    <w:t>天然气燃烧废气（喷漆烘干）</w:t>
                  </w:r>
                </w:p>
              </w:tc>
              <w:tc>
                <w:tcPr>
                  <w:tcW w:w="411" w:type="pct"/>
                  <w:noWrap w:val="0"/>
                  <w:vAlign w:val="center"/>
                </w:tcPr>
                <w:p w14:paraId="05DCFC8D">
                  <w:pPr>
                    <w:pStyle w:val="50"/>
                    <w:bidi w:val="0"/>
                    <w:rPr>
                      <w:rFonts w:hint="default"/>
                      <w:lang w:val="en-US" w:eastAsia="zh-CN"/>
                    </w:rPr>
                  </w:pPr>
                  <w:r>
                    <w:rPr>
                      <w:rFonts w:hint="eastAsia"/>
                      <w:lang w:val="en-US" w:eastAsia="zh-CN"/>
                    </w:rPr>
                    <w:t>DA003</w:t>
                  </w:r>
                </w:p>
              </w:tc>
              <w:tc>
                <w:tcPr>
                  <w:tcW w:w="552" w:type="pct"/>
                  <w:noWrap w:val="0"/>
                  <w:vAlign w:val="center"/>
                </w:tcPr>
                <w:p w14:paraId="4DAEADC8">
                  <w:pPr>
                    <w:pStyle w:val="50"/>
                    <w:bidi w:val="0"/>
                    <w:rPr>
                      <w:rFonts w:hint="eastAsia"/>
                      <w:lang w:val="en-US" w:eastAsia="zh-CN"/>
                    </w:rPr>
                  </w:pPr>
                  <w:r>
                    <w:rPr>
                      <w:rFonts w:hint="eastAsia"/>
                      <w:lang w:val="en-US" w:eastAsia="zh-CN"/>
                    </w:rPr>
                    <w:t>颗粒物</w:t>
                  </w:r>
                </w:p>
                <w:p w14:paraId="336002FF">
                  <w:pPr>
                    <w:pStyle w:val="50"/>
                    <w:bidi w:val="0"/>
                    <w:rPr>
                      <w:rFonts w:hint="eastAsia"/>
                      <w:lang w:val="en-US" w:eastAsia="zh-CN"/>
                    </w:rPr>
                  </w:pPr>
                  <w:r>
                    <w:rPr>
                      <w:rFonts w:hint="eastAsia"/>
                      <w:lang w:val="en-US" w:eastAsia="zh-CN"/>
                    </w:rPr>
                    <w:t>SO</w:t>
                  </w:r>
                  <w:r>
                    <w:rPr>
                      <w:rFonts w:hint="eastAsia"/>
                      <w:vertAlign w:val="subscript"/>
                      <w:lang w:val="en-US" w:eastAsia="zh-CN"/>
                    </w:rPr>
                    <w:t>2</w:t>
                  </w:r>
                </w:p>
                <w:p w14:paraId="32F1C966">
                  <w:pPr>
                    <w:pStyle w:val="50"/>
                    <w:bidi w:val="0"/>
                    <w:rPr>
                      <w:rFonts w:hint="default"/>
                      <w:lang w:val="en-US" w:eastAsia="zh-CN"/>
                    </w:rPr>
                  </w:pPr>
                  <w:r>
                    <w:rPr>
                      <w:rFonts w:hint="eastAsia"/>
                      <w:lang w:val="en-US" w:eastAsia="zh-CN"/>
                    </w:rPr>
                    <w:t>NO</w:t>
                  </w:r>
                  <w:r>
                    <w:rPr>
                      <w:rFonts w:hint="eastAsia"/>
                      <w:vertAlign w:val="subscript"/>
                      <w:lang w:val="en-US" w:eastAsia="zh-CN"/>
                    </w:rPr>
                    <w:t>X</w:t>
                  </w:r>
                  <w:r>
                    <w:rPr>
                      <w:rFonts w:hint="eastAsia"/>
                      <w:vertAlign w:val="baseline"/>
                      <w:lang w:val="en-US" w:eastAsia="zh-CN"/>
                    </w:rPr>
                    <w:t>、非甲烷总烃</w:t>
                  </w:r>
                </w:p>
              </w:tc>
              <w:tc>
                <w:tcPr>
                  <w:tcW w:w="951" w:type="pct"/>
                  <w:noWrap w:val="0"/>
                  <w:vAlign w:val="center"/>
                </w:tcPr>
                <w:p w14:paraId="6C3EAC82">
                  <w:pPr>
                    <w:pStyle w:val="50"/>
                    <w:bidi w:val="0"/>
                    <w:rPr>
                      <w:rFonts w:hint="eastAsia"/>
                      <w:lang w:val="en-US" w:eastAsia="zh-CN"/>
                    </w:rPr>
                  </w:pPr>
                  <w:r>
                    <w:rPr>
                      <w:rFonts w:hint="eastAsia"/>
                      <w:lang w:val="en-US" w:eastAsia="zh-CN"/>
                    </w:rPr>
                    <w:t>E:85°55′55.551″</w:t>
                  </w:r>
                </w:p>
                <w:p w14:paraId="0BD2323B">
                  <w:pPr>
                    <w:pStyle w:val="50"/>
                    <w:bidi w:val="0"/>
                    <w:rPr>
                      <w:rFonts w:hint="default"/>
                      <w:lang w:val="en-US" w:eastAsia="zh-CN"/>
                    </w:rPr>
                  </w:pPr>
                  <w:r>
                    <w:rPr>
                      <w:rFonts w:hint="eastAsia"/>
                      <w:lang w:val="en-US" w:eastAsia="zh-CN"/>
                    </w:rPr>
                    <w:t>N:41°51′27.13957″</w:t>
                  </w:r>
                </w:p>
              </w:tc>
              <w:tc>
                <w:tcPr>
                  <w:tcW w:w="531" w:type="pct"/>
                  <w:noWrap w:val="0"/>
                  <w:vAlign w:val="center"/>
                </w:tcPr>
                <w:p w14:paraId="4EDD4565">
                  <w:pPr>
                    <w:pStyle w:val="50"/>
                    <w:bidi w:val="0"/>
                    <w:rPr>
                      <w:rFonts w:hint="default"/>
                      <w:lang w:val="en-US" w:eastAsia="zh-CN"/>
                    </w:rPr>
                  </w:pPr>
                  <w:r>
                    <w:rPr>
                      <w:rFonts w:hint="eastAsia"/>
                      <w:lang w:val="en-US" w:eastAsia="zh-CN"/>
                    </w:rPr>
                    <w:t>15</w:t>
                  </w:r>
                </w:p>
              </w:tc>
              <w:tc>
                <w:tcPr>
                  <w:tcW w:w="447" w:type="pct"/>
                  <w:noWrap w:val="0"/>
                  <w:vAlign w:val="center"/>
                </w:tcPr>
                <w:p w14:paraId="5367F659">
                  <w:pPr>
                    <w:pStyle w:val="50"/>
                    <w:bidi w:val="0"/>
                    <w:rPr>
                      <w:rFonts w:hint="default"/>
                      <w:lang w:val="en-US" w:eastAsia="zh-CN"/>
                    </w:rPr>
                  </w:pPr>
                  <w:r>
                    <w:rPr>
                      <w:rFonts w:hint="eastAsia"/>
                      <w:lang w:val="en-US" w:eastAsia="zh-CN"/>
                    </w:rPr>
                    <w:t>0.2</w:t>
                  </w:r>
                </w:p>
              </w:tc>
              <w:tc>
                <w:tcPr>
                  <w:tcW w:w="438" w:type="pct"/>
                  <w:noWrap w:val="0"/>
                  <w:vAlign w:val="center"/>
                </w:tcPr>
                <w:p w14:paraId="1E05652B">
                  <w:pPr>
                    <w:pStyle w:val="50"/>
                    <w:bidi w:val="0"/>
                    <w:rPr>
                      <w:rFonts w:hint="default"/>
                      <w:lang w:val="en-US" w:eastAsia="zh-CN"/>
                    </w:rPr>
                  </w:pPr>
                  <w:r>
                    <w:rPr>
                      <w:rFonts w:hint="eastAsia"/>
                      <w:lang w:val="en-US" w:eastAsia="zh-CN"/>
                    </w:rPr>
                    <w:t>70</w:t>
                  </w:r>
                </w:p>
              </w:tc>
              <w:tc>
                <w:tcPr>
                  <w:tcW w:w="491" w:type="pct"/>
                  <w:noWrap w:val="0"/>
                  <w:vAlign w:val="center"/>
                </w:tcPr>
                <w:p w14:paraId="2A1C2E36">
                  <w:pPr>
                    <w:pStyle w:val="50"/>
                    <w:bidi w:val="0"/>
                    <w:rPr>
                      <w:rFonts w:hint="default"/>
                      <w:lang w:val="en-US" w:eastAsia="zh-CN"/>
                    </w:rPr>
                  </w:pPr>
                  <w:r>
                    <w:rPr>
                      <w:rFonts w:hint="eastAsia"/>
                      <w:lang w:val="en-US" w:eastAsia="zh-CN"/>
                    </w:rPr>
                    <w:t>1440</w:t>
                  </w:r>
                </w:p>
              </w:tc>
              <w:tc>
                <w:tcPr>
                  <w:tcW w:w="570" w:type="pct"/>
                  <w:vMerge w:val="continue"/>
                  <w:noWrap w:val="0"/>
                  <w:vAlign w:val="center"/>
                </w:tcPr>
                <w:p w14:paraId="008D0FE3">
                  <w:pPr>
                    <w:pStyle w:val="50"/>
                    <w:bidi w:val="0"/>
                    <w:rPr>
                      <w:rFonts w:hint="eastAsia"/>
                      <w:lang w:val="en-US" w:eastAsia="zh-CN"/>
                    </w:rPr>
                  </w:pPr>
                </w:p>
              </w:tc>
            </w:tr>
          </w:tbl>
          <w:p w14:paraId="102296CB">
            <w:pPr>
              <w:pStyle w:val="49"/>
              <w:bidi w:val="0"/>
              <w:rPr>
                <w:rFonts w:hint="default"/>
                <w:lang w:val="en-US" w:eastAsia="zh-CN"/>
              </w:rPr>
            </w:pPr>
          </w:p>
        </w:tc>
      </w:tr>
    </w:tbl>
    <w:p w14:paraId="3DDB1516">
      <w:pPr>
        <w:pStyle w:val="19"/>
        <w:jc w:val="both"/>
        <w:outlineLvl w:val="0"/>
        <w:rPr>
          <w:rFonts w:hint="eastAsia" w:ascii="黑体" w:hAnsi="黑体" w:eastAsia="黑体"/>
          <w:snapToGrid w:val="0"/>
          <w:sz w:val="30"/>
          <w:szCs w:val="30"/>
        </w:rPr>
        <w:sectPr>
          <w:pgSz w:w="16838" w:h="11906" w:orient="landscape"/>
          <w:pgMar w:top="1531" w:right="1701" w:bottom="1531" w:left="1701" w:header="851" w:footer="851" w:gutter="0"/>
          <w:pgNumType w:fmt="decimal"/>
          <w:cols w:space="720" w:num="1"/>
          <w:docGrid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8227"/>
      </w:tblGrid>
      <w:tr w14:paraId="03AE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2" w:hRule="atLeast"/>
        </w:trPr>
        <w:tc>
          <w:tcPr>
            <w:tcW w:w="833" w:type="dxa"/>
          </w:tcPr>
          <w:p w14:paraId="29EF715C">
            <w:pPr>
              <w:pStyle w:val="19"/>
              <w:jc w:val="both"/>
              <w:outlineLvl w:val="0"/>
              <w:rPr>
                <w:rFonts w:hint="eastAsia" w:ascii="黑体" w:hAnsi="黑体" w:eastAsia="黑体"/>
                <w:snapToGrid w:val="0"/>
                <w:sz w:val="30"/>
                <w:szCs w:val="30"/>
                <w:vertAlign w:val="baseline"/>
              </w:rPr>
            </w:pPr>
          </w:p>
        </w:tc>
        <w:tc>
          <w:tcPr>
            <w:tcW w:w="8227" w:type="dxa"/>
          </w:tcPr>
          <w:p w14:paraId="4AE57A22">
            <w:pPr>
              <w:pStyle w:val="60"/>
              <w:bidi w:val="0"/>
              <w:rPr>
                <w:rFonts w:hint="eastAsia"/>
                <w:lang w:val="en-US" w:eastAsia="zh-CN"/>
              </w:rPr>
            </w:pPr>
            <w:r>
              <w:rPr>
                <w:rFonts w:hint="eastAsia"/>
                <w:lang w:val="en-US" w:eastAsia="zh-CN"/>
              </w:rPr>
              <w:t>1.4污染治理设施可行性</w:t>
            </w:r>
          </w:p>
          <w:p w14:paraId="34680511">
            <w:pPr>
              <w:pStyle w:val="54"/>
              <w:keepNext w:val="0"/>
              <w:keepLines w:val="0"/>
              <w:pageBreakBefore w:val="0"/>
              <w:widowControl w:val="0"/>
              <w:kinsoku/>
              <w:wordWrap w:val="0"/>
              <w:overflowPunct/>
              <w:topLinePunct w:val="0"/>
              <w:autoSpaceDE/>
              <w:autoSpaceDN/>
              <w:bidi w:val="0"/>
              <w:adjustRightInd/>
              <w:snapToGrid/>
              <w:textAlignment w:val="auto"/>
              <w:rPr>
                <w:rFonts w:hint="default"/>
                <w:lang w:val="en-US" w:eastAsia="zh-CN"/>
              </w:rPr>
            </w:pPr>
            <w:r>
              <w:rPr>
                <w:rFonts w:hint="eastAsia"/>
                <w:vertAlign w:val="baseline"/>
                <w:lang w:val="en-US" w:eastAsia="zh-CN"/>
              </w:rPr>
              <w:t>由于本行业无相关排污许可技术规范，故</w:t>
            </w:r>
            <w:r>
              <w:rPr>
                <w:rFonts w:hint="default"/>
                <w:lang w:val="en-US" w:eastAsia="zh-CN"/>
              </w:rPr>
              <w:t xml:space="preserve">参照《排污许可证申请与核发技术规范 </w:t>
            </w:r>
            <w:r>
              <w:rPr>
                <w:rFonts w:hint="eastAsia"/>
                <w:lang w:val="en-US" w:eastAsia="zh-CN"/>
              </w:rPr>
              <w:t>家具制造工业</w:t>
            </w:r>
            <w:r>
              <w:rPr>
                <w:rFonts w:hint="default"/>
                <w:lang w:val="en-US" w:eastAsia="zh-CN"/>
              </w:rPr>
              <w:t>》（HJ10</w:t>
            </w:r>
            <w:r>
              <w:rPr>
                <w:rFonts w:hint="eastAsia"/>
                <w:lang w:val="en-US" w:eastAsia="zh-CN"/>
              </w:rPr>
              <w:t>27</w:t>
            </w:r>
            <w:r>
              <w:rPr>
                <w:rFonts w:hint="default"/>
                <w:lang w:val="en-US" w:eastAsia="zh-CN"/>
              </w:rPr>
              <w:t>-2019）</w:t>
            </w:r>
            <w:r>
              <w:rPr>
                <w:rFonts w:hint="eastAsia"/>
                <w:lang w:val="en-US" w:eastAsia="zh-CN"/>
              </w:rPr>
              <w:t>及《家具制造工业污染防治可行技术指南》（HJ1180-2021）</w:t>
            </w:r>
            <w:r>
              <w:rPr>
                <w:rFonts w:hint="default"/>
                <w:lang w:val="en-US" w:eastAsia="zh-CN"/>
              </w:rPr>
              <w:t>等相关规范可知，</w:t>
            </w:r>
            <w:r>
              <w:rPr>
                <w:rFonts w:hint="eastAsia"/>
                <w:lang w:val="en-US" w:eastAsia="zh-CN"/>
              </w:rPr>
              <w:t>涂装工序废气处理的可行技术为“干式过滤技术+吸附法VOCs治理技术”</w:t>
            </w:r>
            <w:r>
              <w:rPr>
                <w:rFonts w:hint="default"/>
                <w:lang w:val="en-US" w:eastAsia="zh-CN"/>
              </w:rPr>
              <w:t>。项目</w:t>
            </w:r>
            <w:r>
              <w:rPr>
                <w:rFonts w:hint="eastAsia"/>
                <w:lang w:val="en-US" w:eastAsia="zh-CN"/>
              </w:rPr>
              <w:t>喷漆</w:t>
            </w:r>
            <w:r>
              <w:rPr>
                <w:rFonts w:hint="default"/>
                <w:lang w:val="en-US" w:eastAsia="zh-CN"/>
              </w:rPr>
              <w:t>废气治理技术采用</w:t>
            </w:r>
            <w:r>
              <w:rPr>
                <w:rFonts w:hint="eastAsia"/>
                <w:lang w:val="en-US" w:eastAsia="zh-CN"/>
              </w:rPr>
              <w:t>“干式过滤器+二级</w:t>
            </w:r>
            <w:r>
              <w:rPr>
                <w:rFonts w:hint="default"/>
                <w:lang w:val="en-US" w:eastAsia="zh-CN"/>
              </w:rPr>
              <w:t>活性炭吸附</w:t>
            </w:r>
            <w:r>
              <w:rPr>
                <w:rFonts w:hint="eastAsia"/>
                <w:lang w:val="en-US" w:eastAsia="zh-CN"/>
              </w:rPr>
              <w:t>”</w:t>
            </w:r>
            <w:r>
              <w:rPr>
                <w:rFonts w:hint="default"/>
                <w:lang w:val="en-US" w:eastAsia="zh-CN"/>
              </w:rPr>
              <w:t>技术，故项目采取的污染防治技术是可行的。</w:t>
            </w:r>
          </w:p>
          <w:p w14:paraId="761E21D5">
            <w:pPr>
              <w:pStyle w:val="54"/>
              <w:keepNext w:val="0"/>
              <w:keepLines w:val="0"/>
              <w:pageBreakBefore w:val="0"/>
              <w:widowControl w:val="0"/>
              <w:kinsoku/>
              <w:wordWrap w:val="0"/>
              <w:overflowPunct/>
              <w:topLinePunct w:val="0"/>
              <w:autoSpaceDE/>
              <w:autoSpaceDN/>
              <w:bidi w:val="0"/>
              <w:adjustRightInd/>
              <w:snapToGrid/>
              <w:textAlignment w:val="auto"/>
              <w:rPr>
                <w:rFonts w:hint="default"/>
                <w:lang w:val="en-US" w:eastAsia="zh-CN"/>
              </w:rPr>
            </w:pPr>
            <w:r>
              <w:rPr>
                <w:rFonts w:hint="eastAsia"/>
                <w:lang w:val="en-US" w:eastAsia="zh-CN"/>
              </w:rPr>
              <w:t>由于</w:t>
            </w:r>
            <w:r>
              <w:rPr>
                <w:rFonts w:hint="default"/>
                <w:lang w:val="en-US" w:eastAsia="zh-CN"/>
              </w:rPr>
              <w:t>《排污许可证申请与核发技术规范</w:t>
            </w:r>
            <w:r>
              <w:rPr>
                <w:rFonts w:hint="eastAsia"/>
                <w:lang w:val="en-US" w:eastAsia="zh-CN"/>
              </w:rPr>
              <w:t xml:space="preserve"> 工业炉窑</w:t>
            </w:r>
            <w:r>
              <w:rPr>
                <w:rFonts w:hint="default"/>
                <w:lang w:val="en-US" w:eastAsia="zh-CN"/>
              </w:rPr>
              <w:t>》（HJ</w:t>
            </w:r>
            <w:r>
              <w:rPr>
                <w:rFonts w:hint="eastAsia"/>
                <w:lang w:val="en-US" w:eastAsia="zh-CN"/>
              </w:rPr>
              <w:t>1121</w:t>
            </w:r>
            <w:r>
              <w:rPr>
                <w:rFonts w:hint="default"/>
                <w:lang w:val="en-US" w:eastAsia="zh-CN"/>
              </w:rPr>
              <w:t>-20</w:t>
            </w:r>
            <w:r>
              <w:rPr>
                <w:rFonts w:hint="eastAsia"/>
                <w:lang w:val="en-US" w:eastAsia="zh-CN"/>
              </w:rPr>
              <w:t>20</w:t>
            </w:r>
            <w:r>
              <w:rPr>
                <w:rFonts w:hint="default"/>
                <w:lang w:val="en-US" w:eastAsia="zh-CN"/>
              </w:rPr>
              <w:t>）</w:t>
            </w:r>
            <w:r>
              <w:rPr>
                <w:rFonts w:hint="eastAsia"/>
                <w:lang w:val="en-US" w:eastAsia="zh-CN"/>
              </w:rPr>
              <w:t>中附录A.1中无治理氮氧化物可行技术，故参考《</w:t>
            </w:r>
            <w:r>
              <w:rPr>
                <w:rFonts w:hint="default"/>
                <w:lang w:val="en-US" w:eastAsia="zh-CN"/>
              </w:rPr>
              <w:t>排污许可证申请与核发技术规范</w:t>
            </w:r>
            <w:r>
              <w:rPr>
                <w:rFonts w:hint="eastAsia"/>
                <w:lang w:val="en-US" w:eastAsia="zh-CN"/>
              </w:rPr>
              <w:t xml:space="preserve"> 锅炉》（HJ953-2018）中表7“锅炉烟气污染防治可行技术”中燃气锅炉氮氧化物治理技术为“低氮燃烧技术、低氮燃烧+SCR脱硝技术”。本项目天然气烘干炉采取低氮燃烧技术，</w:t>
            </w:r>
            <w:r>
              <w:rPr>
                <w:rFonts w:hint="default"/>
                <w:lang w:val="en-US" w:eastAsia="zh-CN"/>
              </w:rPr>
              <w:t>故项目采取的污染防治技术</w:t>
            </w:r>
            <w:r>
              <w:rPr>
                <w:rFonts w:hint="eastAsia"/>
                <w:lang w:val="en-US" w:eastAsia="zh-CN"/>
              </w:rPr>
              <w:t>可行</w:t>
            </w:r>
            <w:r>
              <w:rPr>
                <w:rFonts w:hint="default"/>
                <w:lang w:val="en-US" w:eastAsia="zh-CN"/>
              </w:rPr>
              <w:t>。</w:t>
            </w:r>
            <w:r>
              <w:rPr>
                <w:rFonts w:hint="eastAsia"/>
                <w:lang w:val="en-US" w:eastAsia="zh-CN"/>
              </w:rPr>
              <w:t>排污单位废气污染防治设施一览表见下表4-6。</w:t>
            </w:r>
          </w:p>
          <w:p w14:paraId="01F731D7">
            <w:pPr>
              <w:pStyle w:val="49"/>
              <w:bidi w:val="0"/>
              <w:rPr>
                <w:rFonts w:hint="eastAsia"/>
                <w:lang w:val="en-US" w:eastAsia="zh-CN"/>
              </w:rPr>
            </w:pPr>
            <w:r>
              <w:rPr>
                <w:rFonts w:hint="eastAsia"/>
                <w:lang w:val="en-US" w:eastAsia="zh-CN"/>
              </w:rPr>
              <w:t>表4-6    排污单位废气污染防治设施一览表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840"/>
              <w:gridCol w:w="1109"/>
              <w:gridCol w:w="2522"/>
              <w:gridCol w:w="1650"/>
              <w:gridCol w:w="805"/>
            </w:tblGrid>
            <w:tr w14:paraId="30D9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0" w:type="pct"/>
                  <w:vAlign w:val="center"/>
                </w:tcPr>
                <w:p w14:paraId="3A524C6B">
                  <w:pPr>
                    <w:pStyle w:val="50"/>
                    <w:bidi w:val="0"/>
                    <w:rPr>
                      <w:rFonts w:hint="default"/>
                      <w:lang w:val="en-US" w:eastAsia="zh-CN"/>
                    </w:rPr>
                  </w:pPr>
                  <w:r>
                    <w:rPr>
                      <w:rFonts w:hint="eastAsia"/>
                      <w:lang w:val="en-US" w:eastAsia="zh-CN"/>
                    </w:rPr>
                    <w:t>排污单位类别</w:t>
                  </w:r>
                </w:p>
              </w:tc>
              <w:tc>
                <w:tcPr>
                  <w:tcW w:w="525" w:type="pct"/>
                  <w:vAlign w:val="center"/>
                </w:tcPr>
                <w:p w14:paraId="5EAC76D4">
                  <w:pPr>
                    <w:pStyle w:val="50"/>
                    <w:bidi w:val="0"/>
                    <w:rPr>
                      <w:rFonts w:hint="default"/>
                      <w:lang w:val="en-US" w:eastAsia="zh-CN"/>
                    </w:rPr>
                  </w:pPr>
                  <w:r>
                    <w:rPr>
                      <w:rFonts w:hint="eastAsia"/>
                      <w:lang w:val="en-US" w:eastAsia="zh-CN"/>
                    </w:rPr>
                    <w:t>废</w:t>
                  </w:r>
                  <w:r>
                    <w:rPr>
                      <w:rFonts w:hint="default"/>
                      <w:lang w:val="en-US" w:eastAsia="zh-CN"/>
                    </w:rPr>
                    <w:t>气产污环节</w:t>
                  </w:r>
                </w:p>
              </w:tc>
              <w:tc>
                <w:tcPr>
                  <w:tcW w:w="693" w:type="pct"/>
                  <w:vAlign w:val="center"/>
                </w:tcPr>
                <w:p w14:paraId="2B256870">
                  <w:pPr>
                    <w:pStyle w:val="50"/>
                    <w:bidi w:val="0"/>
                    <w:rPr>
                      <w:rFonts w:hint="default"/>
                      <w:lang w:val="en-US" w:eastAsia="zh-CN"/>
                    </w:rPr>
                  </w:pPr>
                  <w:r>
                    <w:rPr>
                      <w:rFonts w:hint="eastAsia"/>
                      <w:lang w:val="en-US" w:eastAsia="zh-CN"/>
                    </w:rPr>
                    <w:t>本项目采取措施</w:t>
                  </w:r>
                </w:p>
              </w:tc>
              <w:tc>
                <w:tcPr>
                  <w:tcW w:w="2607" w:type="pct"/>
                  <w:gridSpan w:val="2"/>
                  <w:vAlign w:val="center"/>
                </w:tcPr>
                <w:p w14:paraId="4F64CF59">
                  <w:pPr>
                    <w:pStyle w:val="50"/>
                    <w:bidi w:val="0"/>
                    <w:rPr>
                      <w:rFonts w:hint="default"/>
                      <w:lang w:val="en-US" w:eastAsia="zh-CN"/>
                    </w:rPr>
                  </w:pPr>
                  <w:r>
                    <w:rPr>
                      <w:rFonts w:hint="eastAsia"/>
                      <w:lang w:val="en-US" w:eastAsia="zh-CN"/>
                    </w:rPr>
                    <w:t>污染防治可行技术指南或排污许可证申请与核发技术规范中规定</w:t>
                  </w:r>
                </w:p>
              </w:tc>
              <w:tc>
                <w:tcPr>
                  <w:tcW w:w="503" w:type="pct"/>
                  <w:vAlign w:val="center"/>
                </w:tcPr>
                <w:p w14:paraId="40A6930C">
                  <w:pPr>
                    <w:pStyle w:val="50"/>
                    <w:bidi w:val="0"/>
                    <w:rPr>
                      <w:rFonts w:hint="default"/>
                      <w:lang w:val="en-US" w:eastAsia="zh-CN"/>
                    </w:rPr>
                  </w:pPr>
                  <w:r>
                    <w:rPr>
                      <w:rFonts w:hint="eastAsia"/>
                      <w:lang w:val="en-US" w:eastAsia="zh-CN"/>
                    </w:rPr>
                    <w:t>是否为可行性技术</w:t>
                  </w:r>
                </w:p>
              </w:tc>
            </w:tr>
            <w:tr w14:paraId="56AE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7E6A8620">
                  <w:pPr>
                    <w:pStyle w:val="50"/>
                    <w:bidi w:val="0"/>
                    <w:rPr>
                      <w:rFonts w:hint="default"/>
                      <w:lang w:val="en-US" w:eastAsia="zh-CN"/>
                    </w:rPr>
                  </w:pPr>
                  <w:r>
                    <w:rPr>
                      <w:rFonts w:hint="eastAsia"/>
                      <w:lang w:val="en-US" w:eastAsia="zh-CN"/>
                    </w:rPr>
                    <w:t>喷漆</w:t>
                  </w:r>
                </w:p>
              </w:tc>
              <w:tc>
                <w:tcPr>
                  <w:tcW w:w="525" w:type="pct"/>
                  <w:vAlign w:val="center"/>
                </w:tcPr>
                <w:p w14:paraId="5C331BD7">
                  <w:pPr>
                    <w:pStyle w:val="50"/>
                    <w:bidi w:val="0"/>
                    <w:rPr>
                      <w:rFonts w:hint="default"/>
                      <w:lang w:val="en-US" w:eastAsia="zh-CN"/>
                    </w:rPr>
                  </w:pPr>
                  <w:r>
                    <w:rPr>
                      <w:rFonts w:hint="eastAsia"/>
                      <w:lang w:val="en-US" w:eastAsia="zh-CN"/>
                    </w:rPr>
                    <w:t>喷漆废气</w:t>
                  </w:r>
                </w:p>
              </w:tc>
              <w:tc>
                <w:tcPr>
                  <w:tcW w:w="693" w:type="pct"/>
                  <w:vAlign w:val="center"/>
                </w:tcPr>
                <w:p w14:paraId="71F654F4">
                  <w:pPr>
                    <w:pStyle w:val="50"/>
                    <w:bidi w:val="0"/>
                    <w:rPr>
                      <w:rFonts w:hint="default"/>
                      <w:lang w:val="en-US" w:eastAsia="zh-CN"/>
                    </w:rPr>
                  </w:pPr>
                  <w:r>
                    <w:rPr>
                      <w:rFonts w:hint="eastAsia"/>
                      <w:lang w:val="en-US" w:eastAsia="zh-CN"/>
                    </w:rPr>
                    <w:t>干式过滤器+二级活性炭吸附</w:t>
                  </w:r>
                </w:p>
              </w:tc>
              <w:tc>
                <w:tcPr>
                  <w:tcW w:w="1576" w:type="pct"/>
                  <w:vAlign w:val="center"/>
                </w:tcPr>
                <w:p w14:paraId="43DEF1A1">
                  <w:pPr>
                    <w:pStyle w:val="50"/>
                    <w:bidi w:val="0"/>
                    <w:rPr>
                      <w:rFonts w:hint="default"/>
                      <w:lang w:val="en-US" w:eastAsia="zh-CN"/>
                    </w:rPr>
                  </w:pPr>
                  <w:r>
                    <w:rPr>
                      <w:rFonts w:hint="eastAsia"/>
                      <w:lang w:val="en-US" w:eastAsia="zh-CN"/>
                    </w:rPr>
                    <w:t>水帘过滤、干式过滤棉/过滤器、旋风除尘、浓缩+燃烧/催化氧化；干式过滤技术+吸附法VOCs治理技术</w:t>
                  </w:r>
                </w:p>
              </w:tc>
              <w:tc>
                <w:tcPr>
                  <w:tcW w:w="1031" w:type="pct"/>
                  <w:vAlign w:val="center"/>
                </w:tcPr>
                <w:p w14:paraId="1FC0A1B0">
                  <w:pPr>
                    <w:pStyle w:val="50"/>
                    <w:keepNext w:val="0"/>
                    <w:keepLines w:val="0"/>
                    <w:pageBreakBefore w:val="0"/>
                    <w:widowControl w:val="0"/>
                    <w:kinsoku/>
                    <w:wordWrap w:val="0"/>
                    <w:overflowPunct/>
                    <w:topLinePunct w:val="0"/>
                    <w:autoSpaceDE/>
                    <w:autoSpaceDN/>
                    <w:bidi w:val="0"/>
                    <w:adjustRightInd w:val="0"/>
                    <w:snapToGrid w:val="0"/>
                    <w:textAlignment w:val="auto"/>
                    <w:rPr>
                      <w:rFonts w:hint="default"/>
                      <w:lang w:val="en-US" w:eastAsia="zh-CN"/>
                    </w:rPr>
                  </w:pPr>
                  <w:r>
                    <w:rPr>
                      <w:rFonts w:hint="default"/>
                      <w:lang w:val="en-US" w:eastAsia="zh-CN"/>
                    </w:rPr>
                    <w:t xml:space="preserve">《排污许可证申请与核发技术规范 </w:t>
                  </w:r>
                  <w:r>
                    <w:rPr>
                      <w:rFonts w:hint="eastAsia"/>
                      <w:lang w:val="en-US" w:eastAsia="zh-CN"/>
                    </w:rPr>
                    <w:t>家具制造工业</w:t>
                  </w:r>
                  <w:r>
                    <w:rPr>
                      <w:rFonts w:hint="default"/>
                      <w:lang w:val="en-US" w:eastAsia="zh-CN"/>
                    </w:rPr>
                    <w:t>》（HJ10</w:t>
                  </w:r>
                  <w:r>
                    <w:rPr>
                      <w:rFonts w:hint="eastAsia"/>
                      <w:lang w:val="en-US" w:eastAsia="zh-CN"/>
                    </w:rPr>
                    <w:t>27</w:t>
                  </w:r>
                  <w:r>
                    <w:rPr>
                      <w:rFonts w:hint="default"/>
                      <w:lang w:val="en-US" w:eastAsia="zh-CN"/>
                    </w:rPr>
                    <w:t>-2019）</w:t>
                  </w:r>
                  <w:r>
                    <w:rPr>
                      <w:rFonts w:hint="eastAsia"/>
                      <w:lang w:val="en-US" w:eastAsia="zh-CN"/>
                    </w:rPr>
                    <w:t>、《家具制造工业污染防治可行技术指南》（HJ1180-2021）</w:t>
                  </w:r>
                </w:p>
              </w:tc>
              <w:tc>
                <w:tcPr>
                  <w:tcW w:w="503" w:type="pct"/>
                  <w:vAlign w:val="center"/>
                </w:tcPr>
                <w:p w14:paraId="51EE894F">
                  <w:pPr>
                    <w:pStyle w:val="50"/>
                    <w:bidi w:val="0"/>
                    <w:rPr>
                      <w:rFonts w:hint="default"/>
                      <w:lang w:val="en-US" w:eastAsia="zh-CN"/>
                    </w:rPr>
                  </w:pPr>
                  <w:r>
                    <w:rPr>
                      <w:rFonts w:hint="eastAsia"/>
                      <w:lang w:val="en-US" w:eastAsia="zh-CN"/>
                    </w:rPr>
                    <w:t>是</w:t>
                  </w:r>
                </w:p>
              </w:tc>
            </w:tr>
            <w:tr w14:paraId="6BA3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vAlign w:val="center"/>
                </w:tcPr>
                <w:p w14:paraId="0C569BC9">
                  <w:pPr>
                    <w:pStyle w:val="50"/>
                    <w:bidi w:val="0"/>
                    <w:rPr>
                      <w:rFonts w:hint="default"/>
                      <w:lang w:val="en-US" w:eastAsia="zh-CN"/>
                    </w:rPr>
                  </w:pPr>
                  <w:r>
                    <w:rPr>
                      <w:rFonts w:hint="eastAsia"/>
                      <w:lang w:val="en-US" w:eastAsia="zh-CN"/>
                    </w:rPr>
                    <w:t>天然气烘干炉</w:t>
                  </w:r>
                </w:p>
              </w:tc>
              <w:tc>
                <w:tcPr>
                  <w:tcW w:w="525" w:type="pct"/>
                  <w:vAlign w:val="center"/>
                </w:tcPr>
                <w:p w14:paraId="47C135AF">
                  <w:pPr>
                    <w:pStyle w:val="50"/>
                    <w:bidi w:val="0"/>
                    <w:rPr>
                      <w:rFonts w:hint="default"/>
                      <w:lang w:val="en-US" w:eastAsia="zh-CN"/>
                    </w:rPr>
                  </w:pPr>
                  <w:r>
                    <w:rPr>
                      <w:rFonts w:hint="eastAsia"/>
                      <w:lang w:val="en-US" w:eastAsia="zh-CN"/>
                    </w:rPr>
                    <w:t>天然气燃烧废气</w:t>
                  </w:r>
                </w:p>
              </w:tc>
              <w:tc>
                <w:tcPr>
                  <w:tcW w:w="693" w:type="pct"/>
                  <w:vAlign w:val="center"/>
                </w:tcPr>
                <w:p w14:paraId="5F0BB122">
                  <w:pPr>
                    <w:pStyle w:val="50"/>
                    <w:bidi w:val="0"/>
                    <w:rPr>
                      <w:rFonts w:hint="default"/>
                      <w:lang w:val="en-US"/>
                    </w:rPr>
                  </w:pPr>
                  <w:r>
                    <w:rPr>
                      <w:rFonts w:hint="default"/>
                      <w:lang w:val="en-US" w:eastAsia="zh-CN"/>
                    </w:rPr>
                    <w:t>低</w:t>
                  </w:r>
                  <w:r>
                    <w:rPr>
                      <w:rFonts w:hint="eastAsia"/>
                      <w:lang w:val="en-US" w:eastAsia="zh-CN"/>
                    </w:rPr>
                    <w:t>氮</w:t>
                  </w:r>
                  <w:r>
                    <w:rPr>
                      <w:rFonts w:hint="default"/>
                      <w:lang w:val="en-US" w:eastAsia="zh-CN"/>
                    </w:rPr>
                    <w:t>燃烧技术</w:t>
                  </w:r>
                </w:p>
              </w:tc>
              <w:tc>
                <w:tcPr>
                  <w:tcW w:w="1576" w:type="pct"/>
                  <w:vAlign w:val="center"/>
                </w:tcPr>
                <w:p w14:paraId="44A43C2F">
                  <w:pPr>
                    <w:pStyle w:val="50"/>
                    <w:bidi w:val="0"/>
                    <w:rPr>
                      <w:rFonts w:hint="default"/>
                      <w:lang w:val="en-US" w:eastAsia="zh-CN"/>
                    </w:rPr>
                  </w:pPr>
                  <w:r>
                    <w:rPr>
                      <w:rFonts w:hint="default"/>
                      <w:lang w:val="en-US" w:eastAsia="zh-CN"/>
                    </w:rPr>
                    <w:t>低</w:t>
                  </w:r>
                  <w:r>
                    <w:rPr>
                      <w:rFonts w:hint="eastAsia"/>
                      <w:lang w:val="en-US" w:eastAsia="zh-CN"/>
                    </w:rPr>
                    <w:t>氮</w:t>
                  </w:r>
                  <w:r>
                    <w:rPr>
                      <w:rFonts w:hint="default"/>
                      <w:lang w:val="en-US" w:eastAsia="zh-CN"/>
                    </w:rPr>
                    <w:t>燃烧</w:t>
                  </w:r>
                  <w:r>
                    <w:rPr>
                      <w:rFonts w:hint="eastAsia"/>
                      <w:lang w:val="en-US" w:eastAsia="zh-CN"/>
                    </w:rPr>
                    <w:t>、低氮燃烧+SCR脱硝技术。</w:t>
                  </w:r>
                </w:p>
              </w:tc>
              <w:tc>
                <w:tcPr>
                  <w:tcW w:w="1031" w:type="pct"/>
                  <w:vAlign w:val="center"/>
                </w:tcPr>
                <w:p w14:paraId="4DBE0ED1">
                  <w:pPr>
                    <w:pStyle w:val="50"/>
                    <w:keepNext w:val="0"/>
                    <w:keepLines w:val="0"/>
                    <w:pageBreakBefore w:val="0"/>
                    <w:widowControl w:val="0"/>
                    <w:kinsoku/>
                    <w:wordWrap w:val="0"/>
                    <w:overflowPunct/>
                    <w:topLinePunct w:val="0"/>
                    <w:autoSpaceDE/>
                    <w:autoSpaceDN/>
                    <w:bidi w:val="0"/>
                    <w:adjustRightInd w:val="0"/>
                    <w:snapToGrid w:val="0"/>
                    <w:textAlignment w:val="auto"/>
                    <w:rPr>
                      <w:rFonts w:hint="default"/>
                      <w:lang w:val="en-US" w:eastAsia="zh-CN"/>
                    </w:rPr>
                  </w:pPr>
                  <w:r>
                    <w:rPr>
                      <w:rFonts w:hint="default"/>
                      <w:lang w:val="en-US" w:eastAsia="zh-CN"/>
                    </w:rPr>
                    <w:t>《排污许可证申请与核发技术规范 锅炉》（HJ953-2018）</w:t>
                  </w:r>
                </w:p>
              </w:tc>
              <w:tc>
                <w:tcPr>
                  <w:tcW w:w="503" w:type="pct"/>
                  <w:vAlign w:val="center"/>
                </w:tcPr>
                <w:p w14:paraId="46E7D824">
                  <w:pPr>
                    <w:pStyle w:val="50"/>
                    <w:bidi w:val="0"/>
                    <w:rPr>
                      <w:rFonts w:hint="default"/>
                      <w:lang w:val="en-US" w:eastAsia="zh-CN"/>
                    </w:rPr>
                  </w:pPr>
                  <w:r>
                    <w:rPr>
                      <w:rFonts w:hint="eastAsia"/>
                      <w:lang w:val="en-US" w:eastAsia="zh-CN"/>
                    </w:rPr>
                    <w:t>是</w:t>
                  </w:r>
                </w:p>
              </w:tc>
            </w:tr>
          </w:tbl>
          <w:p w14:paraId="04F91028">
            <w:pPr>
              <w:pStyle w:val="60"/>
              <w:bidi w:val="0"/>
              <w:rPr>
                <w:rFonts w:hint="default"/>
                <w:lang w:val="en-US" w:eastAsia="zh-CN"/>
              </w:rPr>
            </w:pPr>
            <w:r>
              <w:rPr>
                <w:rFonts w:hint="eastAsia"/>
                <w:lang w:val="en-US" w:eastAsia="zh-CN"/>
              </w:rPr>
              <w:t>1.5监测要求</w:t>
            </w:r>
          </w:p>
          <w:p w14:paraId="16FD1905">
            <w:pPr>
              <w:pStyle w:val="54"/>
              <w:bidi w:val="0"/>
              <w:rPr>
                <w:rFonts w:hint="eastAsia"/>
                <w:lang w:val="en-US" w:eastAsia="zh-CN"/>
              </w:rPr>
            </w:pPr>
            <w:r>
              <w:rPr>
                <w:rFonts w:hint="eastAsia"/>
                <w:lang w:val="en-US" w:eastAsia="zh-CN"/>
              </w:rPr>
              <w:t>根据《排污单位自行监测技术指南总则》（</w:t>
            </w:r>
            <w:r>
              <w:rPr>
                <w:rFonts w:hint="default"/>
                <w:lang w:val="en-US" w:eastAsia="zh-CN"/>
              </w:rPr>
              <w:t>HJ819-2017</w:t>
            </w:r>
            <w:r>
              <w:rPr>
                <w:rFonts w:hint="eastAsia"/>
                <w:lang w:val="en-US" w:eastAsia="zh-CN"/>
              </w:rPr>
              <w:t>），本项目大气监测计划见下表4-7。</w:t>
            </w:r>
          </w:p>
          <w:p w14:paraId="3754F053">
            <w:pPr>
              <w:pStyle w:val="49"/>
              <w:bidi w:val="0"/>
              <w:rPr>
                <w:rFonts w:hint="default"/>
                <w:lang w:val="en-US" w:eastAsia="zh-CN"/>
              </w:rPr>
            </w:pPr>
            <w:r>
              <w:rPr>
                <w:rFonts w:hint="eastAsia"/>
                <w:lang w:val="en-US" w:eastAsia="zh-CN"/>
              </w:rPr>
              <w:t>表4-7    废气环境监测计划</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36"/>
              <w:gridCol w:w="1292"/>
              <w:gridCol w:w="1141"/>
              <w:gridCol w:w="1276"/>
              <w:gridCol w:w="3027"/>
            </w:tblGrid>
            <w:tr w14:paraId="05DB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vAlign w:val="center"/>
                </w:tcPr>
                <w:p w14:paraId="350C3034">
                  <w:pPr>
                    <w:pStyle w:val="61"/>
                    <w:bidi w:val="0"/>
                    <w:jc w:val="center"/>
                    <w:rPr>
                      <w:rFonts w:hint="default"/>
                      <w:lang w:val="en-US" w:eastAsia="zh-CN"/>
                    </w:rPr>
                  </w:pPr>
                  <w:r>
                    <w:rPr>
                      <w:rFonts w:hint="eastAsia"/>
                      <w:lang w:val="en-US" w:eastAsia="zh-CN"/>
                    </w:rPr>
                    <w:t>排放方式</w:t>
                  </w:r>
                </w:p>
              </w:tc>
              <w:tc>
                <w:tcPr>
                  <w:tcW w:w="523" w:type="pct"/>
                  <w:vAlign w:val="center"/>
                </w:tcPr>
                <w:p w14:paraId="4D08C641">
                  <w:pPr>
                    <w:pStyle w:val="61"/>
                    <w:bidi w:val="0"/>
                    <w:jc w:val="center"/>
                    <w:rPr>
                      <w:rFonts w:hint="default"/>
                      <w:lang w:val="en-US" w:eastAsia="zh-CN"/>
                    </w:rPr>
                  </w:pPr>
                  <w:r>
                    <w:rPr>
                      <w:rFonts w:hint="eastAsia"/>
                      <w:lang w:val="en-US" w:eastAsia="zh-CN"/>
                    </w:rPr>
                    <w:t>监测点位</w:t>
                  </w:r>
                </w:p>
              </w:tc>
              <w:tc>
                <w:tcPr>
                  <w:tcW w:w="807" w:type="pct"/>
                  <w:vAlign w:val="center"/>
                </w:tcPr>
                <w:p w14:paraId="2FE1C8AE">
                  <w:pPr>
                    <w:pStyle w:val="61"/>
                    <w:bidi w:val="0"/>
                    <w:jc w:val="center"/>
                    <w:rPr>
                      <w:rFonts w:hint="default"/>
                      <w:lang w:val="en-US" w:eastAsia="zh-CN"/>
                    </w:rPr>
                  </w:pPr>
                  <w:r>
                    <w:rPr>
                      <w:rFonts w:hint="eastAsia"/>
                      <w:highlight w:val="none"/>
                      <w:lang w:val="en-US" w:eastAsia="zh-CN"/>
                    </w:rPr>
                    <w:t>监测项目</w:t>
                  </w:r>
                </w:p>
              </w:tc>
              <w:tc>
                <w:tcPr>
                  <w:tcW w:w="713" w:type="pct"/>
                  <w:vAlign w:val="center"/>
                </w:tcPr>
                <w:p w14:paraId="72443229">
                  <w:pPr>
                    <w:pStyle w:val="61"/>
                    <w:bidi w:val="0"/>
                    <w:jc w:val="center"/>
                    <w:rPr>
                      <w:rFonts w:hint="default"/>
                      <w:lang w:val="en-US" w:eastAsia="zh-CN"/>
                    </w:rPr>
                  </w:pPr>
                  <w:r>
                    <w:rPr>
                      <w:rFonts w:hint="eastAsia"/>
                      <w:lang w:val="en-US" w:eastAsia="zh-CN"/>
                    </w:rPr>
                    <w:t>监测频次</w:t>
                  </w:r>
                </w:p>
              </w:tc>
              <w:tc>
                <w:tcPr>
                  <w:tcW w:w="797" w:type="pct"/>
                  <w:vAlign w:val="center"/>
                </w:tcPr>
                <w:p w14:paraId="140BBBAF">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eastAsia"/>
                      <w:highlight w:val="none"/>
                      <w:lang w:val="en-US" w:eastAsia="zh-CN"/>
                    </w:rPr>
                    <w:t>污染物浓度限值（mg/m</w:t>
                  </w:r>
                  <w:r>
                    <w:rPr>
                      <w:rFonts w:hint="eastAsia"/>
                      <w:highlight w:val="none"/>
                      <w:vertAlign w:val="superscript"/>
                      <w:lang w:val="en-US" w:eastAsia="zh-CN"/>
                    </w:rPr>
                    <w:t>3</w:t>
                  </w:r>
                  <w:r>
                    <w:rPr>
                      <w:rFonts w:hint="eastAsia"/>
                      <w:highlight w:val="none"/>
                      <w:lang w:val="en-US" w:eastAsia="zh-CN"/>
                    </w:rPr>
                    <w:t>）</w:t>
                  </w:r>
                </w:p>
              </w:tc>
              <w:tc>
                <w:tcPr>
                  <w:tcW w:w="1891" w:type="pct"/>
                  <w:vAlign w:val="center"/>
                </w:tcPr>
                <w:p w14:paraId="2C06DB67">
                  <w:pPr>
                    <w:pStyle w:val="61"/>
                    <w:bidi w:val="0"/>
                    <w:jc w:val="center"/>
                    <w:rPr>
                      <w:rFonts w:hint="default"/>
                      <w:lang w:val="en-US" w:eastAsia="zh-CN"/>
                    </w:rPr>
                  </w:pPr>
                  <w:r>
                    <w:rPr>
                      <w:rFonts w:hint="eastAsia"/>
                      <w:lang w:val="en-US" w:eastAsia="zh-CN"/>
                    </w:rPr>
                    <w:t>执行标准</w:t>
                  </w:r>
                </w:p>
              </w:tc>
            </w:tr>
            <w:tr w14:paraId="3D06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vMerge w:val="restart"/>
                  <w:vAlign w:val="center"/>
                </w:tcPr>
                <w:p w14:paraId="1BE2F4A8">
                  <w:pPr>
                    <w:pStyle w:val="61"/>
                    <w:bidi w:val="0"/>
                    <w:jc w:val="center"/>
                    <w:rPr>
                      <w:rFonts w:hint="default"/>
                      <w:lang w:val="en-US" w:eastAsia="zh-CN"/>
                    </w:rPr>
                  </w:pPr>
                  <w:r>
                    <w:rPr>
                      <w:rFonts w:hint="eastAsia"/>
                      <w:lang w:val="en-US" w:eastAsia="zh-CN"/>
                    </w:rPr>
                    <w:t>有组织</w:t>
                  </w:r>
                </w:p>
              </w:tc>
              <w:tc>
                <w:tcPr>
                  <w:tcW w:w="523" w:type="pct"/>
                  <w:vMerge w:val="restart"/>
                  <w:vAlign w:val="center"/>
                </w:tcPr>
                <w:p w14:paraId="0816F4E4">
                  <w:pPr>
                    <w:pStyle w:val="61"/>
                    <w:bidi w:val="0"/>
                    <w:jc w:val="center"/>
                    <w:rPr>
                      <w:rFonts w:hint="default"/>
                      <w:lang w:val="en-US" w:eastAsia="zh-CN"/>
                    </w:rPr>
                  </w:pPr>
                  <w:r>
                    <w:rPr>
                      <w:rFonts w:hint="eastAsia"/>
                      <w:lang w:val="en-US" w:eastAsia="zh-CN"/>
                    </w:rPr>
                    <w:t>DA001</w:t>
                  </w:r>
                </w:p>
              </w:tc>
              <w:tc>
                <w:tcPr>
                  <w:tcW w:w="807" w:type="pct"/>
                  <w:vAlign w:val="center"/>
                </w:tcPr>
                <w:p w14:paraId="1E4074E5">
                  <w:pPr>
                    <w:pStyle w:val="61"/>
                    <w:bidi w:val="0"/>
                    <w:jc w:val="center"/>
                    <w:rPr>
                      <w:rFonts w:hint="default"/>
                      <w:lang w:val="en-US" w:eastAsia="zh-CN"/>
                    </w:rPr>
                  </w:pPr>
                  <w:r>
                    <w:rPr>
                      <w:rFonts w:hint="eastAsia"/>
                      <w:lang w:val="en-US" w:eastAsia="zh-CN"/>
                    </w:rPr>
                    <w:t>非甲烷总烃</w:t>
                  </w:r>
                </w:p>
              </w:tc>
              <w:tc>
                <w:tcPr>
                  <w:tcW w:w="713" w:type="pct"/>
                  <w:vMerge w:val="restart"/>
                  <w:vAlign w:val="center"/>
                </w:tcPr>
                <w:p w14:paraId="2527351F">
                  <w:pPr>
                    <w:pStyle w:val="61"/>
                    <w:bidi w:val="0"/>
                    <w:jc w:val="center"/>
                    <w:rPr>
                      <w:rFonts w:hint="default"/>
                      <w:lang w:val="en-US" w:eastAsia="zh-CN"/>
                    </w:rPr>
                  </w:pPr>
                  <w:r>
                    <w:rPr>
                      <w:rFonts w:hint="eastAsia"/>
                      <w:highlight w:val="none"/>
                      <w:lang w:val="en-US" w:eastAsia="zh-CN"/>
                    </w:rPr>
                    <w:t>1次/年</w:t>
                  </w:r>
                </w:p>
              </w:tc>
              <w:tc>
                <w:tcPr>
                  <w:tcW w:w="797" w:type="pct"/>
                  <w:vAlign w:val="center"/>
                </w:tcPr>
                <w:p w14:paraId="2CD3BA6A">
                  <w:pPr>
                    <w:pStyle w:val="61"/>
                    <w:bidi w:val="0"/>
                    <w:jc w:val="center"/>
                    <w:rPr>
                      <w:rFonts w:hint="default"/>
                      <w:lang w:val="en-US" w:eastAsia="zh-CN"/>
                    </w:rPr>
                  </w:pPr>
                  <w:r>
                    <w:rPr>
                      <w:rFonts w:hint="eastAsia"/>
                      <w:lang w:val="en-US" w:eastAsia="zh-CN"/>
                    </w:rPr>
                    <w:t>120</w:t>
                  </w:r>
                </w:p>
              </w:tc>
              <w:tc>
                <w:tcPr>
                  <w:tcW w:w="1891" w:type="pct"/>
                  <w:vMerge w:val="restart"/>
                  <w:vAlign w:val="center"/>
                </w:tcPr>
                <w:p w14:paraId="2E3933F5">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《大气污染物</w:t>
                  </w:r>
                  <w:r>
                    <w:rPr>
                      <w:rFonts w:hint="eastAsia" w:cs="Times New Roman"/>
                      <w:color w:val="000000" w:themeColor="text1"/>
                      <w:szCs w:val="21"/>
                      <w:highlight w:val="none"/>
                      <w:lang w:val="en-US" w:eastAsia="zh-CN"/>
                      <w14:textFill>
                        <w14:solidFill>
                          <w14:schemeClr w14:val="tx1"/>
                        </w14:solidFill>
                      </w14:textFill>
                    </w:rPr>
                    <w:t>综合</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排放标准》（GB</w:t>
                  </w:r>
                  <w:r>
                    <w:rPr>
                      <w:rFonts w:hint="eastAsia" w:cs="Times New Roman"/>
                      <w:color w:val="000000" w:themeColor="text1"/>
                      <w:szCs w:val="21"/>
                      <w:highlight w:val="none"/>
                      <w:lang w:val="en-US" w:eastAsia="zh-CN"/>
                      <w14:textFill>
                        <w14:solidFill>
                          <w14:schemeClr w14:val="tx1"/>
                        </w14:solidFill>
                      </w14:textFill>
                    </w:rPr>
                    <w:t>16297</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1996</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tc>
            </w:tr>
            <w:tr w14:paraId="446F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vMerge w:val="continue"/>
                  <w:vAlign w:val="center"/>
                </w:tcPr>
                <w:p w14:paraId="6DAFBFC9">
                  <w:pPr>
                    <w:pStyle w:val="61"/>
                    <w:bidi w:val="0"/>
                    <w:jc w:val="center"/>
                    <w:rPr>
                      <w:rFonts w:hint="eastAsia"/>
                      <w:lang w:val="en-US" w:eastAsia="zh-CN"/>
                    </w:rPr>
                  </w:pPr>
                </w:p>
              </w:tc>
              <w:tc>
                <w:tcPr>
                  <w:tcW w:w="523" w:type="pct"/>
                  <w:vMerge w:val="continue"/>
                  <w:vAlign w:val="center"/>
                </w:tcPr>
                <w:p w14:paraId="4E5B4DFA">
                  <w:pPr>
                    <w:pStyle w:val="61"/>
                    <w:bidi w:val="0"/>
                    <w:jc w:val="center"/>
                    <w:rPr>
                      <w:rFonts w:hint="eastAsia"/>
                      <w:lang w:val="en-US" w:eastAsia="zh-CN"/>
                    </w:rPr>
                  </w:pPr>
                </w:p>
              </w:tc>
              <w:tc>
                <w:tcPr>
                  <w:tcW w:w="807" w:type="pct"/>
                  <w:vAlign w:val="center"/>
                </w:tcPr>
                <w:p w14:paraId="69740184">
                  <w:pPr>
                    <w:pStyle w:val="61"/>
                    <w:bidi w:val="0"/>
                    <w:jc w:val="center"/>
                    <w:rPr>
                      <w:rFonts w:hint="default"/>
                      <w:lang w:val="en-US" w:eastAsia="zh-CN"/>
                    </w:rPr>
                  </w:pPr>
                  <w:r>
                    <w:rPr>
                      <w:rFonts w:hint="eastAsia"/>
                      <w:lang w:val="en-US" w:eastAsia="zh-CN"/>
                    </w:rPr>
                    <w:t>颗粒物</w:t>
                  </w:r>
                </w:p>
              </w:tc>
              <w:tc>
                <w:tcPr>
                  <w:tcW w:w="713" w:type="pct"/>
                  <w:vMerge w:val="continue"/>
                  <w:vAlign w:val="center"/>
                </w:tcPr>
                <w:p w14:paraId="1D93D501">
                  <w:pPr>
                    <w:pStyle w:val="61"/>
                    <w:bidi w:val="0"/>
                    <w:jc w:val="center"/>
                    <w:rPr>
                      <w:rFonts w:hint="eastAsia"/>
                      <w:highlight w:val="none"/>
                      <w:lang w:val="en-US" w:eastAsia="zh-CN"/>
                    </w:rPr>
                  </w:pPr>
                </w:p>
              </w:tc>
              <w:tc>
                <w:tcPr>
                  <w:tcW w:w="797" w:type="pct"/>
                  <w:vAlign w:val="center"/>
                </w:tcPr>
                <w:p w14:paraId="17676B92">
                  <w:pPr>
                    <w:pStyle w:val="61"/>
                    <w:bidi w:val="0"/>
                    <w:jc w:val="center"/>
                    <w:rPr>
                      <w:rFonts w:hint="default"/>
                      <w:lang w:val="en-US" w:eastAsia="zh-CN"/>
                    </w:rPr>
                  </w:pPr>
                  <w:r>
                    <w:rPr>
                      <w:rFonts w:hint="eastAsia"/>
                      <w:lang w:val="en-US" w:eastAsia="zh-CN"/>
                    </w:rPr>
                    <w:t>120</w:t>
                  </w:r>
                </w:p>
              </w:tc>
              <w:tc>
                <w:tcPr>
                  <w:tcW w:w="1891" w:type="pct"/>
                  <w:vMerge w:val="continue"/>
                  <w:vAlign w:val="center"/>
                </w:tcPr>
                <w:p w14:paraId="32ED296A">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p>
              </w:tc>
            </w:tr>
            <w:tr w14:paraId="765F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66" w:type="pct"/>
                  <w:vMerge w:val="continue"/>
                  <w:vAlign w:val="center"/>
                </w:tcPr>
                <w:p w14:paraId="68A73FD5">
                  <w:pPr>
                    <w:pStyle w:val="61"/>
                    <w:bidi w:val="0"/>
                    <w:jc w:val="center"/>
                    <w:rPr>
                      <w:rFonts w:hint="default"/>
                      <w:lang w:val="en-US" w:eastAsia="zh-CN"/>
                    </w:rPr>
                  </w:pPr>
                </w:p>
              </w:tc>
              <w:tc>
                <w:tcPr>
                  <w:tcW w:w="523" w:type="pct"/>
                  <w:vMerge w:val="restart"/>
                  <w:vAlign w:val="center"/>
                </w:tcPr>
                <w:p w14:paraId="29B7F823">
                  <w:pPr>
                    <w:pStyle w:val="61"/>
                    <w:bidi w:val="0"/>
                    <w:jc w:val="center"/>
                    <w:rPr>
                      <w:rFonts w:hint="default"/>
                      <w:lang w:val="en-US" w:eastAsia="zh-CN"/>
                    </w:rPr>
                  </w:pPr>
                  <w:r>
                    <w:rPr>
                      <w:rFonts w:hint="eastAsia"/>
                      <w:lang w:val="en-US" w:eastAsia="zh-CN"/>
                    </w:rPr>
                    <w:t>DA002</w:t>
                  </w:r>
                </w:p>
              </w:tc>
              <w:tc>
                <w:tcPr>
                  <w:tcW w:w="807" w:type="pct"/>
                  <w:vAlign w:val="center"/>
                </w:tcPr>
                <w:p w14:paraId="2A4FA9DA">
                  <w:pPr>
                    <w:pStyle w:val="50"/>
                    <w:bidi w:val="0"/>
                    <w:jc w:val="center"/>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颗粒物</w:t>
                  </w:r>
                </w:p>
              </w:tc>
              <w:tc>
                <w:tcPr>
                  <w:tcW w:w="713" w:type="pct"/>
                  <w:vAlign w:val="center"/>
                </w:tcPr>
                <w:p w14:paraId="06ED012D">
                  <w:pPr>
                    <w:pStyle w:val="61"/>
                    <w:bidi w:val="0"/>
                    <w:jc w:val="center"/>
                    <w:rPr>
                      <w:rFonts w:hint="default"/>
                      <w:lang w:val="en-US" w:eastAsia="zh-CN"/>
                    </w:rPr>
                  </w:pPr>
                  <w:r>
                    <w:rPr>
                      <w:rFonts w:hint="eastAsia"/>
                      <w:highlight w:val="none"/>
                      <w:lang w:val="en-US" w:eastAsia="zh-CN"/>
                    </w:rPr>
                    <w:t>1次/年</w:t>
                  </w:r>
                </w:p>
              </w:tc>
              <w:tc>
                <w:tcPr>
                  <w:tcW w:w="797" w:type="pct"/>
                  <w:vAlign w:val="center"/>
                </w:tcPr>
                <w:p w14:paraId="019E4458">
                  <w:pPr>
                    <w:pStyle w:val="61"/>
                    <w:bidi w:val="0"/>
                    <w:jc w:val="center"/>
                    <w:rPr>
                      <w:rFonts w:hint="default"/>
                      <w:lang w:val="en-US" w:eastAsia="zh-CN"/>
                    </w:rPr>
                  </w:pPr>
                  <w:r>
                    <w:rPr>
                      <w:rFonts w:hint="eastAsia"/>
                      <w:lang w:val="en-US" w:eastAsia="zh-CN"/>
                    </w:rPr>
                    <w:t>30</w:t>
                  </w:r>
                </w:p>
              </w:tc>
              <w:tc>
                <w:tcPr>
                  <w:tcW w:w="1891" w:type="pct"/>
                  <w:vMerge w:val="restart"/>
                  <w:vAlign w:val="center"/>
                </w:tcPr>
                <w:p w14:paraId="3EE04514">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eastAsia" w:cs="Times New Roman"/>
                      <w:color w:val="000000" w:themeColor="text1"/>
                      <w:szCs w:val="21"/>
                      <w:highlight w:val="none"/>
                      <w:lang w:val="en-US" w:eastAsia="zh-CN"/>
                      <w14:textFill>
                        <w14:solidFill>
                          <w14:schemeClr w14:val="tx1"/>
                        </w14:solidFill>
                      </w14:textFill>
                    </w:rPr>
                    <w:t>《关于印发自治州工业炉窑大气污染综合治理实施方案的通知》（巴环发〔2019〕170号）</w:t>
                  </w:r>
                </w:p>
              </w:tc>
            </w:tr>
            <w:tr w14:paraId="6426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 w:type="pct"/>
                  <w:vMerge w:val="continue"/>
                  <w:vAlign w:val="center"/>
                </w:tcPr>
                <w:p w14:paraId="184FD9D7">
                  <w:pPr>
                    <w:pStyle w:val="61"/>
                    <w:bidi w:val="0"/>
                    <w:jc w:val="center"/>
                    <w:rPr>
                      <w:rFonts w:hint="default"/>
                      <w:lang w:val="en-US" w:eastAsia="zh-CN"/>
                    </w:rPr>
                  </w:pPr>
                </w:p>
              </w:tc>
              <w:tc>
                <w:tcPr>
                  <w:tcW w:w="523" w:type="pct"/>
                  <w:vMerge w:val="continue"/>
                  <w:vAlign w:val="center"/>
                </w:tcPr>
                <w:p w14:paraId="000FC4E1">
                  <w:pPr>
                    <w:pStyle w:val="61"/>
                    <w:bidi w:val="0"/>
                    <w:jc w:val="center"/>
                    <w:rPr>
                      <w:rFonts w:hint="default"/>
                      <w:lang w:val="en-US" w:eastAsia="zh-CN"/>
                    </w:rPr>
                  </w:pPr>
                </w:p>
              </w:tc>
              <w:tc>
                <w:tcPr>
                  <w:tcW w:w="807" w:type="pct"/>
                  <w:vAlign w:val="center"/>
                </w:tcPr>
                <w:p w14:paraId="6F0AD359">
                  <w:pPr>
                    <w:pStyle w:val="50"/>
                    <w:bidi w:val="0"/>
                    <w:jc w:val="center"/>
                    <w:rPr>
                      <w:rFonts w:hint="default" w:ascii="Times New Roman" w:hAnsi="Times New Roman" w:eastAsiaTheme="minorEastAsia" w:cstheme="minorEastAsia"/>
                      <w:color w:val="auto"/>
                      <w:kern w:val="2"/>
                      <w:sz w:val="21"/>
                      <w:szCs w:val="21"/>
                      <w:lang w:val="en-US" w:eastAsia="zh-CN" w:bidi="ar-SA"/>
                    </w:rPr>
                  </w:pPr>
                  <w:r>
                    <w:rPr>
                      <w:rFonts w:hint="eastAsia"/>
                      <w:lang w:val="en-US" w:eastAsia="zh-CN"/>
                    </w:rPr>
                    <w:t>SO</w:t>
                  </w:r>
                  <w:r>
                    <w:rPr>
                      <w:rFonts w:hint="eastAsia"/>
                      <w:vertAlign w:val="subscript"/>
                      <w:lang w:val="en-US" w:eastAsia="zh-CN"/>
                    </w:rPr>
                    <w:t>2</w:t>
                  </w:r>
                </w:p>
              </w:tc>
              <w:tc>
                <w:tcPr>
                  <w:tcW w:w="713" w:type="pct"/>
                  <w:vAlign w:val="center"/>
                </w:tcPr>
                <w:p w14:paraId="608F4CC1">
                  <w:pPr>
                    <w:pStyle w:val="61"/>
                    <w:bidi w:val="0"/>
                    <w:jc w:val="center"/>
                    <w:rPr>
                      <w:rFonts w:hint="default"/>
                      <w:lang w:val="en-US" w:eastAsia="zh-CN"/>
                    </w:rPr>
                  </w:pPr>
                  <w:r>
                    <w:rPr>
                      <w:rFonts w:hint="eastAsia"/>
                      <w:highlight w:val="none"/>
                      <w:lang w:val="en-US" w:eastAsia="zh-CN"/>
                    </w:rPr>
                    <w:t>1次/年</w:t>
                  </w:r>
                </w:p>
              </w:tc>
              <w:tc>
                <w:tcPr>
                  <w:tcW w:w="797" w:type="pct"/>
                  <w:vAlign w:val="center"/>
                </w:tcPr>
                <w:p w14:paraId="7953F971">
                  <w:pPr>
                    <w:pStyle w:val="61"/>
                    <w:bidi w:val="0"/>
                    <w:jc w:val="center"/>
                    <w:rPr>
                      <w:rFonts w:hint="default"/>
                      <w:lang w:val="en-US" w:eastAsia="zh-CN"/>
                    </w:rPr>
                  </w:pPr>
                  <w:r>
                    <w:rPr>
                      <w:rFonts w:hint="eastAsia"/>
                      <w:lang w:val="en-US" w:eastAsia="zh-CN"/>
                    </w:rPr>
                    <w:t>200</w:t>
                  </w:r>
                </w:p>
              </w:tc>
              <w:tc>
                <w:tcPr>
                  <w:tcW w:w="1891" w:type="pct"/>
                  <w:vMerge w:val="continue"/>
                  <w:vAlign w:val="center"/>
                </w:tcPr>
                <w:p w14:paraId="645DD089">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p>
              </w:tc>
            </w:tr>
            <w:tr w14:paraId="073F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66" w:type="pct"/>
                  <w:vMerge w:val="continue"/>
                  <w:vAlign w:val="center"/>
                </w:tcPr>
                <w:p w14:paraId="1CFDBEBE">
                  <w:pPr>
                    <w:pStyle w:val="61"/>
                    <w:bidi w:val="0"/>
                    <w:jc w:val="center"/>
                    <w:rPr>
                      <w:rFonts w:hint="default"/>
                      <w:lang w:val="en-US" w:eastAsia="zh-CN"/>
                    </w:rPr>
                  </w:pPr>
                </w:p>
              </w:tc>
              <w:tc>
                <w:tcPr>
                  <w:tcW w:w="523" w:type="pct"/>
                  <w:vMerge w:val="continue"/>
                  <w:vAlign w:val="center"/>
                </w:tcPr>
                <w:p w14:paraId="21AE8C83">
                  <w:pPr>
                    <w:pStyle w:val="61"/>
                    <w:bidi w:val="0"/>
                    <w:jc w:val="center"/>
                    <w:rPr>
                      <w:rFonts w:hint="default"/>
                      <w:lang w:val="en-US" w:eastAsia="zh-CN"/>
                    </w:rPr>
                  </w:pPr>
                </w:p>
              </w:tc>
              <w:tc>
                <w:tcPr>
                  <w:tcW w:w="807" w:type="pct"/>
                  <w:vAlign w:val="center"/>
                </w:tcPr>
                <w:p w14:paraId="54547530">
                  <w:pPr>
                    <w:pStyle w:val="50"/>
                    <w:bidi w:val="0"/>
                    <w:jc w:val="center"/>
                    <w:rPr>
                      <w:rFonts w:hint="eastAsia"/>
                      <w:lang w:val="en-US" w:eastAsia="zh-CN"/>
                    </w:rPr>
                  </w:pPr>
                  <w:r>
                    <w:rPr>
                      <w:rFonts w:hint="eastAsia"/>
                      <w:lang w:val="en-US" w:eastAsia="zh-CN"/>
                    </w:rPr>
                    <w:t>NO</w:t>
                  </w:r>
                  <w:r>
                    <w:rPr>
                      <w:rFonts w:hint="eastAsia"/>
                      <w:vertAlign w:val="subscript"/>
                      <w:lang w:val="en-US" w:eastAsia="zh-CN"/>
                    </w:rPr>
                    <w:t>X</w:t>
                  </w:r>
                </w:p>
              </w:tc>
              <w:tc>
                <w:tcPr>
                  <w:tcW w:w="713" w:type="pct"/>
                  <w:vAlign w:val="center"/>
                </w:tcPr>
                <w:p w14:paraId="79010C47">
                  <w:pPr>
                    <w:pStyle w:val="61"/>
                    <w:bidi w:val="0"/>
                    <w:jc w:val="center"/>
                    <w:rPr>
                      <w:rFonts w:hint="eastAsia"/>
                      <w:highlight w:val="none"/>
                      <w:lang w:val="en-US" w:eastAsia="zh-CN"/>
                    </w:rPr>
                  </w:pPr>
                  <w:r>
                    <w:rPr>
                      <w:rFonts w:hint="eastAsia"/>
                      <w:highlight w:val="none"/>
                      <w:lang w:val="en-US" w:eastAsia="zh-CN"/>
                    </w:rPr>
                    <w:t>1次/年</w:t>
                  </w:r>
                </w:p>
              </w:tc>
              <w:tc>
                <w:tcPr>
                  <w:tcW w:w="797" w:type="pct"/>
                  <w:vAlign w:val="center"/>
                </w:tcPr>
                <w:p w14:paraId="41ABCA6F">
                  <w:pPr>
                    <w:pStyle w:val="61"/>
                    <w:bidi w:val="0"/>
                    <w:rPr>
                      <w:rFonts w:hint="default"/>
                      <w:lang w:val="en-US" w:eastAsia="zh-CN"/>
                    </w:rPr>
                  </w:pPr>
                  <w:r>
                    <w:rPr>
                      <w:rFonts w:hint="eastAsia"/>
                      <w:lang w:val="en-US" w:eastAsia="zh-CN"/>
                    </w:rPr>
                    <w:t>50</w:t>
                  </w:r>
                </w:p>
              </w:tc>
              <w:tc>
                <w:tcPr>
                  <w:tcW w:w="1891" w:type="pct"/>
                  <w:vMerge w:val="continue"/>
                  <w:vAlign w:val="center"/>
                </w:tcPr>
                <w:p w14:paraId="48BA4293">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p>
              </w:tc>
            </w:tr>
            <w:tr w14:paraId="02AD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66" w:type="pct"/>
                  <w:vMerge w:val="continue"/>
                  <w:vAlign w:val="center"/>
                </w:tcPr>
                <w:p w14:paraId="51634E82">
                  <w:pPr>
                    <w:pStyle w:val="61"/>
                    <w:bidi w:val="0"/>
                    <w:jc w:val="center"/>
                    <w:rPr>
                      <w:rFonts w:hint="default"/>
                      <w:lang w:val="en-US" w:eastAsia="zh-CN"/>
                    </w:rPr>
                  </w:pPr>
                </w:p>
              </w:tc>
              <w:tc>
                <w:tcPr>
                  <w:tcW w:w="523" w:type="pct"/>
                  <w:vMerge w:val="continue"/>
                  <w:vAlign w:val="center"/>
                </w:tcPr>
                <w:p w14:paraId="79896097">
                  <w:pPr>
                    <w:pStyle w:val="61"/>
                    <w:bidi w:val="0"/>
                    <w:jc w:val="center"/>
                    <w:rPr>
                      <w:rFonts w:hint="default"/>
                      <w:lang w:val="en-US" w:eastAsia="zh-CN"/>
                    </w:rPr>
                  </w:pPr>
                </w:p>
              </w:tc>
              <w:tc>
                <w:tcPr>
                  <w:tcW w:w="807" w:type="pct"/>
                  <w:vAlign w:val="center"/>
                </w:tcPr>
                <w:p w14:paraId="0161D167">
                  <w:pPr>
                    <w:pStyle w:val="50"/>
                    <w:bidi w:val="0"/>
                    <w:jc w:val="center"/>
                    <w:rPr>
                      <w:rFonts w:hint="default" w:ascii="Times New Roman" w:hAnsi="Times New Roman" w:eastAsiaTheme="minorEastAsia" w:cstheme="minorEastAsia"/>
                      <w:color w:val="auto"/>
                      <w:kern w:val="2"/>
                      <w:sz w:val="21"/>
                      <w:szCs w:val="21"/>
                      <w:lang w:val="en-US" w:eastAsia="zh-CN" w:bidi="ar-SA"/>
                    </w:rPr>
                  </w:pPr>
                  <w:r>
                    <w:rPr>
                      <w:rFonts w:hint="eastAsia" w:ascii="宋体" w:hAnsi="宋体" w:cs="宋体"/>
                      <w:bCs/>
                      <w:color w:val="000000"/>
                      <w:sz w:val="21"/>
                      <w:szCs w:val="21"/>
                      <w:lang w:eastAsia="zh-CN"/>
                    </w:rPr>
                    <w:t>林格曼黑度</w:t>
                  </w:r>
                </w:p>
              </w:tc>
              <w:tc>
                <w:tcPr>
                  <w:tcW w:w="713" w:type="pct"/>
                  <w:vAlign w:val="center"/>
                </w:tcPr>
                <w:p w14:paraId="51F44CC4">
                  <w:pPr>
                    <w:pStyle w:val="61"/>
                    <w:bidi w:val="0"/>
                    <w:jc w:val="center"/>
                    <w:rPr>
                      <w:rFonts w:hint="default"/>
                      <w:lang w:val="en-US" w:eastAsia="zh-CN"/>
                    </w:rPr>
                  </w:pPr>
                  <w:r>
                    <w:rPr>
                      <w:rFonts w:hint="eastAsia"/>
                      <w:highlight w:val="none"/>
                      <w:lang w:val="en-US" w:eastAsia="zh-CN"/>
                    </w:rPr>
                    <w:t>1次/年</w:t>
                  </w:r>
                </w:p>
              </w:tc>
              <w:tc>
                <w:tcPr>
                  <w:tcW w:w="797" w:type="pct"/>
                  <w:vAlign w:val="center"/>
                </w:tcPr>
                <w:p w14:paraId="269DDD77">
                  <w:pPr>
                    <w:pStyle w:val="61"/>
                    <w:bidi w:val="0"/>
                    <w:jc w:val="center"/>
                    <w:rPr>
                      <w:rFonts w:hint="default"/>
                      <w:lang w:val="en-US" w:eastAsia="zh-CN"/>
                    </w:rPr>
                  </w:pPr>
                  <w:r>
                    <w:rPr>
                      <w:rFonts w:hint="default"/>
                      <w:lang w:val="en-US" w:eastAsia="zh-CN"/>
                    </w:rPr>
                    <w:t>≤</w:t>
                  </w:r>
                  <w:r>
                    <w:rPr>
                      <w:rFonts w:hint="eastAsia"/>
                      <w:lang w:val="en-US" w:eastAsia="zh-CN"/>
                    </w:rPr>
                    <w:t>1</w:t>
                  </w:r>
                </w:p>
              </w:tc>
              <w:tc>
                <w:tcPr>
                  <w:tcW w:w="1891" w:type="pct"/>
                  <w:vAlign w:val="center"/>
                </w:tcPr>
                <w:p w14:paraId="7B16E06F">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eastAsia"/>
                      <w:lang w:eastAsia="zh-CN"/>
                    </w:rPr>
                    <w:t>《</w:t>
                  </w:r>
                  <w:r>
                    <w:rPr>
                      <w:rFonts w:hint="eastAsia"/>
                      <w:lang w:val="en-US" w:eastAsia="zh-CN"/>
                    </w:rPr>
                    <w:t>工业炉窑大气污染物排放标准</w:t>
                  </w:r>
                  <w:r>
                    <w:rPr>
                      <w:rFonts w:hint="eastAsia"/>
                      <w:lang w:eastAsia="zh-CN"/>
                    </w:rPr>
                    <w:t>》（</w:t>
                  </w:r>
                  <w:r>
                    <w:rPr>
                      <w:rFonts w:hint="eastAsia"/>
                      <w:lang w:val="en-US" w:eastAsia="zh-CN"/>
                    </w:rPr>
                    <w:t>GB9078-1996</w:t>
                  </w:r>
                  <w:r>
                    <w:rPr>
                      <w:rFonts w:hint="eastAsia"/>
                      <w:lang w:eastAsia="zh-CN"/>
                    </w:rPr>
                    <w:t>）</w:t>
                  </w:r>
                </w:p>
              </w:tc>
            </w:tr>
            <w:tr w14:paraId="7E9E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 w:type="pct"/>
                  <w:vMerge w:val="continue"/>
                  <w:vAlign w:val="center"/>
                </w:tcPr>
                <w:p w14:paraId="30918393">
                  <w:pPr>
                    <w:pStyle w:val="61"/>
                    <w:bidi w:val="0"/>
                    <w:jc w:val="center"/>
                    <w:rPr>
                      <w:rFonts w:hint="default"/>
                      <w:lang w:val="en-US" w:eastAsia="zh-CN"/>
                    </w:rPr>
                  </w:pPr>
                </w:p>
              </w:tc>
              <w:tc>
                <w:tcPr>
                  <w:tcW w:w="523" w:type="pct"/>
                  <w:vMerge w:val="restart"/>
                  <w:vAlign w:val="center"/>
                </w:tcPr>
                <w:p w14:paraId="61E8B441">
                  <w:pPr>
                    <w:pStyle w:val="61"/>
                    <w:bidi w:val="0"/>
                    <w:jc w:val="center"/>
                    <w:rPr>
                      <w:rFonts w:hint="default"/>
                      <w:lang w:val="en-US" w:eastAsia="zh-CN"/>
                    </w:rPr>
                  </w:pPr>
                  <w:r>
                    <w:rPr>
                      <w:rFonts w:hint="eastAsia"/>
                      <w:lang w:val="en-US" w:eastAsia="zh-CN"/>
                    </w:rPr>
                    <w:t>DA003</w:t>
                  </w:r>
                </w:p>
              </w:tc>
              <w:tc>
                <w:tcPr>
                  <w:tcW w:w="807" w:type="pct"/>
                  <w:shd w:val="clear" w:color="auto" w:fill="auto"/>
                  <w:vAlign w:val="center"/>
                </w:tcPr>
                <w:p w14:paraId="271252C4">
                  <w:pPr>
                    <w:pStyle w:val="50"/>
                    <w:bidi w:val="0"/>
                    <w:jc w:val="center"/>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颗粒物</w:t>
                  </w:r>
                </w:p>
              </w:tc>
              <w:tc>
                <w:tcPr>
                  <w:tcW w:w="713" w:type="pct"/>
                  <w:shd w:val="clear" w:color="auto" w:fill="auto"/>
                  <w:vAlign w:val="center"/>
                </w:tcPr>
                <w:p w14:paraId="23789CDF">
                  <w:pPr>
                    <w:pStyle w:val="61"/>
                    <w:bidi w:val="0"/>
                    <w:jc w:val="center"/>
                    <w:rPr>
                      <w:rFonts w:hint="eastAsia" w:ascii="Times New Roman" w:hAnsi="Times New Roman" w:eastAsia="宋体" w:cs="Times New Roman"/>
                      <w:kern w:val="2"/>
                      <w:sz w:val="21"/>
                      <w:szCs w:val="21"/>
                      <w:lang w:val="en-US" w:eastAsia="zh-CN" w:bidi="ar-SA"/>
                    </w:rPr>
                  </w:pPr>
                  <w:r>
                    <w:rPr>
                      <w:rFonts w:hint="eastAsia"/>
                      <w:highlight w:val="none"/>
                      <w:lang w:val="en-US" w:eastAsia="zh-CN"/>
                    </w:rPr>
                    <w:t>1次/年</w:t>
                  </w:r>
                </w:p>
              </w:tc>
              <w:tc>
                <w:tcPr>
                  <w:tcW w:w="797" w:type="pct"/>
                  <w:shd w:val="clear" w:color="auto" w:fill="auto"/>
                  <w:vAlign w:val="center"/>
                </w:tcPr>
                <w:p w14:paraId="2C358C6B">
                  <w:pPr>
                    <w:pStyle w:val="61"/>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30</w:t>
                  </w:r>
                </w:p>
              </w:tc>
              <w:tc>
                <w:tcPr>
                  <w:tcW w:w="1891" w:type="pct"/>
                  <w:vMerge w:val="restart"/>
                  <w:shd w:val="clear" w:color="auto" w:fill="auto"/>
                  <w:vAlign w:val="center"/>
                </w:tcPr>
                <w:p w14:paraId="78551153">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color w:val="000000" w:themeColor="text1"/>
                      <w:szCs w:val="21"/>
                      <w:highlight w:val="none"/>
                      <w:lang w:val="en-US" w:eastAsia="zh-CN"/>
                      <w14:textFill>
                        <w14:solidFill>
                          <w14:schemeClr w14:val="tx1"/>
                        </w14:solidFill>
                      </w14:textFill>
                    </w:rPr>
                    <w:t>《关于印发自治州工业炉窑大气污染综合治理实施方案的通知》（巴环发〔2019〕170号）</w:t>
                  </w:r>
                </w:p>
              </w:tc>
            </w:tr>
            <w:tr w14:paraId="157C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 w:type="pct"/>
                  <w:vMerge w:val="continue"/>
                  <w:vAlign w:val="center"/>
                </w:tcPr>
                <w:p w14:paraId="703872AF">
                  <w:pPr>
                    <w:pStyle w:val="61"/>
                    <w:bidi w:val="0"/>
                    <w:jc w:val="center"/>
                    <w:rPr>
                      <w:rFonts w:hint="default"/>
                      <w:lang w:val="en-US" w:eastAsia="zh-CN"/>
                    </w:rPr>
                  </w:pPr>
                </w:p>
              </w:tc>
              <w:tc>
                <w:tcPr>
                  <w:tcW w:w="523" w:type="pct"/>
                  <w:vMerge w:val="continue"/>
                  <w:vAlign w:val="center"/>
                </w:tcPr>
                <w:p w14:paraId="69C12330">
                  <w:pPr>
                    <w:pStyle w:val="61"/>
                    <w:bidi w:val="0"/>
                    <w:jc w:val="center"/>
                    <w:rPr>
                      <w:rFonts w:hint="eastAsia"/>
                      <w:lang w:val="en-US" w:eastAsia="zh-CN"/>
                    </w:rPr>
                  </w:pPr>
                </w:p>
              </w:tc>
              <w:tc>
                <w:tcPr>
                  <w:tcW w:w="807" w:type="pct"/>
                  <w:shd w:val="clear" w:color="auto" w:fill="auto"/>
                  <w:vAlign w:val="center"/>
                </w:tcPr>
                <w:p w14:paraId="42E2DD29">
                  <w:pPr>
                    <w:pStyle w:val="50"/>
                    <w:bidi w:val="0"/>
                    <w:jc w:val="center"/>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SO</w:t>
                  </w:r>
                  <w:r>
                    <w:rPr>
                      <w:rFonts w:hint="eastAsia"/>
                      <w:vertAlign w:val="subscript"/>
                      <w:lang w:val="en-US" w:eastAsia="zh-CN"/>
                    </w:rPr>
                    <w:t>2</w:t>
                  </w:r>
                </w:p>
              </w:tc>
              <w:tc>
                <w:tcPr>
                  <w:tcW w:w="713" w:type="pct"/>
                  <w:shd w:val="clear" w:color="auto" w:fill="auto"/>
                  <w:vAlign w:val="center"/>
                </w:tcPr>
                <w:p w14:paraId="04638C21">
                  <w:pPr>
                    <w:pStyle w:val="61"/>
                    <w:bidi w:val="0"/>
                    <w:jc w:val="center"/>
                    <w:rPr>
                      <w:rFonts w:hint="eastAsia" w:ascii="Times New Roman" w:hAnsi="Times New Roman" w:eastAsia="宋体" w:cs="Times New Roman"/>
                      <w:kern w:val="2"/>
                      <w:sz w:val="21"/>
                      <w:szCs w:val="21"/>
                      <w:lang w:val="en-US" w:eastAsia="zh-CN" w:bidi="ar-SA"/>
                    </w:rPr>
                  </w:pPr>
                  <w:r>
                    <w:rPr>
                      <w:rFonts w:hint="eastAsia"/>
                      <w:highlight w:val="none"/>
                      <w:lang w:val="en-US" w:eastAsia="zh-CN"/>
                    </w:rPr>
                    <w:t>1次/年</w:t>
                  </w:r>
                </w:p>
              </w:tc>
              <w:tc>
                <w:tcPr>
                  <w:tcW w:w="797" w:type="pct"/>
                  <w:shd w:val="clear" w:color="auto" w:fill="auto"/>
                  <w:vAlign w:val="center"/>
                </w:tcPr>
                <w:p w14:paraId="70BBE9FA">
                  <w:pPr>
                    <w:pStyle w:val="61"/>
                    <w:bidi w:val="0"/>
                    <w:jc w:val="center"/>
                    <w:rPr>
                      <w:rFonts w:hint="default" w:ascii="Times New Roman" w:hAnsi="Times New Roman" w:eastAsia="宋体" w:cs="Times New Roman"/>
                      <w:kern w:val="2"/>
                      <w:sz w:val="21"/>
                      <w:szCs w:val="21"/>
                      <w:lang w:val="en-US" w:eastAsia="zh-CN" w:bidi="ar-SA"/>
                    </w:rPr>
                  </w:pPr>
                  <w:r>
                    <w:rPr>
                      <w:rFonts w:hint="eastAsia"/>
                      <w:lang w:val="en-US" w:eastAsia="zh-CN"/>
                    </w:rPr>
                    <w:t>200</w:t>
                  </w:r>
                </w:p>
              </w:tc>
              <w:tc>
                <w:tcPr>
                  <w:tcW w:w="1891" w:type="pct"/>
                  <w:vMerge w:val="continue"/>
                  <w:vAlign w:val="center"/>
                </w:tcPr>
                <w:p w14:paraId="0D5CB1F9">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eastAsia"/>
                      <w:lang w:eastAsia="zh-CN"/>
                    </w:rPr>
                  </w:pPr>
                </w:p>
              </w:tc>
            </w:tr>
            <w:tr w14:paraId="1B61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 w:type="pct"/>
                  <w:vMerge w:val="continue"/>
                  <w:vAlign w:val="center"/>
                </w:tcPr>
                <w:p w14:paraId="1A6343AF">
                  <w:pPr>
                    <w:pStyle w:val="61"/>
                    <w:bidi w:val="0"/>
                    <w:jc w:val="center"/>
                    <w:rPr>
                      <w:rFonts w:hint="default"/>
                      <w:lang w:val="en-US" w:eastAsia="zh-CN"/>
                    </w:rPr>
                  </w:pPr>
                </w:p>
              </w:tc>
              <w:tc>
                <w:tcPr>
                  <w:tcW w:w="523" w:type="pct"/>
                  <w:vMerge w:val="continue"/>
                  <w:vAlign w:val="center"/>
                </w:tcPr>
                <w:p w14:paraId="35A82E21">
                  <w:pPr>
                    <w:pStyle w:val="61"/>
                    <w:bidi w:val="0"/>
                    <w:jc w:val="center"/>
                    <w:rPr>
                      <w:rFonts w:hint="eastAsia"/>
                      <w:lang w:val="en-US" w:eastAsia="zh-CN"/>
                    </w:rPr>
                  </w:pPr>
                </w:p>
              </w:tc>
              <w:tc>
                <w:tcPr>
                  <w:tcW w:w="807" w:type="pct"/>
                  <w:shd w:val="clear" w:color="auto" w:fill="auto"/>
                  <w:vAlign w:val="center"/>
                </w:tcPr>
                <w:p w14:paraId="016A5EB6">
                  <w:pPr>
                    <w:pStyle w:val="50"/>
                    <w:bidi w:val="0"/>
                    <w:jc w:val="center"/>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NO</w:t>
                  </w:r>
                  <w:r>
                    <w:rPr>
                      <w:rFonts w:hint="eastAsia"/>
                      <w:vertAlign w:val="subscript"/>
                      <w:lang w:val="en-US" w:eastAsia="zh-CN"/>
                    </w:rPr>
                    <w:t>X</w:t>
                  </w:r>
                </w:p>
              </w:tc>
              <w:tc>
                <w:tcPr>
                  <w:tcW w:w="713" w:type="pct"/>
                  <w:shd w:val="clear" w:color="auto" w:fill="auto"/>
                  <w:vAlign w:val="center"/>
                </w:tcPr>
                <w:p w14:paraId="37B0E5C8">
                  <w:pPr>
                    <w:pStyle w:val="61"/>
                    <w:bidi w:val="0"/>
                    <w:jc w:val="center"/>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1次/年</w:t>
                  </w:r>
                </w:p>
              </w:tc>
              <w:tc>
                <w:tcPr>
                  <w:tcW w:w="797" w:type="pct"/>
                  <w:shd w:val="clear" w:color="auto" w:fill="auto"/>
                  <w:vAlign w:val="center"/>
                </w:tcPr>
                <w:p w14:paraId="3D104A45">
                  <w:pPr>
                    <w:pStyle w:val="61"/>
                    <w:bidi w:val="0"/>
                    <w:rPr>
                      <w:rFonts w:hint="default" w:ascii="Times New Roman" w:hAnsi="Times New Roman" w:eastAsia="宋体" w:cs="Times New Roman"/>
                      <w:kern w:val="2"/>
                      <w:sz w:val="21"/>
                      <w:szCs w:val="21"/>
                      <w:lang w:val="en-US" w:eastAsia="zh-CN" w:bidi="ar-SA"/>
                    </w:rPr>
                  </w:pPr>
                  <w:r>
                    <w:rPr>
                      <w:rFonts w:hint="eastAsia"/>
                      <w:lang w:val="en-US" w:eastAsia="zh-CN"/>
                    </w:rPr>
                    <w:t>50</w:t>
                  </w:r>
                </w:p>
              </w:tc>
              <w:tc>
                <w:tcPr>
                  <w:tcW w:w="1891" w:type="pct"/>
                  <w:vMerge w:val="continue"/>
                  <w:vAlign w:val="center"/>
                </w:tcPr>
                <w:p w14:paraId="7F65B44C">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eastAsia"/>
                      <w:lang w:eastAsia="zh-CN"/>
                    </w:rPr>
                  </w:pPr>
                </w:p>
              </w:tc>
            </w:tr>
            <w:tr w14:paraId="5CC2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 w:type="pct"/>
                  <w:vMerge w:val="continue"/>
                  <w:vAlign w:val="center"/>
                </w:tcPr>
                <w:p w14:paraId="25A8B465">
                  <w:pPr>
                    <w:pStyle w:val="61"/>
                    <w:bidi w:val="0"/>
                    <w:jc w:val="center"/>
                    <w:rPr>
                      <w:rFonts w:hint="default"/>
                      <w:lang w:val="en-US" w:eastAsia="zh-CN"/>
                    </w:rPr>
                  </w:pPr>
                </w:p>
              </w:tc>
              <w:tc>
                <w:tcPr>
                  <w:tcW w:w="523" w:type="pct"/>
                  <w:vMerge w:val="continue"/>
                  <w:vAlign w:val="center"/>
                </w:tcPr>
                <w:p w14:paraId="0AF7F9BC">
                  <w:pPr>
                    <w:pStyle w:val="61"/>
                    <w:bidi w:val="0"/>
                    <w:jc w:val="center"/>
                    <w:rPr>
                      <w:rFonts w:hint="eastAsia"/>
                      <w:lang w:val="en-US" w:eastAsia="zh-CN"/>
                    </w:rPr>
                  </w:pPr>
                </w:p>
              </w:tc>
              <w:tc>
                <w:tcPr>
                  <w:tcW w:w="807" w:type="pct"/>
                  <w:shd w:val="clear" w:color="auto" w:fill="auto"/>
                  <w:vAlign w:val="center"/>
                </w:tcPr>
                <w:p w14:paraId="3ACDC8F5">
                  <w:pPr>
                    <w:pStyle w:val="50"/>
                    <w:bidi w:val="0"/>
                    <w:jc w:val="center"/>
                    <w:rPr>
                      <w:rFonts w:hint="eastAsia" w:ascii="Times New Roman" w:hAnsi="Times New Roman" w:eastAsiaTheme="minorEastAsia" w:cstheme="minorEastAsia"/>
                      <w:color w:val="auto"/>
                      <w:kern w:val="2"/>
                      <w:sz w:val="21"/>
                      <w:szCs w:val="21"/>
                      <w:lang w:val="en-US" w:eastAsia="zh-CN" w:bidi="ar-SA"/>
                    </w:rPr>
                  </w:pPr>
                  <w:r>
                    <w:rPr>
                      <w:rFonts w:hint="eastAsia" w:ascii="宋体" w:hAnsi="宋体" w:cs="宋体"/>
                      <w:bCs/>
                      <w:color w:val="000000"/>
                      <w:sz w:val="21"/>
                      <w:szCs w:val="21"/>
                      <w:lang w:eastAsia="zh-CN"/>
                    </w:rPr>
                    <w:t>林格曼黑度</w:t>
                  </w:r>
                </w:p>
              </w:tc>
              <w:tc>
                <w:tcPr>
                  <w:tcW w:w="713" w:type="pct"/>
                  <w:shd w:val="clear" w:color="auto" w:fill="auto"/>
                  <w:vAlign w:val="center"/>
                </w:tcPr>
                <w:p w14:paraId="3C31D63D">
                  <w:pPr>
                    <w:pStyle w:val="61"/>
                    <w:bidi w:val="0"/>
                    <w:jc w:val="center"/>
                    <w:rPr>
                      <w:rFonts w:hint="eastAsia" w:ascii="Times New Roman" w:hAnsi="Times New Roman" w:eastAsia="宋体" w:cs="Times New Roman"/>
                      <w:kern w:val="2"/>
                      <w:sz w:val="21"/>
                      <w:szCs w:val="21"/>
                      <w:lang w:val="en-US" w:eastAsia="zh-CN" w:bidi="ar-SA"/>
                    </w:rPr>
                  </w:pPr>
                  <w:r>
                    <w:rPr>
                      <w:rFonts w:hint="eastAsia"/>
                      <w:highlight w:val="none"/>
                      <w:lang w:val="en-US" w:eastAsia="zh-CN"/>
                    </w:rPr>
                    <w:t>1次/年</w:t>
                  </w:r>
                </w:p>
              </w:tc>
              <w:tc>
                <w:tcPr>
                  <w:tcW w:w="797" w:type="pct"/>
                  <w:shd w:val="clear" w:color="auto" w:fill="auto"/>
                  <w:vAlign w:val="center"/>
                </w:tcPr>
                <w:p w14:paraId="1CC632EA">
                  <w:pPr>
                    <w:pStyle w:val="61"/>
                    <w:bidi w:val="0"/>
                    <w:jc w:val="center"/>
                    <w:rPr>
                      <w:rFonts w:hint="default" w:ascii="Times New Roman" w:hAnsi="Times New Roman" w:eastAsia="宋体" w:cs="Times New Roman"/>
                      <w:kern w:val="2"/>
                      <w:sz w:val="21"/>
                      <w:szCs w:val="21"/>
                      <w:lang w:val="en-US" w:eastAsia="zh-CN" w:bidi="ar-SA"/>
                    </w:rPr>
                  </w:pPr>
                  <w:r>
                    <w:rPr>
                      <w:rFonts w:hint="default"/>
                      <w:lang w:val="en-US" w:eastAsia="zh-CN"/>
                    </w:rPr>
                    <w:t>≤</w:t>
                  </w:r>
                  <w:r>
                    <w:rPr>
                      <w:rFonts w:hint="eastAsia"/>
                      <w:lang w:val="en-US" w:eastAsia="zh-CN"/>
                    </w:rPr>
                    <w:t>1</w:t>
                  </w:r>
                </w:p>
              </w:tc>
              <w:tc>
                <w:tcPr>
                  <w:tcW w:w="1891" w:type="pct"/>
                  <w:shd w:val="clear" w:color="auto" w:fill="auto"/>
                  <w:vAlign w:val="center"/>
                </w:tcPr>
                <w:p w14:paraId="604AD187">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eastAsia" w:ascii="Times New Roman" w:hAnsi="Times New Roman" w:eastAsia="宋体" w:cs="Times New Roman"/>
                      <w:kern w:val="2"/>
                      <w:sz w:val="21"/>
                      <w:szCs w:val="21"/>
                      <w:lang w:val="en-US" w:eastAsia="zh-CN" w:bidi="ar-SA"/>
                    </w:rPr>
                  </w:pPr>
                  <w:r>
                    <w:rPr>
                      <w:rFonts w:hint="eastAsia"/>
                      <w:lang w:eastAsia="zh-CN"/>
                    </w:rPr>
                    <w:t>《</w:t>
                  </w:r>
                  <w:r>
                    <w:rPr>
                      <w:rFonts w:hint="eastAsia"/>
                      <w:lang w:val="en-US" w:eastAsia="zh-CN"/>
                    </w:rPr>
                    <w:t>工业炉窑大气污染物排放标准</w:t>
                  </w:r>
                  <w:r>
                    <w:rPr>
                      <w:rFonts w:hint="eastAsia"/>
                      <w:lang w:eastAsia="zh-CN"/>
                    </w:rPr>
                    <w:t>》（</w:t>
                  </w:r>
                  <w:r>
                    <w:rPr>
                      <w:rFonts w:hint="eastAsia"/>
                      <w:lang w:val="en-US" w:eastAsia="zh-CN"/>
                    </w:rPr>
                    <w:t>GB9078-1996</w:t>
                  </w:r>
                  <w:r>
                    <w:rPr>
                      <w:rFonts w:hint="eastAsia"/>
                      <w:lang w:eastAsia="zh-CN"/>
                    </w:rPr>
                    <w:t>）</w:t>
                  </w:r>
                </w:p>
              </w:tc>
            </w:tr>
            <w:tr w14:paraId="5EBB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 w:type="pct"/>
                  <w:vMerge w:val="continue"/>
                  <w:vAlign w:val="center"/>
                </w:tcPr>
                <w:p w14:paraId="4BDBD65C">
                  <w:pPr>
                    <w:pStyle w:val="61"/>
                    <w:bidi w:val="0"/>
                    <w:jc w:val="center"/>
                    <w:rPr>
                      <w:rFonts w:hint="default"/>
                      <w:lang w:val="en-US" w:eastAsia="zh-CN"/>
                    </w:rPr>
                  </w:pPr>
                </w:p>
              </w:tc>
              <w:tc>
                <w:tcPr>
                  <w:tcW w:w="523" w:type="pct"/>
                  <w:vMerge w:val="continue"/>
                  <w:vAlign w:val="center"/>
                </w:tcPr>
                <w:p w14:paraId="351D3EDA">
                  <w:pPr>
                    <w:pStyle w:val="61"/>
                    <w:bidi w:val="0"/>
                    <w:jc w:val="center"/>
                    <w:rPr>
                      <w:rFonts w:hint="eastAsia"/>
                      <w:lang w:val="en-US" w:eastAsia="zh-CN"/>
                    </w:rPr>
                  </w:pPr>
                </w:p>
              </w:tc>
              <w:tc>
                <w:tcPr>
                  <w:tcW w:w="807" w:type="pct"/>
                  <w:vAlign w:val="center"/>
                </w:tcPr>
                <w:p w14:paraId="4A9652CD">
                  <w:pPr>
                    <w:pStyle w:val="50"/>
                    <w:bidi w:val="0"/>
                    <w:jc w:val="center"/>
                    <w:rPr>
                      <w:rFonts w:hint="default" w:ascii="宋体" w:hAnsi="宋体" w:cs="宋体"/>
                      <w:bCs/>
                      <w:color w:val="000000"/>
                      <w:sz w:val="21"/>
                      <w:szCs w:val="21"/>
                      <w:lang w:val="en-US" w:eastAsia="zh-CN"/>
                    </w:rPr>
                  </w:pPr>
                  <w:r>
                    <w:rPr>
                      <w:rFonts w:hint="eastAsia" w:ascii="宋体" w:hAnsi="宋体" w:cs="宋体"/>
                      <w:bCs/>
                      <w:color w:val="000000"/>
                      <w:sz w:val="21"/>
                      <w:szCs w:val="21"/>
                      <w:lang w:val="en-US" w:eastAsia="zh-CN"/>
                    </w:rPr>
                    <w:t>非甲烷总烃</w:t>
                  </w:r>
                </w:p>
              </w:tc>
              <w:tc>
                <w:tcPr>
                  <w:tcW w:w="713" w:type="pct"/>
                  <w:vAlign w:val="center"/>
                </w:tcPr>
                <w:p w14:paraId="76750B24">
                  <w:pPr>
                    <w:pStyle w:val="61"/>
                    <w:bidi w:val="0"/>
                    <w:jc w:val="center"/>
                    <w:rPr>
                      <w:rFonts w:hint="default"/>
                      <w:highlight w:val="none"/>
                      <w:lang w:val="en-US" w:eastAsia="zh-CN"/>
                    </w:rPr>
                  </w:pPr>
                  <w:r>
                    <w:rPr>
                      <w:rFonts w:hint="eastAsia"/>
                      <w:highlight w:val="none"/>
                      <w:lang w:val="en-US" w:eastAsia="zh-CN"/>
                    </w:rPr>
                    <w:t>1次/年</w:t>
                  </w:r>
                </w:p>
              </w:tc>
              <w:tc>
                <w:tcPr>
                  <w:tcW w:w="797" w:type="pct"/>
                  <w:vAlign w:val="center"/>
                </w:tcPr>
                <w:p w14:paraId="62FEB3F7">
                  <w:pPr>
                    <w:pStyle w:val="61"/>
                    <w:bidi w:val="0"/>
                    <w:jc w:val="center"/>
                    <w:rPr>
                      <w:rFonts w:hint="default"/>
                      <w:lang w:val="en-US" w:eastAsia="zh-CN"/>
                    </w:rPr>
                  </w:pPr>
                  <w:r>
                    <w:rPr>
                      <w:rFonts w:hint="eastAsia"/>
                      <w:lang w:val="en-US" w:eastAsia="zh-CN"/>
                    </w:rPr>
                    <w:t>120</w:t>
                  </w:r>
                </w:p>
              </w:tc>
              <w:tc>
                <w:tcPr>
                  <w:tcW w:w="1891" w:type="pct"/>
                  <w:vAlign w:val="center"/>
                </w:tcPr>
                <w:p w14:paraId="10C15626">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eastAsia"/>
                      <w:lang w:eastAsia="zh-CN"/>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《大气污染物</w:t>
                  </w:r>
                  <w:r>
                    <w:rPr>
                      <w:rFonts w:hint="eastAsia" w:cs="Times New Roman"/>
                      <w:color w:val="000000" w:themeColor="text1"/>
                      <w:szCs w:val="21"/>
                      <w:highlight w:val="none"/>
                      <w:lang w:val="en-US" w:eastAsia="zh-CN"/>
                      <w14:textFill>
                        <w14:solidFill>
                          <w14:schemeClr w14:val="tx1"/>
                        </w14:solidFill>
                      </w14:textFill>
                    </w:rPr>
                    <w:t>综合</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排放标准》（GB</w:t>
                  </w:r>
                  <w:r>
                    <w:rPr>
                      <w:rFonts w:hint="eastAsia" w:cs="Times New Roman"/>
                      <w:color w:val="000000" w:themeColor="text1"/>
                      <w:szCs w:val="21"/>
                      <w:highlight w:val="none"/>
                      <w:lang w:val="en-US" w:eastAsia="zh-CN"/>
                      <w14:textFill>
                        <w14:solidFill>
                          <w14:schemeClr w14:val="tx1"/>
                        </w14:solidFill>
                      </w14:textFill>
                    </w:rPr>
                    <w:t>16297</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1996</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tc>
            </w:tr>
            <w:tr w14:paraId="5C56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vMerge w:val="restart"/>
                  <w:vAlign w:val="center"/>
                </w:tcPr>
                <w:p w14:paraId="06889B24">
                  <w:pPr>
                    <w:pStyle w:val="61"/>
                    <w:bidi w:val="0"/>
                    <w:jc w:val="center"/>
                    <w:rPr>
                      <w:rFonts w:hint="default"/>
                      <w:lang w:val="en-US" w:eastAsia="zh-CN"/>
                    </w:rPr>
                  </w:pPr>
                  <w:r>
                    <w:rPr>
                      <w:rFonts w:hint="eastAsia"/>
                      <w:lang w:val="en-US" w:eastAsia="zh-CN"/>
                    </w:rPr>
                    <w:t>无组织</w:t>
                  </w:r>
                </w:p>
              </w:tc>
              <w:tc>
                <w:tcPr>
                  <w:tcW w:w="523" w:type="pct"/>
                  <w:vMerge w:val="restart"/>
                  <w:vAlign w:val="center"/>
                </w:tcPr>
                <w:p w14:paraId="3194DF81">
                  <w:pPr>
                    <w:pStyle w:val="61"/>
                    <w:bidi w:val="0"/>
                    <w:jc w:val="center"/>
                    <w:rPr>
                      <w:rFonts w:hint="default"/>
                      <w:lang w:val="en-US" w:eastAsia="zh-CN"/>
                    </w:rPr>
                  </w:pPr>
                  <w:r>
                    <w:rPr>
                      <w:rFonts w:hint="eastAsia"/>
                      <w:lang w:val="en-US" w:eastAsia="zh-CN"/>
                    </w:rPr>
                    <w:t>厂界</w:t>
                  </w:r>
                </w:p>
              </w:tc>
              <w:tc>
                <w:tcPr>
                  <w:tcW w:w="807" w:type="pct"/>
                  <w:vAlign w:val="center"/>
                </w:tcPr>
                <w:p w14:paraId="00F0F7A6">
                  <w:pPr>
                    <w:pStyle w:val="61"/>
                    <w:bidi w:val="0"/>
                    <w:jc w:val="center"/>
                    <w:rPr>
                      <w:rFonts w:hint="eastAsia"/>
                      <w:lang w:val="en-US" w:eastAsia="zh-CN"/>
                    </w:rPr>
                  </w:pPr>
                  <w:r>
                    <w:rPr>
                      <w:rFonts w:hint="eastAsia"/>
                      <w:lang w:val="en-US" w:eastAsia="zh-CN"/>
                    </w:rPr>
                    <w:t>非甲烷总烃</w:t>
                  </w:r>
                </w:p>
              </w:tc>
              <w:tc>
                <w:tcPr>
                  <w:tcW w:w="713" w:type="pct"/>
                  <w:vMerge w:val="restart"/>
                  <w:vAlign w:val="center"/>
                </w:tcPr>
                <w:p w14:paraId="58A5B090">
                  <w:pPr>
                    <w:pStyle w:val="61"/>
                    <w:bidi w:val="0"/>
                    <w:jc w:val="center"/>
                    <w:rPr>
                      <w:rFonts w:hint="default"/>
                      <w:lang w:val="en-US" w:eastAsia="zh-CN"/>
                    </w:rPr>
                  </w:pPr>
                  <w:r>
                    <w:rPr>
                      <w:rFonts w:hint="eastAsia"/>
                      <w:lang w:val="en-US" w:eastAsia="zh-CN"/>
                    </w:rPr>
                    <w:t>1次/年</w:t>
                  </w:r>
                </w:p>
              </w:tc>
              <w:tc>
                <w:tcPr>
                  <w:tcW w:w="797" w:type="pct"/>
                  <w:vAlign w:val="center"/>
                </w:tcPr>
                <w:p w14:paraId="4212D8E9">
                  <w:pPr>
                    <w:pStyle w:val="61"/>
                    <w:bidi w:val="0"/>
                    <w:jc w:val="center"/>
                    <w:rPr>
                      <w:rFonts w:hint="default"/>
                      <w:lang w:val="en-US" w:eastAsia="zh-CN"/>
                    </w:rPr>
                  </w:pPr>
                  <w:r>
                    <w:rPr>
                      <w:rFonts w:hint="eastAsia"/>
                      <w:lang w:val="en-US" w:eastAsia="zh-CN"/>
                    </w:rPr>
                    <w:t>4</w:t>
                  </w:r>
                </w:p>
              </w:tc>
              <w:tc>
                <w:tcPr>
                  <w:tcW w:w="1891" w:type="pct"/>
                  <w:vMerge w:val="restart"/>
                  <w:vAlign w:val="center"/>
                </w:tcPr>
                <w:p w14:paraId="37E908DB">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default"/>
                      <w:lang w:val="en-US" w:eastAsia="zh-CN"/>
                    </w:rPr>
                  </w:pP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《大气污染物</w:t>
                  </w:r>
                  <w:r>
                    <w:rPr>
                      <w:rFonts w:hint="eastAsia" w:cs="Times New Roman"/>
                      <w:color w:val="000000" w:themeColor="text1"/>
                      <w:szCs w:val="21"/>
                      <w:highlight w:val="none"/>
                      <w:lang w:val="en-US" w:eastAsia="zh-CN"/>
                      <w14:textFill>
                        <w14:solidFill>
                          <w14:schemeClr w14:val="tx1"/>
                        </w14:solidFill>
                      </w14:textFill>
                    </w:rPr>
                    <w:t>综合</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排放标准》（GB</w:t>
                  </w:r>
                  <w:r>
                    <w:rPr>
                      <w:rFonts w:hint="eastAsia" w:cs="Times New Roman"/>
                      <w:color w:val="000000" w:themeColor="text1"/>
                      <w:szCs w:val="21"/>
                      <w:highlight w:val="none"/>
                      <w:lang w:val="en-US" w:eastAsia="zh-CN"/>
                      <w14:textFill>
                        <w14:solidFill>
                          <w14:schemeClr w14:val="tx1"/>
                        </w14:solidFill>
                      </w14:textFill>
                    </w:rPr>
                    <w:t>16297</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1996</w:t>
                  </w:r>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w:t>
                  </w:r>
                </w:p>
              </w:tc>
            </w:tr>
            <w:tr w14:paraId="599B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vMerge w:val="continue"/>
                  <w:vAlign w:val="center"/>
                </w:tcPr>
                <w:p w14:paraId="084F2F25">
                  <w:pPr>
                    <w:pStyle w:val="61"/>
                    <w:bidi w:val="0"/>
                    <w:jc w:val="center"/>
                    <w:rPr>
                      <w:rFonts w:hint="eastAsia"/>
                      <w:lang w:val="en-US" w:eastAsia="zh-CN"/>
                    </w:rPr>
                  </w:pPr>
                </w:p>
              </w:tc>
              <w:tc>
                <w:tcPr>
                  <w:tcW w:w="523" w:type="pct"/>
                  <w:vMerge w:val="continue"/>
                  <w:vAlign w:val="center"/>
                </w:tcPr>
                <w:p w14:paraId="3606E15D">
                  <w:pPr>
                    <w:pStyle w:val="61"/>
                    <w:bidi w:val="0"/>
                    <w:jc w:val="center"/>
                    <w:rPr>
                      <w:rFonts w:hint="eastAsia"/>
                      <w:lang w:val="en-US" w:eastAsia="zh-CN"/>
                    </w:rPr>
                  </w:pPr>
                </w:p>
              </w:tc>
              <w:tc>
                <w:tcPr>
                  <w:tcW w:w="807" w:type="pct"/>
                  <w:vAlign w:val="center"/>
                </w:tcPr>
                <w:p w14:paraId="4662F58E">
                  <w:pPr>
                    <w:pStyle w:val="61"/>
                    <w:bidi w:val="0"/>
                    <w:jc w:val="center"/>
                    <w:rPr>
                      <w:rFonts w:hint="default"/>
                      <w:lang w:val="en-US" w:eastAsia="zh-CN"/>
                    </w:rPr>
                  </w:pPr>
                  <w:r>
                    <w:rPr>
                      <w:rFonts w:hint="eastAsia"/>
                      <w:lang w:val="en-US" w:eastAsia="zh-CN"/>
                    </w:rPr>
                    <w:t>颗粒物</w:t>
                  </w:r>
                </w:p>
              </w:tc>
              <w:tc>
                <w:tcPr>
                  <w:tcW w:w="713" w:type="pct"/>
                  <w:vMerge w:val="continue"/>
                  <w:vAlign w:val="center"/>
                </w:tcPr>
                <w:p w14:paraId="34E34841">
                  <w:pPr>
                    <w:pStyle w:val="61"/>
                    <w:bidi w:val="0"/>
                    <w:jc w:val="center"/>
                    <w:rPr>
                      <w:rFonts w:hint="eastAsia"/>
                      <w:lang w:val="en-US" w:eastAsia="zh-CN"/>
                    </w:rPr>
                  </w:pPr>
                </w:p>
              </w:tc>
              <w:tc>
                <w:tcPr>
                  <w:tcW w:w="797" w:type="pct"/>
                  <w:vAlign w:val="center"/>
                </w:tcPr>
                <w:p w14:paraId="100CDDB7">
                  <w:pPr>
                    <w:pStyle w:val="61"/>
                    <w:bidi w:val="0"/>
                    <w:jc w:val="center"/>
                    <w:rPr>
                      <w:rFonts w:hint="default"/>
                      <w:lang w:val="en-US" w:eastAsia="zh-CN"/>
                    </w:rPr>
                  </w:pPr>
                  <w:r>
                    <w:rPr>
                      <w:rFonts w:hint="eastAsia"/>
                      <w:lang w:val="en-US" w:eastAsia="zh-CN"/>
                    </w:rPr>
                    <w:t>1</w:t>
                  </w:r>
                </w:p>
              </w:tc>
              <w:tc>
                <w:tcPr>
                  <w:tcW w:w="1891" w:type="pct"/>
                  <w:vMerge w:val="continue"/>
                  <w:vAlign w:val="center"/>
                </w:tcPr>
                <w:p w14:paraId="5DB05784">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p>
              </w:tc>
            </w:tr>
            <w:tr w14:paraId="6FA9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vMerge w:val="continue"/>
                  <w:vAlign w:val="center"/>
                </w:tcPr>
                <w:p w14:paraId="43F70561">
                  <w:pPr>
                    <w:pStyle w:val="61"/>
                    <w:bidi w:val="0"/>
                    <w:jc w:val="center"/>
                    <w:rPr>
                      <w:rFonts w:hint="eastAsia"/>
                      <w:lang w:val="en-US" w:eastAsia="zh-CN"/>
                    </w:rPr>
                  </w:pPr>
                </w:p>
              </w:tc>
              <w:tc>
                <w:tcPr>
                  <w:tcW w:w="523" w:type="pct"/>
                  <w:vMerge w:val="restart"/>
                  <w:vAlign w:val="center"/>
                </w:tcPr>
                <w:p w14:paraId="79BC3B02">
                  <w:pPr>
                    <w:pStyle w:val="61"/>
                    <w:bidi w:val="0"/>
                    <w:jc w:val="center"/>
                    <w:rPr>
                      <w:rFonts w:hint="default"/>
                      <w:lang w:val="en-US" w:eastAsia="zh-CN"/>
                    </w:rPr>
                  </w:pPr>
                  <w:r>
                    <w:rPr>
                      <w:rFonts w:hint="eastAsia"/>
                      <w:lang w:val="en-US" w:eastAsia="zh-CN"/>
                    </w:rPr>
                    <w:t>厂内</w:t>
                  </w:r>
                </w:p>
              </w:tc>
              <w:tc>
                <w:tcPr>
                  <w:tcW w:w="807" w:type="pct"/>
                  <w:vMerge w:val="restart"/>
                  <w:vAlign w:val="center"/>
                </w:tcPr>
                <w:p w14:paraId="07E7F890">
                  <w:pPr>
                    <w:pStyle w:val="61"/>
                    <w:bidi w:val="0"/>
                    <w:jc w:val="center"/>
                    <w:rPr>
                      <w:rFonts w:hint="eastAsia"/>
                      <w:lang w:val="en-US" w:eastAsia="zh-CN"/>
                    </w:rPr>
                  </w:pPr>
                  <w:r>
                    <w:rPr>
                      <w:rFonts w:hint="eastAsia"/>
                      <w:lang w:val="en-US" w:eastAsia="zh-CN"/>
                    </w:rPr>
                    <w:t>非甲烷总烃</w:t>
                  </w:r>
                </w:p>
              </w:tc>
              <w:tc>
                <w:tcPr>
                  <w:tcW w:w="713" w:type="pct"/>
                  <w:vMerge w:val="restart"/>
                  <w:vAlign w:val="center"/>
                </w:tcPr>
                <w:p w14:paraId="6870086A">
                  <w:pPr>
                    <w:pStyle w:val="61"/>
                    <w:bidi w:val="0"/>
                    <w:jc w:val="center"/>
                    <w:rPr>
                      <w:rFonts w:hint="default"/>
                      <w:lang w:val="en-US" w:eastAsia="zh-CN"/>
                    </w:rPr>
                  </w:pPr>
                  <w:r>
                    <w:rPr>
                      <w:rFonts w:hint="eastAsia"/>
                      <w:lang w:val="en-US" w:eastAsia="zh-CN"/>
                    </w:rPr>
                    <w:t>1次/年</w:t>
                  </w:r>
                </w:p>
              </w:tc>
              <w:tc>
                <w:tcPr>
                  <w:tcW w:w="797" w:type="pct"/>
                  <w:vAlign w:val="center"/>
                </w:tcPr>
                <w:p w14:paraId="7272FC17">
                  <w:pPr>
                    <w:pStyle w:val="61"/>
                    <w:bidi w:val="0"/>
                    <w:jc w:val="center"/>
                    <w:rPr>
                      <w:rFonts w:hint="default"/>
                      <w:lang w:val="en-US" w:eastAsia="zh-CN"/>
                    </w:rPr>
                  </w:pPr>
                  <w:r>
                    <w:rPr>
                      <w:rFonts w:hint="eastAsia"/>
                      <w:lang w:val="en-US" w:eastAsia="zh-CN"/>
                    </w:rPr>
                    <w:t>6</w:t>
                  </w:r>
                </w:p>
              </w:tc>
              <w:tc>
                <w:tcPr>
                  <w:tcW w:w="1891" w:type="pct"/>
                  <w:vMerge w:val="restart"/>
                  <w:vAlign w:val="center"/>
                </w:tcPr>
                <w:p w14:paraId="71B8A550">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lang w:val="en-US" w:eastAsia="zh-CN"/>
                    </w:rPr>
                    <w:t>《</w:t>
                  </w:r>
                  <w:r>
                    <w:rPr>
                      <w:rFonts w:hint="default"/>
                      <w:lang w:val="en-US" w:eastAsia="zh-CN"/>
                    </w:rPr>
                    <w:t>挥发性有机物无组织排放控制标准</w:t>
                  </w:r>
                  <w:r>
                    <w:rPr>
                      <w:rFonts w:hint="eastAsia"/>
                      <w:lang w:val="en-US" w:eastAsia="zh-CN"/>
                    </w:rPr>
                    <w:t>》（GB37822-2019）</w:t>
                  </w:r>
                </w:p>
              </w:tc>
            </w:tr>
            <w:tr w14:paraId="1083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vMerge w:val="continue"/>
                  <w:vAlign w:val="center"/>
                </w:tcPr>
                <w:p w14:paraId="25071856">
                  <w:pPr>
                    <w:pStyle w:val="61"/>
                    <w:bidi w:val="0"/>
                    <w:jc w:val="center"/>
                    <w:rPr>
                      <w:rFonts w:hint="eastAsia"/>
                      <w:lang w:val="en-US" w:eastAsia="zh-CN"/>
                    </w:rPr>
                  </w:pPr>
                </w:p>
              </w:tc>
              <w:tc>
                <w:tcPr>
                  <w:tcW w:w="523" w:type="pct"/>
                  <w:vMerge w:val="continue"/>
                  <w:vAlign w:val="center"/>
                </w:tcPr>
                <w:p w14:paraId="7D211C94">
                  <w:pPr>
                    <w:pStyle w:val="61"/>
                    <w:bidi w:val="0"/>
                    <w:jc w:val="center"/>
                    <w:rPr>
                      <w:rFonts w:hint="eastAsia"/>
                      <w:lang w:val="en-US" w:eastAsia="zh-CN"/>
                    </w:rPr>
                  </w:pPr>
                </w:p>
              </w:tc>
              <w:tc>
                <w:tcPr>
                  <w:tcW w:w="807" w:type="pct"/>
                  <w:vMerge w:val="continue"/>
                  <w:vAlign w:val="center"/>
                </w:tcPr>
                <w:p w14:paraId="126F350F">
                  <w:pPr>
                    <w:pStyle w:val="61"/>
                    <w:bidi w:val="0"/>
                    <w:jc w:val="center"/>
                    <w:rPr>
                      <w:rFonts w:hint="eastAsia"/>
                      <w:lang w:val="en-US" w:eastAsia="zh-CN"/>
                    </w:rPr>
                  </w:pPr>
                </w:p>
              </w:tc>
              <w:tc>
                <w:tcPr>
                  <w:tcW w:w="713" w:type="pct"/>
                  <w:vMerge w:val="continue"/>
                  <w:vAlign w:val="center"/>
                </w:tcPr>
                <w:p w14:paraId="52DCCAF0">
                  <w:pPr>
                    <w:pStyle w:val="61"/>
                    <w:bidi w:val="0"/>
                    <w:jc w:val="center"/>
                    <w:rPr>
                      <w:rFonts w:hint="eastAsia"/>
                      <w:lang w:val="en-US" w:eastAsia="zh-CN"/>
                    </w:rPr>
                  </w:pPr>
                </w:p>
              </w:tc>
              <w:tc>
                <w:tcPr>
                  <w:tcW w:w="797" w:type="pct"/>
                  <w:vAlign w:val="center"/>
                </w:tcPr>
                <w:p w14:paraId="11659AA5">
                  <w:pPr>
                    <w:pStyle w:val="61"/>
                    <w:bidi w:val="0"/>
                    <w:jc w:val="center"/>
                    <w:rPr>
                      <w:rFonts w:hint="default"/>
                      <w:lang w:val="en-US" w:eastAsia="zh-CN"/>
                    </w:rPr>
                  </w:pPr>
                  <w:r>
                    <w:rPr>
                      <w:rFonts w:hint="eastAsia"/>
                      <w:lang w:val="en-US" w:eastAsia="zh-CN"/>
                    </w:rPr>
                    <w:t>20</w:t>
                  </w:r>
                </w:p>
              </w:tc>
              <w:tc>
                <w:tcPr>
                  <w:tcW w:w="1891" w:type="pct"/>
                  <w:vMerge w:val="continue"/>
                  <w:vAlign w:val="center"/>
                </w:tcPr>
                <w:p w14:paraId="638F05BD">
                  <w:pPr>
                    <w:pStyle w:val="61"/>
                    <w:keepNext w:val="0"/>
                    <w:keepLines w:val="0"/>
                    <w:pageBreakBefore w:val="0"/>
                    <w:widowControl w:val="0"/>
                    <w:kinsoku/>
                    <w:wordWrap w:val="0"/>
                    <w:overflowPunct/>
                    <w:topLinePunct w:val="0"/>
                    <w:autoSpaceDE/>
                    <w:autoSpaceDN/>
                    <w:bidi w:val="0"/>
                    <w:adjustRightInd/>
                    <w:snapToGrid/>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p>
              </w:tc>
            </w:tr>
          </w:tbl>
          <w:p w14:paraId="21DE3890">
            <w:pPr>
              <w:pStyle w:val="52"/>
              <w:bidi w:val="0"/>
              <w:rPr>
                <w:rFonts w:hint="eastAsia"/>
                <w:lang w:val="en-US" w:eastAsia="zh-CN"/>
              </w:rPr>
            </w:pPr>
            <w:r>
              <w:rPr>
                <w:rFonts w:hint="eastAsia"/>
                <w:lang w:val="en-US" w:eastAsia="zh-CN"/>
              </w:rPr>
              <w:t>1.6非正常工况排放调查</w:t>
            </w:r>
          </w:p>
          <w:p w14:paraId="56B12A69">
            <w:pPr>
              <w:pStyle w:val="54"/>
              <w:bidi w:val="0"/>
              <w:rPr>
                <w:rFonts w:hint="eastAsia"/>
                <w:lang w:val="en-US" w:eastAsia="zh-CN"/>
              </w:rPr>
            </w:pPr>
            <w:r>
              <w:rPr>
                <w:rFonts w:hint="eastAsia"/>
                <w:lang w:val="en-US" w:eastAsia="zh-CN"/>
              </w:rPr>
              <w:t>本项目的非正常排放情况主要考虑为非正常工况（包括开停车，设备检修）、废气处理装置发生故障、活性炭长时间未更换导致其堵塞或活性降低造成的非正常排放。</w:t>
            </w:r>
          </w:p>
          <w:p w14:paraId="5A5FC0F6">
            <w:pPr>
              <w:pStyle w:val="54"/>
              <w:bidi w:val="0"/>
              <w:rPr>
                <w:rFonts w:hint="default"/>
                <w:lang w:val="en-US" w:eastAsia="zh-CN"/>
              </w:rPr>
            </w:pPr>
            <w:r>
              <w:rPr>
                <w:rFonts w:hint="default"/>
                <w:lang w:val="en-US" w:eastAsia="zh-CN"/>
              </w:rPr>
              <w:t>开停车</w:t>
            </w:r>
            <w:r>
              <w:rPr>
                <w:rFonts w:hint="eastAsia"/>
                <w:lang w:val="en-US" w:eastAsia="zh-CN"/>
              </w:rPr>
              <w:t>：</w:t>
            </w:r>
            <w:r>
              <w:rPr>
                <w:rFonts w:hint="default"/>
                <w:lang w:val="en-US" w:eastAsia="zh-CN"/>
              </w:rPr>
              <w:t>对于废气处理系统，一般情况下是开设备时先运行废气处理系统，停设备时废气处理系统最后停止运行。开车阶段由于各装置设备均未正常运行，污染物排放量较正常生产时排放量多，但由于开车时是逐步增加物料投加量，因此，开车时应严格按照操作规程，按顺序逐步开车，减少污染物的排放。在计划性停车前，可通过逐步减产，控制污染物排放，计划停车一般不会带来严重的事故性排放。正常生产后，也会因工艺、设备、仪表、公用工程，检修等原因存在短期停车，对因上述原因导致的停车，可通过短期停止进料降低生产负荷来控制。由此看出，只要按规定的顺序开车和停车，保证回收和处理系统的同步运行，可有效控制开停车对环境的影响。</w:t>
            </w:r>
          </w:p>
          <w:p w14:paraId="3A41FF45">
            <w:pPr>
              <w:pStyle w:val="54"/>
              <w:bidi w:val="0"/>
              <w:rPr>
                <w:rFonts w:hint="default"/>
                <w:lang w:val="en-US" w:eastAsia="zh-CN"/>
              </w:rPr>
            </w:pPr>
            <w:r>
              <w:rPr>
                <w:rFonts w:hint="default"/>
                <w:lang w:val="en-US" w:eastAsia="zh-CN"/>
              </w:rPr>
              <w:t>设备检修</w:t>
            </w:r>
            <w:r>
              <w:rPr>
                <w:rFonts w:hint="eastAsia"/>
                <w:lang w:val="en-US" w:eastAsia="zh-CN"/>
              </w:rPr>
              <w:t>：</w:t>
            </w:r>
            <w:r>
              <w:rPr>
                <w:rFonts w:hint="default"/>
                <w:lang w:val="en-US" w:eastAsia="zh-CN"/>
              </w:rPr>
              <w:t>当生产系统出现故障如停电、机电故障等情况也会进行停机检修，非正常工况产生的废气量均比正常工况的小，污染物也比正常工况时产生量少，废气经除尘设备处理后排放对周围环境的影响也相应地比正常工况轻。因此本次评价不考虑开停车及设备检修产生的污染物影响。</w:t>
            </w:r>
          </w:p>
          <w:p w14:paraId="0167545C">
            <w:pPr>
              <w:pStyle w:val="54"/>
              <w:numPr>
                <w:ilvl w:val="0"/>
                <w:numId w:val="2"/>
              </w:numPr>
              <w:bidi w:val="0"/>
              <w:ind w:left="0" w:leftChars="0" w:firstLine="480" w:firstLineChars="200"/>
              <w:rPr>
                <w:rFonts w:hint="default"/>
                <w:lang w:val="en-US" w:eastAsia="zh-CN"/>
              </w:rPr>
            </w:pPr>
            <w:r>
              <w:rPr>
                <w:rFonts w:hint="eastAsia" w:cs="宋体"/>
                <w:kern w:val="2"/>
                <w:sz w:val="24"/>
                <w:szCs w:val="24"/>
                <w:lang w:val="en-US" w:eastAsia="zh-CN" w:bidi="ar-SA"/>
              </w:rPr>
              <w:t>废气处理装置发生故障：</w:t>
            </w:r>
            <w:r>
              <w:rPr>
                <w:rFonts w:hint="default"/>
                <w:lang w:val="en-US" w:eastAsia="zh-CN"/>
              </w:rPr>
              <w:t>环保设施出现故障或长时间未检修、没有做到定期</w:t>
            </w:r>
            <w:r>
              <w:rPr>
                <w:rFonts w:hint="eastAsia"/>
                <w:lang w:val="en-US" w:eastAsia="zh-CN"/>
              </w:rPr>
              <w:t>更换</w:t>
            </w:r>
            <w:r>
              <w:rPr>
                <w:rFonts w:hint="default"/>
                <w:lang w:val="en-US" w:eastAsia="zh-CN"/>
              </w:rPr>
              <w:t>活性炭导致废气处理效率降低，会使污染物处理效率下降或者根本得不到处理而排入环境中，因此本次环保设施故障处理效率按照</w:t>
            </w:r>
            <w:r>
              <w:rPr>
                <w:rFonts w:hint="eastAsia"/>
                <w:lang w:val="en-US" w:eastAsia="zh-CN"/>
              </w:rPr>
              <w:t>2次/年</w:t>
            </w:r>
            <w:r>
              <w:rPr>
                <w:rFonts w:hint="default"/>
                <w:lang w:val="en-US" w:eastAsia="zh-CN"/>
              </w:rPr>
              <w:t>计，非正常工况废气污染物排放情况见表4-</w:t>
            </w:r>
            <w:r>
              <w:rPr>
                <w:rFonts w:hint="eastAsia"/>
                <w:lang w:val="en-US" w:eastAsia="zh-CN"/>
              </w:rPr>
              <w:t>8</w:t>
            </w:r>
            <w:r>
              <w:rPr>
                <w:rFonts w:hint="default"/>
                <w:lang w:val="en-US" w:eastAsia="zh-CN"/>
              </w:rPr>
              <w:t>。</w:t>
            </w:r>
          </w:p>
          <w:p w14:paraId="3BE2DA92">
            <w:pPr>
              <w:pStyle w:val="62"/>
              <w:bidi w:val="0"/>
              <w:rPr>
                <w:rFonts w:hint="eastAsia"/>
                <w:lang w:val="en-US" w:eastAsia="zh-CN"/>
              </w:rPr>
            </w:pPr>
            <w:r>
              <w:rPr>
                <w:rFonts w:hint="default"/>
                <w:lang w:val="en-US" w:eastAsia="zh-CN"/>
              </w:rPr>
              <w:t>表4-</w:t>
            </w:r>
            <w:r>
              <w:rPr>
                <w:rFonts w:hint="eastAsia"/>
                <w:lang w:val="en-US" w:eastAsia="zh-CN"/>
              </w:rPr>
              <w:t>8    非正常工况污染物排放情况一览表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029"/>
              <w:gridCol w:w="832"/>
              <w:gridCol w:w="1010"/>
              <w:gridCol w:w="1195"/>
              <w:gridCol w:w="707"/>
              <w:gridCol w:w="741"/>
              <w:gridCol w:w="998"/>
              <w:gridCol w:w="648"/>
            </w:tblGrid>
            <w:tr w14:paraId="4634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2" w:type="pct"/>
                  <w:noWrap w:val="0"/>
                  <w:vAlign w:val="center"/>
                </w:tcPr>
                <w:p w14:paraId="08DEC9CF">
                  <w:pPr>
                    <w:pStyle w:val="61"/>
                    <w:bidi w:val="0"/>
                    <w:rPr>
                      <w:rFonts w:hint="default"/>
                      <w:highlight w:val="none"/>
                    </w:rPr>
                  </w:pPr>
                  <w:r>
                    <w:rPr>
                      <w:rFonts w:hint="default"/>
                      <w:highlight w:val="none"/>
                    </w:rPr>
                    <w:t>污染源</w:t>
                  </w:r>
                </w:p>
              </w:tc>
              <w:tc>
                <w:tcPr>
                  <w:tcW w:w="643" w:type="pct"/>
                  <w:noWrap w:val="0"/>
                  <w:vAlign w:val="center"/>
                </w:tcPr>
                <w:p w14:paraId="2D1B1393">
                  <w:pPr>
                    <w:pStyle w:val="61"/>
                    <w:bidi w:val="0"/>
                    <w:rPr>
                      <w:rFonts w:hint="default"/>
                      <w:highlight w:val="none"/>
                    </w:rPr>
                  </w:pPr>
                  <w:r>
                    <w:rPr>
                      <w:rFonts w:hint="default"/>
                      <w:highlight w:val="none"/>
                    </w:rPr>
                    <w:t>非正常排放原因</w:t>
                  </w:r>
                </w:p>
              </w:tc>
              <w:tc>
                <w:tcPr>
                  <w:tcW w:w="520" w:type="pct"/>
                  <w:noWrap w:val="0"/>
                  <w:vAlign w:val="center"/>
                </w:tcPr>
                <w:p w14:paraId="75E14135">
                  <w:pPr>
                    <w:pStyle w:val="61"/>
                    <w:bidi w:val="0"/>
                    <w:rPr>
                      <w:rFonts w:hint="default"/>
                      <w:highlight w:val="none"/>
                    </w:rPr>
                  </w:pPr>
                  <w:r>
                    <w:rPr>
                      <w:rFonts w:hint="default"/>
                      <w:highlight w:val="none"/>
                    </w:rPr>
                    <w:t>污染物</w:t>
                  </w:r>
                </w:p>
              </w:tc>
              <w:tc>
                <w:tcPr>
                  <w:tcW w:w="631" w:type="pct"/>
                  <w:noWrap w:val="0"/>
                  <w:vAlign w:val="center"/>
                </w:tcPr>
                <w:p w14:paraId="56E61FE4">
                  <w:pPr>
                    <w:pStyle w:val="61"/>
                    <w:bidi w:val="0"/>
                    <w:rPr>
                      <w:rFonts w:hint="default" w:eastAsia="宋体"/>
                      <w:highlight w:val="none"/>
                      <w:lang w:val="en-US" w:eastAsia="zh-CN"/>
                    </w:rPr>
                  </w:pPr>
                  <w:r>
                    <w:rPr>
                      <w:rFonts w:hint="eastAsia"/>
                      <w:highlight w:val="none"/>
                      <w:lang w:val="en-US" w:eastAsia="zh-CN"/>
                    </w:rPr>
                    <w:t>非正常排放速率（kg/h）</w:t>
                  </w:r>
                </w:p>
              </w:tc>
              <w:tc>
                <w:tcPr>
                  <w:tcW w:w="747" w:type="pct"/>
                  <w:noWrap w:val="0"/>
                  <w:vAlign w:val="center"/>
                </w:tcPr>
                <w:p w14:paraId="160E1AFA">
                  <w:pPr>
                    <w:pStyle w:val="61"/>
                    <w:bidi w:val="0"/>
                    <w:rPr>
                      <w:rFonts w:hint="eastAsia"/>
                      <w:highlight w:val="none"/>
                      <w:lang w:eastAsia="zh-CN"/>
                    </w:rPr>
                  </w:pPr>
                  <w:r>
                    <w:rPr>
                      <w:rFonts w:hint="default"/>
                      <w:highlight w:val="none"/>
                    </w:rPr>
                    <w:t>非正常排放浓度/</w:t>
                  </w:r>
                  <w:r>
                    <w:rPr>
                      <w:rFonts w:hint="eastAsia"/>
                      <w:highlight w:val="none"/>
                      <w:lang w:eastAsia="zh-CN"/>
                    </w:rPr>
                    <w:t>（</w:t>
                  </w:r>
                  <w:r>
                    <w:rPr>
                      <w:rFonts w:hint="eastAsia"/>
                      <w:highlight w:val="none"/>
                      <w:lang w:val="en-US" w:eastAsia="zh-CN"/>
                    </w:rPr>
                    <w:t>mg/m</w:t>
                  </w:r>
                  <w:r>
                    <w:rPr>
                      <w:rFonts w:hint="eastAsia"/>
                      <w:highlight w:val="none"/>
                      <w:vertAlign w:val="superscript"/>
                      <w:lang w:val="en-US" w:eastAsia="zh-CN"/>
                    </w:rPr>
                    <w:t>3</w:t>
                  </w:r>
                  <w:r>
                    <w:rPr>
                      <w:rFonts w:hint="eastAsia"/>
                      <w:highlight w:val="none"/>
                      <w:lang w:eastAsia="zh-CN"/>
                    </w:rPr>
                    <w:t>）</w:t>
                  </w:r>
                </w:p>
              </w:tc>
              <w:tc>
                <w:tcPr>
                  <w:tcW w:w="442" w:type="pct"/>
                  <w:noWrap w:val="0"/>
                  <w:vAlign w:val="center"/>
                </w:tcPr>
                <w:p w14:paraId="55C92C57">
                  <w:pPr>
                    <w:keepLines w:val="0"/>
                    <w:pageBreakBefore w:val="0"/>
                    <w:kinsoku/>
                    <w:topLinePunct w:val="0"/>
                    <w:bidi w:val="0"/>
                    <w:adjustRightInd w:val="0"/>
                    <w:snapToGrid w:val="0"/>
                    <w:jc w:val="center"/>
                    <w:rPr>
                      <w:rFonts w:ascii="Times New Roman" w:hAnsi="Times New Roman" w:eastAsia="宋体" w:cs="Times New Roman"/>
                      <w:bCs/>
                      <w:spacing w:val="-10"/>
                      <w:szCs w:val="21"/>
                    </w:rPr>
                  </w:pPr>
                  <w:r>
                    <w:rPr>
                      <w:rFonts w:ascii="Times New Roman" w:hAnsi="Times New Roman" w:eastAsia="宋体" w:cs="Times New Roman"/>
                      <w:bCs/>
                      <w:spacing w:val="-10"/>
                      <w:szCs w:val="21"/>
                    </w:rPr>
                    <w:t>年发生频次</w:t>
                  </w:r>
                </w:p>
                <w:p w14:paraId="389C5987">
                  <w:pPr>
                    <w:pStyle w:val="61"/>
                    <w:bidi w:val="0"/>
                    <w:rPr>
                      <w:rFonts w:hint="default"/>
                      <w:highlight w:val="none"/>
                    </w:rPr>
                  </w:pPr>
                  <w:r>
                    <w:rPr>
                      <w:rFonts w:hint="eastAsia" w:eastAsia="宋体" w:cs="Times New Roman"/>
                      <w:bCs/>
                      <w:spacing w:val="-10"/>
                      <w:szCs w:val="21"/>
                      <w:lang w:eastAsia="zh-CN"/>
                    </w:rPr>
                    <w:t>（</w:t>
                  </w:r>
                  <w:r>
                    <w:rPr>
                      <w:rFonts w:ascii="Times New Roman" w:hAnsi="Times New Roman" w:eastAsia="宋体" w:cs="Times New Roman"/>
                      <w:bCs/>
                      <w:spacing w:val="-10"/>
                      <w:szCs w:val="21"/>
                    </w:rPr>
                    <w:t>次/年</w:t>
                  </w:r>
                  <w:r>
                    <w:rPr>
                      <w:rFonts w:hint="eastAsia" w:eastAsia="宋体" w:cs="Times New Roman"/>
                      <w:bCs/>
                      <w:spacing w:val="-10"/>
                      <w:szCs w:val="21"/>
                      <w:lang w:eastAsia="zh-CN"/>
                    </w:rPr>
                    <w:t>）</w:t>
                  </w:r>
                </w:p>
              </w:tc>
              <w:tc>
                <w:tcPr>
                  <w:tcW w:w="463" w:type="pct"/>
                  <w:noWrap w:val="0"/>
                  <w:vAlign w:val="center"/>
                </w:tcPr>
                <w:p w14:paraId="6175D102">
                  <w:pPr>
                    <w:pStyle w:val="61"/>
                    <w:bidi w:val="0"/>
                    <w:rPr>
                      <w:rFonts w:hint="default"/>
                      <w:highlight w:val="none"/>
                      <w:lang w:val="en-US" w:eastAsia="zh-CN"/>
                    </w:rPr>
                  </w:pPr>
                  <w:r>
                    <w:rPr>
                      <w:rFonts w:hint="eastAsia"/>
                      <w:highlight w:val="none"/>
                      <w:lang w:val="en-US" w:eastAsia="zh-CN"/>
                    </w:rPr>
                    <w:t>单次持续时间（h）</w:t>
                  </w:r>
                </w:p>
              </w:tc>
              <w:tc>
                <w:tcPr>
                  <w:tcW w:w="624" w:type="pct"/>
                  <w:noWrap w:val="0"/>
                  <w:vAlign w:val="center"/>
                </w:tcPr>
                <w:p w14:paraId="790CB7CC">
                  <w:pPr>
                    <w:pStyle w:val="61"/>
                    <w:bidi w:val="0"/>
                    <w:rPr>
                      <w:rFonts w:hint="default"/>
                      <w:highlight w:val="none"/>
                      <w:lang w:val="en-US" w:eastAsia="zh-CN"/>
                    </w:rPr>
                  </w:pPr>
                  <w:r>
                    <w:rPr>
                      <w:rFonts w:hint="eastAsia"/>
                      <w:highlight w:val="none"/>
                      <w:lang w:val="en-US" w:eastAsia="zh-CN"/>
                    </w:rPr>
                    <w:t>排放量（kg/a）</w:t>
                  </w:r>
                </w:p>
              </w:tc>
              <w:tc>
                <w:tcPr>
                  <w:tcW w:w="405" w:type="pct"/>
                  <w:noWrap w:val="0"/>
                  <w:vAlign w:val="center"/>
                </w:tcPr>
                <w:p w14:paraId="73AB0EA4">
                  <w:pPr>
                    <w:pStyle w:val="61"/>
                    <w:bidi w:val="0"/>
                    <w:rPr>
                      <w:rFonts w:hint="default"/>
                      <w:highlight w:val="none"/>
                    </w:rPr>
                  </w:pPr>
                  <w:r>
                    <w:rPr>
                      <w:rFonts w:hint="default"/>
                      <w:highlight w:val="none"/>
                    </w:rPr>
                    <w:t>应对措施</w:t>
                  </w:r>
                </w:p>
              </w:tc>
            </w:tr>
            <w:tr w14:paraId="057B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22" w:type="pct"/>
                  <w:vMerge w:val="restart"/>
                  <w:noWrap w:val="0"/>
                  <w:vAlign w:val="center"/>
                </w:tcPr>
                <w:p w14:paraId="6AF8836B">
                  <w:pPr>
                    <w:pStyle w:val="61"/>
                    <w:bidi w:val="0"/>
                    <w:rPr>
                      <w:rFonts w:hint="eastAsia"/>
                      <w:highlight w:val="none"/>
                      <w:lang w:val="en-US" w:eastAsia="zh-CN"/>
                    </w:rPr>
                  </w:pPr>
                  <w:r>
                    <w:rPr>
                      <w:rFonts w:hint="eastAsia"/>
                      <w:highlight w:val="none"/>
                      <w:lang w:val="en-US" w:eastAsia="zh-CN"/>
                    </w:rPr>
                    <w:t>DA001</w:t>
                  </w:r>
                </w:p>
              </w:tc>
              <w:tc>
                <w:tcPr>
                  <w:tcW w:w="643" w:type="pct"/>
                  <w:vMerge w:val="restart"/>
                  <w:noWrap w:val="0"/>
                  <w:vAlign w:val="center"/>
                </w:tcPr>
                <w:p w14:paraId="659990D1">
                  <w:pPr>
                    <w:pStyle w:val="61"/>
                    <w:bidi w:val="0"/>
                    <w:rPr>
                      <w:rFonts w:hint="default"/>
                      <w:highlight w:val="none"/>
                      <w:lang w:val="en-US" w:eastAsia="zh-CN"/>
                    </w:rPr>
                  </w:pPr>
                  <w:r>
                    <w:rPr>
                      <w:rFonts w:hint="eastAsia"/>
                      <w:lang w:val="en-US" w:eastAsia="zh-CN"/>
                    </w:rPr>
                    <w:t>废气处理装置发生故障</w:t>
                  </w:r>
                </w:p>
              </w:tc>
              <w:tc>
                <w:tcPr>
                  <w:tcW w:w="520" w:type="pct"/>
                  <w:noWrap w:val="0"/>
                  <w:vAlign w:val="center"/>
                </w:tcPr>
                <w:p w14:paraId="7B351C0A">
                  <w:pPr>
                    <w:pStyle w:val="61"/>
                    <w:bidi w:val="0"/>
                    <w:rPr>
                      <w:rFonts w:hint="default" w:eastAsia="宋体"/>
                      <w:highlight w:val="none"/>
                      <w:lang w:val="en-US" w:eastAsia="zh-CN"/>
                    </w:rPr>
                  </w:pPr>
                  <w:r>
                    <w:rPr>
                      <w:rFonts w:hint="eastAsia"/>
                      <w:highlight w:val="none"/>
                      <w:lang w:val="en-US" w:eastAsia="zh-CN"/>
                    </w:rPr>
                    <w:t>非甲烷总烃</w:t>
                  </w:r>
                </w:p>
              </w:tc>
              <w:tc>
                <w:tcPr>
                  <w:tcW w:w="631" w:type="pct"/>
                  <w:noWrap w:val="0"/>
                  <w:vAlign w:val="center"/>
                </w:tcPr>
                <w:p w14:paraId="75230874">
                  <w:pPr>
                    <w:pStyle w:val="61"/>
                    <w:bidi w:val="0"/>
                    <w:rPr>
                      <w:rFonts w:hint="default"/>
                      <w:highlight w:val="none"/>
                      <w:lang w:val="en-US" w:eastAsia="zh-CN"/>
                    </w:rPr>
                  </w:pPr>
                  <w:r>
                    <w:rPr>
                      <w:rFonts w:hint="eastAsia"/>
                      <w:highlight w:val="none"/>
                      <w:lang w:val="en-US" w:eastAsia="zh-CN"/>
                    </w:rPr>
                    <w:t>1.05</w:t>
                  </w:r>
                </w:p>
              </w:tc>
              <w:tc>
                <w:tcPr>
                  <w:tcW w:w="747" w:type="pct"/>
                  <w:noWrap w:val="0"/>
                  <w:vAlign w:val="center"/>
                </w:tcPr>
                <w:p w14:paraId="7688E299">
                  <w:pPr>
                    <w:pStyle w:val="61"/>
                    <w:bidi w:val="0"/>
                    <w:rPr>
                      <w:rFonts w:hint="default"/>
                      <w:highlight w:val="none"/>
                      <w:lang w:val="en-US" w:eastAsia="zh-CN"/>
                    </w:rPr>
                  </w:pPr>
                  <w:r>
                    <w:rPr>
                      <w:rFonts w:hint="eastAsia"/>
                      <w:highlight w:val="none"/>
                      <w:lang w:val="en-US" w:eastAsia="zh-CN"/>
                    </w:rPr>
                    <w:t>21.64</w:t>
                  </w:r>
                </w:p>
              </w:tc>
              <w:tc>
                <w:tcPr>
                  <w:tcW w:w="442" w:type="pct"/>
                  <w:noWrap w:val="0"/>
                  <w:vAlign w:val="center"/>
                </w:tcPr>
                <w:p w14:paraId="7AFADB70">
                  <w:pPr>
                    <w:pStyle w:val="61"/>
                    <w:bidi w:val="0"/>
                    <w:rPr>
                      <w:rFonts w:hint="default"/>
                      <w:highlight w:val="none"/>
                      <w:lang w:val="en-US" w:eastAsia="zh-CN"/>
                    </w:rPr>
                  </w:pPr>
                  <w:r>
                    <w:rPr>
                      <w:rFonts w:hint="eastAsia"/>
                      <w:highlight w:val="none"/>
                      <w:lang w:val="en-US" w:eastAsia="zh-CN"/>
                    </w:rPr>
                    <w:t>2</w:t>
                  </w:r>
                </w:p>
              </w:tc>
              <w:tc>
                <w:tcPr>
                  <w:tcW w:w="463" w:type="pct"/>
                  <w:noWrap w:val="0"/>
                  <w:vAlign w:val="center"/>
                </w:tcPr>
                <w:p w14:paraId="0F8E5A52">
                  <w:pPr>
                    <w:pStyle w:val="61"/>
                    <w:bidi w:val="0"/>
                    <w:rPr>
                      <w:rFonts w:hint="default"/>
                      <w:highlight w:val="none"/>
                      <w:lang w:val="en-US" w:eastAsia="zh-CN"/>
                    </w:rPr>
                  </w:pPr>
                  <w:r>
                    <w:rPr>
                      <w:rFonts w:hint="eastAsia"/>
                      <w:highlight w:val="none"/>
                      <w:lang w:val="en-US" w:eastAsia="zh-CN"/>
                    </w:rPr>
                    <w:t>1</w:t>
                  </w:r>
                </w:p>
              </w:tc>
              <w:tc>
                <w:tcPr>
                  <w:tcW w:w="624" w:type="pct"/>
                  <w:noWrap w:val="0"/>
                  <w:vAlign w:val="center"/>
                </w:tcPr>
                <w:p w14:paraId="719F54F1">
                  <w:pPr>
                    <w:pStyle w:val="61"/>
                    <w:bidi w:val="0"/>
                    <w:rPr>
                      <w:rFonts w:hint="default"/>
                      <w:highlight w:val="none"/>
                      <w:lang w:val="en-US" w:eastAsia="zh-CN"/>
                    </w:rPr>
                  </w:pPr>
                  <w:r>
                    <w:rPr>
                      <w:rFonts w:hint="eastAsia"/>
                      <w:highlight w:val="none"/>
                      <w:lang w:val="en-US" w:eastAsia="zh-CN"/>
                    </w:rPr>
                    <w:t>2.1</w:t>
                  </w:r>
                </w:p>
              </w:tc>
              <w:tc>
                <w:tcPr>
                  <w:tcW w:w="405" w:type="pct"/>
                  <w:vMerge w:val="restart"/>
                  <w:noWrap w:val="0"/>
                  <w:vAlign w:val="center"/>
                </w:tcPr>
                <w:p w14:paraId="323F9494">
                  <w:pPr>
                    <w:pStyle w:val="61"/>
                    <w:bidi w:val="0"/>
                    <w:jc w:val="both"/>
                    <w:rPr>
                      <w:rFonts w:hint="default"/>
                      <w:highlight w:val="none"/>
                    </w:rPr>
                  </w:pPr>
                  <w:r>
                    <w:rPr>
                      <w:rFonts w:hint="default"/>
                      <w:highlight w:val="none"/>
                    </w:rPr>
                    <w:t>发现问题第一时间维修、停止生产，待设备正常后恢复生产</w:t>
                  </w:r>
                </w:p>
              </w:tc>
            </w:tr>
            <w:tr w14:paraId="1817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2" w:type="pct"/>
                  <w:vMerge w:val="continue"/>
                  <w:noWrap w:val="0"/>
                  <w:vAlign w:val="center"/>
                </w:tcPr>
                <w:p w14:paraId="07B3B075">
                  <w:pPr>
                    <w:pStyle w:val="61"/>
                    <w:bidi w:val="0"/>
                    <w:rPr>
                      <w:rFonts w:hint="eastAsia"/>
                      <w:highlight w:val="none"/>
                      <w:lang w:val="en-US" w:eastAsia="zh-CN"/>
                    </w:rPr>
                  </w:pPr>
                </w:p>
              </w:tc>
              <w:tc>
                <w:tcPr>
                  <w:tcW w:w="643" w:type="pct"/>
                  <w:vMerge w:val="continue"/>
                  <w:noWrap w:val="0"/>
                  <w:vAlign w:val="center"/>
                </w:tcPr>
                <w:p w14:paraId="1E1BC863">
                  <w:pPr>
                    <w:pStyle w:val="61"/>
                    <w:bidi w:val="0"/>
                    <w:rPr>
                      <w:rFonts w:hint="eastAsia"/>
                      <w:lang w:val="en-US" w:eastAsia="zh-CN"/>
                    </w:rPr>
                  </w:pPr>
                </w:p>
              </w:tc>
              <w:tc>
                <w:tcPr>
                  <w:tcW w:w="520" w:type="pct"/>
                  <w:noWrap w:val="0"/>
                  <w:vAlign w:val="center"/>
                </w:tcPr>
                <w:p w14:paraId="1361A7B3">
                  <w:pPr>
                    <w:pStyle w:val="61"/>
                    <w:bidi w:val="0"/>
                    <w:rPr>
                      <w:rFonts w:hint="default"/>
                      <w:highlight w:val="none"/>
                      <w:lang w:val="en-US" w:eastAsia="zh-CN"/>
                    </w:rPr>
                  </w:pPr>
                  <w:r>
                    <w:rPr>
                      <w:rFonts w:hint="eastAsia"/>
                      <w:highlight w:val="none"/>
                      <w:lang w:val="en-US" w:eastAsia="zh-CN"/>
                    </w:rPr>
                    <w:t>颗粒物</w:t>
                  </w:r>
                </w:p>
              </w:tc>
              <w:tc>
                <w:tcPr>
                  <w:tcW w:w="631" w:type="pct"/>
                  <w:noWrap w:val="0"/>
                  <w:vAlign w:val="center"/>
                </w:tcPr>
                <w:p w14:paraId="6764E500">
                  <w:pPr>
                    <w:pStyle w:val="61"/>
                    <w:bidi w:val="0"/>
                    <w:rPr>
                      <w:rFonts w:hint="default"/>
                      <w:highlight w:val="none"/>
                      <w:lang w:val="en-US" w:eastAsia="zh-CN"/>
                    </w:rPr>
                  </w:pPr>
                  <w:r>
                    <w:rPr>
                      <w:rFonts w:hint="eastAsia"/>
                      <w:highlight w:val="none"/>
                      <w:lang w:val="en-US" w:eastAsia="zh-CN"/>
                    </w:rPr>
                    <w:t>0.469</w:t>
                  </w:r>
                </w:p>
              </w:tc>
              <w:tc>
                <w:tcPr>
                  <w:tcW w:w="747" w:type="pct"/>
                  <w:noWrap w:val="0"/>
                  <w:vAlign w:val="center"/>
                </w:tcPr>
                <w:p w14:paraId="3A7F8C0B">
                  <w:pPr>
                    <w:pStyle w:val="61"/>
                    <w:bidi w:val="0"/>
                    <w:rPr>
                      <w:rFonts w:hint="default"/>
                      <w:highlight w:val="none"/>
                      <w:lang w:val="en-US" w:eastAsia="zh-CN"/>
                    </w:rPr>
                  </w:pPr>
                  <w:r>
                    <w:rPr>
                      <w:rFonts w:hint="eastAsia"/>
                      <w:highlight w:val="none"/>
                      <w:lang w:val="en-US" w:eastAsia="zh-CN"/>
                    </w:rPr>
                    <w:t>9.62</w:t>
                  </w:r>
                </w:p>
              </w:tc>
              <w:tc>
                <w:tcPr>
                  <w:tcW w:w="442" w:type="pct"/>
                  <w:noWrap w:val="0"/>
                  <w:vAlign w:val="center"/>
                </w:tcPr>
                <w:p w14:paraId="60266BA4">
                  <w:pPr>
                    <w:pStyle w:val="61"/>
                    <w:bidi w:val="0"/>
                    <w:rPr>
                      <w:rFonts w:hint="default"/>
                      <w:highlight w:val="none"/>
                      <w:lang w:val="en-US" w:eastAsia="zh-CN"/>
                    </w:rPr>
                  </w:pPr>
                  <w:r>
                    <w:rPr>
                      <w:rFonts w:hint="eastAsia"/>
                      <w:highlight w:val="none"/>
                      <w:lang w:val="en-US" w:eastAsia="zh-CN"/>
                    </w:rPr>
                    <w:t>2</w:t>
                  </w:r>
                </w:p>
              </w:tc>
              <w:tc>
                <w:tcPr>
                  <w:tcW w:w="463" w:type="pct"/>
                  <w:noWrap w:val="0"/>
                  <w:vAlign w:val="center"/>
                </w:tcPr>
                <w:p w14:paraId="2ED3AE96">
                  <w:pPr>
                    <w:pStyle w:val="61"/>
                    <w:bidi w:val="0"/>
                    <w:rPr>
                      <w:rFonts w:hint="default"/>
                      <w:highlight w:val="none"/>
                      <w:lang w:val="en-US" w:eastAsia="zh-CN"/>
                    </w:rPr>
                  </w:pPr>
                  <w:r>
                    <w:rPr>
                      <w:rFonts w:hint="eastAsia"/>
                      <w:highlight w:val="none"/>
                      <w:lang w:val="en-US" w:eastAsia="zh-CN"/>
                    </w:rPr>
                    <w:t>1</w:t>
                  </w:r>
                </w:p>
              </w:tc>
              <w:tc>
                <w:tcPr>
                  <w:tcW w:w="624" w:type="pct"/>
                  <w:noWrap w:val="0"/>
                  <w:vAlign w:val="center"/>
                </w:tcPr>
                <w:p w14:paraId="020BE552">
                  <w:pPr>
                    <w:pStyle w:val="61"/>
                    <w:bidi w:val="0"/>
                    <w:rPr>
                      <w:rFonts w:hint="default"/>
                      <w:highlight w:val="none"/>
                      <w:lang w:val="en-US" w:eastAsia="zh-CN"/>
                    </w:rPr>
                  </w:pPr>
                  <w:r>
                    <w:rPr>
                      <w:rFonts w:hint="eastAsia"/>
                      <w:highlight w:val="none"/>
                      <w:lang w:val="en-US" w:eastAsia="zh-CN"/>
                    </w:rPr>
                    <w:t>0.94</w:t>
                  </w:r>
                </w:p>
              </w:tc>
              <w:tc>
                <w:tcPr>
                  <w:tcW w:w="405" w:type="pct"/>
                  <w:vMerge w:val="continue"/>
                  <w:noWrap w:val="0"/>
                  <w:vAlign w:val="center"/>
                </w:tcPr>
                <w:p w14:paraId="51302CFB">
                  <w:pPr>
                    <w:pStyle w:val="61"/>
                    <w:bidi w:val="0"/>
                    <w:jc w:val="both"/>
                    <w:rPr>
                      <w:rFonts w:hint="default"/>
                      <w:highlight w:val="none"/>
                    </w:rPr>
                  </w:pPr>
                </w:p>
              </w:tc>
            </w:tr>
            <w:tr w14:paraId="2720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9" w:hRule="atLeast"/>
              </w:trPr>
              <w:tc>
                <w:tcPr>
                  <w:tcW w:w="522" w:type="pct"/>
                  <w:vMerge w:val="restart"/>
                  <w:noWrap w:val="0"/>
                  <w:vAlign w:val="center"/>
                </w:tcPr>
                <w:p w14:paraId="4CF04186">
                  <w:pPr>
                    <w:pStyle w:val="61"/>
                    <w:bidi w:val="0"/>
                    <w:rPr>
                      <w:rFonts w:hint="default"/>
                      <w:highlight w:val="none"/>
                      <w:lang w:val="en-US"/>
                    </w:rPr>
                  </w:pPr>
                  <w:r>
                    <w:rPr>
                      <w:rFonts w:hint="eastAsia"/>
                      <w:highlight w:val="none"/>
                      <w:lang w:val="en-US" w:eastAsia="zh-CN"/>
                    </w:rPr>
                    <w:t>DA002</w:t>
                  </w:r>
                </w:p>
              </w:tc>
              <w:tc>
                <w:tcPr>
                  <w:tcW w:w="643" w:type="pct"/>
                  <w:vMerge w:val="restart"/>
                  <w:noWrap w:val="0"/>
                  <w:vAlign w:val="center"/>
                </w:tcPr>
                <w:p w14:paraId="7E54A317">
                  <w:pPr>
                    <w:pStyle w:val="61"/>
                    <w:bidi w:val="0"/>
                    <w:rPr>
                      <w:rFonts w:hint="default" w:ascii="Times New Roman" w:hAnsi="Times New Roman" w:eastAsia="宋体" w:cs="Times New Roman"/>
                      <w:kern w:val="2"/>
                      <w:sz w:val="21"/>
                      <w:szCs w:val="21"/>
                      <w:highlight w:val="none"/>
                      <w:lang w:val="en-US" w:eastAsia="zh-CN" w:bidi="ar-SA"/>
                    </w:rPr>
                  </w:pPr>
                  <w:r>
                    <w:rPr>
                      <w:rFonts w:hint="default"/>
                      <w:highlight w:val="none"/>
                      <w:lang w:val="en-US" w:eastAsia="zh-CN"/>
                    </w:rPr>
                    <w:t>源头治理失效（低氮燃烧器损坏）</w:t>
                  </w:r>
                </w:p>
              </w:tc>
              <w:tc>
                <w:tcPr>
                  <w:tcW w:w="520" w:type="pct"/>
                  <w:noWrap w:val="0"/>
                  <w:vAlign w:val="center"/>
                </w:tcPr>
                <w:p w14:paraId="2B72B195">
                  <w:pPr>
                    <w:pStyle w:val="61"/>
                    <w:bidi w:val="0"/>
                    <w:rPr>
                      <w:rFonts w:hint="default"/>
                      <w:highlight w:val="none"/>
                      <w:lang w:val="en-US" w:eastAsia="zh-CN"/>
                    </w:rPr>
                  </w:pPr>
                  <w:r>
                    <w:rPr>
                      <w:rFonts w:hint="default"/>
                      <w:highlight w:val="none"/>
                    </w:rPr>
                    <w:t>颗粒物</w:t>
                  </w:r>
                </w:p>
              </w:tc>
              <w:tc>
                <w:tcPr>
                  <w:tcW w:w="631" w:type="pct"/>
                  <w:noWrap w:val="0"/>
                  <w:vAlign w:val="center"/>
                </w:tcPr>
                <w:p w14:paraId="40DBD8F1">
                  <w:pPr>
                    <w:pStyle w:val="61"/>
                    <w:bidi w:val="0"/>
                    <w:rPr>
                      <w:rFonts w:hint="default"/>
                      <w:highlight w:val="none"/>
                      <w:lang w:val="en-US" w:eastAsia="zh-CN"/>
                    </w:rPr>
                  </w:pPr>
                  <w:r>
                    <w:rPr>
                      <w:rFonts w:hint="eastAsia"/>
                      <w:lang w:val="en-US" w:eastAsia="zh-CN"/>
                    </w:rPr>
                    <w:t>0.007</w:t>
                  </w:r>
                </w:p>
              </w:tc>
              <w:tc>
                <w:tcPr>
                  <w:tcW w:w="747" w:type="pct"/>
                  <w:noWrap w:val="0"/>
                  <w:vAlign w:val="center"/>
                </w:tcPr>
                <w:p w14:paraId="6190742E">
                  <w:pPr>
                    <w:pStyle w:val="61"/>
                    <w:bidi w:val="0"/>
                    <w:rPr>
                      <w:rFonts w:hint="default"/>
                      <w:highlight w:val="none"/>
                      <w:lang w:val="en-US" w:eastAsia="zh-CN"/>
                    </w:rPr>
                  </w:pPr>
                  <w:r>
                    <w:rPr>
                      <w:rFonts w:hint="eastAsia"/>
                      <w:lang w:val="en-US" w:eastAsia="zh-CN"/>
                    </w:rPr>
                    <w:t>21.03</w:t>
                  </w:r>
                </w:p>
              </w:tc>
              <w:tc>
                <w:tcPr>
                  <w:tcW w:w="442" w:type="pct"/>
                  <w:noWrap w:val="0"/>
                  <w:vAlign w:val="center"/>
                </w:tcPr>
                <w:p w14:paraId="0D7676D8">
                  <w:pPr>
                    <w:pStyle w:val="61"/>
                    <w:bidi w:val="0"/>
                    <w:rPr>
                      <w:rFonts w:hint="default"/>
                      <w:highlight w:val="none"/>
                      <w:lang w:val="en-US" w:eastAsia="zh-CN"/>
                    </w:rPr>
                  </w:pPr>
                  <w:r>
                    <w:rPr>
                      <w:rFonts w:hint="eastAsia"/>
                      <w:highlight w:val="none"/>
                      <w:lang w:val="en-US" w:eastAsia="zh-CN"/>
                    </w:rPr>
                    <w:t>2</w:t>
                  </w:r>
                </w:p>
              </w:tc>
              <w:tc>
                <w:tcPr>
                  <w:tcW w:w="463" w:type="pct"/>
                  <w:noWrap w:val="0"/>
                  <w:vAlign w:val="center"/>
                </w:tcPr>
                <w:p w14:paraId="53E727AC">
                  <w:pPr>
                    <w:pStyle w:val="61"/>
                    <w:bidi w:val="0"/>
                    <w:rPr>
                      <w:rFonts w:hint="eastAsia"/>
                      <w:highlight w:val="none"/>
                      <w:lang w:val="en-US" w:eastAsia="zh-CN"/>
                    </w:rPr>
                  </w:pPr>
                  <w:r>
                    <w:rPr>
                      <w:rFonts w:hint="eastAsia"/>
                      <w:highlight w:val="none"/>
                      <w:lang w:val="en-US" w:eastAsia="zh-CN"/>
                    </w:rPr>
                    <w:t>1</w:t>
                  </w:r>
                </w:p>
              </w:tc>
              <w:tc>
                <w:tcPr>
                  <w:tcW w:w="624" w:type="pct"/>
                  <w:noWrap w:val="0"/>
                  <w:vAlign w:val="center"/>
                </w:tcPr>
                <w:p w14:paraId="6C8817DA">
                  <w:pPr>
                    <w:pStyle w:val="61"/>
                    <w:bidi w:val="0"/>
                    <w:rPr>
                      <w:rFonts w:hint="default"/>
                      <w:highlight w:val="none"/>
                      <w:lang w:val="en-US" w:eastAsia="zh-CN"/>
                    </w:rPr>
                  </w:pPr>
                  <w:r>
                    <w:rPr>
                      <w:rFonts w:hint="eastAsia"/>
                      <w:highlight w:val="none"/>
                      <w:lang w:val="en-US" w:eastAsia="zh-CN"/>
                    </w:rPr>
                    <w:t>0.014</w:t>
                  </w:r>
                </w:p>
              </w:tc>
              <w:tc>
                <w:tcPr>
                  <w:tcW w:w="405" w:type="pct"/>
                  <w:vMerge w:val="continue"/>
                  <w:noWrap w:val="0"/>
                  <w:vAlign w:val="center"/>
                </w:tcPr>
                <w:p w14:paraId="42566D3D">
                  <w:pPr>
                    <w:pStyle w:val="61"/>
                    <w:bidi w:val="0"/>
                    <w:rPr>
                      <w:rFonts w:hint="default"/>
                      <w:highlight w:val="none"/>
                    </w:rPr>
                  </w:pPr>
                </w:p>
              </w:tc>
            </w:tr>
            <w:tr w14:paraId="1C0F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vMerge w:val="continue"/>
                  <w:noWrap w:val="0"/>
                  <w:vAlign w:val="center"/>
                </w:tcPr>
                <w:p w14:paraId="2BCE448C">
                  <w:pPr>
                    <w:pStyle w:val="61"/>
                    <w:bidi w:val="0"/>
                    <w:rPr>
                      <w:rFonts w:hint="default"/>
                      <w:highlight w:val="none"/>
                      <w:lang w:val="en-US"/>
                    </w:rPr>
                  </w:pPr>
                </w:p>
              </w:tc>
              <w:tc>
                <w:tcPr>
                  <w:tcW w:w="643" w:type="pct"/>
                  <w:vMerge w:val="continue"/>
                  <w:noWrap w:val="0"/>
                  <w:vAlign w:val="center"/>
                </w:tcPr>
                <w:p w14:paraId="4C347412">
                  <w:pPr>
                    <w:pStyle w:val="61"/>
                    <w:bidi w:val="0"/>
                    <w:rPr>
                      <w:rFonts w:hint="default"/>
                      <w:highlight w:val="none"/>
                      <w:lang w:val="en-US" w:eastAsia="zh-CN"/>
                    </w:rPr>
                  </w:pPr>
                </w:p>
              </w:tc>
              <w:tc>
                <w:tcPr>
                  <w:tcW w:w="520" w:type="pct"/>
                  <w:noWrap w:val="0"/>
                  <w:vAlign w:val="center"/>
                </w:tcPr>
                <w:p w14:paraId="41B45C99">
                  <w:pPr>
                    <w:pStyle w:val="61"/>
                    <w:bidi w:val="0"/>
                    <w:rPr>
                      <w:rFonts w:hint="eastAsia"/>
                      <w:highlight w:val="none"/>
                    </w:rPr>
                  </w:pPr>
                  <w:r>
                    <w:rPr>
                      <w:rFonts w:hint="eastAsia"/>
                      <w:highlight w:val="none"/>
                      <w:lang w:val="en-US" w:eastAsia="zh-CN"/>
                    </w:rPr>
                    <w:t>NOx</w:t>
                  </w:r>
                </w:p>
              </w:tc>
              <w:tc>
                <w:tcPr>
                  <w:tcW w:w="631" w:type="pct"/>
                  <w:noWrap w:val="0"/>
                  <w:vAlign w:val="center"/>
                </w:tcPr>
                <w:p w14:paraId="7D2FC12D">
                  <w:pPr>
                    <w:pStyle w:val="61"/>
                    <w:bidi w:val="0"/>
                    <w:rPr>
                      <w:rFonts w:hint="default"/>
                      <w:highlight w:val="none"/>
                      <w:lang w:val="en-US" w:eastAsia="zh-CN"/>
                    </w:rPr>
                  </w:pPr>
                  <w:r>
                    <w:rPr>
                      <w:rFonts w:hint="eastAsia"/>
                      <w:lang w:val="en-US" w:eastAsia="zh-CN"/>
                    </w:rPr>
                    <w:t>0.04</w:t>
                  </w:r>
                </w:p>
              </w:tc>
              <w:tc>
                <w:tcPr>
                  <w:tcW w:w="747" w:type="pct"/>
                  <w:noWrap w:val="0"/>
                  <w:vAlign w:val="center"/>
                </w:tcPr>
                <w:p w14:paraId="08AD4C7D">
                  <w:pPr>
                    <w:pStyle w:val="61"/>
                    <w:bidi w:val="0"/>
                    <w:rPr>
                      <w:rFonts w:hint="default"/>
                      <w:highlight w:val="none"/>
                      <w:lang w:val="en-US" w:eastAsia="zh-CN"/>
                    </w:rPr>
                  </w:pPr>
                  <w:r>
                    <w:rPr>
                      <w:rFonts w:hint="eastAsia"/>
                      <w:highlight w:val="none"/>
                      <w:lang w:val="en-US" w:eastAsia="zh-CN"/>
                    </w:rPr>
                    <w:t>137.5</w:t>
                  </w:r>
                </w:p>
              </w:tc>
              <w:tc>
                <w:tcPr>
                  <w:tcW w:w="442" w:type="pct"/>
                  <w:noWrap w:val="0"/>
                  <w:vAlign w:val="center"/>
                </w:tcPr>
                <w:p w14:paraId="6E644C83">
                  <w:pPr>
                    <w:pStyle w:val="61"/>
                    <w:bidi w:val="0"/>
                    <w:rPr>
                      <w:rFonts w:hint="default"/>
                      <w:highlight w:val="none"/>
                      <w:lang w:val="en-US" w:eastAsia="zh-CN"/>
                    </w:rPr>
                  </w:pPr>
                  <w:r>
                    <w:rPr>
                      <w:rFonts w:hint="eastAsia"/>
                      <w:highlight w:val="none"/>
                      <w:lang w:val="en-US" w:eastAsia="zh-CN"/>
                    </w:rPr>
                    <w:t>2</w:t>
                  </w:r>
                </w:p>
              </w:tc>
              <w:tc>
                <w:tcPr>
                  <w:tcW w:w="463" w:type="pct"/>
                  <w:noWrap w:val="0"/>
                  <w:vAlign w:val="center"/>
                </w:tcPr>
                <w:p w14:paraId="28D5575F">
                  <w:pPr>
                    <w:pStyle w:val="61"/>
                    <w:bidi w:val="0"/>
                    <w:rPr>
                      <w:rFonts w:hint="default"/>
                      <w:highlight w:val="none"/>
                    </w:rPr>
                  </w:pPr>
                  <w:r>
                    <w:rPr>
                      <w:rFonts w:hint="eastAsia"/>
                      <w:highlight w:val="none"/>
                      <w:lang w:val="en-US" w:eastAsia="zh-CN"/>
                    </w:rPr>
                    <w:t>1</w:t>
                  </w:r>
                </w:p>
              </w:tc>
              <w:tc>
                <w:tcPr>
                  <w:tcW w:w="624" w:type="pct"/>
                  <w:noWrap w:val="0"/>
                  <w:vAlign w:val="center"/>
                </w:tcPr>
                <w:p w14:paraId="75D8D1EB">
                  <w:pPr>
                    <w:pStyle w:val="61"/>
                    <w:bidi w:val="0"/>
                    <w:rPr>
                      <w:rFonts w:hint="default"/>
                      <w:highlight w:val="none"/>
                      <w:lang w:val="en-US" w:eastAsia="zh-CN"/>
                    </w:rPr>
                  </w:pPr>
                  <w:r>
                    <w:rPr>
                      <w:rFonts w:hint="eastAsia"/>
                      <w:highlight w:val="none"/>
                      <w:lang w:val="en-US" w:eastAsia="zh-CN"/>
                    </w:rPr>
                    <w:t>0.08</w:t>
                  </w:r>
                </w:p>
              </w:tc>
              <w:tc>
                <w:tcPr>
                  <w:tcW w:w="405" w:type="pct"/>
                  <w:vMerge w:val="continue"/>
                  <w:noWrap w:val="0"/>
                  <w:vAlign w:val="center"/>
                </w:tcPr>
                <w:p w14:paraId="5D4AB502">
                  <w:pPr>
                    <w:pStyle w:val="61"/>
                    <w:bidi w:val="0"/>
                    <w:rPr>
                      <w:rFonts w:hint="default"/>
                      <w:highlight w:val="none"/>
                    </w:rPr>
                  </w:pPr>
                </w:p>
              </w:tc>
            </w:tr>
            <w:tr w14:paraId="406B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vMerge w:val="restart"/>
                  <w:noWrap w:val="0"/>
                  <w:vAlign w:val="center"/>
                </w:tcPr>
                <w:p w14:paraId="160DB0BE">
                  <w:pPr>
                    <w:pStyle w:val="61"/>
                    <w:bidi w:val="0"/>
                    <w:rPr>
                      <w:rFonts w:hint="default" w:eastAsia="宋体"/>
                      <w:highlight w:val="none"/>
                      <w:lang w:val="en-US" w:eastAsia="zh-CN"/>
                    </w:rPr>
                  </w:pPr>
                  <w:r>
                    <w:rPr>
                      <w:rFonts w:hint="eastAsia"/>
                      <w:highlight w:val="none"/>
                      <w:lang w:val="en-US" w:eastAsia="zh-CN"/>
                    </w:rPr>
                    <w:t>DA003</w:t>
                  </w:r>
                </w:p>
              </w:tc>
              <w:tc>
                <w:tcPr>
                  <w:tcW w:w="643" w:type="pct"/>
                  <w:vMerge w:val="restart"/>
                  <w:shd w:val="clear" w:color="auto" w:fill="auto"/>
                  <w:noWrap w:val="0"/>
                  <w:vAlign w:val="center"/>
                </w:tcPr>
                <w:p w14:paraId="0E3662EB">
                  <w:pPr>
                    <w:pStyle w:val="61"/>
                    <w:bidi w:val="0"/>
                    <w:rPr>
                      <w:rFonts w:hint="default" w:ascii="Times New Roman" w:hAnsi="Times New Roman" w:eastAsia="宋体" w:cs="Times New Roman"/>
                      <w:kern w:val="2"/>
                      <w:sz w:val="21"/>
                      <w:szCs w:val="21"/>
                      <w:highlight w:val="none"/>
                      <w:lang w:val="en-US" w:eastAsia="zh-CN" w:bidi="ar-SA"/>
                    </w:rPr>
                  </w:pPr>
                  <w:r>
                    <w:rPr>
                      <w:rFonts w:hint="eastAsia"/>
                      <w:lang w:val="en-US" w:eastAsia="zh-CN"/>
                    </w:rPr>
                    <w:t>废气处理装置发生故障</w:t>
                  </w:r>
                </w:p>
              </w:tc>
              <w:tc>
                <w:tcPr>
                  <w:tcW w:w="520" w:type="pct"/>
                  <w:shd w:val="clear" w:color="auto" w:fill="auto"/>
                  <w:noWrap w:val="0"/>
                  <w:vAlign w:val="center"/>
                </w:tcPr>
                <w:p w14:paraId="48199A49">
                  <w:pPr>
                    <w:pStyle w:val="61"/>
                    <w:bidi w:val="0"/>
                    <w:rPr>
                      <w:rFonts w:hint="eastAsia" w:ascii="Times New Roman" w:hAnsi="Times New Roman" w:eastAsia="宋体" w:cs="Times New Roman"/>
                      <w:kern w:val="2"/>
                      <w:sz w:val="21"/>
                      <w:szCs w:val="21"/>
                      <w:highlight w:val="none"/>
                      <w:lang w:val="en-US" w:eastAsia="zh-CN" w:bidi="ar-SA"/>
                    </w:rPr>
                  </w:pPr>
                  <w:r>
                    <w:rPr>
                      <w:rFonts w:hint="default"/>
                      <w:highlight w:val="none"/>
                    </w:rPr>
                    <w:t>颗粒物</w:t>
                  </w:r>
                </w:p>
              </w:tc>
              <w:tc>
                <w:tcPr>
                  <w:tcW w:w="631" w:type="pct"/>
                  <w:shd w:val="clear" w:color="auto" w:fill="auto"/>
                  <w:noWrap w:val="0"/>
                  <w:vAlign w:val="center"/>
                </w:tcPr>
                <w:p w14:paraId="628B72B7">
                  <w:pPr>
                    <w:pStyle w:val="61"/>
                    <w:bidi w:val="0"/>
                    <w:rPr>
                      <w:rFonts w:hint="eastAsia" w:ascii="Times New Roman" w:hAnsi="Times New Roman" w:eastAsia="宋体" w:cs="Times New Roman"/>
                      <w:kern w:val="2"/>
                      <w:sz w:val="21"/>
                      <w:szCs w:val="21"/>
                      <w:highlight w:val="none"/>
                      <w:lang w:val="en-US" w:eastAsia="zh-CN" w:bidi="ar-SA"/>
                    </w:rPr>
                  </w:pPr>
                  <w:r>
                    <w:rPr>
                      <w:rFonts w:hint="eastAsia"/>
                      <w:lang w:val="en-US" w:eastAsia="zh-CN"/>
                    </w:rPr>
                    <w:t>0.013</w:t>
                  </w:r>
                </w:p>
              </w:tc>
              <w:tc>
                <w:tcPr>
                  <w:tcW w:w="747" w:type="pct"/>
                  <w:shd w:val="clear" w:color="auto" w:fill="auto"/>
                  <w:noWrap w:val="0"/>
                  <w:vAlign w:val="center"/>
                </w:tcPr>
                <w:p w14:paraId="04D16F96">
                  <w:pPr>
                    <w:pStyle w:val="61"/>
                    <w:bidi w:val="0"/>
                    <w:rPr>
                      <w:rFonts w:hint="default" w:ascii="Times New Roman" w:hAnsi="Times New Roman" w:eastAsia="宋体" w:cs="Times New Roman"/>
                      <w:kern w:val="2"/>
                      <w:sz w:val="21"/>
                      <w:szCs w:val="21"/>
                      <w:highlight w:val="none"/>
                      <w:lang w:val="en-US" w:eastAsia="zh-CN" w:bidi="ar-SA"/>
                    </w:rPr>
                  </w:pPr>
                  <w:r>
                    <w:rPr>
                      <w:rFonts w:hint="eastAsia"/>
                      <w:lang w:val="en-US" w:eastAsia="zh-CN"/>
                    </w:rPr>
                    <w:t>21.03</w:t>
                  </w:r>
                </w:p>
              </w:tc>
              <w:tc>
                <w:tcPr>
                  <w:tcW w:w="442" w:type="pct"/>
                  <w:shd w:val="clear" w:color="auto" w:fill="auto"/>
                  <w:noWrap w:val="0"/>
                  <w:vAlign w:val="center"/>
                </w:tcPr>
                <w:p w14:paraId="2B303667">
                  <w:pPr>
                    <w:pStyle w:val="61"/>
                    <w:bidi w:val="0"/>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2</w:t>
                  </w:r>
                </w:p>
              </w:tc>
              <w:tc>
                <w:tcPr>
                  <w:tcW w:w="463" w:type="pct"/>
                  <w:shd w:val="clear" w:color="auto" w:fill="auto"/>
                  <w:noWrap w:val="0"/>
                  <w:vAlign w:val="center"/>
                </w:tcPr>
                <w:p w14:paraId="08C4D313">
                  <w:pPr>
                    <w:pStyle w:val="61"/>
                    <w:bidi w:val="0"/>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1</w:t>
                  </w:r>
                </w:p>
              </w:tc>
              <w:tc>
                <w:tcPr>
                  <w:tcW w:w="624" w:type="pct"/>
                  <w:shd w:val="clear" w:color="auto" w:fill="auto"/>
                  <w:noWrap w:val="0"/>
                  <w:vAlign w:val="center"/>
                </w:tcPr>
                <w:p w14:paraId="3221F28C">
                  <w:pPr>
                    <w:pStyle w:val="61"/>
                    <w:bidi w:val="0"/>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0.026</w:t>
                  </w:r>
                </w:p>
              </w:tc>
              <w:tc>
                <w:tcPr>
                  <w:tcW w:w="405" w:type="pct"/>
                  <w:vMerge w:val="continue"/>
                  <w:noWrap w:val="0"/>
                  <w:vAlign w:val="center"/>
                </w:tcPr>
                <w:p w14:paraId="40AFA71C">
                  <w:pPr>
                    <w:pStyle w:val="61"/>
                    <w:bidi w:val="0"/>
                    <w:rPr>
                      <w:rFonts w:hint="default"/>
                      <w:highlight w:val="none"/>
                    </w:rPr>
                  </w:pPr>
                </w:p>
              </w:tc>
            </w:tr>
            <w:tr w14:paraId="565A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22" w:type="pct"/>
                  <w:vMerge w:val="continue"/>
                  <w:noWrap w:val="0"/>
                  <w:vAlign w:val="center"/>
                </w:tcPr>
                <w:p w14:paraId="13F8CA5E">
                  <w:pPr>
                    <w:pStyle w:val="61"/>
                    <w:bidi w:val="0"/>
                    <w:rPr>
                      <w:rFonts w:hint="eastAsia"/>
                      <w:highlight w:val="none"/>
                      <w:lang w:val="en-US" w:eastAsia="zh-CN"/>
                    </w:rPr>
                  </w:pPr>
                </w:p>
              </w:tc>
              <w:tc>
                <w:tcPr>
                  <w:tcW w:w="643" w:type="pct"/>
                  <w:vMerge w:val="continue"/>
                  <w:noWrap w:val="0"/>
                  <w:vAlign w:val="center"/>
                </w:tcPr>
                <w:p w14:paraId="7FF0DB8E">
                  <w:pPr>
                    <w:pStyle w:val="61"/>
                    <w:bidi w:val="0"/>
                    <w:rPr>
                      <w:rFonts w:hint="default"/>
                      <w:highlight w:val="none"/>
                      <w:lang w:val="en-US" w:eastAsia="zh-CN"/>
                    </w:rPr>
                  </w:pPr>
                </w:p>
              </w:tc>
              <w:tc>
                <w:tcPr>
                  <w:tcW w:w="520" w:type="pct"/>
                  <w:shd w:val="clear" w:color="auto" w:fill="auto"/>
                  <w:noWrap w:val="0"/>
                  <w:vAlign w:val="center"/>
                </w:tcPr>
                <w:p w14:paraId="67289FCC">
                  <w:pPr>
                    <w:pStyle w:val="61"/>
                    <w:bidi w:val="0"/>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NOx</w:t>
                  </w:r>
                </w:p>
              </w:tc>
              <w:tc>
                <w:tcPr>
                  <w:tcW w:w="631" w:type="pct"/>
                  <w:shd w:val="clear" w:color="auto" w:fill="auto"/>
                  <w:noWrap w:val="0"/>
                  <w:vAlign w:val="center"/>
                </w:tcPr>
                <w:p w14:paraId="56AC7DA5">
                  <w:pPr>
                    <w:pStyle w:val="61"/>
                    <w:bidi w:val="0"/>
                    <w:rPr>
                      <w:rFonts w:hint="eastAsia" w:ascii="Times New Roman" w:hAnsi="Times New Roman" w:eastAsia="宋体" w:cs="Times New Roman"/>
                      <w:kern w:val="2"/>
                      <w:sz w:val="21"/>
                      <w:szCs w:val="21"/>
                      <w:highlight w:val="none"/>
                      <w:lang w:val="en-US" w:eastAsia="zh-CN" w:bidi="ar-SA"/>
                    </w:rPr>
                  </w:pPr>
                  <w:r>
                    <w:rPr>
                      <w:rFonts w:hint="eastAsia"/>
                      <w:lang w:val="en-US" w:eastAsia="zh-CN"/>
                    </w:rPr>
                    <w:t>0.09</w:t>
                  </w:r>
                </w:p>
              </w:tc>
              <w:tc>
                <w:tcPr>
                  <w:tcW w:w="747" w:type="pct"/>
                  <w:shd w:val="clear" w:color="auto" w:fill="auto"/>
                  <w:noWrap w:val="0"/>
                  <w:vAlign w:val="center"/>
                </w:tcPr>
                <w:p w14:paraId="77BFA4D2">
                  <w:pPr>
                    <w:pStyle w:val="61"/>
                    <w:bidi w:val="0"/>
                    <w:rPr>
                      <w:rFonts w:hint="default" w:ascii="Times New Roman" w:hAnsi="Times New Roman" w:eastAsia="宋体" w:cs="Times New Roman"/>
                      <w:kern w:val="2"/>
                      <w:sz w:val="21"/>
                      <w:szCs w:val="21"/>
                      <w:highlight w:val="none"/>
                      <w:lang w:val="en-US" w:eastAsia="zh-CN" w:bidi="ar-SA"/>
                    </w:rPr>
                  </w:pPr>
                  <w:r>
                    <w:rPr>
                      <w:rFonts w:hint="eastAsia"/>
                      <w:highlight w:val="none"/>
                      <w:lang w:val="en-US" w:eastAsia="zh-CN"/>
                    </w:rPr>
                    <w:t>137.5</w:t>
                  </w:r>
                </w:p>
              </w:tc>
              <w:tc>
                <w:tcPr>
                  <w:tcW w:w="442" w:type="pct"/>
                  <w:shd w:val="clear" w:color="auto" w:fill="auto"/>
                  <w:noWrap w:val="0"/>
                  <w:vAlign w:val="center"/>
                </w:tcPr>
                <w:p w14:paraId="798E5D3F">
                  <w:pPr>
                    <w:pStyle w:val="61"/>
                    <w:bidi w:val="0"/>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2</w:t>
                  </w:r>
                </w:p>
              </w:tc>
              <w:tc>
                <w:tcPr>
                  <w:tcW w:w="463" w:type="pct"/>
                  <w:shd w:val="clear" w:color="auto" w:fill="auto"/>
                  <w:noWrap w:val="0"/>
                  <w:vAlign w:val="center"/>
                </w:tcPr>
                <w:p w14:paraId="36228D53">
                  <w:pPr>
                    <w:pStyle w:val="61"/>
                    <w:bidi w:val="0"/>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1</w:t>
                  </w:r>
                </w:p>
              </w:tc>
              <w:tc>
                <w:tcPr>
                  <w:tcW w:w="624" w:type="pct"/>
                  <w:shd w:val="clear" w:color="auto" w:fill="auto"/>
                  <w:noWrap w:val="0"/>
                  <w:vAlign w:val="center"/>
                </w:tcPr>
                <w:p w14:paraId="03860D9B">
                  <w:pPr>
                    <w:pStyle w:val="61"/>
                    <w:bidi w:val="0"/>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0.18</w:t>
                  </w:r>
                </w:p>
              </w:tc>
              <w:tc>
                <w:tcPr>
                  <w:tcW w:w="405" w:type="pct"/>
                  <w:vMerge w:val="continue"/>
                  <w:noWrap w:val="0"/>
                  <w:vAlign w:val="center"/>
                </w:tcPr>
                <w:p w14:paraId="11CA9DF5">
                  <w:pPr>
                    <w:pStyle w:val="61"/>
                    <w:bidi w:val="0"/>
                    <w:rPr>
                      <w:rFonts w:hint="default"/>
                      <w:highlight w:val="none"/>
                    </w:rPr>
                  </w:pPr>
                </w:p>
              </w:tc>
            </w:tr>
            <w:tr w14:paraId="7FED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522" w:type="pct"/>
                  <w:vMerge w:val="continue"/>
                  <w:noWrap w:val="0"/>
                  <w:vAlign w:val="center"/>
                </w:tcPr>
                <w:p w14:paraId="1480316E">
                  <w:pPr>
                    <w:pStyle w:val="61"/>
                    <w:bidi w:val="0"/>
                    <w:rPr>
                      <w:rFonts w:hint="eastAsia"/>
                      <w:highlight w:val="none"/>
                      <w:lang w:val="en-US" w:eastAsia="zh-CN"/>
                    </w:rPr>
                  </w:pPr>
                </w:p>
              </w:tc>
              <w:tc>
                <w:tcPr>
                  <w:tcW w:w="643" w:type="pct"/>
                  <w:vMerge w:val="continue"/>
                  <w:noWrap w:val="0"/>
                  <w:vAlign w:val="center"/>
                </w:tcPr>
                <w:p w14:paraId="4FEFF181">
                  <w:pPr>
                    <w:pStyle w:val="61"/>
                    <w:bidi w:val="0"/>
                    <w:rPr>
                      <w:rFonts w:hint="default"/>
                      <w:highlight w:val="none"/>
                      <w:lang w:val="en-US" w:eastAsia="zh-CN"/>
                    </w:rPr>
                  </w:pPr>
                </w:p>
              </w:tc>
              <w:tc>
                <w:tcPr>
                  <w:tcW w:w="520" w:type="pct"/>
                  <w:shd w:val="clear" w:color="auto" w:fill="auto"/>
                  <w:noWrap w:val="0"/>
                  <w:vAlign w:val="center"/>
                </w:tcPr>
                <w:p w14:paraId="25E92453">
                  <w:pPr>
                    <w:pStyle w:val="61"/>
                    <w:bidi w:val="0"/>
                    <w:rPr>
                      <w:rFonts w:hint="default"/>
                      <w:highlight w:val="none"/>
                      <w:lang w:val="en-US" w:eastAsia="zh-CN"/>
                    </w:rPr>
                  </w:pPr>
                  <w:r>
                    <w:rPr>
                      <w:rFonts w:hint="eastAsia"/>
                      <w:highlight w:val="none"/>
                      <w:lang w:val="en-US" w:eastAsia="zh-CN"/>
                    </w:rPr>
                    <w:t>非甲烷总烃</w:t>
                  </w:r>
                </w:p>
              </w:tc>
              <w:tc>
                <w:tcPr>
                  <w:tcW w:w="631" w:type="pct"/>
                  <w:shd w:val="clear" w:color="auto" w:fill="auto"/>
                  <w:noWrap w:val="0"/>
                  <w:vAlign w:val="center"/>
                </w:tcPr>
                <w:p w14:paraId="68AD3210">
                  <w:pPr>
                    <w:pStyle w:val="61"/>
                    <w:bidi w:val="0"/>
                    <w:rPr>
                      <w:rFonts w:hint="default"/>
                      <w:lang w:val="en-US" w:eastAsia="zh-CN"/>
                    </w:rPr>
                  </w:pPr>
                  <w:r>
                    <w:rPr>
                      <w:rFonts w:hint="eastAsia"/>
                      <w:lang w:val="en-US" w:eastAsia="zh-CN"/>
                    </w:rPr>
                    <w:t>0.117</w:t>
                  </w:r>
                </w:p>
              </w:tc>
              <w:tc>
                <w:tcPr>
                  <w:tcW w:w="747" w:type="pct"/>
                  <w:shd w:val="clear" w:color="auto" w:fill="auto"/>
                  <w:noWrap w:val="0"/>
                  <w:vAlign w:val="center"/>
                </w:tcPr>
                <w:p w14:paraId="3D8CB61A">
                  <w:pPr>
                    <w:pStyle w:val="61"/>
                    <w:bidi w:val="0"/>
                    <w:rPr>
                      <w:rFonts w:hint="default"/>
                      <w:highlight w:val="none"/>
                      <w:lang w:val="en-US" w:eastAsia="zh-CN"/>
                    </w:rPr>
                  </w:pPr>
                  <w:r>
                    <w:rPr>
                      <w:rFonts w:hint="eastAsia"/>
                      <w:highlight w:val="none"/>
                      <w:lang w:val="en-US" w:eastAsia="zh-CN"/>
                    </w:rPr>
                    <w:t>124.85</w:t>
                  </w:r>
                </w:p>
              </w:tc>
              <w:tc>
                <w:tcPr>
                  <w:tcW w:w="442" w:type="pct"/>
                  <w:shd w:val="clear" w:color="auto" w:fill="auto"/>
                  <w:noWrap w:val="0"/>
                  <w:vAlign w:val="center"/>
                </w:tcPr>
                <w:p w14:paraId="2174013E">
                  <w:pPr>
                    <w:pStyle w:val="61"/>
                    <w:bidi w:val="0"/>
                    <w:rPr>
                      <w:rFonts w:hint="default"/>
                      <w:highlight w:val="none"/>
                      <w:lang w:val="en-US" w:eastAsia="zh-CN"/>
                    </w:rPr>
                  </w:pPr>
                  <w:r>
                    <w:rPr>
                      <w:rFonts w:hint="eastAsia"/>
                      <w:highlight w:val="none"/>
                      <w:lang w:val="en-US" w:eastAsia="zh-CN"/>
                    </w:rPr>
                    <w:t>2</w:t>
                  </w:r>
                </w:p>
              </w:tc>
              <w:tc>
                <w:tcPr>
                  <w:tcW w:w="463" w:type="pct"/>
                  <w:shd w:val="clear" w:color="auto" w:fill="auto"/>
                  <w:noWrap w:val="0"/>
                  <w:vAlign w:val="center"/>
                </w:tcPr>
                <w:p w14:paraId="772D1A46">
                  <w:pPr>
                    <w:pStyle w:val="61"/>
                    <w:bidi w:val="0"/>
                    <w:rPr>
                      <w:rFonts w:hint="default"/>
                      <w:highlight w:val="none"/>
                      <w:lang w:val="en-US" w:eastAsia="zh-CN"/>
                    </w:rPr>
                  </w:pPr>
                  <w:r>
                    <w:rPr>
                      <w:rFonts w:hint="eastAsia"/>
                      <w:highlight w:val="none"/>
                      <w:lang w:val="en-US" w:eastAsia="zh-CN"/>
                    </w:rPr>
                    <w:t>1</w:t>
                  </w:r>
                </w:p>
              </w:tc>
              <w:tc>
                <w:tcPr>
                  <w:tcW w:w="624" w:type="pct"/>
                  <w:shd w:val="clear" w:color="auto" w:fill="auto"/>
                  <w:noWrap w:val="0"/>
                  <w:vAlign w:val="center"/>
                </w:tcPr>
                <w:p w14:paraId="39DDCACA">
                  <w:pPr>
                    <w:pStyle w:val="61"/>
                    <w:bidi w:val="0"/>
                    <w:rPr>
                      <w:rFonts w:hint="default"/>
                      <w:highlight w:val="none"/>
                      <w:lang w:val="en-US" w:eastAsia="zh-CN"/>
                    </w:rPr>
                  </w:pPr>
                  <w:r>
                    <w:rPr>
                      <w:rFonts w:hint="eastAsia"/>
                      <w:highlight w:val="none"/>
                      <w:lang w:val="en-US" w:eastAsia="zh-CN"/>
                    </w:rPr>
                    <w:t>0.234</w:t>
                  </w:r>
                </w:p>
              </w:tc>
              <w:tc>
                <w:tcPr>
                  <w:tcW w:w="405" w:type="pct"/>
                  <w:vMerge w:val="continue"/>
                  <w:noWrap w:val="0"/>
                  <w:vAlign w:val="center"/>
                </w:tcPr>
                <w:p w14:paraId="3A8119F5">
                  <w:pPr>
                    <w:pStyle w:val="61"/>
                    <w:bidi w:val="0"/>
                    <w:rPr>
                      <w:rFonts w:hint="default"/>
                      <w:highlight w:val="none"/>
                    </w:rPr>
                  </w:pPr>
                </w:p>
              </w:tc>
            </w:tr>
          </w:tbl>
          <w:p w14:paraId="655584EE">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本项目通过采取以下措施来降低非正常工况发生频次，缩短单次发生持续时间，同时尽可能避免非正常工况的发生：</w:t>
            </w:r>
          </w:p>
          <w:p w14:paraId="70B7D018">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①安排环保专员，加强巡检，一旦发现废气处理设施故障，应及时停工检修，减少非正常工况持续时间；待废气处理设施正常运转后，方可正常生产。</w:t>
            </w:r>
          </w:p>
          <w:p w14:paraId="7CE951C5">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②注意废气处理设施的维护保养，及时发现处理设备的隐患，保持设备净化能力，确保废气稳定达标排放。</w:t>
            </w:r>
          </w:p>
          <w:p w14:paraId="4D816CEF">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③废气净化装置应先于生产工序启动，并同步运行，滞后关闭。</w:t>
            </w:r>
          </w:p>
          <w:p w14:paraId="17839B34">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④建立健全的环保管理机构，对环保管理人员和技术人员进行岗位培训，委托具有专业资质的环境检测单位对排放废气污染物进行定期检测。</w:t>
            </w:r>
          </w:p>
          <w:p w14:paraId="4BCCF00F">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综上，经采取上述措施后，本项目的建设对周围环境影响较小。</w:t>
            </w:r>
          </w:p>
          <w:p w14:paraId="6253A867">
            <w:pPr>
              <w:pStyle w:val="60"/>
              <w:bidi w:val="0"/>
              <w:rPr>
                <w:rFonts w:hint="default"/>
                <w:lang w:val="en-US" w:eastAsia="zh-CN"/>
              </w:rPr>
            </w:pPr>
            <w:r>
              <w:rPr>
                <w:rFonts w:hint="eastAsia"/>
                <w:lang w:val="en-US" w:eastAsia="zh-CN"/>
              </w:rPr>
              <w:t>2.水环境影响和保护措施</w:t>
            </w:r>
          </w:p>
          <w:p w14:paraId="4E31D9B8">
            <w:pPr>
              <w:pStyle w:val="60"/>
              <w:bidi w:val="0"/>
              <w:rPr>
                <w:rFonts w:hint="eastAsia"/>
                <w:lang w:val="en-US" w:eastAsia="zh-CN"/>
              </w:rPr>
            </w:pPr>
            <w:r>
              <w:rPr>
                <w:rFonts w:hint="eastAsia"/>
                <w:lang w:val="en-US" w:eastAsia="zh-CN"/>
              </w:rPr>
              <w:t>2.1废水治理措施</w:t>
            </w:r>
          </w:p>
          <w:p w14:paraId="5F9977FA">
            <w:pPr>
              <w:pStyle w:val="47"/>
              <w:bidi w:val="0"/>
              <w:rPr>
                <w:rFonts w:hint="default"/>
                <w:lang w:val="en-US" w:eastAsia="zh-CN"/>
              </w:rPr>
            </w:pPr>
            <w:r>
              <w:rPr>
                <w:rFonts w:hint="eastAsia"/>
                <w:lang w:val="en-US" w:eastAsia="zh-CN"/>
              </w:rPr>
              <w:t>本项目用水主要为员工生活用水和生产用水。清洗废水经絮凝+沉淀处理后循环使用，不外排。生活污水经化粪池处理后排入市政排水管网进入铁门关市污水处理厂进行集中处理。</w:t>
            </w:r>
            <w:r>
              <w:rPr>
                <w:rFonts w:hint="eastAsia"/>
              </w:rPr>
              <w:t>本项目</w:t>
            </w:r>
            <w:r>
              <w:rPr>
                <w:rFonts w:hint="eastAsia"/>
                <w:lang w:eastAsia="zh-CN"/>
              </w:rPr>
              <w:t>生活污水</w:t>
            </w:r>
            <w:r>
              <w:rPr>
                <w:rFonts w:hint="eastAsia"/>
              </w:rPr>
              <w:t>中主要污染物的产生及排放情况</w:t>
            </w:r>
            <w:r>
              <w:rPr>
                <w:rFonts w:hint="eastAsia"/>
                <w:lang w:eastAsia="zh-CN"/>
              </w:rPr>
              <w:t>见表</w:t>
            </w:r>
            <w:r>
              <w:rPr>
                <w:rFonts w:hint="default"/>
                <w:lang w:val="en-US" w:eastAsia="zh-CN"/>
              </w:rPr>
              <w:t>4-</w:t>
            </w:r>
            <w:r>
              <w:rPr>
                <w:rFonts w:hint="eastAsia"/>
                <w:lang w:val="en-US" w:eastAsia="zh-CN"/>
              </w:rPr>
              <w:t>9</w:t>
            </w:r>
            <w:r>
              <w:rPr>
                <w:rFonts w:hint="eastAsia"/>
              </w:rPr>
              <w:t>。</w:t>
            </w:r>
          </w:p>
          <w:p w14:paraId="2FC2C311">
            <w:pPr>
              <w:pStyle w:val="62"/>
              <w:bidi w:val="0"/>
              <w:rPr>
                <w:rFonts w:hint="default"/>
                <w:lang w:val="en-US" w:eastAsia="zh-CN"/>
              </w:rPr>
            </w:pPr>
            <w:bookmarkStart w:id="4" w:name="OLE_LINK7"/>
            <w:r>
              <w:rPr>
                <w:rFonts w:hint="eastAsia"/>
                <w:lang w:val="en-US" w:eastAsia="zh-CN"/>
              </w:rPr>
              <w:t>表4-9    项目生活污水产生和排放情况一览表</w:t>
            </w:r>
            <w:bookmarkEnd w:id="4"/>
          </w:p>
          <w:tbl>
            <w:tblPr>
              <w:tblStyle w:val="23"/>
              <w:tblW w:w="497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86"/>
              <w:gridCol w:w="664"/>
              <w:gridCol w:w="1002"/>
              <w:gridCol w:w="1350"/>
              <w:gridCol w:w="1139"/>
              <w:gridCol w:w="1091"/>
              <w:gridCol w:w="1927"/>
            </w:tblGrid>
            <w:tr w14:paraId="08598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494" w:type="pct"/>
                  <w:vMerge w:val="restart"/>
                  <w:noWrap w:val="0"/>
                  <w:vAlign w:val="center"/>
                </w:tcPr>
                <w:p w14:paraId="10872522">
                  <w:pPr>
                    <w:pStyle w:val="61"/>
                    <w:bidi w:val="0"/>
                    <w:rPr>
                      <w:lang w:val="en-US" w:eastAsia="zh-CN"/>
                    </w:rPr>
                  </w:pPr>
                  <w:r>
                    <w:rPr>
                      <w:lang w:val="en-US" w:eastAsia="zh-CN"/>
                    </w:rPr>
                    <w:t>污染物</w:t>
                  </w:r>
                </w:p>
              </w:tc>
              <w:tc>
                <w:tcPr>
                  <w:tcW w:w="1894" w:type="pct"/>
                  <w:gridSpan w:val="3"/>
                  <w:noWrap w:val="0"/>
                  <w:vAlign w:val="center"/>
                </w:tcPr>
                <w:p w14:paraId="4CC18F61">
                  <w:pPr>
                    <w:pStyle w:val="61"/>
                    <w:bidi w:val="0"/>
                    <w:rPr>
                      <w:rFonts w:hint="eastAsia"/>
                      <w:lang w:val="en-US" w:eastAsia="zh-CN"/>
                    </w:rPr>
                  </w:pPr>
                  <w:r>
                    <w:rPr>
                      <w:rFonts w:hint="eastAsia"/>
                      <w:lang w:val="en-US" w:eastAsia="zh-CN"/>
                    </w:rPr>
                    <w:t>污染物</w:t>
                  </w:r>
                  <w:r>
                    <w:rPr>
                      <w:lang w:val="en-US" w:eastAsia="zh-CN"/>
                    </w:rPr>
                    <w:t>产生情况</w:t>
                  </w:r>
                </w:p>
              </w:tc>
              <w:tc>
                <w:tcPr>
                  <w:tcW w:w="715" w:type="pct"/>
                  <w:tcBorders>
                    <w:right w:val="single" w:color="auto" w:sz="4" w:space="0"/>
                  </w:tcBorders>
                  <w:noWrap w:val="0"/>
                  <w:vAlign w:val="center"/>
                </w:tcPr>
                <w:p w14:paraId="37FFDCAC">
                  <w:pPr>
                    <w:pStyle w:val="61"/>
                    <w:bidi w:val="0"/>
                    <w:rPr>
                      <w:rFonts w:hint="eastAsia"/>
                      <w:lang w:val="en-US" w:eastAsia="zh-CN"/>
                    </w:rPr>
                  </w:pPr>
                  <w:r>
                    <w:rPr>
                      <w:lang w:val="en-US" w:eastAsia="zh-CN"/>
                    </w:rPr>
                    <w:t>治理措施</w:t>
                  </w:r>
                </w:p>
              </w:tc>
              <w:tc>
                <w:tcPr>
                  <w:tcW w:w="685" w:type="pct"/>
                  <w:vMerge w:val="restart"/>
                  <w:noWrap w:val="0"/>
                  <w:vAlign w:val="center"/>
                </w:tcPr>
                <w:p w14:paraId="1C5869BF">
                  <w:pPr>
                    <w:pStyle w:val="61"/>
                    <w:bidi w:val="0"/>
                    <w:rPr>
                      <w:rFonts w:hint="eastAsia"/>
                      <w:lang w:val="en-US" w:eastAsia="zh-CN"/>
                    </w:rPr>
                  </w:pPr>
                  <w:r>
                    <w:rPr>
                      <w:lang w:val="en-US" w:eastAsia="zh-CN"/>
                    </w:rPr>
                    <w:t>排放标准</w:t>
                  </w:r>
                  <w:r>
                    <w:rPr>
                      <w:rFonts w:hint="eastAsia"/>
                      <w:lang w:val="en-US" w:eastAsia="zh-CN"/>
                    </w:rPr>
                    <w:t>（</w:t>
                  </w:r>
                  <w:r>
                    <w:rPr>
                      <w:lang w:val="en-US" w:eastAsia="zh-CN"/>
                    </w:rPr>
                    <w:t>mg/L</w:t>
                  </w:r>
                  <w:r>
                    <w:rPr>
                      <w:rFonts w:hint="eastAsia"/>
                      <w:lang w:val="en-US" w:eastAsia="zh-CN"/>
                    </w:rPr>
                    <w:t>）</w:t>
                  </w:r>
                </w:p>
              </w:tc>
              <w:tc>
                <w:tcPr>
                  <w:tcW w:w="1210" w:type="pct"/>
                  <w:vMerge w:val="restart"/>
                  <w:noWrap w:val="0"/>
                  <w:vAlign w:val="center"/>
                </w:tcPr>
                <w:p w14:paraId="45A25D07">
                  <w:pPr>
                    <w:pStyle w:val="61"/>
                    <w:bidi w:val="0"/>
                    <w:rPr>
                      <w:rFonts w:hint="eastAsia"/>
                      <w:lang w:val="en-US" w:eastAsia="zh-CN"/>
                    </w:rPr>
                  </w:pPr>
                  <w:r>
                    <w:rPr>
                      <w:rFonts w:hint="eastAsia"/>
                      <w:lang w:val="en-US" w:eastAsia="zh-CN"/>
                    </w:rPr>
                    <w:t>最终去向</w:t>
                  </w:r>
                </w:p>
              </w:tc>
            </w:tr>
            <w:tr w14:paraId="497C0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94" w:type="pct"/>
                  <w:vMerge w:val="continue"/>
                  <w:noWrap w:val="0"/>
                  <w:vAlign w:val="center"/>
                </w:tcPr>
                <w:p w14:paraId="21E3F263">
                  <w:pPr>
                    <w:pStyle w:val="61"/>
                    <w:bidi w:val="0"/>
                    <w:rPr>
                      <w:lang w:val="en-US" w:eastAsia="zh-CN"/>
                    </w:rPr>
                  </w:pPr>
                </w:p>
              </w:tc>
              <w:tc>
                <w:tcPr>
                  <w:tcW w:w="417" w:type="pct"/>
                  <w:vMerge w:val="restart"/>
                  <w:noWrap w:val="0"/>
                  <w:vAlign w:val="center"/>
                </w:tcPr>
                <w:p w14:paraId="644686CA">
                  <w:pPr>
                    <w:pStyle w:val="61"/>
                    <w:bidi w:val="0"/>
                    <w:rPr>
                      <w:lang w:val="en-US" w:eastAsia="zh-CN"/>
                    </w:rPr>
                  </w:pPr>
                  <w:r>
                    <w:rPr>
                      <w:lang w:val="en-US" w:eastAsia="zh-CN"/>
                    </w:rPr>
                    <w:t>核算方法</w:t>
                  </w:r>
                </w:p>
              </w:tc>
              <w:tc>
                <w:tcPr>
                  <w:tcW w:w="1477" w:type="pct"/>
                  <w:gridSpan w:val="2"/>
                  <w:noWrap w:val="0"/>
                  <w:vAlign w:val="center"/>
                </w:tcPr>
                <w:p w14:paraId="617C59C8">
                  <w:pPr>
                    <w:pStyle w:val="61"/>
                    <w:bidi w:val="0"/>
                    <w:rPr>
                      <w:lang w:val="en-US" w:eastAsia="zh-CN"/>
                    </w:rPr>
                  </w:pPr>
                  <w:r>
                    <w:rPr>
                      <w:lang w:val="en-US" w:eastAsia="zh-CN"/>
                    </w:rPr>
                    <w:t>生活污水</w:t>
                  </w:r>
                  <w:r>
                    <w:rPr>
                      <w:rFonts w:hint="eastAsia"/>
                      <w:lang w:val="en-US" w:eastAsia="zh-CN"/>
                    </w:rPr>
                    <w:t>216</w:t>
                  </w:r>
                  <w:r>
                    <w:rPr>
                      <w:rFonts w:hint="default"/>
                      <w:lang w:val="en-US" w:eastAsia="zh-CN"/>
                    </w:rPr>
                    <w:t>t/a</w:t>
                  </w:r>
                </w:p>
              </w:tc>
              <w:tc>
                <w:tcPr>
                  <w:tcW w:w="715" w:type="pct"/>
                  <w:vMerge w:val="restart"/>
                  <w:tcBorders>
                    <w:right w:val="single" w:color="auto" w:sz="4" w:space="0"/>
                  </w:tcBorders>
                  <w:noWrap w:val="0"/>
                  <w:vAlign w:val="center"/>
                </w:tcPr>
                <w:p w14:paraId="008224AF">
                  <w:pPr>
                    <w:pStyle w:val="61"/>
                    <w:bidi w:val="0"/>
                    <w:rPr>
                      <w:lang w:val="en-US" w:eastAsia="zh-CN"/>
                    </w:rPr>
                  </w:pPr>
                  <w:r>
                    <w:rPr>
                      <w:lang w:val="en-US" w:eastAsia="zh-CN"/>
                    </w:rPr>
                    <w:t>工艺</w:t>
                  </w:r>
                </w:p>
              </w:tc>
              <w:tc>
                <w:tcPr>
                  <w:tcW w:w="685" w:type="pct"/>
                  <w:vMerge w:val="continue"/>
                  <w:noWrap w:val="0"/>
                  <w:vAlign w:val="center"/>
                </w:tcPr>
                <w:p w14:paraId="0B55D7B4">
                  <w:pPr>
                    <w:pStyle w:val="61"/>
                    <w:bidi w:val="0"/>
                    <w:rPr>
                      <w:lang w:val="en-US" w:eastAsia="zh-CN"/>
                    </w:rPr>
                  </w:pPr>
                </w:p>
              </w:tc>
              <w:tc>
                <w:tcPr>
                  <w:tcW w:w="1210" w:type="pct"/>
                  <w:vMerge w:val="continue"/>
                  <w:noWrap w:val="0"/>
                  <w:vAlign w:val="center"/>
                </w:tcPr>
                <w:p w14:paraId="6A7C1E87">
                  <w:pPr>
                    <w:pStyle w:val="61"/>
                    <w:bidi w:val="0"/>
                    <w:rPr>
                      <w:lang w:val="en-US" w:eastAsia="zh-CN"/>
                    </w:rPr>
                  </w:pPr>
                </w:p>
              </w:tc>
            </w:tr>
            <w:tr w14:paraId="1D0F9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494" w:type="pct"/>
                  <w:vMerge w:val="continue"/>
                  <w:noWrap w:val="0"/>
                  <w:vAlign w:val="center"/>
                </w:tcPr>
                <w:p w14:paraId="5934E0A0">
                  <w:pPr>
                    <w:pStyle w:val="61"/>
                    <w:bidi w:val="0"/>
                    <w:rPr>
                      <w:lang w:val="en-US" w:eastAsia="zh-CN"/>
                    </w:rPr>
                  </w:pPr>
                </w:p>
              </w:tc>
              <w:tc>
                <w:tcPr>
                  <w:tcW w:w="417" w:type="pct"/>
                  <w:vMerge w:val="continue"/>
                  <w:noWrap w:val="0"/>
                  <w:vAlign w:val="center"/>
                </w:tcPr>
                <w:p w14:paraId="0873A038">
                  <w:pPr>
                    <w:pStyle w:val="61"/>
                    <w:bidi w:val="0"/>
                    <w:rPr>
                      <w:lang w:val="en-US" w:eastAsia="zh-CN"/>
                    </w:rPr>
                  </w:pPr>
                </w:p>
              </w:tc>
              <w:tc>
                <w:tcPr>
                  <w:tcW w:w="629" w:type="pct"/>
                  <w:noWrap w:val="0"/>
                  <w:vAlign w:val="center"/>
                </w:tcPr>
                <w:p w14:paraId="44BB8A96">
                  <w:pPr>
                    <w:pStyle w:val="61"/>
                    <w:bidi w:val="0"/>
                    <w:rPr>
                      <w:lang w:val="en-US" w:eastAsia="zh-CN"/>
                    </w:rPr>
                  </w:pPr>
                  <w:r>
                    <w:rPr>
                      <w:rFonts w:hint="eastAsia"/>
                      <w:lang w:val="en-US" w:eastAsia="zh-CN"/>
                    </w:rPr>
                    <w:t>产生</w:t>
                  </w:r>
                  <w:r>
                    <w:rPr>
                      <w:lang w:val="en-US" w:eastAsia="zh-CN"/>
                    </w:rPr>
                    <w:t>浓度</w:t>
                  </w:r>
                  <w:r>
                    <w:rPr>
                      <w:rFonts w:hint="eastAsia"/>
                      <w:lang w:val="en-US" w:eastAsia="zh-CN"/>
                    </w:rPr>
                    <w:t>mg/L</w:t>
                  </w:r>
                </w:p>
              </w:tc>
              <w:tc>
                <w:tcPr>
                  <w:tcW w:w="848" w:type="pct"/>
                  <w:noWrap w:val="0"/>
                  <w:vAlign w:val="center"/>
                </w:tcPr>
                <w:p w14:paraId="0793BF93">
                  <w:pPr>
                    <w:pStyle w:val="61"/>
                    <w:bidi w:val="0"/>
                    <w:rPr>
                      <w:lang w:val="en-US" w:eastAsia="zh-CN"/>
                    </w:rPr>
                  </w:pPr>
                  <w:r>
                    <w:rPr>
                      <w:rFonts w:hint="eastAsia"/>
                      <w:lang w:val="en-US" w:eastAsia="zh-CN"/>
                    </w:rPr>
                    <w:t>产生量t/a</w:t>
                  </w:r>
                </w:p>
              </w:tc>
              <w:tc>
                <w:tcPr>
                  <w:tcW w:w="715" w:type="pct"/>
                  <w:vMerge w:val="continue"/>
                  <w:noWrap w:val="0"/>
                  <w:vAlign w:val="center"/>
                </w:tcPr>
                <w:p w14:paraId="2FF2220C">
                  <w:pPr>
                    <w:pStyle w:val="61"/>
                    <w:bidi w:val="0"/>
                    <w:rPr>
                      <w:rFonts w:hint="eastAsia"/>
                      <w:lang w:val="en-US" w:eastAsia="zh-CN"/>
                    </w:rPr>
                  </w:pPr>
                </w:p>
              </w:tc>
              <w:tc>
                <w:tcPr>
                  <w:tcW w:w="685" w:type="pct"/>
                  <w:vMerge w:val="continue"/>
                  <w:noWrap w:val="0"/>
                  <w:vAlign w:val="center"/>
                </w:tcPr>
                <w:p w14:paraId="5B127E75">
                  <w:pPr>
                    <w:pStyle w:val="61"/>
                    <w:bidi w:val="0"/>
                    <w:rPr>
                      <w:lang w:val="en-US" w:eastAsia="zh-CN"/>
                    </w:rPr>
                  </w:pPr>
                </w:p>
              </w:tc>
              <w:tc>
                <w:tcPr>
                  <w:tcW w:w="1210" w:type="pct"/>
                  <w:vMerge w:val="continue"/>
                  <w:noWrap w:val="0"/>
                  <w:vAlign w:val="center"/>
                </w:tcPr>
                <w:p w14:paraId="1C2B62AE">
                  <w:pPr>
                    <w:pStyle w:val="61"/>
                    <w:bidi w:val="0"/>
                    <w:rPr>
                      <w:lang w:val="en-US" w:eastAsia="zh-CN"/>
                    </w:rPr>
                  </w:pPr>
                </w:p>
              </w:tc>
            </w:tr>
            <w:tr w14:paraId="3EE01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494" w:type="pct"/>
                  <w:noWrap w:val="0"/>
                  <w:vAlign w:val="center"/>
                </w:tcPr>
                <w:p w14:paraId="3B461857">
                  <w:pPr>
                    <w:pStyle w:val="61"/>
                    <w:bidi w:val="0"/>
                    <w:rPr>
                      <w:lang w:val="en-US" w:eastAsia="zh-CN"/>
                    </w:rPr>
                  </w:pPr>
                  <w:r>
                    <w:rPr>
                      <w:lang w:val="en-US" w:eastAsia="zh-CN"/>
                    </w:rPr>
                    <w:t>COD</w:t>
                  </w:r>
                </w:p>
              </w:tc>
              <w:tc>
                <w:tcPr>
                  <w:tcW w:w="417" w:type="pct"/>
                  <w:vMerge w:val="restart"/>
                  <w:tcBorders>
                    <w:top w:val="single" w:color="auto" w:sz="4" w:space="0"/>
                  </w:tcBorders>
                  <w:noWrap w:val="0"/>
                  <w:vAlign w:val="center"/>
                </w:tcPr>
                <w:p w14:paraId="00C40BFB">
                  <w:pPr>
                    <w:pStyle w:val="61"/>
                    <w:bidi w:val="0"/>
                    <w:rPr>
                      <w:rFonts w:hint="eastAsia"/>
                      <w:lang w:val="en-US" w:eastAsia="zh-CN"/>
                    </w:rPr>
                  </w:pPr>
                  <w:r>
                    <w:rPr>
                      <w:rFonts w:hint="eastAsia"/>
                      <w:lang w:val="en-US" w:eastAsia="zh-CN"/>
                    </w:rPr>
                    <w:t>类比法</w:t>
                  </w:r>
                </w:p>
              </w:tc>
              <w:tc>
                <w:tcPr>
                  <w:tcW w:w="629" w:type="pct"/>
                  <w:noWrap w:val="0"/>
                  <w:vAlign w:val="center"/>
                </w:tcPr>
                <w:p w14:paraId="1BA463B3">
                  <w:pPr>
                    <w:pStyle w:val="61"/>
                    <w:bidi w:val="0"/>
                    <w:rPr>
                      <w:lang w:val="en-US" w:eastAsia="zh-CN"/>
                    </w:rPr>
                  </w:pPr>
                  <w:r>
                    <w:rPr>
                      <w:rFonts w:hint="eastAsia"/>
                      <w:lang w:val="en-US" w:eastAsia="zh-CN"/>
                    </w:rPr>
                    <w:t>350</w:t>
                  </w:r>
                </w:p>
              </w:tc>
              <w:tc>
                <w:tcPr>
                  <w:tcW w:w="848" w:type="pct"/>
                  <w:noWrap w:val="0"/>
                  <w:vAlign w:val="center"/>
                </w:tcPr>
                <w:p w14:paraId="523F24ED">
                  <w:pPr>
                    <w:pStyle w:val="61"/>
                    <w:bidi w:val="0"/>
                    <w:rPr>
                      <w:rFonts w:hint="default"/>
                      <w:lang w:val="en-US" w:eastAsia="zh-CN"/>
                    </w:rPr>
                  </w:pPr>
                  <w:r>
                    <w:rPr>
                      <w:rFonts w:hint="eastAsia"/>
                      <w:lang w:val="en-US" w:eastAsia="zh-CN"/>
                    </w:rPr>
                    <w:t>0.0756</w:t>
                  </w:r>
                </w:p>
              </w:tc>
              <w:tc>
                <w:tcPr>
                  <w:tcW w:w="715" w:type="pct"/>
                  <w:vMerge w:val="restart"/>
                  <w:noWrap w:val="0"/>
                  <w:vAlign w:val="center"/>
                </w:tcPr>
                <w:p w14:paraId="0163125B">
                  <w:pPr>
                    <w:pStyle w:val="61"/>
                    <w:bidi w:val="0"/>
                    <w:rPr>
                      <w:lang w:val="en-US" w:eastAsia="zh-CN"/>
                    </w:rPr>
                  </w:pPr>
                  <w:r>
                    <w:rPr>
                      <w:lang w:val="en-US" w:eastAsia="zh-CN"/>
                    </w:rPr>
                    <w:t>化粪池</w:t>
                  </w:r>
                  <w:r>
                    <w:rPr>
                      <w:rFonts w:hint="eastAsia"/>
                      <w:lang w:val="en-US" w:eastAsia="zh-CN"/>
                    </w:rPr>
                    <w:t>预</w:t>
                  </w:r>
                  <w:r>
                    <w:rPr>
                      <w:lang w:val="en-US" w:eastAsia="zh-CN"/>
                    </w:rPr>
                    <w:t>处理</w:t>
                  </w:r>
                </w:p>
              </w:tc>
              <w:tc>
                <w:tcPr>
                  <w:tcW w:w="685" w:type="pct"/>
                  <w:noWrap w:val="0"/>
                  <w:vAlign w:val="center"/>
                </w:tcPr>
                <w:p w14:paraId="40E277EF">
                  <w:pPr>
                    <w:pStyle w:val="61"/>
                    <w:bidi w:val="0"/>
                    <w:rPr>
                      <w:lang w:val="en-US" w:eastAsia="zh-CN"/>
                    </w:rPr>
                  </w:pPr>
                  <w:r>
                    <w:rPr>
                      <w:lang w:val="en-US" w:eastAsia="zh-CN"/>
                    </w:rPr>
                    <w:t>500</w:t>
                  </w:r>
                </w:p>
              </w:tc>
              <w:tc>
                <w:tcPr>
                  <w:tcW w:w="1210" w:type="pct"/>
                  <w:vMerge w:val="restart"/>
                  <w:noWrap w:val="0"/>
                  <w:vAlign w:val="center"/>
                </w:tcPr>
                <w:p w14:paraId="3ED14327">
                  <w:pPr>
                    <w:pStyle w:val="61"/>
                    <w:bidi w:val="0"/>
                    <w:rPr>
                      <w:lang w:val="en-US" w:eastAsia="zh-CN"/>
                    </w:rPr>
                  </w:pPr>
                  <w:r>
                    <w:rPr>
                      <w:rFonts w:hint="eastAsia"/>
                      <w:lang w:val="en-US" w:eastAsia="zh-CN"/>
                    </w:rPr>
                    <w:t>本项目生活污水经化粪池处理后排入污水管网进入铁门关市污水处理厂进行集中处理</w:t>
                  </w:r>
                </w:p>
              </w:tc>
            </w:tr>
            <w:tr w14:paraId="34316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494" w:type="pct"/>
                  <w:noWrap w:val="0"/>
                  <w:vAlign w:val="center"/>
                </w:tcPr>
                <w:p w14:paraId="112196D2">
                  <w:pPr>
                    <w:pStyle w:val="61"/>
                    <w:bidi w:val="0"/>
                    <w:rPr>
                      <w:rFonts w:hint="eastAsia"/>
                      <w:lang w:val="en-US" w:eastAsia="zh-CN"/>
                    </w:rPr>
                  </w:pPr>
                  <w:r>
                    <w:rPr>
                      <w:lang w:val="en-US" w:eastAsia="zh-CN"/>
                    </w:rPr>
                    <w:t>BOD</w:t>
                  </w:r>
                  <w:r>
                    <w:rPr>
                      <w:rFonts w:hint="eastAsia"/>
                      <w:vertAlign w:val="subscript"/>
                      <w:lang w:val="en-US" w:eastAsia="zh-CN"/>
                    </w:rPr>
                    <w:t>5</w:t>
                  </w:r>
                </w:p>
              </w:tc>
              <w:tc>
                <w:tcPr>
                  <w:tcW w:w="417" w:type="pct"/>
                  <w:vMerge w:val="continue"/>
                  <w:noWrap w:val="0"/>
                  <w:vAlign w:val="center"/>
                </w:tcPr>
                <w:p w14:paraId="49FBC561">
                  <w:pPr>
                    <w:pStyle w:val="61"/>
                    <w:bidi w:val="0"/>
                    <w:rPr>
                      <w:lang w:val="en-US" w:eastAsia="zh-CN"/>
                    </w:rPr>
                  </w:pPr>
                </w:p>
              </w:tc>
              <w:tc>
                <w:tcPr>
                  <w:tcW w:w="629" w:type="pct"/>
                  <w:noWrap w:val="0"/>
                  <w:vAlign w:val="center"/>
                </w:tcPr>
                <w:p w14:paraId="648645AE">
                  <w:pPr>
                    <w:pStyle w:val="61"/>
                    <w:bidi w:val="0"/>
                    <w:rPr>
                      <w:lang w:val="en-US" w:eastAsia="zh-CN"/>
                    </w:rPr>
                  </w:pPr>
                  <w:r>
                    <w:rPr>
                      <w:lang w:val="en-US" w:eastAsia="zh-CN"/>
                    </w:rPr>
                    <w:t>250</w:t>
                  </w:r>
                </w:p>
              </w:tc>
              <w:tc>
                <w:tcPr>
                  <w:tcW w:w="848" w:type="pct"/>
                  <w:noWrap w:val="0"/>
                  <w:vAlign w:val="center"/>
                </w:tcPr>
                <w:p w14:paraId="07E8CF06">
                  <w:pPr>
                    <w:pStyle w:val="61"/>
                    <w:bidi w:val="0"/>
                    <w:rPr>
                      <w:rFonts w:hint="default"/>
                      <w:lang w:val="en-US" w:eastAsia="zh-CN"/>
                    </w:rPr>
                  </w:pPr>
                  <w:r>
                    <w:rPr>
                      <w:rFonts w:hint="eastAsia"/>
                      <w:lang w:val="en-US" w:eastAsia="zh-CN"/>
                    </w:rPr>
                    <w:t>0.054</w:t>
                  </w:r>
                </w:p>
              </w:tc>
              <w:tc>
                <w:tcPr>
                  <w:tcW w:w="715" w:type="pct"/>
                  <w:vMerge w:val="continue"/>
                  <w:noWrap w:val="0"/>
                  <w:vAlign w:val="center"/>
                </w:tcPr>
                <w:p w14:paraId="58D8A888">
                  <w:pPr>
                    <w:pStyle w:val="61"/>
                    <w:bidi w:val="0"/>
                    <w:rPr>
                      <w:lang w:val="en-US" w:eastAsia="zh-CN"/>
                    </w:rPr>
                  </w:pPr>
                </w:p>
              </w:tc>
              <w:tc>
                <w:tcPr>
                  <w:tcW w:w="685" w:type="pct"/>
                  <w:noWrap w:val="0"/>
                  <w:vAlign w:val="center"/>
                </w:tcPr>
                <w:p w14:paraId="5C7BE134">
                  <w:pPr>
                    <w:pStyle w:val="61"/>
                    <w:bidi w:val="0"/>
                    <w:rPr>
                      <w:lang w:val="en-US" w:eastAsia="zh-CN"/>
                    </w:rPr>
                  </w:pPr>
                  <w:r>
                    <w:rPr>
                      <w:lang w:val="en-US" w:eastAsia="zh-CN"/>
                    </w:rPr>
                    <w:t>300</w:t>
                  </w:r>
                </w:p>
              </w:tc>
              <w:tc>
                <w:tcPr>
                  <w:tcW w:w="1210" w:type="pct"/>
                  <w:vMerge w:val="continue"/>
                  <w:noWrap w:val="0"/>
                  <w:vAlign w:val="center"/>
                </w:tcPr>
                <w:p w14:paraId="21052DBF">
                  <w:pPr>
                    <w:pStyle w:val="61"/>
                    <w:bidi w:val="0"/>
                    <w:rPr>
                      <w:lang w:val="en-US" w:eastAsia="zh-CN"/>
                    </w:rPr>
                  </w:pPr>
                </w:p>
              </w:tc>
            </w:tr>
            <w:tr w14:paraId="17292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494" w:type="pct"/>
                  <w:noWrap w:val="0"/>
                  <w:vAlign w:val="center"/>
                </w:tcPr>
                <w:p w14:paraId="16023EFA">
                  <w:pPr>
                    <w:pStyle w:val="61"/>
                    <w:bidi w:val="0"/>
                    <w:rPr>
                      <w:lang w:val="en-US" w:eastAsia="zh-CN"/>
                    </w:rPr>
                  </w:pPr>
                  <w:r>
                    <w:rPr>
                      <w:lang w:val="en-US" w:eastAsia="zh-CN"/>
                    </w:rPr>
                    <w:t>SS</w:t>
                  </w:r>
                </w:p>
              </w:tc>
              <w:tc>
                <w:tcPr>
                  <w:tcW w:w="417" w:type="pct"/>
                  <w:vMerge w:val="continue"/>
                  <w:noWrap w:val="0"/>
                  <w:vAlign w:val="center"/>
                </w:tcPr>
                <w:p w14:paraId="74FCCEB8">
                  <w:pPr>
                    <w:pStyle w:val="61"/>
                    <w:bidi w:val="0"/>
                    <w:rPr>
                      <w:lang w:val="en-US" w:eastAsia="zh-CN"/>
                    </w:rPr>
                  </w:pPr>
                </w:p>
              </w:tc>
              <w:tc>
                <w:tcPr>
                  <w:tcW w:w="629" w:type="pct"/>
                  <w:noWrap w:val="0"/>
                  <w:vAlign w:val="center"/>
                </w:tcPr>
                <w:p w14:paraId="55D69EA6">
                  <w:pPr>
                    <w:pStyle w:val="61"/>
                    <w:bidi w:val="0"/>
                    <w:rPr>
                      <w:lang w:val="en-US" w:eastAsia="zh-CN"/>
                    </w:rPr>
                  </w:pPr>
                  <w:r>
                    <w:rPr>
                      <w:lang w:val="en-US" w:eastAsia="zh-CN"/>
                    </w:rPr>
                    <w:t>200</w:t>
                  </w:r>
                </w:p>
              </w:tc>
              <w:tc>
                <w:tcPr>
                  <w:tcW w:w="848" w:type="pct"/>
                  <w:noWrap w:val="0"/>
                  <w:vAlign w:val="center"/>
                </w:tcPr>
                <w:p w14:paraId="64E4DDD9">
                  <w:pPr>
                    <w:pStyle w:val="61"/>
                    <w:bidi w:val="0"/>
                    <w:rPr>
                      <w:rFonts w:hint="default"/>
                      <w:lang w:val="en-US" w:eastAsia="zh-CN"/>
                    </w:rPr>
                  </w:pPr>
                  <w:r>
                    <w:rPr>
                      <w:rFonts w:hint="eastAsia"/>
                      <w:lang w:val="en-US" w:eastAsia="zh-CN"/>
                    </w:rPr>
                    <w:t>0.043</w:t>
                  </w:r>
                </w:p>
              </w:tc>
              <w:tc>
                <w:tcPr>
                  <w:tcW w:w="715" w:type="pct"/>
                  <w:vMerge w:val="continue"/>
                  <w:noWrap w:val="0"/>
                  <w:vAlign w:val="center"/>
                </w:tcPr>
                <w:p w14:paraId="6D84B34A">
                  <w:pPr>
                    <w:pStyle w:val="61"/>
                    <w:bidi w:val="0"/>
                    <w:rPr>
                      <w:lang w:val="en-US" w:eastAsia="zh-CN"/>
                    </w:rPr>
                  </w:pPr>
                </w:p>
              </w:tc>
              <w:tc>
                <w:tcPr>
                  <w:tcW w:w="685" w:type="pct"/>
                  <w:noWrap w:val="0"/>
                  <w:vAlign w:val="center"/>
                </w:tcPr>
                <w:p w14:paraId="09FF9416">
                  <w:pPr>
                    <w:pStyle w:val="61"/>
                    <w:bidi w:val="0"/>
                    <w:rPr>
                      <w:lang w:val="en-US" w:eastAsia="zh-CN"/>
                    </w:rPr>
                  </w:pPr>
                  <w:r>
                    <w:rPr>
                      <w:lang w:val="en-US" w:eastAsia="zh-CN"/>
                    </w:rPr>
                    <w:t>400</w:t>
                  </w:r>
                </w:p>
              </w:tc>
              <w:tc>
                <w:tcPr>
                  <w:tcW w:w="1210" w:type="pct"/>
                  <w:vMerge w:val="continue"/>
                  <w:noWrap w:val="0"/>
                  <w:vAlign w:val="center"/>
                </w:tcPr>
                <w:p w14:paraId="584D9A7D">
                  <w:pPr>
                    <w:pStyle w:val="61"/>
                    <w:bidi w:val="0"/>
                    <w:rPr>
                      <w:lang w:val="en-US" w:eastAsia="zh-CN"/>
                    </w:rPr>
                  </w:pPr>
                </w:p>
              </w:tc>
            </w:tr>
            <w:tr w14:paraId="71A9A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494" w:type="pct"/>
                  <w:noWrap w:val="0"/>
                  <w:vAlign w:val="center"/>
                </w:tcPr>
                <w:p w14:paraId="0D7717A7">
                  <w:pPr>
                    <w:pStyle w:val="61"/>
                    <w:bidi w:val="0"/>
                    <w:rPr>
                      <w:lang w:val="en-US" w:eastAsia="zh-CN"/>
                    </w:rPr>
                  </w:pPr>
                  <w:r>
                    <w:rPr>
                      <w:lang w:val="en-US" w:eastAsia="zh-CN"/>
                    </w:rPr>
                    <w:t>氨氮</w:t>
                  </w:r>
                </w:p>
              </w:tc>
              <w:tc>
                <w:tcPr>
                  <w:tcW w:w="417" w:type="pct"/>
                  <w:vMerge w:val="continue"/>
                  <w:noWrap w:val="0"/>
                  <w:vAlign w:val="center"/>
                </w:tcPr>
                <w:p w14:paraId="548842DA">
                  <w:pPr>
                    <w:pStyle w:val="61"/>
                    <w:bidi w:val="0"/>
                    <w:rPr>
                      <w:lang w:val="en-US" w:eastAsia="zh-CN"/>
                    </w:rPr>
                  </w:pPr>
                </w:p>
              </w:tc>
              <w:tc>
                <w:tcPr>
                  <w:tcW w:w="629" w:type="pct"/>
                  <w:noWrap w:val="0"/>
                  <w:vAlign w:val="center"/>
                </w:tcPr>
                <w:p w14:paraId="3D9BA998">
                  <w:pPr>
                    <w:pStyle w:val="61"/>
                    <w:bidi w:val="0"/>
                    <w:rPr>
                      <w:lang w:val="en-US" w:eastAsia="zh-CN"/>
                    </w:rPr>
                  </w:pPr>
                  <w:r>
                    <w:rPr>
                      <w:rFonts w:hint="eastAsia"/>
                      <w:lang w:val="en-US" w:eastAsia="zh-CN"/>
                    </w:rPr>
                    <w:t>30</w:t>
                  </w:r>
                </w:p>
              </w:tc>
              <w:tc>
                <w:tcPr>
                  <w:tcW w:w="848" w:type="pct"/>
                  <w:noWrap w:val="0"/>
                  <w:vAlign w:val="center"/>
                </w:tcPr>
                <w:p w14:paraId="16C87FD4">
                  <w:pPr>
                    <w:pStyle w:val="61"/>
                    <w:bidi w:val="0"/>
                    <w:rPr>
                      <w:rFonts w:hint="default"/>
                      <w:lang w:val="en-US" w:eastAsia="zh-CN"/>
                    </w:rPr>
                  </w:pPr>
                  <w:r>
                    <w:rPr>
                      <w:rFonts w:hint="eastAsia"/>
                      <w:lang w:val="en-US" w:eastAsia="zh-CN"/>
                    </w:rPr>
                    <w:t>0.006</w:t>
                  </w:r>
                </w:p>
              </w:tc>
              <w:tc>
                <w:tcPr>
                  <w:tcW w:w="715" w:type="pct"/>
                  <w:vMerge w:val="continue"/>
                  <w:noWrap w:val="0"/>
                  <w:vAlign w:val="center"/>
                </w:tcPr>
                <w:p w14:paraId="2B3092EB">
                  <w:pPr>
                    <w:pStyle w:val="61"/>
                    <w:bidi w:val="0"/>
                    <w:rPr>
                      <w:lang w:val="en-US" w:eastAsia="zh-CN"/>
                    </w:rPr>
                  </w:pPr>
                </w:p>
              </w:tc>
              <w:tc>
                <w:tcPr>
                  <w:tcW w:w="685" w:type="pct"/>
                  <w:noWrap w:val="0"/>
                  <w:vAlign w:val="center"/>
                </w:tcPr>
                <w:p w14:paraId="012918A2">
                  <w:pPr>
                    <w:pStyle w:val="61"/>
                    <w:bidi w:val="0"/>
                    <w:rPr>
                      <w:lang w:val="en-US" w:eastAsia="zh-CN"/>
                    </w:rPr>
                  </w:pPr>
                  <w:r>
                    <w:rPr>
                      <w:lang w:val="en-US" w:eastAsia="zh-CN"/>
                    </w:rPr>
                    <w:t>/</w:t>
                  </w:r>
                </w:p>
              </w:tc>
              <w:tc>
                <w:tcPr>
                  <w:tcW w:w="1210" w:type="pct"/>
                  <w:vMerge w:val="continue"/>
                  <w:noWrap w:val="0"/>
                  <w:vAlign w:val="center"/>
                </w:tcPr>
                <w:p w14:paraId="1EA8C444">
                  <w:pPr>
                    <w:pStyle w:val="61"/>
                    <w:bidi w:val="0"/>
                    <w:rPr>
                      <w:lang w:val="en-US" w:eastAsia="zh-CN"/>
                    </w:rPr>
                  </w:pPr>
                </w:p>
              </w:tc>
            </w:tr>
            <w:tr w14:paraId="1D795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494" w:type="pct"/>
                  <w:noWrap w:val="0"/>
                  <w:vAlign w:val="center"/>
                </w:tcPr>
                <w:p w14:paraId="2087599E">
                  <w:pPr>
                    <w:pStyle w:val="61"/>
                    <w:bidi w:val="0"/>
                    <w:rPr>
                      <w:rFonts w:hint="eastAsia"/>
                      <w:lang w:val="en-US" w:eastAsia="zh-CN"/>
                    </w:rPr>
                  </w:pPr>
                  <w:r>
                    <w:rPr>
                      <w:rFonts w:hint="eastAsia"/>
                      <w:lang w:val="en-US" w:eastAsia="zh-CN"/>
                    </w:rPr>
                    <w:t>动植物油</w:t>
                  </w:r>
                </w:p>
              </w:tc>
              <w:tc>
                <w:tcPr>
                  <w:tcW w:w="417" w:type="pct"/>
                  <w:vMerge w:val="continue"/>
                  <w:noWrap w:val="0"/>
                  <w:vAlign w:val="center"/>
                </w:tcPr>
                <w:p w14:paraId="7B1C894A">
                  <w:pPr>
                    <w:pStyle w:val="61"/>
                    <w:bidi w:val="0"/>
                    <w:rPr>
                      <w:lang w:val="en-US" w:eastAsia="zh-CN"/>
                    </w:rPr>
                  </w:pPr>
                </w:p>
              </w:tc>
              <w:tc>
                <w:tcPr>
                  <w:tcW w:w="629" w:type="pct"/>
                  <w:noWrap w:val="0"/>
                  <w:vAlign w:val="center"/>
                </w:tcPr>
                <w:p w14:paraId="29FB189B">
                  <w:pPr>
                    <w:pStyle w:val="61"/>
                    <w:bidi w:val="0"/>
                    <w:rPr>
                      <w:rFonts w:hint="default"/>
                      <w:lang w:val="en-US" w:eastAsia="zh-CN"/>
                    </w:rPr>
                  </w:pPr>
                  <w:r>
                    <w:rPr>
                      <w:rFonts w:hint="eastAsia"/>
                      <w:lang w:val="en-US" w:eastAsia="zh-CN"/>
                    </w:rPr>
                    <w:t>100</w:t>
                  </w:r>
                </w:p>
              </w:tc>
              <w:tc>
                <w:tcPr>
                  <w:tcW w:w="848" w:type="pct"/>
                  <w:noWrap w:val="0"/>
                  <w:vAlign w:val="center"/>
                </w:tcPr>
                <w:p w14:paraId="431BB064">
                  <w:pPr>
                    <w:pStyle w:val="61"/>
                    <w:bidi w:val="0"/>
                    <w:rPr>
                      <w:rFonts w:hint="default"/>
                      <w:lang w:val="en-US" w:eastAsia="zh-CN"/>
                    </w:rPr>
                  </w:pPr>
                  <w:r>
                    <w:rPr>
                      <w:rFonts w:hint="eastAsia"/>
                      <w:lang w:val="en-US" w:eastAsia="zh-CN"/>
                    </w:rPr>
                    <w:t>0.022</w:t>
                  </w:r>
                </w:p>
              </w:tc>
              <w:tc>
                <w:tcPr>
                  <w:tcW w:w="715" w:type="pct"/>
                  <w:vMerge w:val="continue"/>
                  <w:noWrap w:val="0"/>
                  <w:vAlign w:val="center"/>
                </w:tcPr>
                <w:p w14:paraId="3AED3A5C">
                  <w:pPr>
                    <w:pStyle w:val="61"/>
                    <w:bidi w:val="0"/>
                    <w:rPr>
                      <w:lang w:val="en-US" w:eastAsia="zh-CN"/>
                    </w:rPr>
                  </w:pPr>
                </w:p>
              </w:tc>
              <w:tc>
                <w:tcPr>
                  <w:tcW w:w="685" w:type="pct"/>
                  <w:noWrap w:val="0"/>
                  <w:vAlign w:val="center"/>
                </w:tcPr>
                <w:p w14:paraId="51FC1BE2">
                  <w:pPr>
                    <w:pStyle w:val="61"/>
                    <w:bidi w:val="0"/>
                    <w:rPr>
                      <w:rFonts w:hint="default"/>
                      <w:lang w:val="en-US" w:eastAsia="zh-CN"/>
                    </w:rPr>
                  </w:pPr>
                  <w:r>
                    <w:rPr>
                      <w:rFonts w:hint="eastAsia"/>
                      <w:lang w:val="en-US" w:eastAsia="zh-CN"/>
                    </w:rPr>
                    <w:t>100</w:t>
                  </w:r>
                </w:p>
              </w:tc>
              <w:tc>
                <w:tcPr>
                  <w:tcW w:w="1210" w:type="pct"/>
                  <w:vMerge w:val="continue"/>
                  <w:noWrap w:val="0"/>
                  <w:vAlign w:val="center"/>
                </w:tcPr>
                <w:p w14:paraId="3D3532A9">
                  <w:pPr>
                    <w:pStyle w:val="61"/>
                    <w:bidi w:val="0"/>
                    <w:rPr>
                      <w:lang w:val="en-US" w:eastAsia="zh-CN"/>
                    </w:rPr>
                  </w:pPr>
                </w:p>
              </w:tc>
            </w:tr>
          </w:tbl>
          <w:p w14:paraId="1E2AAEF8">
            <w:pPr>
              <w:pStyle w:val="52"/>
              <w:bidi w:val="0"/>
              <w:rPr>
                <w:rFonts w:hint="default"/>
              </w:rPr>
            </w:pPr>
            <w:r>
              <w:rPr>
                <w:rFonts w:hint="eastAsia"/>
                <w:lang w:val="en-US" w:eastAsia="zh-CN"/>
              </w:rPr>
              <w:t>2.2</w:t>
            </w:r>
            <w:r>
              <w:rPr>
                <w:rFonts w:hint="default"/>
              </w:rPr>
              <w:t>废水污染防治措施可行性</w:t>
            </w:r>
          </w:p>
          <w:p w14:paraId="01F80CC5">
            <w:pPr>
              <w:pStyle w:val="54"/>
              <w:bidi w:val="0"/>
              <w:rPr>
                <w:rFonts w:hint="default"/>
              </w:rPr>
            </w:pPr>
            <w:r>
              <w:rPr>
                <w:rFonts w:hint="default"/>
              </w:rPr>
              <w:t>铁门关市污水处理厂位于铁门关市城区以南3km处，位于项目区西偏</w:t>
            </w:r>
            <w:r>
              <w:rPr>
                <w:rFonts w:hint="eastAsia"/>
                <w:lang w:val="en-US" w:eastAsia="zh-CN"/>
              </w:rPr>
              <w:t>北19</w:t>
            </w:r>
            <w:r>
              <w:rPr>
                <w:rFonts w:hint="default"/>
              </w:rPr>
              <w:t>km处。</w:t>
            </w:r>
            <w:r>
              <w:rPr>
                <w:rFonts w:hint="default"/>
                <w:lang w:eastAsia="zh-CN"/>
              </w:rPr>
              <w:t>污水处理厂</w:t>
            </w:r>
            <w:r>
              <w:rPr>
                <w:rFonts w:hint="default"/>
              </w:rPr>
              <w:t>处理工艺采用A</w:t>
            </w:r>
            <w:r>
              <w:rPr>
                <w:rFonts w:hint="default"/>
                <w:vertAlign w:val="superscript"/>
              </w:rPr>
              <w:t>2</w:t>
            </w:r>
            <w:r>
              <w:rPr>
                <w:rFonts w:hint="default"/>
              </w:rPr>
              <w:t>/O二级生化处理工艺，处理后的尾水水质满足《城镇污水处理厂污染物排放标准》（GB18918-2002</w:t>
            </w:r>
            <w:r>
              <w:rPr>
                <w:rFonts w:hint="default"/>
                <w:shd w:val="clear"/>
              </w:rPr>
              <w:t>）</w:t>
            </w:r>
            <w:r>
              <w:rPr>
                <w:rFonts w:hint="eastAsia"/>
                <w:shd w:val="clear"/>
                <w:lang w:val="en-US" w:eastAsia="zh-CN"/>
              </w:rPr>
              <w:t>一</w:t>
            </w:r>
            <w:r>
              <w:rPr>
                <w:rFonts w:hint="eastAsia"/>
                <w:shd w:val="clear"/>
                <w:lang w:eastAsia="zh-CN"/>
              </w:rPr>
              <w:t>级</w:t>
            </w:r>
            <w:r>
              <w:rPr>
                <w:rFonts w:hint="default"/>
                <w:shd w:val="clear"/>
              </w:rPr>
              <w:t>B</w:t>
            </w:r>
            <w:r>
              <w:rPr>
                <w:rFonts w:hint="default"/>
              </w:rPr>
              <w:t>标准限值要求及《</w:t>
            </w:r>
            <w:r>
              <w:rPr>
                <w:rFonts w:hint="eastAsia"/>
                <w:lang w:eastAsia="zh-CN"/>
              </w:rPr>
              <w:t>城市污水再生利用 城市杂用水水质</w:t>
            </w:r>
            <w:r>
              <w:rPr>
                <w:rFonts w:hint="default"/>
              </w:rPr>
              <w:t>》（</w:t>
            </w:r>
            <w:r>
              <w:rPr>
                <w:rFonts w:hint="eastAsia"/>
                <w:lang w:eastAsia="zh-CN"/>
              </w:rPr>
              <w:t>GB/T 18920-2020</w:t>
            </w:r>
            <w:r>
              <w:rPr>
                <w:rFonts w:hint="default"/>
              </w:rPr>
              <w:t>）中城市绿化用水标准，灌溉期用于生态林灌溉，非灌溉期排入</w:t>
            </w:r>
            <w:r>
              <w:rPr>
                <w:rFonts w:hint="default"/>
                <w:lang w:eastAsia="zh-CN"/>
              </w:rPr>
              <w:t>污水处理厂</w:t>
            </w:r>
            <w:r>
              <w:rPr>
                <w:rFonts w:hint="default"/>
              </w:rPr>
              <w:t>以南的戈壁荒地。于2014年05月取得环评批复，详见附件。2016年12月投入运行，2017年04月通过了二师环保局环保</w:t>
            </w:r>
            <w:r>
              <w:rPr>
                <w:rFonts w:hint="eastAsia"/>
                <w:lang w:eastAsia="zh-CN"/>
              </w:rPr>
              <w:t>“</w:t>
            </w:r>
            <w:r>
              <w:rPr>
                <w:rFonts w:hint="default"/>
              </w:rPr>
              <w:t>三同时</w:t>
            </w:r>
            <w:r>
              <w:rPr>
                <w:rFonts w:hint="eastAsia"/>
                <w:lang w:eastAsia="zh-CN"/>
              </w:rPr>
              <w:t>”</w:t>
            </w:r>
            <w:r>
              <w:rPr>
                <w:rFonts w:hint="default"/>
              </w:rPr>
              <w:t>验收，取得验收意见，详见附件。污水处理厂设计处理能力为2万m</w:t>
            </w:r>
            <w:r>
              <w:rPr>
                <w:rFonts w:hint="default"/>
                <w:vertAlign w:val="superscript"/>
              </w:rPr>
              <w:t>3</w:t>
            </w:r>
            <w:r>
              <w:rPr>
                <w:rFonts w:hint="default"/>
              </w:rPr>
              <w:t>/d，目前实际进水量为8500m</w:t>
            </w:r>
            <w:r>
              <w:rPr>
                <w:rFonts w:hint="default"/>
                <w:vertAlign w:val="superscript"/>
              </w:rPr>
              <w:t>3</w:t>
            </w:r>
            <w:r>
              <w:rPr>
                <w:rFonts w:hint="default"/>
              </w:rPr>
              <w:t>/d，污水处理厂余量充足，污水处理厂运行正常，出水水质稳定可做到达标排放。</w:t>
            </w:r>
          </w:p>
          <w:p w14:paraId="7B72BE34">
            <w:pPr>
              <w:pStyle w:val="54"/>
              <w:bidi w:val="0"/>
              <w:rPr>
                <w:rFonts w:hint="default"/>
              </w:rPr>
            </w:pPr>
            <w:r>
              <w:rPr>
                <w:rFonts w:hint="default"/>
              </w:rPr>
              <w:t>本项目</w:t>
            </w:r>
            <w:r>
              <w:rPr>
                <w:rFonts w:hint="eastAsia"/>
                <w:lang w:val="en-US" w:eastAsia="zh-CN"/>
              </w:rPr>
              <w:t>生活污水</w:t>
            </w:r>
            <w:r>
              <w:rPr>
                <w:rFonts w:hint="default"/>
              </w:rPr>
              <w:t>排放总量为</w:t>
            </w:r>
            <w:r>
              <w:rPr>
                <w:rFonts w:hint="eastAsia"/>
                <w:lang w:val="en-US" w:eastAsia="zh-CN"/>
              </w:rPr>
              <w:t>1.2</w:t>
            </w:r>
            <w:r>
              <w:rPr>
                <w:rFonts w:hint="default"/>
              </w:rPr>
              <w:t>t/d，符合</w:t>
            </w:r>
            <w:r>
              <w:rPr>
                <w:rFonts w:hint="default"/>
                <w:lang w:eastAsia="zh-CN"/>
              </w:rPr>
              <w:t>污水处理厂</w:t>
            </w:r>
            <w:r>
              <w:rPr>
                <w:rFonts w:hint="default"/>
              </w:rPr>
              <w:t>接收生活污水水质要求，水量也远小于设计规模，因此本项目废水由铁门关市污水处理厂处理可行。</w:t>
            </w:r>
          </w:p>
          <w:p w14:paraId="2E8F62B4">
            <w:pPr>
              <w:pStyle w:val="48"/>
              <w:bidi w:val="0"/>
              <w:rPr>
                <w:rFonts w:hint="eastAsia"/>
              </w:rPr>
            </w:pPr>
            <w:r>
              <w:rPr>
                <w:rFonts w:hint="eastAsia"/>
                <w:lang w:val="en-US" w:eastAsia="zh-CN"/>
              </w:rPr>
              <w:t>3.声环境影响和保护措施</w:t>
            </w:r>
          </w:p>
          <w:p w14:paraId="4F6C242F">
            <w:pPr>
              <w:pStyle w:val="48"/>
              <w:bidi w:val="0"/>
              <w:rPr>
                <w:rFonts w:hint="eastAsia"/>
                <w:lang w:val="en-US" w:eastAsia="zh-CN"/>
              </w:rPr>
            </w:pPr>
            <w:r>
              <w:rPr>
                <w:rFonts w:hint="eastAsia"/>
                <w:lang w:val="en-US" w:eastAsia="zh-CN"/>
              </w:rPr>
              <w:t>3.1预测模型</w:t>
            </w:r>
          </w:p>
          <w:p w14:paraId="7B7E1112">
            <w:pPr>
              <w:pStyle w:val="47"/>
              <w:bidi w:val="0"/>
              <w:rPr>
                <w:rFonts w:hint="eastAsia"/>
                <w:lang w:val="en-US" w:eastAsia="zh-CN"/>
              </w:rPr>
            </w:pPr>
            <w:r>
              <w:rPr>
                <w:rFonts w:hint="eastAsia"/>
                <w:lang w:val="en-US" w:eastAsia="zh-CN"/>
              </w:rPr>
              <w:t>根据项目建设内容及《环境影响评价技术导则 声环境》（HJ2.4-2021）的要求，项目环评采用的模型为《环境影响评价技术导则 声环境》（HJ2.4.2021）附录A（规范性附录）户外声传播的衰减和附录B（规范性附录）中“B.1工业噪声预测计算模型”。</w:t>
            </w:r>
          </w:p>
          <w:p w14:paraId="3661986E">
            <w:pPr>
              <w:pStyle w:val="52"/>
              <w:bidi w:val="0"/>
              <w:rPr>
                <w:rFonts w:hint="eastAsia"/>
                <w:lang w:val="en-US" w:eastAsia="zh-CN"/>
              </w:rPr>
            </w:pPr>
            <w:r>
              <w:rPr>
                <w:rFonts w:hint="eastAsia"/>
                <w:lang w:val="en-US" w:eastAsia="zh-CN"/>
              </w:rPr>
              <w:t>3.2预测参数</w:t>
            </w:r>
          </w:p>
          <w:p w14:paraId="2AAE9375">
            <w:pPr>
              <w:pStyle w:val="47"/>
              <w:bidi w:val="0"/>
              <w:rPr>
                <w:rFonts w:hint="default"/>
                <w:lang w:val="en-US" w:eastAsia="zh-CN"/>
              </w:rPr>
            </w:pPr>
            <w:r>
              <w:rPr>
                <w:rFonts w:hint="eastAsia"/>
                <w:lang w:val="en-US" w:eastAsia="zh-CN"/>
              </w:rPr>
              <w:t>产噪设备</w:t>
            </w:r>
            <w:r>
              <w:rPr>
                <w:rFonts w:hint="default"/>
                <w:lang w:val="en-US" w:eastAsia="zh-CN"/>
              </w:rPr>
              <w:t>主要</w:t>
            </w:r>
            <w:r>
              <w:rPr>
                <w:rFonts w:hint="eastAsia"/>
                <w:lang w:val="en-US" w:eastAsia="zh-CN"/>
              </w:rPr>
              <w:t>为开平机</w:t>
            </w:r>
            <w:r>
              <w:rPr>
                <w:rFonts w:hint="default"/>
                <w:lang w:val="en-US" w:eastAsia="zh-CN"/>
              </w:rPr>
              <w:t>、</w:t>
            </w:r>
            <w:r>
              <w:rPr>
                <w:rFonts w:hint="eastAsia"/>
                <w:lang w:val="en-US" w:eastAsia="zh-CN"/>
              </w:rPr>
              <w:t>剪板机、冲床、胀筋机</w:t>
            </w:r>
            <w:r>
              <w:rPr>
                <w:rFonts w:hint="default"/>
                <w:lang w:val="en-US" w:eastAsia="zh-CN"/>
              </w:rPr>
              <w:t>等，噪声值一般为</w:t>
            </w:r>
            <w:r>
              <w:rPr>
                <w:rFonts w:hint="eastAsia"/>
                <w:lang w:val="en-US" w:eastAsia="zh-CN"/>
              </w:rPr>
              <w:t>80</w:t>
            </w:r>
            <w:r>
              <w:rPr>
                <w:rFonts w:hint="default"/>
                <w:lang w:val="en-US" w:eastAsia="zh-CN"/>
              </w:rPr>
              <w:t>～</w:t>
            </w:r>
            <w:r>
              <w:rPr>
                <w:rFonts w:hint="eastAsia"/>
                <w:lang w:val="en-US" w:eastAsia="zh-CN"/>
              </w:rPr>
              <w:t>90</w:t>
            </w:r>
            <w:r>
              <w:rPr>
                <w:rFonts w:hint="default"/>
                <w:lang w:val="en-US" w:eastAsia="zh-CN"/>
              </w:rPr>
              <w:t>dB（A）。设备正常运行过程中产生的噪声污染是各机械设备单台噪声值的叠加值，具体污染工序中生产设备直接噪声影响值分析及单台噪声值见下表</w:t>
            </w:r>
            <w:r>
              <w:rPr>
                <w:rFonts w:hint="eastAsia"/>
                <w:lang w:val="en-US" w:eastAsia="zh-CN"/>
              </w:rPr>
              <w:t>4-10</w:t>
            </w:r>
            <w:r>
              <w:rPr>
                <w:rFonts w:hint="default"/>
                <w:lang w:val="en-US" w:eastAsia="zh-CN"/>
              </w:rPr>
              <w:t>。</w:t>
            </w:r>
          </w:p>
          <w:p w14:paraId="6A61DBDC">
            <w:pPr>
              <w:pStyle w:val="54"/>
              <w:bidi w:val="0"/>
              <w:rPr>
                <w:rFonts w:hint="default"/>
                <w:lang w:val="en-US" w:eastAsia="zh-CN"/>
              </w:rPr>
            </w:pPr>
          </w:p>
          <w:p w14:paraId="2960D3C5">
            <w:pPr>
              <w:pStyle w:val="54"/>
              <w:bidi w:val="0"/>
              <w:ind w:left="0" w:leftChars="0" w:firstLine="0" w:firstLineChars="0"/>
              <w:rPr>
                <w:rFonts w:hint="default"/>
                <w:lang w:val="en-US" w:eastAsia="zh-CN"/>
              </w:rPr>
            </w:pPr>
          </w:p>
        </w:tc>
      </w:tr>
    </w:tbl>
    <w:p w14:paraId="19BD3AB4">
      <w:pPr>
        <w:pStyle w:val="19"/>
        <w:jc w:val="both"/>
        <w:outlineLvl w:val="0"/>
        <w:rPr>
          <w:rFonts w:hint="eastAsia" w:ascii="黑体" w:hAnsi="黑体" w:eastAsia="黑体"/>
          <w:snapToGrid w:val="0"/>
          <w:sz w:val="30"/>
          <w:szCs w:val="30"/>
        </w:rPr>
        <w:sectPr>
          <w:pgSz w:w="11906" w:h="16838"/>
          <w:pgMar w:top="1701" w:right="1531" w:bottom="1701" w:left="1531" w:header="851" w:footer="851" w:gutter="0"/>
          <w:pgNumType w:fmt="decimal"/>
          <w:cols w:space="720" w:num="1"/>
          <w:docGrid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
        <w:gridCol w:w="13179"/>
      </w:tblGrid>
      <w:tr w14:paraId="3EA5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240" w:type="dxa"/>
          </w:tcPr>
          <w:p w14:paraId="34534D27">
            <w:pPr>
              <w:pStyle w:val="19"/>
              <w:jc w:val="both"/>
              <w:outlineLvl w:val="0"/>
              <w:rPr>
                <w:rFonts w:hint="eastAsia" w:ascii="黑体" w:hAnsi="黑体" w:eastAsia="黑体"/>
                <w:snapToGrid w:val="0"/>
                <w:sz w:val="30"/>
                <w:szCs w:val="30"/>
                <w:vertAlign w:val="baseline"/>
              </w:rPr>
            </w:pPr>
          </w:p>
        </w:tc>
        <w:tc>
          <w:tcPr>
            <w:tcW w:w="13179" w:type="dxa"/>
          </w:tcPr>
          <w:p w14:paraId="0C4BE6F5">
            <w:pPr>
              <w:pStyle w:val="62"/>
              <w:bidi w:val="0"/>
              <w:rPr>
                <w:rFonts w:hint="eastAsia"/>
              </w:rPr>
            </w:pPr>
            <w:r>
              <w:rPr>
                <w:rFonts w:hint="eastAsia"/>
                <w:lang w:val="en-US" w:eastAsia="zh-CN"/>
              </w:rPr>
              <w:t>表4-10    本工程</w:t>
            </w:r>
            <w:r>
              <w:rPr>
                <w:rFonts w:hint="eastAsia"/>
              </w:rPr>
              <w:t>噪声源强调查清单（室内声源）</w:t>
            </w:r>
          </w:p>
          <w:tbl>
            <w:tblPr>
              <w:tblStyle w:val="23"/>
              <w:tblpPr w:leftFromText="180" w:rightFromText="180" w:vertAnchor="text" w:horzAnchor="page" w:tblpX="336"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743"/>
              <w:gridCol w:w="973"/>
              <w:gridCol w:w="459"/>
              <w:gridCol w:w="792"/>
              <w:gridCol w:w="589"/>
              <w:gridCol w:w="545"/>
              <w:gridCol w:w="426"/>
              <w:gridCol w:w="308"/>
              <w:gridCol w:w="521"/>
              <w:gridCol w:w="408"/>
              <w:gridCol w:w="408"/>
              <w:gridCol w:w="408"/>
              <w:gridCol w:w="419"/>
              <w:gridCol w:w="419"/>
              <w:gridCol w:w="419"/>
              <w:gridCol w:w="419"/>
              <w:gridCol w:w="524"/>
              <w:gridCol w:w="433"/>
              <w:gridCol w:w="433"/>
              <w:gridCol w:w="433"/>
              <w:gridCol w:w="433"/>
              <w:gridCol w:w="400"/>
              <w:gridCol w:w="400"/>
              <w:gridCol w:w="400"/>
              <w:gridCol w:w="400"/>
              <w:gridCol w:w="382"/>
            </w:tblGrid>
            <w:tr w14:paraId="7BAE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0" w:type="auto"/>
                  <w:vMerge w:val="restart"/>
                  <w:vAlign w:val="center"/>
                </w:tcPr>
                <w:p w14:paraId="50A08591">
                  <w:pPr>
                    <w:jc w:val="center"/>
                    <w:rPr>
                      <w:rFonts w:ascii="Times New Roman" w:hAnsi="Times New Roman" w:cs="Times New Roman" w:eastAsiaTheme="minorEastAsia"/>
                      <w:sz w:val="21"/>
                      <w:szCs w:val="21"/>
                    </w:rPr>
                  </w:pPr>
                  <w:bookmarkStart w:id="5" w:name="PT_6"/>
                  <w:r>
                    <w:rPr>
                      <w:rFonts w:ascii="Times New Roman" w:hAnsi="Times New Roman" w:cs="Times New Roman" w:eastAsiaTheme="minorEastAsia"/>
                      <w:b/>
                      <w:sz w:val="21"/>
                      <w:szCs w:val="21"/>
                    </w:rPr>
                    <w:t>序号</w:t>
                  </w:r>
                </w:p>
              </w:tc>
              <w:tc>
                <w:tcPr>
                  <w:tcW w:w="0" w:type="auto"/>
                  <w:vMerge w:val="restart"/>
                  <w:vAlign w:val="center"/>
                </w:tcPr>
                <w:p w14:paraId="3B95FDD6">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建筑物名称</w:t>
                  </w:r>
                </w:p>
              </w:tc>
              <w:tc>
                <w:tcPr>
                  <w:tcW w:w="0" w:type="auto"/>
                  <w:vMerge w:val="restart"/>
                  <w:vAlign w:val="center"/>
                </w:tcPr>
                <w:p w14:paraId="233FCFD3">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声源名称</w:t>
                  </w:r>
                </w:p>
              </w:tc>
              <w:tc>
                <w:tcPr>
                  <w:tcW w:w="0" w:type="auto"/>
                  <w:vMerge w:val="restart"/>
                  <w:vAlign w:val="center"/>
                </w:tcPr>
                <w:p w14:paraId="2FC89C7C">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型号</w:t>
                  </w:r>
                </w:p>
              </w:tc>
              <w:tc>
                <w:tcPr>
                  <w:tcW w:w="0" w:type="auto"/>
                  <w:vAlign w:val="center"/>
                </w:tcPr>
                <w:p w14:paraId="35AC12CF">
                  <w:pPr>
                    <w:jc w:val="center"/>
                    <w:rPr>
                      <w:rFonts w:ascii="Times New Roman" w:hAnsi="Times New Roman" w:cs="Times New Roman" w:eastAsiaTheme="minorEastAsia"/>
                      <w:sz w:val="21"/>
                      <w:szCs w:val="21"/>
                      <w:lang w:eastAsia="zh-CN"/>
                    </w:rPr>
                  </w:pPr>
                  <w:r>
                    <w:rPr>
                      <w:rFonts w:ascii="Times New Roman" w:hAnsi="Times New Roman" w:cs="Times New Roman" w:eastAsiaTheme="minorEastAsia"/>
                      <w:b/>
                      <w:sz w:val="21"/>
                      <w:szCs w:val="21"/>
                      <w:lang w:eastAsia="zh-CN"/>
                    </w:rPr>
                    <w:t>声源源强</w:t>
                  </w:r>
                </w:p>
              </w:tc>
              <w:tc>
                <w:tcPr>
                  <w:tcW w:w="0" w:type="auto"/>
                  <w:vMerge w:val="restart"/>
                  <w:vAlign w:val="center"/>
                </w:tcPr>
                <w:p w14:paraId="62043A20">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声源控制措施</w:t>
                  </w:r>
                </w:p>
              </w:tc>
              <w:tc>
                <w:tcPr>
                  <w:tcW w:w="0" w:type="auto"/>
                  <w:gridSpan w:val="3"/>
                  <w:vAlign w:val="center"/>
                </w:tcPr>
                <w:p w14:paraId="21F0ECC1">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空间相对位置/m</w:t>
                  </w:r>
                </w:p>
              </w:tc>
              <w:tc>
                <w:tcPr>
                  <w:tcW w:w="0" w:type="auto"/>
                  <w:gridSpan w:val="4"/>
                  <w:vAlign w:val="center"/>
                </w:tcPr>
                <w:p w14:paraId="5534B0A4">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距室内边界距离/m</w:t>
                  </w:r>
                </w:p>
              </w:tc>
              <w:tc>
                <w:tcPr>
                  <w:tcW w:w="0" w:type="auto"/>
                  <w:gridSpan w:val="4"/>
                  <w:vAlign w:val="center"/>
                </w:tcPr>
                <w:p w14:paraId="222E3B79">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室内边界声级/dB(A)</w:t>
                  </w:r>
                </w:p>
              </w:tc>
              <w:tc>
                <w:tcPr>
                  <w:tcW w:w="0" w:type="auto"/>
                  <w:vMerge w:val="restart"/>
                  <w:vAlign w:val="center"/>
                </w:tcPr>
                <w:p w14:paraId="618F729D">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运行时段</w:t>
                  </w:r>
                </w:p>
              </w:tc>
              <w:tc>
                <w:tcPr>
                  <w:tcW w:w="0" w:type="auto"/>
                  <w:gridSpan w:val="4"/>
                  <w:vAlign w:val="center"/>
                </w:tcPr>
                <w:p w14:paraId="21DADEF8">
                  <w:pPr>
                    <w:jc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建筑物插入损失 / dB(A)</w:t>
                  </w:r>
                  <w:bookmarkStart w:id="6" w:name="PT_10"/>
                  <w:bookmarkEnd w:id="6"/>
                </w:p>
              </w:tc>
              <w:tc>
                <w:tcPr>
                  <w:tcW w:w="0" w:type="auto"/>
                  <w:gridSpan w:val="5"/>
                  <w:vAlign w:val="center"/>
                </w:tcPr>
                <w:p w14:paraId="27F1B711">
                  <w:pPr>
                    <w:jc w:val="center"/>
                    <w:rPr>
                      <w:rFonts w:ascii="Times New Roman" w:hAnsi="Times New Roman" w:cs="Times New Roman" w:eastAsiaTheme="minorEastAsia"/>
                      <w:b/>
                      <w:bCs w:val="0"/>
                      <w:sz w:val="21"/>
                      <w:szCs w:val="21"/>
                    </w:rPr>
                  </w:pPr>
                  <w:r>
                    <w:rPr>
                      <w:rFonts w:ascii="Times New Roman" w:hAnsi="Times New Roman" w:cs="Times New Roman" w:eastAsiaTheme="minorEastAsia"/>
                      <w:b/>
                      <w:bCs w:val="0"/>
                      <w:sz w:val="21"/>
                      <w:szCs w:val="21"/>
                    </w:rPr>
                    <w:t>建筑物外噪声声压级/dB(A)</w:t>
                  </w:r>
                </w:p>
              </w:tc>
            </w:tr>
            <w:tr w14:paraId="7497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0" w:type="auto"/>
                  <w:vMerge w:val="continue"/>
                  <w:shd w:val="clear" w:color="auto" w:fill="FFFFFF"/>
                  <w:tcMar>
                    <w:top w:w="0" w:type="dxa"/>
                    <w:left w:w="0" w:type="dxa"/>
                    <w:bottom w:w="0" w:type="dxa"/>
                    <w:right w:w="0" w:type="dxa"/>
                  </w:tcMar>
                  <w:vAlign w:val="center"/>
                </w:tcPr>
                <w:p w14:paraId="616B7333">
                  <w:pPr>
                    <w:jc w:val="center"/>
                    <w:rPr>
                      <w:rFonts w:hint="default" w:ascii="Times New Roman" w:hAnsi="Times New Roman" w:cs="Times New Roman" w:eastAsiaTheme="minorEastAsia"/>
                      <w:sz w:val="21"/>
                      <w:szCs w:val="21"/>
                      <w:lang w:val="en-US" w:eastAsia="zh-CN"/>
                    </w:rPr>
                  </w:pPr>
                </w:p>
              </w:tc>
              <w:tc>
                <w:tcPr>
                  <w:tcW w:w="0" w:type="auto"/>
                  <w:vMerge w:val="continue"/>
                  <w:shd w:val="clear" w:color="auto" w:fill="FFFFFF"/>
                  <w:tcMar>
                    <w:top w:w="0" w:type="dxa"/>
                    <w:left w:w="0" w:type="dxa"/>
                    <w:bottom w:w="0" w:type="dxa"/>
                    <w:right w:w="0" w:type="dxa"/>
                  </w:tcMar>
                  <w:vAlign w:val="center"/>
                </w:tcPr>
                <w:p w14:paraId="7BB926F2">
                  <w:pPr>
                    <w:jc w:val="center"/>
                    <w:rPr>
                      <w:rFonts w:ascii="Times New Roman" w:hAnsi="Times New Roman" w:cs="Times New Roman" w:eastAsiaTheme="minorEastAsia"/>
                      <w:sz w:val="21"/>
                      <w:szCs w:val="21"/>
                    </w:rPr>
                  </w:pPr>
                </w:p>
              </w:tc>
              <w:tc>
                <w:tcPr>
                  <w:tcW w:w="0" w:type="auto"/>
                  <w:vMerge w:val="continue"/>
                  <w:shd w:val="clear" w:color="auto" w:fill="FFFFFF"/>
                  <w:tcMar>
                    <w:top w:w="0" w:type="dxa"/>
                    <w:left w:w="0" w:type="dxa"/>
                    <w:bottom w:w="0" w:type="dxa"/>
                    <w:right w:w="0" w:type="dxa"/>
                  </w:tcMar>
                  <w:vAlign w:val="center"/>
                </w:tcPr>
                <w:p w14:paraId="2A4CAE57">
                  <w:pPr>
                    <w:jc w:val="center"/>
                    <w:rPr>
                      <w:rFonts w:ascii="Times New Roman" w:hAnsi="Times New Roman" w:cs="Times New Roman" w:eastAsiaTheme="minorEastAsia"/>
                      <w:sz w:val="21"/>
                      <w:szCs w:val="21"/>
                    </w:rPr>
                  </w:pPr>
                </w:p>
              </w:tc>
              <w:tc>
                <w:tcPr>
                  <w:tcW w:w="0" w:type="auto"/>
                  <w:vMerge w:val="continue"/>
                  <w:shd w:val="clear" w:color="auto" w:fill="FFFFFF"/>
                  <w:tcMar>
                    <w:top w:w="0" w:type="dxa"/>
                    <w:left w:w="0" w:type="dxa"/>
                    <w:bottom w:w="0" w:type="dxa"/>
                    <w:right w:w="0" w:type="dxa"/>
                  </w:tcMar>
                  <w:vAlign w:val="center"/>
                </w:tcPr>
                <w:p w14:paraId="48F31DF2">
                  <w:pPr>
                    <w:jc w:val="center"/>
                    <w:rPr>
                      <w:rFonts w:ascii="Times New Roman" w:hAnsi="Times New Roman" w:cs="Times New Roman" w:eastAsiaTheme="minorEastAsia"/>
                      <w:sz w:val="21"/>
                      <w:szCs w:val="21"/>
                    </w:rPr>
                  </w:pPr>
                </w:p>
              </w:tc>
              <w:tc>
                <w:tcPr>
                  <w:tcW w:w="0" w:type="auto"/>
                  <w:shd w:val="clear" w:color="auto" w:fill="FFFFFF"/>
                  <w:tcMar>
                    <w:top w:w="0" w:type="dxa"/>
                    <w:left w:w="0" w:type="dxa"/>
                    <w:bottom w:w="0" w:type="dxa"/>
                    <w:right w:w="0" w:type="dxa"/>
                  </w:tcMar>
                  <w:vAlign w:val="center"/>
                </w:tcPr>
                <w:p w14:paraId="4C9371EF">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声功率级/dB(A)</w:t>
                  </w:r>
                </w:p>
              </w:tc>
              <w:tc>
                <w:tcPr>
                  <w:tcW w:w="0" w:type="auto"/>
                  <w:vMerge w:val="continue"/>
                  <w:shd w:val="clear" w:color="auto" w:fill="FFFFFF"/>
                  <w:tcMar>
                    <w:top w:w="0" w:type="dxa"/>
                    <w:left w:w="0" w:type="dxa"/>
                    <w:bottom w:w="0" w:type="dxa"/>
                    <w:right w:w="0" w:type="dxa"/>
                  </w:tcMar>
                  <w:vAlign w:val="center"/>
                </w:tcPr>
                <w:p w14:paraId="4F1309D2">
                  <w:pPr>
                    <w:jc w:val="center"/>
                    <w:rPr>
                      <w:rFonts w:ascii="Times New Roman" w:hAnsi="Times New Roman" w:cs="Times New Roman" w:eastAsiaTheme="minorEastAsia"/>
                      <w:sz w:val="21"/>
                      <w:szCs w:val="21"/>
                    </w:rPr>
                  </w:pPr>
                </w:p>
              </w:tc>
              <w:tc>
                <w:tcPr>
                  <w:tcW w:w="0" w:type="auto"/>
                  <w:shd w:val="clear" w:color="auto" w:fill="FFFFFF"/>
                  <w:tcMar>
                    <w:top w:w="0" w:type="dxa"/>
                    <w:left w:w="0" w:type="dxa"/>
                    <w:bottom w:w="0" w:type="dxa"/>
                    <w:right w:w="0" w:type="dxa"/>
                  </w:tcMar>
                  <w:vAlign w:val="center"/>
                </w:tcPr>
                <w:p w14:paraId="7BAE7903">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X</w:t>
                  </w:r>
                </w:p>
              </w:tc>
              <w:tc>
                <w:tcPr>
                  <w:tcW w:w="0" w:type="auto"/>
                  <w:shd w:val="clear" w:color="auto" w:fill="FFFFFF"/>
                  <w:tcMar>
                    <w:top w:w="0" w:type="dxa"/>
                    <w:left w:w="0" w:type="dxa"/>
                    <w:bottom w:w="0" w:type="dxa"/>
                    <w:right w:w="0" w:type="dxa"/>
                  </w:tcMar>
                  <w:vAlign w:val="center"/>
                </w:tcPr>
                <w:p w14:paraId="175E9813">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Y</w:t>
                  </w:r>
                </w:p>
              </w:tc>
              <w:tc>
                <w:tcPr>
                  <w:tcW w:w="0" w:type="auto"/>
                  <w:shd w:val="clear" w:color="auto" w:fill="FFFFFF"/>
                  <w:tcMar>
                    <w:top w:w="0" w:type="dxa"/>
                    <w:left w:w="0" w:type="dxa"/>
                    <w:bottom w:w="0" w:type="dxa"/>
                    <w:right w:w="0" w:type="dxa"/>
                  </w:tcMar>
                  <w:vAlign w:val="center"/>
                </w:tcPr>
                <w:p w14:paraId="7DE815D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Z</w:t>
                  </w:r>
                </w:p>
              </w:tc>
              <w:tc>
                <w:tcPr>
                  <w:tcW w:w="0" w:type="auto"/>
                  <w:shd w:val="clear" w:color="auto" w:fill="FFFFFF"/>
                  <w:tcMar>
                    <w:top w:w="0" w:type="dxa"/>
                    <w:left w:w="0" w:type="dxa"/>
                    <w:bottom w:w="0" w:type="dxa"/>
                    <w:right w:w="0" w:type="dxa"/>
                  </w:tcMar>
                  <w:vAlign w:val="center"/>
                </w:tcPr>
                <w:p w14:paraId="1647EBAD">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东</w:t>
                  </w:r>
                </w:p>
              </w:tc>
              <w:tc>
                <w:tcPr>
                  <w:tcW w:w="0" w:type="auto"/>
                  <w:shd w:val="clear" w:color="auto" w:fill="FFFFFF"/>
                  <w:tcMar>
                    <w:top w:w="0" w:type="dxa"/>
                    <w:left w:w="0" w:type="dxa"/>
                    <w:bottom w:w="0" w:type="dxa"/>
                    <w:right w:w="0" w:type="dxa"/>
                  </w:tcMar>
                  <w:vAlign w:val="center"/>
                </w:tcPr>
                <w:p w14:paraId="6EE37C71">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南</w:t>
                  </w:r>
                </w:p>
              </w:tc>
              <w:tc>
                <w:tcPr>
                  <w:tcW w:w="0" w:type="auto"/>
                  <w:shd w:val="clear" w:color="auto" w:fill="FFFFFF"/>
                  <w:tcMar>
                    <w:top w:w="0" w:type="dxa"/>
                    <w:left w:w="0" w:type="dxa"/>
                    <w:bottom w:w="0" w:type="dxa"/>
                    <w:right w:w="0" w:type="dxa"/>
                  </w:tcMar>
                  <w:vAlign w:val="center"/>
                </w:tcPr>
                <w:p w14:paraId="455A95FA">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西</w:t>
                  </w:r>
                </w:p>
              </w:tc>
              <w:tc>
                <w:tcPr>
                  <w:tcW w:w="0" w:type="auto"/>
                  <w:shd w:val="clear" w:color="auto" w:fill="FFFFFF"/>
                  <w:tcMar>
                    <w:top w:w="0" w:type="dxa"/>
                    <w:left w:w="0" w:type="dxa"/>
                    <w:bottom w:w="0" w:type="dxa"/>
                    <w:right w:w="0" w:type="dxa"/>
                  </w:tcMar>
                  <w:vAlign w:val="center"/>
                </w:tcPr>
                <w:p w14:paraId="17620AF3">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北</w:t>
                  </w:r>
                </w:p>
              </w:tc>
              <w:tc>
                <w:tcPr>
                  <w:tcW w:w="0" w:type="auto"/>
                  <w:shd w:val="clear" w:color="auto" w:fill="FFFFFF"/>
                  <w:tcMar>
                    <w:top w:w="0" w:type="dxa"/>
                    <w:left w:w="0" w:type="dxa"/>
                    <w:bottom w:w="0" w:type="dxa"/>
                    <w:right w:w="0" w:type="dxa"/>
                  </w:tcMar>
                  <w:vAlign w:val="center"/>
                </w:tcPr>
                <w:p w14:paraId="2502F739">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东</w:t>
                  </w:r>
                </w:p>
              </w:tc>
              <w:tc>
                <w:tcPr>
                  <w:tcW w:w="0" w:type="auto"/>
                  <w:shd w:val="clear" w:color="auto" w:fill="FFFFFF"/>
                  <w:tcMar>
                    <w:top w:w="0" w:type="dxa"/>
                    <w:left w:w="0" w:type="dxa"/>
                    <w:bottom w:w="0" w:type="dxa"/>
                    <w:right w:w="0" w:type="dxa"/>
                  </w:tcMar>
                  <w:vAlign w:val="center"/>
                </w:tcPr>
                <w:p w14:paraId="61CE498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南</w:t>
                  </w:r>
                </w:p>
              </w:tc>
              <w:tc>
                <w:tcPr>
                  <w:tcW w:w="0" w:type="auto"/>
                  <w:shd w:val="clear" w:color="auto" w:fill="FFFFFF"/>
                  <w:tcMar>
                    <w:top w:w="0" w:type="dxa"/>
                    <w:left w:w="0" w:type="dxa"/>
                    <w:bottom w:w="0" w:type="dxa"/>
                    <w:right w:w="0" w:type="dxa"/>
                  </w:tcMar>
                  <w:vAlign w:val="center"/>
                </w:tcPr>
                <w:p w14:paraId="2FCEBD47">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西</w:t>
                  </w:r>
                </w:p>
              </w:tc>
              <w:tc>
                <w:tcPr>
                  <w:tcW w:w="0" w:type="auto"/>
                  <w:shd w:val="clear" w:color="auto" w:fill="FFFFFF"/>
                  <w:tcMar>
                    <w:top w:w="0" w:type="dxa"/>
                    <w:left w:w="0" w:type="dxa"/>
                    <w:bottom w:w="0" w:type="dxa"/>
                    <w:right w:w="0" w:type="dxa"/>
                  </w:tcMar>
                  <w:vAlign w:val="center"/>
                </w:tcPr>
                <w:p w14:paraId="51307CA4">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北</w:t>
                  </w:r>
                </w:p>
              </w:tc>
              <w:tc>
                <w:tcPr>
                  <w:tcW w:w="0" w:type="auto"/>
                  <w:vMerge w:val="continue"/>
                  <w:shd w:val="clear" w:color="auto" w:fill="FFFFFF"/>
                  <w:tcMar>
                    <w:top w:w="0" w:type="dxa"/>
                    <w:left w:w="0" w:type="dxa"/>
                    <w:bottom w:w="0" w:type="dxa"/>
                    <w:right w:w="0" w:type="dxa"/>
                  </w:tcMar>
                  <w:vAlign w:val="center"/>
                </w:tcPr>
                <w:p w14:paraId="02BBB058">
                  <w:pPr>
                    <w:jc w:val="center"/>
                    <w:rPr>
                      <w:rFonts w:ascii="Times New Roman" w:hAnsi="Times New Roman" w:cs="Times New Roman" w:eastAsiaTheme="minorEastAsia"/>
                      <w:sz w:val="21"/>
                      <w:szCs w:val="21"/>
                    </w:rPr>
                  </w:pPr>
                </w:p>
              </w:tc>
              <w:tc>
                <w:tcPr>
                  <w:tcW w:w="0" w:type="auto"/>
                  <w:shd w:val="clear" w:color="auto" w:fill="FFFFFF"/>
                  <w:tcMar>
                    <w:top w:w="0" w:type="dxa"/>
                    <w:left w:w="0" w:type="dxa"/>
                    <w:bottom w:w="0" w:type="dxa"/>
                    <w:right w:w="0" w:type="dxa"/>
                  </w:tcMar>
                  <w:vAlign w:val="center"/>
                </w:tcPr>
                <w:p w14:paraId="40F9FBF6">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东</w:t>
                  </w:r>
                </w:p>
              </w:tc>
              <w:tc>
                <w:tcPr>
                  <w:tcW w:w="0" w:type="auto"/>
                  <w:shd w:val="clear" w:color="auto" w:fill="FFFFFF"/>
                  <w:tcMar>
                    <w:top w:w="0" w:type="dxa"/>
                    <w:left w:w="0" w:type="dxa"/>
                    <w:bottom w:w="0" w:type="dxa"/>
                    <w:right w:w="0" w:type="dxa"/>
                  </w:tcMar>
                  <w:vAlign w:val="center"/>
                </w:tcPr>
                <w:p w14:paraId="3F26C71A">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南</w:t>
                  </w:r>
                </w:p>
              </w:tc>
              <w:tc>
                <w:tcPr>
                  <w:tcW w:w="0" w:type="auto"/>
                  <w:shd w:val="clear" w:color="auto" w:fill="FFFFFF"/>
                  <w:tcMar>
                    <w:top w:w="0" w:type="dxa"/>
                    <w:left w:w="0" w:type="dxa"/>
                    <w:bottom w:w="0" w:type="dxa"/>
                    <w:right w:w="0" w:type="dxa"/>
                  </w:tcMar>
                  <w:vAlign w:val="center"/>
                </w:tcPr>
                <w:p w14:paraId="35D3BD78">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西</w:t>
                  </w:r>
                </w:p>
              </w:tc>
              <w:tc>
                <w:tcPr>
                  <w:tcW w:w="0" w:type="auto"/>
                  <w:shd w:val="clear" w:color="auto" w:fill="FFFFFF"/>
                  <w:tcMar>
                    <w:top w:w="0" w:type="dxa"/>
                    <w:left w:w="0" w:type="dxa"/>
                    <w:bottom w:w="0" w:type="dxa"/>
                    <w:right w:w="0" w:type="dxa"/>
                  </w:tcMar>
                  <w:vAlign w:val="center"/>
                </w:tcPr>
                <w:p w14:paraId="63105E9F">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北</w:t>
                  </w:r>
                </w:p>
              </w:tc>
              <w:tc>
                <w:tcPr>
                  <w:tcW w:w="0" w:type="auto"/>
                  <w:shd w:val="clear" w:color="auto" w:fill="FFFFFF"/>
                  <w:tcMar>
                    <w:top w:w="0" w:type="dxa"/>
                    <w:left w:w="0" w:type="dxa"/>
                    <w:bottom w:w="0" w:type="dxa"/>
                    <w:right w:w="0" w:type="dxa"/>
                  </w:tcMar>
                  <w:vAlign w:val="center"/>
                </w:tcPr>
                <w:p w14:paraId="3909A0E7">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东</w:t>
                  </w:r>
                </w:p>
              </w:tc>
              <w:tc>
                <w:tcPr>
                  <w:tcW w:w="0" w:type="auto"/>
                  <w:shd w:val="clear" w:color="auto" w:fill="FFFFFF"/>
                  <w:tcMar>
                    <w:top w:w="0" w:type="dxa"/>
                    <w:left w:w="0" w:type="dxa"/>
                    <w:bottom w:w="0" w:type="dxa"/>
                    <w:right w:w="0" w:type="dxa"/>
                  </w:tcMar>
                  <w:vAlign w:val="center"/>
                </w:tcPr>
                <w:p w14:paraId="2CE3034C">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南</w:t>
                  </w:r>
                </w:p>
              </w:tc>
              <w:tc>
                <w:tcPr>
                  <w:tcW w:w="0" w:type="auto"/>
                  <w:shd w:val="clear" w:color="auto" w:fill="FFFFFF"/>
                  <w:tcMar>
                    <w:top w:w="0" w:type="dxa"/>
                    <w:left w:w="0" w:type="dxa"/>
                    <w:bottom w:w="0" w:type="dxa"/>
                    <w:right w:w="0" w:type="dxa"/>
                  </w:tcMar>
                  <w:vAlign w:val="center"/>
                </w:tcPr>
                <w:p w14:paraId="2C9E00DD">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西</w:t>
                  </w:r>
                </w:p>
              </w:tc>
              <w:tc>
                <w:tcPr>
                  <w:tcW w:w="0" w:type="auto"/>
                  <w:shd w:val="clear" w:color="auto" w:fill="FFFFFF"/>
                  <w:tcMar>
                    <w:top w:w="0" w:type="dxa"/>
                    <w:left w:w="0" w:type="dxa"/>
                    <w:bottom w:w="0" w:type="dxa"/>
                    <w:right w:w="0" w:type="dxa"/>
                  </w:tcMar>
                  <w:vAlign w:val="center"/>
                </w:tcPr>
                <w:p w14:paraId="48B967D7">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lang w:val="en-US" w:eastAsia="zh-CN"/>
                    </w:rPr>
                    <w:t>北</w:t>
                  </w:r>
                </w:p>
              </w:tc>
              <w:tc>
                <w:tcPr>
                  <w:tcW w:w="0" w:type="auto"/>
                  <w:shd w:val="clear" w:color="auto" w:fill="FFFFFF"/>
                  <w:tcMar>
                    <w:top w:w="0" w:type="dxa"/>
                    <w:left w:w="0" w:type="dxa"/>
                    <w:bottom w:w="0" w:type="dxa"/>
                    <w:right w:w="0" w:type="dxa"/>
                  </w:tcMar>
                  <w:vAlign w:val="center"/>
                </w:tcPr>
                <w:p w14:paraId="5001E6EA">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建筑物外距离</w:t>
                  </w:r>
                </w:p>
              </w:tc>
            </w:tr>
            <w:tr w14:paraId="3EEF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0" w:type="auto"/>
                  <w:shd w:val="clear" w:color="auto" w:fill="FFFFFF"/>
                  <w:tcMar>
                    <w:top w:w="0" w:type="dxa"/>
                    <w:left w:w="0" w:type="dxa"/>
                    <w:bottom w:w="0" w:type="dxa"/>
                    <w:right w:w="0" w:type="dxa"/>
                  </w:tcMar>
                  <w:vAlign w:val="center"/>
                </w:tcPr>
                <w:p w14:paraId="3331C36E">
                  <w:pPr>
                    <w:jc w:val="center"/>
                  </w:pPr>
                  <w:r>
                    <w:rPr>
                      <w:rFonts w:ascii="Arial" w:hAnsi="Arial" w:eastAsia="Arial" w:cs="Arial"/>
                      <w:sz w:val="20"/>
                    </w:rPr>
                    <w:t>1</w:t>
                  </w:r>
                </w:p>
              </w:tc>
              <w:tc>
                <w:tcPr>
                  <w:tcW w:w="0" w:type="auto"/>
                  <w:vMerge w:val="restart"/>
                  <w:shd w:val="clear" w:color="auto" w:fill="FFFFFF"/>
                  <w:tcMar>
                    <w:top w:w="0" w:type="dxa"/>
                    <w:left w:w="0" w:type="dxa"/>
                    <w:bottom w:w="0" w:type="dxa"/>
                    <w:right w:w="0" w:type="dxa"/>
                  </w:tcMar>
                  <w:vAlign w:val="center"/>
                </w:tcPr>
                <w:p w14:paraId="4CCD22CE">
                  <w:pPr>
                    <w:jc w:val="center"/>
                  </w:pPr>
                  <w:r>
                    <w:rPr>
                      <w:rFonts w:hint="eastAsia" w:ascii="Arial" w:hAnsi="Arial" w:eastAsia="宋体" w:cs="Arial"/>
                      <w:sz w:val="20"/>
                      <w:lang w:val="en-US" w:eastAsia="zh-CN"/>
                    </w:rPr>
                    <w:t>金属包装桶生产车间</w:t>
                  </w:r>
                  <w:r>
                    <w:rPr>
                      <w:rFonts w:ascii="Arial" w:hAnsi="Arial" w:eastAsia="Arial" w:cs="Arial"/>
                      <w:sz w:val="20"/>
                    </w:rPr>
                    <w:t>-声屏障</w:t>
                  </w:r>
                </w:p>
              </w:tc>
              <w:tc>
                <w:tcPr>
                  <w:tcW w:w="0" w:type="auto"/>
                  <w:shd w:val="clear" w:color="auto" w:fill="FFFFFF"/>
                  <w:tcMar>
                    <w:top w:w="0" w:type="dxa"/>
                    <w:left w:w="0" w:type="dxa"/>
                    <w:bottom w:w="0" w:type="dxa"/>
                    <w:right w:w="0" w:type="dxa"/>
                  </w:tcMar>
                  <w:vAlign w:val="center"/>
                </w:tcPr>
                <w:p w14:paraId="36E28406">
                  <w:pPr>
                    <w:jc w:val="center"/>
                  </w:pPr>
                  <w:r>
                    <w:rPr>
                      <w:rFonts w:ascii="Arial" w:hAnsi="Arial" w:eastAsia="Arial" w:cs="Arial"/>
                      <w:sz w:val="20"/>
                    </w:rPr>
                    <w:t>开平机</w:t>
                  </w:r>
                </w:p>
              </w:tc>
              <w:tc>
                <w:tcPr>
                  <w:tcW w:w="0" w:type="auto"/>
                  <w:shd w:val="clear" w:color="auto" w:fill="FFFFFF"/>
                  <w:tcMar>
                    <w:top w:w="0" w:type="dxa"/>
                    <w:left w:w="0" w:type="dxa"/>
                    <w:bottom w:w="0" w:type="dxa"/>
                    <w:right w:w="0" w:type="dxa"/>
                  </w:tcMar>
                  <w:vAlign w:val="center"/>
                </w:tcPr>
                <w:p w14:paraId="14DAB6B9">
                  <w:pPr>
                    <w:jc w:val="center"/>
                  </w:pPr>
                </w:p>
              </w:tc>
              <w:tc>
                <w:tcPr>
                  <w:tcW w:w="0" w:type="auto"/>
                  <w:shd w:val="clear" w:color="auto" w:fill="FFFFFF"/>
                  <w:tcMar>
                    <w:top w:w="0" w:type="dxa"/>
                    <w:left w:w="0" w:type="dxa"/>
                    <w:bottom w:w="0" w:type="dxa"/>
                    <w:right w:w="0" w:type="dxa"/>
                  </w:tcMar>
                  <w:vAlign w:val="center"/>
                </w:tcPr>
                <w:p w14:paraId="319E7333">
                  <w:pPr>
                    <w:jc w:val="center"/>
                  </w:pPr>
                  <w:r>
                    <w:rPr>
                      <w:rFonts w:ascii="Arial" w:hAnsi="Arial" w:eastAsia="Arial" w:cs="Arial"/>
                      <w:sz w:val="20"/>
                    </w:rPr>
                    <w:t>85</w:t>
                  </w:r>
                </w:p>
              </w:tc>
              <w:tc>
                <w:tcPr>
                  <w:tcW w:w="0" w:type="auto"/>
                  <w:shd w:val="clear" w:color="auto" w:fill="FFFFFF"/>
                  <w:tcMar>
                    <w:top w:w="0" w:type="dxa"/>
                    <w:left w:w="0" w:type="dxa"/>
                    <w:bottom w:w="0" w:type="dxa"/>
                    <w:right w:w="0" w:type="dxa"/>
                  </w:tcMar>
                  <w:vAlign w:val="center"/>
                </w:tcPr>
                <w:p w14:paraId="4211B956">
                  <w:pPr>
                    <w:jc w:val="center"/>
                  </w:pPr>
                </w:p>
              </w:tc>
              <w:tc>
                <w:tcPr>
                  <w:tcW w:w="0" w:type="auto"/>
                  <w:shd w:val="clear" w:color="auto" w:fill="FFFFFF"/>
                  <w:tcMar>
                    <w:top w:w="0" w:type="dxa"/>
                    <w:left w:w="0" w:type="dxa"/>
                    <w:bottom w:w="0" w:type="dxa"/>
                    <w:right w:w="0" w:type="dxa"/>
                  </w:tcMar>
                  <w:vAlign w:val="center"/>
                </w:tcPr>
                <w:p w14:paraId="441CE754">
                  <w:pPr>
                    <w:jc w:val="center"/>
                  </w:pPr>
                  <w:r>
                    <w:rPr>
                      <w:rFonts w:ascii="Arial" w:hAnsi="Arial" w:eastAsia="Arial" w:cs="Arial"/>
                      <w:sz w:val="20"/>
                    </w:rPr>
                    <w:t>53.4</w:t>
                  </w:r>
                </w:p>
              </w:tc>
              <w:tc>
                <w:tcPr>
                  <w:tcW w:w="0" w:type="auto"/>
                  <w:shd w:val="clear" w:color="auto" w:fill="FFFFFF"/>
                  <w:tcMar>
                    <w:top w:w="0" w:type="dxa"/>
                    <w:left w:w="0" w:type="dxa"/>
                    <w:bottom w:w="0" w:type="dxa"/>
                    <w:right w:w="0" w:type="dxa"/>
                  </w:tcMar>
                  <w:vAlign w:val="center"/>
                </w:tcPr>
                <w:p w14:paraId="43B04C5C">
                  <w:pPr>
                    <w:jc w:val="center"/>
                  </w:pPr>
                  <w:r>
                    <w:rPr>
                      <w:rFonts w:ascii="Arial" w:hAnsi="Arial" w:eastAsia="Arial" w:cs="Arial"/>
                      <w:sz w:val="20"/>
                    </w:rPr>
                    <w:t>88.5</w:t>
                  </w:r>
                </w:p>
              </w:tc>
              <w:tc>
                <w:tcPr>
                  <w:tcW w:w="0" w:type="auto"/>
                  <w:shd w:val="clear" w:color="auto" w:fill="FFFFFF"/>
                  <w:tcMar>
                    <w:top w:w="0" w:type="dxa"/>
                    <w:left w:w="0" w:type="dxa"/>
                    <w:bottom w:w="0" w:type="dxa"/>
                    <w:right w:w="0" w:type="dxa"/>
                  </w:tcMar>
                  <w:vAlign w:val="center"/>
                </w:tcPr>
                <w:p w14:paraId="78E2EC40">
                  <w:pPr>
                    <w:jc w:val="center"/>
                  </w:pPr>
                  <w:r>
                    <w:rPr>
                      <w:rFonts w:ascii="Arial" w:hAnsi="Arial" w:eastAsia="Arial" w:cs="Arial"/>
                      <w:sz w:val="20"/>
                    </w:rPr>
                    <w:t>1</w:t>
                  </w:r>
                </w:p>
              </w:tc>
              <w:tc>
                <w:tcPr>
                  <w:tcW w:w="0" w:type="auto"/>
                  <w:shd w:val="clear" w:color="auto" w:fill="FFFFFF"/>
                  <w:tcMar>
                    <w:top w:w="0" w:type="dxa"/>
                    <w:left w:w="0" w:type="dxa"/>
                    <w:bottom w:w="0" w:type="dxa"/>
                    <w:right w:w="0" w:type="dxa"/>
                  </w:tcMar>
                  <w:vAlign w:val="center"/>
                </w:tcPr>
                <w:p w14:paraId="32ADA088">
                  <w:pPr>
                    <w:jc w:val="center"/>
                  </w:pPr>
                  <w:r>
                    <w:rPr>
                      <w:rFonts w:ascii="Arial" w:hAnsi="Arial" w:eastAsia="Arial" w:cs="Arial"/>
                      <w:sz w:val="20"/>
                    </w:rPr>
                    <w:t>113.7</w:t>
                  </w:r>
                </w:p>
              </w:tc>
              <w:tc>
                <w:tcPr>
                  <w:tcW w:w="0" w:type="auto"/>
                  <w:shd w:val="clear" w:color="auto" w:fill="FFFFFF"/>
                  <w:tcMar>
                    <w:top w:w="0" w:type="dxa"/>
                    <w:left w:w="0" w:type="dxa"/>
                    <w:bottom w:w="0" w:type="dxa"/>
                    <w:right w:w="0" w:type="dxa"/>
                  </w:tcMar>
                  <w:vAlign w:val="center"/>
                </w:tcPr>
                <w:p w14:paraId="4AD0B055">
                  <w:pPr>
                    <w:jc w:val="center"/>
                  </w:pPr>
                  <w:r>
                    <w:rPr>
                      <w:rFonts w:ascii="Arial" w:hAnsi="Arial" w:eastAsia="Arial" w:cs="Arial"/>
                      <w:sz w:val="20"/>
                    </w:rPr>
                    <w:t>16.6</w:t>
                  </w:r>
                </w:p>
              </w:tc>
              <w:tc>
                <w:tcPr>
                  <w:tcW w:w="0" w:type="auto"/>
                  <w:shd w:val="clear" w:color="auto" w:fill="FFFFFF"/>
                  <w:tcMar>
                    <w:top w:w="0" w:type="dxa"/>
                    <w:left w:w="0" w:type="dxa"/>
                    <w:bottom w:w="0" w:type="dxa"/>
                    <w:right w:w="0" w:type="dxa"/>
                  </w:tcMar>
                  <w:vAlign w:val="center"/>
                </w:tcPr>
                <w:p w14:paraId="2BB94084">
                  <w:pPr>
                    <w:jc w:val="center"/>
                  </w:pPr>
                  <w:r>
                    <w:rPr>
                      <w:rFonts w:ascii="Arial" w:hAnsi="Arial" w:eastAsia="Arial" w:cs="Arial"/>
                      <w:sz w:val="20"/>
                    </w:rPr>
                    <w:t>12.6</w:t>
                  </w:r>
                </w:p>
              </w:tc>
              <w:tc>
                <w:tcPr>
                  <w:tcW w:w="0" w:type="auto"/>
                  <w:shd w:val="clear" w:color="auto" w:fill="FFFFFF"/>
                  <w:tcMar>
                    <w:top w:w="0" w:type="dxa"/>
                    <w:left w:w="0" w:type="dxa"/>
                    <w:bottom w:w="0" w:type="dxa"/>
                    <w:right w:w="0" w:type="dxa"/>
                  </w:tcMar>
                  <w:vAlign w:val="center"/>
                </w:tcPr>
                <w:p w14:paraId="5F7DDAB9">
                  <w:pPr>
                    <w:jc w:val="center"/>
                  </w:pPr>
                  <w:r>
                    <w:rPr>
                      <w:rFonts w:ascii="Arial" w:hAnsi="Arial" w:eastAsia="Arial" w:cs="Arial"/>
                      <w:sz w:val="20"/>
                    </w:rPr>
                    <w:t>8.8</w:t>
                  </w:r>
                </w:p>
              </w:tc>
              <w:tc>
                <w:tcPr>
                  <w:tcW w:w="0" w:type="auto"/>
                  <w:shd w:val="clear" w:color="auto" w:fill="FFFFFF"/>
                  <w:tcMar>
                    <w:top w:w="0" w:type="dxa"/>
                    <w:left w:w="0" w:type="dxa"/>
                    <w:bottom w:w="0" w:type="dxa"/>
                    <w:right w:w="0" w:type="dxa"/>
                  </w:tcMar>
                  <w:vAlign w:val="center"/>
                </w:tcPr>
                <w:p w14:paraId="1F1ADF7E">
                  <w:pPr>
                    <w:jc w:val="center"/>
                  </w:pPr>
                  <w:r>
                    <w:rPr>
                      <w:rFonts w:ascii="Arial" w:hAnsi="Arial" w:eastAsia="Arial" w:cs="Arial"/>
                      <w:sz w:val="20"/>
                    </w:rPr>
                    <w:t>70.3</w:t>
                  </w:r>
                </w:p>
              </w:tc>
              <w:tc>
                <w:tcPr>
                  <w:tcW w:w="0" w:type="auto"/>
                  <w:shd w:val="clear" w:color="auto" w:fill="FFFFFF"/>
                  <w:tcMar>
                    <w:top w:w="0" w:type="dxa"/>
                    <w:left w:w="0" w:type="dxa"/>
                    <w:bottom w:w="0" w:type="dxa"/>
                    <w:right w:w="0" w:type="dxa"/>
                  </w:tcMar>
                  <w:vAlign w:val="center"/>
                </w:tcPr>
                <w:p w14:paraId="0FDD1D1D">
                  <w:pPr>
                    <w:jc w:val="center"/>
                  </w:pPr>
                  <w:r>
                    <w:rPr>
                      <w:rFonts w:ascii="Arial" w:hAnsi="Arial" w:eastAsia="Arial" w:cs="Arial"/>
                      <w:sz w:val="20"/>
                    </w:rPr>
                    <w:t>70.4</w:t>
                  </w:r>
                </w:p>
              </w:tc>
              <w:tc>
                <w:tcPr>
                  <w:tcW w:w="0" w:type="auto"/>
                  <w:shd w:val="clear" w:color="auto" w:fill="FFFFFF"/>
                  <w:tcMar>
                    <w:top w:w="0" w:type="dxa"/>
                    <w:left w:w="0" w:type="dxa"/>
                    <w:bottom w:w="0" w:type="dxa"/>
                    <w:right w:w="0" w:type="dxa"/>
                  </w:tcMar>
                  <w:vAlign w:val="center"/>
                </w:tcPr>
                <w:p w14:paraId="34D5BA36">
                  <w:pPr>
                    <w:jc w:val="center"/>
                  </w:pPr>
                  <w:r>
                    <w:rPr>
                      <w:rFonts w:ascii="Arial" w:hAnsi="Arial" w:eastAsia="Arial" w:cs="Arial"/>
                      <w:sz w:val="20"/>
                    </w:rPr>
                    <w:t>70.4</w:t>
                  </w:r>
                </w:p>
              </w:tc>
              <w:tc>
                <w:tcPr>
                  <w:tcW w:w="0" w:type="auto"/>
                  <w:shd w:val="clear" w:color="auto" w:fill="FFFFFF"/>
                  <w:tcMar>
                    <w:top w:w="0" w:type="dxa"/>
                    <w:left w:w="0" w:type="dxa"/>
                    <w:bottom w:w="0" w:type="dxa"/>
                    <w:right w:w="0" w:type="dxa"/>
                  </w:tcMar>
                  <w:vAlign w:val="center"/>
                </w:tcPr>
                <w:p w14:paraId="6263991E">
                  <w:pPr>
                    <w:jc w:val="center"/>
                  </w:pPr>
                  <w:r>
                    <w:rPr>
                      <w:rFonts w:ascii="Arial" w:hAnsi="Arial" w:eastAsia="Arial" w:cs="Arial"/>
                      <w:sz w:val="20"/>
                    </w:rPr>
                    <w:t>70.5</w:t>
                  </w:r>
                </w:p>
              </w:tc>
              <w:tc>
                <w:tcPr>
                  <w:tcW w:w="0" w:type="auto"/>
                  <w:vMerge w:val="restart"/>
                  <w:shd w:val="clear" w:color="auto" w:fill="FFFFFF"/>
                  <w:tcMar>
                    <w:top w:w="0" w:type="dxa"/>
                    <w:left w:w="0" w:type="dxa"/>
                    <w:bottom w:w="0" w:type="dxa"/>
                    <w:right w:w="0" w:type="dxa"/>
                  </w:tcMar>
                  <w:vAlign w:val="center"/>
                </w:tcPr>
                <w:p w14:paraId="5E97CBAD">
                  <w:pPr>
                    <w:jc w:val="center"/>
                  </w:pPr>
                  <w:r>
                    <w:rPr>
                      <w:rFonts w:hint="eastAsia" w:ascii="Arial" w:hAnsi="Arial" w:eastAsia="宋体" w:cs="Arial"/>
                      <w:sz w:val="20"/>
                      <w:lang w:val="en-US" w:eastAsia="zh-CN"/>
                    </w:rPr>
                    <w:t>昼间：8h</w:t>
                  </w:r>
                </w:p>
              </w:tc>
              <w:tc>
                <w:tcPr>
                  <w:tcW w:w="0" w:type="auto"/>
                  <w:shd w:val="clear" w:color="auto" w:fill="FFFFFF"/>
                  <w:tcMar>
                    <w:top w:w="0" w:type="dxa"/>
                    <w:left w:w="0" w:type="dxa"/>
                    <w:bottom w:w="0" w:type="dxa"/>
                    <w:right w:w="0" w:type="dxa"/>
                  </w:tcMar>
                  <w:vAlign w:val="center"/>
                </w:tcPr>
                <w:p w14:paraId="63D93A25">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20B9C21D">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18FD93C7">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22FE6361">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34C2B8BC">
                  <w:pPr>
                    <w:jc w:val="center"/>
                  </w:pPr>
                  <w:r>
                    <w:rPr>
                      <w:rFonts w:ascii="Arial" w:hAnsi="Arial" w:eastAsia="Arial" w:cs="Arial"/>
                      <w:sz w:val="20"/>
                    </w:rPr>
                    <w:t>46.3</w:t>
                  </w:r>
                </w:p>
              </w:tc>
              <w:tc>
                <w:tcPr>
                  <w:tcW w:w="0" w:type="auto"/>
                  <w:shd w:val="clear" w:color="auto" w:fill="FFFFFF"/>
                  <w:tcMar>
                    <w:top w:w="0" w:type="dxa"/>
                    <w:left w:w="0" w:type="dxa"/>
                    <w:bottom w:w="0" w:type="dxa"/>
                    <w:right w:w="0" w:type="dxa"/>
                  </w:tcMar>
                  <w:vAlign w:val="center"/>
                </w:tcPr>
                <w:p w14:paraId="5ADE4338">
                  <w:pPr>
                    <w:jc w:val="center"/>
                  </w:pPr>
                  <w:r>
                    <w:rPr>
                      <w:rFonts w:ascii="Arial" w:hAnsi="Arial" w:eastAsia="Arial" w:cs="Arial"/>
                      <w:sz w:val="20"/>
                    </w:rPr>
                    <w:t>46.4</w:t>
                  </w:r>
                </w:p>
              </w:tc>
              <w:tc>
                <w:tcPr>
                  <w:tcW w:w="0" w:type="auto"/>
                  <w:shd w:val="clear" w:color="auto" w:fill="FFFFFF"/>
                  <w:tcMar>
                    <w:top w:w="0" w:type="dxa"/>
                    <w:left w:w="0" w:type="dxa"/>
                    <w:bottom w:w="0" w:type="dxa"/>
                    <w:right w:w="0" w:type="dxa"/>
                  </w:tcMar>
                  <w:vAlign w:val="center"/>
                </w:tcPr>
                <w:p w14:paraId="4E6963F3">
                  <w:pPr>
                    <w:jc w:val="center"/>
                  </w:pPr>
                  <w:r>
                    <w:rPr>
                      <w:rFonts w:ascii="Arial" w:hAnsi="Arial" w:eastAsia="Arial" w:cs="Arial"/>
                      <w:sz w:val="20"/>
                    </w:rPr>
                    <w:t>46.4</w:t>
                  </w:r>
                </w:p>
              </w:tc>
              <w:tc>
                <w:tcPr>
                  <w:tcW w:w="0" w:type="auto"/>
                  <w:shd w:val="clear" w:color="auto" w:fill="FFFFFF"/>
                  <w:tcMar>
                    <w:top w:w="0" w:type="dxa"/>
                    <w:left w:w="0" w:type="dxa"/>
                    <w:bottom w:w="0" w:type="dxa"/>
                    <w:right w:w="0" w:type="dxa"/>
                  </w:tcMar>
                  <w:vAlign w:val="center"/>
                </w:tcPr>
                <w:p w14:paraId="233750C0">
                  <w:pPr>
                    <w:jc w:val="center"/>
                  </w:pPr>
                  <w:r>
                    <w:rPr>
                      <w:rFonts w:ascii="Arial" w:hAnsi="Arial" w:eastAsia="Arial" w:cs="Arial"/>
                      <w:sz w:val="20"/>
                    </w:rPr>
                    <w:t>46.5</w:t>
                  </w:r>
                </w:p>
              </w:tc>
              <w:tc>
                <w:tcPr>
                  <w:tcW w:w="0" w:type="auto"/>
                  <w:shd w:val="clear" w:color="auto" w:fill="FFFFFF"/>
                  <w:tcMar>
                    <w:top w:w="0" w:type="dxa"/>
                    <w:left w:w="0" w:type="dxa"/>
                    <w:bottom w:w="0" w:type="dxa"/>
                    <w:right w:w="0" w:type="dxa"/>
                  </w:tcMar>
                  <w:vAlign w:val="center"/>
                </w:tcPr>
                <w:p w14:paraId="564C5ACC">
                  <w:pPr>
                    <w:jc w:val="center"/>
                  </w:pPr>
                  <w:r>
                    <w:rPr>
                      <w:rFonts w:ascii="Arial" w:hAnsi="Arial" w:eastAsia="Arial" w:cs="Arial"/>
                      <w:sz w:val="20"/>
                    </w:rPr>
                    <w:t>1</w:t>
                  </w:r>
                </w:p>
              </w:tc>
            </w:tr>
            <w:tr w14:paraId="7FA6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0" w:type="auto"/>
                  <w:shd w:val="clear" w:color="auto" w:fill="FFFFFF"/>
                  <w:tcMar>
                    <w:top w:w="0" w:type="dxa"/>
                    <w:left w:w="0" w:type="dxa"/>
                    <w:bottom w:w="0" w:type="dxa"/>
                    <w:right w:w="0" w:type="dxa"/>
                  </w:tcMar>
                  <w:vAlign w:val="center"/>
                </w:tcPr>
                <w:p w14:paraId="409C39F2">
                  <w:pPr>
                    <w:jc w:val="center"/>
                  </w:pPr>
                  <w:r>
                    <w:rPr>
                      <w:rFonts w:ascii="Arial" w:hAnsi="Arial" w:eastAsia="Arial" w:cs="Arial"/>
                      <w:sz w:val="20"/>
                    </w:rPr>
                    <w:t>2</w:t>
                  </w:r>
                </w:p>
              </w:tc>
              <w:tc>
                <w:tcPr>
                  <w:tcW w:w="0" w:type="auto"/>
                  <w:vMerge w:val="continue"/>
                  <w:shd w:val="clear" w:color="auto" w:fill="FFFFFF"/>
                  <w:tcMar>
                    <w:top w:w="0" w:type="dxa"/>
                    <w:left w:w="0" w:type="dxa"/>
                    <w:bottom w:w="0" w:type="dxa"/>
                    <w:right w:w="0" w:type="dxa"/>
                  </w:tcMar>
                  <w:vAlign w:val="center"/>
                </w:tcPr>
                <w:p w14:paraId="46FF3F64">
                  <w:pPr>
                    <w:jc w:val="center"/>
                  </w:pPr>
                </w:p>
              </w:tc>
              <w:tc>
                <w:tcPr>
                  <w:tcW w:w="0" w:type="auto"/>
                  <w:shd w:val="clear" w:color="auto" w:fill="FFFFFF"/>
                  <w:tcMar>
                    <w:top w:w="0" w:type="dxa"/>
                    <w:left w:w="0" w:type="dxa"/>
                    <w:bottom w:w="0" w:type="dxa"/>
                    <w:right w:w="0" w:type="dxa"/>
                  </w:tcMar>
                  <w:vAlign w:val="center"/>
                </w:tcPr>
                <w:p w14:paraId="03D429A4">
                  <w:pPr>
                    <w:jc w:val="center"/>
                  </w:pPr>
                  <w:r>
                    <w:rPr>
                      <w:rFonts w:ascii="Arial" w:hAnsi="Arial" w:eastAsia="Arial" w:cs="Arial"/>
                      <w:sz w:val="20"/>
                    </w:rPr>
                    <w:t>剪板机</w:t>
                  </w:r>
                </w:p>
              </w:tc>
              <w:tc>
                <w:tcPr>
                  <w:tcW w:w="0" w:type="auto"/>
                  <w:shd w:val="clear" w:color="auto" w:fill="FFFFFF"/>
                  <w:tcMar>
                    <w:top w:w="0" w:type="dxa"/>
                    <w:left w:w="0" w:type="dxa"/>
                    <w:bottom w:w="0" w:type="dxa"/>
                    <w:right w:w="0" w:type="dxa"/>
                  </w:tcMar>
                  <w:vAlign w:val="center"/>
                </w:tcPr>
                <w:p w14:paraId="52431779">
                  <w:pPr>
                    <w:jc w:val="center"/>
                  </w:pPr>
                </w:p>
              </w:tc>
              <w:tc>
                <w:tcPr>
                  <w:tcW w:w="0" w:type="auto"/>
                  <w:shd w:val="clear" w:color="auto" w:fill="FFFFFF"/>
                  <w:tcMar>
                    <w:top w:w="0" w:type="dxa"/>
                    <w:left w:w="0" w:type="dxa"/>
                    <w:bottom w:w="0" w:type="dxa"/>
                    <w:right w:w="0" w:type="dxa"/>
                  </w:tcMar>
                  <w:vAlign w:val="center"/>
                </w:tcPr>
                <w:p w14:paraId="2F96B4DA">
                  <w:pPr>
                    <w:jc w:val="center"/>
                  </w:pPr>
                  <w:r>
                    <w:rPr>
                      <w:rFonts w:ascii="Arial" w:hAnsi="Arial" w:eastAsia="Arial" w:cs="Arial"/>
                      <w:sz w:val="20"/>
                    </w:rPr>
                    <w:t>90</w:t>
                  </w:r>
                </w:p>
              </w:tc>
              <w:tc>
                <w:tcPr>
                  <w:tcW w:w="0" w:type="auto"/>
                  <w:shd w:val="clear" w:color="auto" w:fill="FFFFFF"/>
                  <w:tcMar>
                    <w:top w:w="0" w:type="dxa"/>
                    <w:left w:w="0" w:type="dxa"/>
                    <w:bottom w:w="0" w:type="dxa"/>
                    <w:right w:w="0" w:type="dxa"/>
                  </w:tcMar>
                  <w:vAlign w:val="center"/>
                </w:tcPr>
                <w:p w14:paraId="4DF0AF47">
                  <w:pPr>
                    <w:jc w:val="center"/>
                  </w:pPr>
                </w:p>
              </w:tc>
              <w:tc>
                <w:tcPr>
                  <w:tcW w:w="0" w:type="auto"/>
                  <w:shd w:val="clear" w:color="auto" w:fill="FFFFFF"/>
                  <w:tcMar>
                    <w:top w:w="0" w:type="dxa"/>
                    <w:left w:w="0" w:type="dxa"/>
                    <w:bottom w:w="0" w:type="dxa"/>
                    <w:right w:w="0" w:type="dxa"/>
                  </w:tcMar>
                  <w:vAlign w:val="center"/>
                </w:tcPr>
                <w:p w14:paraId="0948EDD2">
                  <w:pPr>
                    <w:jc w:val="center"/>
                  </w:pPr>
                  <w:r>
                    <w:rPr>
                      <w:rFonts w:ascii="Arial" w:hAnsi="Arial" w:eastAsia="Arial" w:cs="Arial"/>
                      <w:sz w:val="20"/>
                    </w:rPr>
                    <w:t>65.4</w:t>
                  </w:r>
                </w:p>
              </w:tc>
              <w:tc>
                <w:tcPr>
                  <w:tcW w:w="0" w:type="auto"/>
                  <w:shd w:val="clear" w:color="auto" w:fill="FFFFFF"/>
                  <w:tcMar>
                    <w:top w:w="0" w:type="dxa"/>
                    <w:left w:w="0" w:type="dxa"/>
                    <w:bottom w:w="0" w:type="dxa"/>
                    <w:right w:w="0" w:type="dxa"/>
                  </w:tcMar>
                  <w:vAlign w:val="center"/>
                </w:tcPr>
                <w:p w14:paraId="4FE215C3">
                  <w:pPr>
                    <w:jc w:val="center"/>
                  </w:pPr>
                  <w:r>
                    <w:rPr>
                      <w:rFonts w:ascii="Arial" w:hAnsi="Arial" w:eastAsia="Arial" w:cs="Arial"/>
                      <w:sz w:val="20"/>
                    </w:rPr>
                    <w:t>85</w:t>
                  </w:r>
                </w:p>
              </w:tc>
              <w:tc>
                <w:tcPr>
                  <w:tcW w:w="0" w:type="auto"/>
                  <w:shd w:val="clear" w:color="auto" w:fill="FFFFFF"/>
                  <w:tcMar>
                    <w:top w:w="0" w:type="dxa"/>
                    <w:left w:w="0" w:type="dxa"/>
                    <w:bottom w:w="0" w:type="dxa"/>
                    <w:right w:w="0" w:type="dxa"/>
                  </w:tcMar>
                  <w:vAlign w:val="center"/>
                </w:tcPr>
                <w:p w14:paraId="1EE76278">
                  <w:pPr>
                    <w:jc w:val="center"/>
                  </w:pPr>
                  <w:r>
                    <w:rPr>
                      <w:rFonts w:ascii="Arial" w:hAnsi="Arial" w:eastAsia="Arial" w:cs="Arial"/>
                      <w:sz w:val="20"/>
                    </w:rPr>
                    <w:t>1</w:t>
                  </w:r>
                </w:p>
              </w:tc>
              <w:tc>
                <w:tcPr>
                  <w:tcW w:w="0" w:type="auto"/>
                  <w:shd w:val="clear" w:color="auto" w:fill="FFFFFF"/>
                  <w:tcMar>
                    <w:top w:w="0" w:type="dxa"/>
                    <w:left w:w="0" w:type="dxa"/>
                    <w:bottom w:w="0" w:type="dxa"/>
                    <w:right w:w="0" w:type="dxa"/>
                  </w:tcMar>
                  <w:vAlign w:val="center"/>
                </w:tcPr>
                <w:p w14:paraId="5A79D1A9">
                  <w:pPr>
                    <w:jc w:val="center"/>
                  </w:pPr>
                  <w:r>
                    <w:rPr>
                      <w:rFonts w:ascii="Arial" w:hAnsi="Arial" w:eastAsia="Arial" w:cs="Arial"/>
                      <w:sz w:val="20"/>
                    </w:rPr>
                    <w:t>101.2</w:t>
                  </w:r>
                </w:p>
              </w:tc>
              <w:tc>
                <w:tcPr>
                  <w:tcW w:w="0" w:type="auto"/>
                  <w:shd w:val="clear" w:color="auto" w:fill="FFFFFF"/>
                  <w:tcMar>
                    <w:top w:w="0" w:type="dxa"/>
                    <w:left w:w="0" w:type="dxa"/>
                    <w:bottom w:w="0" w:type="dxa"/>
                    <w:right w:w="0" w:type="dxa"/>
                  </w:tcMar>
                  <w:vAlign w:val="center"/>
                </w:tcPr>
                <w:p w14:paraId="32B0E126">
                  <w:pPr>
                    <w:jc w:val="center"/>
                  </w:pPr>
                  <w:r>
                    <w:rPr>
                      <w:rFonts w:ascii="Arial" w:hAnsi="Arial" w:eastAsia="Arial" w:cs="Arial"/>
                      <w:sz w:val="20"/>
                    </w:rPr>
                    <w:t>17.0</w:t>
                  </w:r>
                </w:p>
              </w:tc>
              <w:tc>
                <w:tcPr>
                  <w:tcW w:w="0" w:type="auto"/>
                  <w:shd w:val="clear" w:color="auto" w:fill="FFFFFF"/>
                  <w:tcMar>
                    <w:top w:w="0" w:type="dxa"/>
                    <w:left w:w="0" w:type="dxa"/>
                    <w:bottom w:w="0" w:type="dxa"/>
                    <w:right w:w="0" w:type="dxa"/>
                  </w:tcMar>
                  <w:vAlign w:val="center"/>
                </w:tcPr>
                <w:p w14:paraId="1A63A081">
                  <w:pPr>
                    <w:jc w:val="center"/>
                  </w:pPr>
                  <w:r>
                    <w:rPr>
                      <w:rFonts w:ascii="Arial" w:hAnsi="Arial" w:eastAsia="Arial" w:cs="Arial"/>
                      <w:sz w:val="20"/>
                    </w:rPr>
                    <w:t>25.0</w:t>
                  </w:r>
                </w:p>
              </w:tc>
              <w:tc>
                <w:tcPr>
                  <w:tcW w:w="0" w:type="auto"/>
                  <w:shd w:val="clear" w:color="auto" w:fill="FFFFFF"/>
                  <w:tcMar>
                    <w:top w:w="0" w:type="dxa"/>
                    <w:left w:w="0" w:type="dxa"/>
                    <w:bottom w:w="0" w:type="dxa"/>
                    <w:right w:w="0" w:type="dxa"/>
                  </w:tcMar>
                  <w:vAlign w:val="center"/>
                </w:tcPr>
                <w:p w14:paraId="1042650B">
                  <w:pPr>
                    <w:jc w:val="center"/>
                  </w:pPr>
                  <w:r>
                    <w:rPr>
                      <w:rFonts w:ascii="Arial" w:hAnsi="Arial" w:eastAsia="Arial" w:cs="Arial"/>
                      <w:sz w:val="20"/>
                    </w:rPr>
                    <w:t>8.6</w:t>
                  </w:r>
                </w:p>
              </w:tc>
              <w:tc>
                <w:tcPr>
                  <w:tcW w:w="0" w:type="auto"/>
                  <w:shd w:val="clear" w:color="auto" w:fill="FFFFFF"/>
                  <w:tcMar>
                    <w:top w:w="0" w:type="dxa"/>
                    <w:left w:w="0" w:type="dxa"/>
                    <w:bottom w:w="0" w:type="dxa"/>
                    <w:right w:w="0" w:type="dxa"/>
                  </w:tcMar>
                  <w:vAlign w:val="center"/>
                </w:tcPr>
                <w:p w14:paraId="5199EDBC">
                  <w:pPr>
                    <w:jc w:val="center"/>
                  </w:pPr>
                  <w:r>
                    <w:rPr>
                      <w:rFonts w:ascii="Arial" w:hAnsi="Arial" w:eastAsia="Arial" w:cs="Arial"/>
                      <w:sz w:val="20"/>
                    </w:rPr>
                    <w:t>75.3</w:t>
                  </w:r>
                </w:p>
              </w:tc>
              <w:tc>
                <w:tcPr>
                  <w:tcW w:w="0" w:type="auto"/>
                  <w:shd w:val="clear" w:color="auto" w:fill="FFFFFF"/>
                  <w:tcMar>
                    <w:top w:w="0" w:type="dxa"/>
                    <w:left w:w="0" w:type="dxa"/>
                    <w:bottom w:w="0" w:type="dxa"/>
                    <w:right w:w="0" w:type="dxa"/>
                  </w:tcMar>
                  <w:vAlign w:val="center"/>
                </w:tcPr>
                <w:p w14:paraId="06C0F738">
                  <w:pPr>
                    <w:jc w:val="center"/>
                  </w:pPr>
                  <w:r>
                    <w:rPr>
                      <w:rFonts w:ascii="Arial" w:hAnsi="Arial" w:eastAsia="Arial" w:cs="Arial"/>
                      <w:sz w:val="20"/>
                    </w:rPr>
                    <w:t>75.4</w:t>
                  </w:r>
                </w:p>
              </w:tc>
              <w:tc>
                <w:tcPr>
                  <w:tcW w:w="0" w:type="auto"/>
                  <w:shd w:val="clear" w:color="auto" w:fill="FFFFFF"/>
                  <w:tcMar>
                    <w:top w:w="0" w:type="dxa"/>
                    <w:left w:w="0" w:type="dxa"/>
                    <w:bottom w:w="0" w:type="dxa"/>
                    <w:right w:w="0" w:type="dxa"/>
                  </w:tcMar>
                  <w:vAlign w:val="center"/>
                </w:tcPr>
                <w:p w14:paraId="0D1D9DEE">
                  <w:pPr>
                    <w:jc w:val="center"/>
                  </w:pPr>
                  <w:r>
                    <w:rPr>
                      <w:rFonts w:ascii="Arial" w:hAnsi="Arial" w:eastAsia="Arial" w:cs="Arial"/>
                      <w:sz w:val="20"/>
                    </w:rPr>
                    <w:t>75.3</w:t>
                  </w:r>
                </w:p>
              </w:tc>
              <w:tc>
                <w:tcPr>
                  <w:tcW w:w="0" w:type="auto"/>
                  <w:shd w:val="clear" w:color="auto" w:fill="FFFFFF"/>
                  <w:tcMar>
                    <w:top w:w="0" w:type="dxa"/>
                    <w:left w:w="0" w:type="dxa"/>
                    <w:bottom w:w="0" w:type="dxa"/>
                    <w:right w:w="0" w:type="dxa"/>
                  </w:tcMar>
                  <w:vAlign w:val="center"/>
                </w:tcPr>
                <w:p w14:paraId="3A924A5D">
                  <w:pPr>
                    <w:jc w:val="center"/>
                  </w:pPr>
                  <w:r>
                    <w:rPr>
                      <w:rFonts w:ascii="Arial" w:hAnsi="Arial" w:eastAsia="Arial" w:cs="Arial"/>
                      <w:sz w:val="20"/>
                    </w:rPr>
                    <w:t>75.5</w:t>
                  </w:r>
                </w:p>
              </w:tc>
              <w:tc>
                <w:tcPr>
                  <w:tcW w:w="0" w:type="auto"/>
                  <w:vMerge w:val="continue"/>
                  <w:shd w:val="clear" w:color="auto" w:fill="FFFFFF"/>
                  <w:tcMar>
                    <w:top w:w="0" w:type="dxa"/>
                    <w:left w:w="0" w:type="dxa"/>
                    <w:bottom w:w="0" w:type="dxa"/>
                    <w:right w:w="0" w:type="dxa"/>
                  </w:tcMar>
                  <w:vAlign w:val="center"/>
                </w:tcPr>
                <w:p w14:paraId="467CCBE2">
                  <w:pPr>
                    <w:jc w:val="center"/>
                  </w:pPr>
                </w:p>
              </w:tc>
              <w:tc>
                <w:tcPr>
                  <w:tcW w:w="0" w:type="auto"/>
                  <w:shd w:val="clear" w:color="auto" w:fill="FFFFFF"/>
                  <w:tcMar>
                    <w:top w:w="0" w:type="dxa"/>
                    <w:left w:w="0" w:type="dxa"/>
                    <w:bottom w:w="0" w:type="dxa"/>
                    <w:right w:w="0" w:type="dxa"/>
                  </w:tcMar>
                  <w:vAlign w:val="center"/>
                </w:tcPr>
                <w:p w14:paraId="77597B7B">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5AB8DC76">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7C985F31">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54255F0F">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5E79D9DE">
                  <w:pPr>
                    <w:jc w:val="center"/>
                  </w:pPr>
                  <w:r>
                    <w:rPr>
                      <w:rFonts w:ascii="Arial" w:hAnsi="Arial" w:eastAsia="Arial" w:cs="Arial"/>
                      <w:sz w:val="20"/>
                    </w:rPr>
                    <w:t>51.3</w:t>
                  </w:r>
                </w:p>
              </w:tc>
              <w:tc>
                <w:tcPr>
                  <w:tcW w:w="0" w:type="auto"/>
                  <w:shd w:val="clear" w:color="auto" w:fill="FFFFFF"/>
                  <w:tcMar>
                    <w:top w:w="0" w:type="dxa"/>
                    <w:left w:w="0" w:type="dxa"/>
                    <w:bottom w:w="0" w:type="dxa"/>
                    <w:right w:w="0" w:type="dxa"/>
                  </w:tcMar>
                  <w:vAlign w:val="center"/>
                </w:tcPr>
                <w:p w14:paraId="31FB54A4">
                  <w:pPr>
                    <w:jc w:val="center"/>
                  </w:pPr>
                  <w:r>
                    <w:rPr>
                      <w:rFonts w:ascii="Arial" w:hAnsi="Arial" w:eastAsia="Arial" w:cs="Arial"/>
                      <w:sz w:val="20"/>
                    </w:rPr>
                    <w:t>51.4</w:t>
                  </w:r>
                </w:p>
              </w:tc>
              <w:tc>
                <w:tcPr>
                  <w:tcW w:w="0" w:type="auto"/>
                  <w:shd w:val="clear" w:color="auto" w:fill="FFFFFF"/>
                  <w:tcMar>
                    <w:top w:w="0" w:type="dxa"/>
                    <w:left w:w="0" w:type="dxa"/>
                    <w:bottom w:w="0" w:type="dxa"/>
                    <w:right w:w="0" w:type="dxa"/>
                  </w:tcMar>
                  <w:vAlign w:val="center"/>
                </w:tcPr>
                <w:p w14:paraId="1710E2CB">
                  <w:pPr>
                    <w:jc w:val="center"/>
                  </w:pPr>
                  <w:r>
                    <w:rPr>
                      <w:rFonts w:ascii="Arial" w:hAnsi="Arial" w:eastAsia="Arial" w:cs="Arial"/>
                      <w:sz w:val="20"/>
                    </w:rPr>
                    <w:t>51.3</w:t>
                  </w:r>
                </w:p>
              </w:tc>
              <w:tc>
                <w:tcPr>
                  <w:tcW w:w="0" w:type="auto"/>
                  <w:shd w:val="clear" w:color="auto" w:fill="FFFFFF"/>
                  <w:tcMar>
                    <w:top w:w="0" w:type="dxa"/>
                    <w:left w:w="0" w:type="dxa"/>
                    <w:bottom w:w="0" w:type="dxa"/>
                    <w:right w:w="0" w:type="dxa"/>
                  </w:tcMar>
                  <w:vAlign w:val="center"/>
                </w:tcPr>
                <w:p w14:paraId="33A36587">
                  <w:pPr>
                    <w:jc w:val="center"/>
                  </w:pPr>
                  <w:r>
                    <w:rPr>
                      <w:rFonts w:ascii="Arial" w:hAnsi="Arial" w:eastAsia="Arial" w:cs="Arial"/>
                      <w:sz w:val="20"/>
                    </w:rPr>
                    <w:t>51.5</w:t>
                  </w:r>
                </w:p>
              </w:tc>
              <w:tc>
                <w:tcPr>
                  <w:tcW w:w="0" w:type="auto"/>
                  <w:shd w:val="clear" w:color="auto" w:fill="FFFFFF"/>
                  <w:tcMar>
                    <w:top w:w="0" w:type="dxa"/>
                    <w:left w:w="0" w:type="dxa"/>
                    <w:bottom w:w="0" w:type="dxa"/>
                    <w:right w:w="0" w:type="dxa"/>
                  </w:tcMar>
                  <w:vAlign w:val="center"/>
                </w:tcPr>
                <w:p w14:paraId="33FFA2AE">
                  <w:pPr>
                    <w:jc w:val="center"/>
                  </w:pPr>
                  <w:r>
                    <w:rPr>
                      <w:rFonts w:ascii="Arial" w:hAnsi="Arial" w:eastAsia="Arial" w:cs="Arial"/>
                      <w:sz w:val="20"/>
                    </w:rPr>
                    <w:t>1</w:t>
                  </w:r>
                </w:p>
              </w:tc>
            </w:tr>
            <w:tr w14:paraId="418F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0" w:type="auto"/>
                  <w:shd w:val="clear" w:color="auto" w:fill="FFFFFF"/>
                  <w:tcMar>
                    <w:top w:w="0" w:type="dxa"/>
                    <w:left w:w="0" w:type="dxa"/>
                    <w:bottom w:w="0" w:type="dxa"/>
                    <w:right w:w="0" w:type="dxa"/>
                  </w:tcMar>
                  <w:vAlign w:val="center"/>
                </w:tcPr>
                <w:p w14:paraId="1D3E4830">
                  <w:pPr>
                    <w:jc w:val="center"/>
                  </w:pPr>
                  <w:r>
                    <w:rPr>
                      <w:rFonts w:ascii="Arial" w:hAnsi="Arial" w:eastAsia="Arial" w:cs="Arial"/>
                      <w:sz w:val="20"/>
                    </w:rPr>
                    <w:t>3</w:t>
                  </w:r>
                </w:p>
              </w:tc>
              <w:tc>
                <w:tcPr>
                  <w:tcW w:w="0" w:type="auto"/>
                  <w:vMerge w:val="continue"/>
                  <w:shd w:val="clear" w:color="auto" w:fill="FFFFFF"/>
                  <w:tcMar>
                    <w:top w:w="0" w:type="dxa"/>
                    <w:left w:w="0" w:type="dxa"/>
                    <w:bottom w:w="0" w:type="dxa"/>
                    <w:right w:w="0" w:type="dxa"/>
                  </w:tcMar>
                  <w:vAlign w:val="center"/>
                </w:tcPr>
                <w:p w14:paraId="5CCED8DB">
                  <w:pPr>
                    <w:jc w:val="center"/>
                  </w:pPr>
                </w:p>
              </w:tc>
              <w:tc>
                <w:tcPr>
                  <w:tcW w:w="0" w:type="auto"/>
                  <w:shd w:val="clear" w:color="auto" w:fill="FFFFFF"/>
                  <w:tcMar>
                    <w:top w:w="0" w:type="dxa"/>
                    <w:left w:w="0" w:type="dxa"/>
                    <w:bottom w:w="0" w:type="dxa"/>
                    <w:right w:w="0" w:type="dxa"/>
                  </w:tcMar>
                  <w:vAlign w:val="center"/>
                </w:tcPr>
                <w:p w14:paraId="779C8D0C">
                  <w:pPr>
                    <w:jc w:val="center"/>
                  </w:pPr>
                  <w:r>
                    <w:rPr>
                      <w:rFonts w:ascii="Arial" w:hAnsi="Arial" w:eastAsia="Arial" w:cs="Arial"/>
                      <w:sz w:val="20"/>
                    </w:rPr>
                    <w:t>自动焊缝机</w:t>
                  </w:r>
                </w:p>
              </w:tc>
              <w:tc>
                <w:tcPr>
                  <w:tcW w:w="0" w:type="auto"/>
                  <w:shd w:val="clear" w:color="auto" w:fill="FFFFFF"/>
                  <w:tcMar>
                    <w:top w:w="0" w:type="dxa"/>
                    <w:left w:w="0" w:type="dxa"/>
                    <w:bottom w:w="0" w:type="dxa"/>
                    <w:right w:w="0" w:type="dxa"/>
                  </w:tcMar>
                  <w:vAlign w:val="center"/>
                </w:tcPr>
                <w:p w14:paraId="776DFE7F">
                  <w:pPr>
                    <w:jc w:val="center"/>
                  </w:pPr>
                </w:p>
              </w:tc>
              <w:tc>
                <w:tcPr>
                  <w:tcW w:w="0" w:type="auto"/>
                  <w:shd w:val="clear" w:color="auto" w:fill="FFFFFF"/>
                  <w:tcMar>
                    <w:top w:w="0" w:type="dxa"/>
                    <w:left w:w="0" w:type="dxa"/>
                    <w:bottom w:w="0" w:type="dxa"/>
                    <w:right w:w="0" w:type="dxa"/>
                  </w:tcMar>
                  <w:vAlign w:val="center"/>
                </w:tcPr>
                <w:p w14:paraId="147D46F6">
                  <w:pPr>
                    <w:jc w:val="center"/>
                  </w:pPr>
                  <w:r>
                    <w:rPr>
                      <w:rFonts w:ascii="Arial" w:hAnsi="Arial" w:eastAsia="Arial" w:cs="Arial"/>
                      <w:sz w:val="20"/>
                    </w:rPr>
                    <w:t>80</w:t>
                  </w:r>
                </w:p>
              </w:tc>
              <w:tc>
                <w:tcPr>
                  <w:tcW w:w="0" w:type="auto"/>
                  <w:shd w:val="clear" w:color="auto" w:fill="FFFFFF"/>
                  <w:tcMar>
                    <w:top w:w="0" w:type="dxa"/>
                    <w:left w:w="0" w:type="dxa"/>
                    <w:bottom w:w="0" w:type="dxa"/>
                    <w:right w:w="0" w:type="dxa"/>
                  </w:tcMar>
                  <w:vAlign w:val="center"/>
                </w:tcPr>
                <w:p w14:paraId="793C186E">
                  <w:pPr>
                    <w:jc w:val="center"/>
                  </w:pPr>
                </w:p>
              </w:tc>
              <w:tc>
                <w:tcPr>
                  <w:tcW w:w="0" w:type="auto"/>
                  <w:shd w:val="clear" w:color="auto" w:fill="FFFFFF"/>
                  <w:tcMar>
                    <w:top w:w="0" w:type="dxa"/>
                    <w:left w:w="0" w:type="dxa"/>
                    <w:bottom w:w="0" w:type="dxa"/>
                    <w:right w:w="0" w:type="dxa"/>
                  </w:tcMar>
                  <w:vAlign w:val="center"/>
                </w:tcPr>
                <w:p w14:paraId="65C92063">
                  <w:pPr>
                    <w:jc w:val="center"/>
                  </w:pPr>
                  <w:r>
                    <w:rPr>
                      <w:rFonts w:ascii="Arial" w:hAnsi="Arial" w:eastAsia="Arial" w:cs="Arial"/>
                      <w:sz w:val="20"/>
                    </w:rPr>
                    <w:t>72.1</w:t>
                  </w:r>
                </w:p>
              </w:tc>
              <w:tc>
                <w:tcPr>
                  <w:tcW w:w="0" w:type="auto"/>
                  <w:shd w:val="clear" w:color="auto" w:fill="FFFFFF"/>
                  <w:tcMar>
                    <w:top w:w="0" w:type="dxa"/>
                    <w:left w:w="0" w:type="dxa"/>
                    <w:bottom w:w="0" w:type="dxa"/>
                    <w:right w:w="0" w:type="dxa"/>
                  </w:tcMar>
                  <w:vAlign w:val="center"/>
                </w:tcPr>
                <w:p w14:paraId="39079A8C">
                  <w:pPr>
                    <w:jc w:val="center"/>
                  </w:pPr>
                  <w:r>
                    <w:rPr>
                      <w:rFonts w:ascii="Arial" w:hAnsi="Arial" w:eastAsia="Arial" w:cs="Arial"/>
                      <w:sz w:val="20"/>
                    </w:rPr>
                    <w:t>78.7</w:t>
                  </w:r>
                </w:p>
              </w:tc>
              <w:tc>
                <w:tcPr>
                  <w:tcW w:w="0" w:type="auto"/>
                  <w:shd w:val="clear" w:color="auto" w:fill="FFFFFF"/>
                  <w:tcMar>
                    <w:top w:w="0" w:type="dxa"/>
                    <w:left w:w="0" w:type="dxa"/>
                    <w:bottom w:w="0" w:type="dxa"/>
                    <w:right w:w="0" w:type="dxa"/>
                  </w:tcMar>
                  <w:vAlign w:val="center"/>
                </w:tcPr>
                <w:p w14:paraId="2E14CE19">
                  <w:pPr>
                    <w:jc w:val="center"/>
                  </w:pPr>
                  <w:r>
                    <w:rPr>
                      <w:rFonts w:ascii="Arial" w:hAnsi="Arial" w:eastAsia="Arial" w:cs="Arial"/>
                      <w:sz w:val="20"/>
                    </w:rPr>
                    <w:t>1.2</w:t>
                  </w:r>
                </w:p>
              </w:tc>
              <w:tc>
                <w:tcPr>
                  <w:tcW w:w="0" w:type="auto"/>
                  <w:shd w:val="clear" w:color="auto" w:fill="FFFFFF"/>
                  <w:tcMar>
                    <w:top w:w="0" w:type="dxa"/>
                    <w:left w:w="0" w:type="dxa"/>
                    <w:bottom w:w="0" w:type="dxa"/>
                    <w:right w:w="0" w:type="dxa"/>
                  </w:tcMar>
                  <w:vAlign w:val="center"/>
                </w:tcPr>
                <w:p w14:paraId="19500D7C">
                  <w:pPr>
                    <w:jc w:val="center"/>
                  </w:pPr>
                  <w:r>
                    <w:rPr>
                      <w:rFonts w:ascii="Arial" w:hAnsi="Arial" w:eastAsia="Arial" w:cs="Arial"/>
                      <w:sz w:val="20"/>
                    </w:rPr>
                    <w:t>93.0</w:t>
                  </w:r>
                </w:p>
              </w:tc>
              <w:tc>
                <w:tcPr>
                  <w:tcW w:w="0" w:type="auto"/>
                  <w:shd w:val="clear" w:color="auto" w:fill="FFFFFF"/>
                  <w:tcMar>
                    <w:top w:w="0" w:type="dxa"/>
                    <w:left w:w="0" w:type="dxa"/>
                    <w:bottom w:w="0" w:type="dxa"/>
                    <w:right w:w="0" w:type="dxa"/>
                  </w:tcMar>
                  <w:vAlign w:val="center"/>
                </w:tcPr>
                <w:p w14:paraId="1A561D48">
                  <w:pPr>
                    <w:jc w:val="center"/>
                  </w:pPr>
                  <w:r>
                    <w:rPr>
                      <w:rFonts w:ascii="Arial" w:hAnsi="Arial" w:eastAsia="Arial" w:cs="Arial"/>
                      <w:sz w:val="20"/>
                    </w:rPr>
                    <w:t>13.2</w:t>
                  </w:r>
                </w:p>
              </w:tc>
              <w:tc>
                <w:tcPr>
                  <w:tcW w:w="0" w:type="auto"/>
                  <w:shd w:val="clear" w:color="auto" w:fill="FFFFFF"/>
                  <w:tcMar>
                    <w:top w:w="0" w:type="dxa"/>
                    <w:left w:w="0" w:type="dxa"/>
                    <w:bottom w:w="0" w:type="dxa"/>
                    <w:right w:w="0" w:type="dxa"/>
                  </w:tcMar>
                  <w:vAlign w:val="center"/>
                </w:tcPr>
                <w:p w14:paraId="4EA71910">
                  <w:pPr>
                    <w:jc w:val="center"/>
                  </w:pPr>
                  <w:r>
                    <w:rPr>
                      <w:rFonts w:ascii="Arial" w:hAnsi="Arial" w:eastAsia="Arial" w:cs="Arial"/>
                      <w:sz w:val="20"/>
                    </w:rPr>
                    <w:t>33.5</w:t>
                  </w:r>
                </w:p>
              </w:tc>
              <w:tc>
                <w:tcPr>
                  <w:tcW w:w="0" w:type="auto"/>
                  <w:shd w:val="clear" w:color="auto" w:fill="FFFFFF"/>
                  <w:tcMar>
                    <w:top w:w="0" w:type="dxa"/>
                    <w:left w:w="0" w:type="dxa"/>
                    <w:bottom w:w="0" w:type="dxa"/>
                    <w:right w:w="0" w:type="dxa"/>
                  </w:tcMar>
                  <w:vAlign w:val="center"/>
                </w:tcPr>
                <w:p w14:paraId="79387056">
                  <w:pPr>
                    <w:jc w:val="center"/>
                  </w:pPr>
                  <w:r>
                    <w:rPr>
                      <w:rFonts w:ascii="Arial" w:hAnsi="Arial" w:eastAsia="Arial" w:cs="Arial"/>
                      <w:sz w:val="20"/>
                    </w:rPr>
                    <w:t>12.6</w:t>
                  </w:r>
                </w:p>
              </w:tc>
              <w:tc>
                <w:tcPr>
                  <w:tcW w:w="0" w:type="auto"/>
                  <w:shd w:val="clear" w:color="auto" w:fill="FFFFFF"/>
                  <w:tcMar>
                    <w:top w:w="0" w:type="dxa"/>
                    <w:left w:w="0" w:type="dxa"/>
                    <w:bottom w:w="0" w:type="dxa"/>
                    <w:right w:w="0" w:type="dxa"/>
                  </w:tcMar>
                  <w:vAlign w:val="center"/>
                </w:tcPr>
                <w:p w14:paraId="09D51954">
                  <w:pPr>
                    <w:jc w:val="center"/>
                  </w:pPr>
                  <w:r>
                    <w:rPr>
                      <w:rFonts w:ascii="Arial" w:hAnsi="Arial" w:eastAsia="Arial" w:cs="Arial"/>
                      <w:sz w:val="20"/>
                    </w:rPr>
                    <w:t>65.3</w:t>
                  </w:r>
                </w:p>
              </w:tc>
              <w:tc>
                <w:tcPr>
                  <w:tcW w:w="0" w:type="auto"/>
                  <w:shd w:val="clear" w:color="auto" w:fill="FFFFFF"/>
                  <w:tcMar>
                    <w:top w:w="0" w:type="dxa"/>
                    <w:left w:w="0" w:type="dxa"/>
                    <w:bottom w:w="0" w:type="dxa"/>
                    <w:right w:w="0" w:type="dxa"/>
                  </w:tcMar>
                  <w:vAlign w:val="center"/>
                </w:tcPr>
                <w:p w14:paraId="119FD73D">
                  <w:pPr>
                    <w:jc w:val="center"/>
                  </w:pPr>
                  <w:r>
                    <w:rPr>
                      <w:rFonts w:ascii="Arial" w:hAnsi="Arial" w:eastAsia="Arial" w:cs="Arial"/>
                      <w:sz w:val="20"/>
                    </w:rPr>
                    <w:t>65.4</w:t>
                  </w:r>
                </w:p>
              </w:tc>
              <w:tc>
                <w:tcPr>
                  <w:tcW w:w="0" w:type="auto"/>
                  <w:shd w:val="clear" w:color="auto" w:fill="FFFFFF"/>
                  <w:tcMar>
                    <w:top w:w="0" w:type="dxa"/>
                    <w:left w:w="0" w:type="dxa"/>
                    <w:bottom w:w="0" w:type="dxa"/>
                    <w:right w:w="0" w:type="dxa"/>
                  </w:tcMar>
                  <w:vAlign w:val="center"/>
                </w:tcPr>
                <w:p w14:paraId="7B006C4D">
                  <w:pPr>
                    <w:jc w:val="center"/>
                  </w:pPr>
                  <w:r>
                    <w:rPr>
                      <w:rFonts w:ascii="Arial" w:hAnsi="Arial" w:eastAsia="Arial" w:cs="Arial"/>
                      <w:sz w:val="20"/>
                    </w:rPr>
                    <w:t>65.3</w:t>
                  </w:r>
                </w:p>
              </w:tc>
              <w:tc>
                <w:tcPr>
                  <w:tcW w:w="0" w:type="auto"/>
                  <w:shd w:val="clear" w:color="auto" w:fill="FFFFFF"/>
                  <w:tcMar>
                    <w:top w:w="0" w:type="dxa"/>
                    <w:left w:w="0" w:type="dxa"/>
                    <w:bottom w:w="0" w:type="dxa"/>
                    <w:right w:w="0" w:type="dxa"/>
                  </w:tcMar>
                  <w:vAlign w:val="center"/>
                </w:tcPr>
                <w:p w14:paraId="16F941F6">
                  <w:pPr>
                    <w:jc w:val="center"/>
                  </w:pPr>
                  <w:r>
                    <w:rPr>
                      <w:rFonts w:ascii="Arial" w:hAnsi="Arial" w:eastAsia="Arial" w:cs="Arial"/>
                      <w:sz w:val="20"/>
                    </w:rPr>
                    <w:t>65.4</w:t>
                  </w:r>
                </w:p>
              </w:tc>
              <w:tc>
                <w:tcPr>
                  <w:tcW w:w="0" w:type="auto"/>
                  <w:vMerge w:val="continue"/>
                  <w:shd w:val="clear" w:color="auto" w:fill="FFFFFF"/>
                  <w:tcMar>
                    <w:top w:w="0" w:type="dxa"/>
                    <w:left w:w="0" w:type="dxa"/>
                    <w:bottom w:w="0" w:type="dxa"/>
                    <w:right w:w="0" w:type="dxa"/>
                  </w:tcMar>
                  <w:vAlign w:val="center"/>
                </w:tcPr>
                <w:p w14:paraId="4CE75CCC">
                  <w:pPr>
                    <w:jc w:val="center"/>
                  </w:pPr>
                </w:p>
              </w:tc>
              <w:tc>
                <w:tcPr>
                  <w:tcW w:w="0" w:type="auto"/>
                  <w:shd w:val="clear" w:color="auto" w:fill="FFFFFF"/>
                  <w:tcMar>
                    <w:top w:w="0" w:type="dxa"/>
                    <w:left w:w="0" w:type="dxa"/>
                    <w:bottom w:w="0" w:type="dxa"/>
                    <w:right w:w="0" w:type="dxa"/>
                  </w:tcMar>
                  <w:vAlign w:val="center"/>
                </w:tcPr>
                <w:p w14:paraId="51D30118">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5EF7399F">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465F159A">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462B26DA">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255756D0">
                  <w:pPr>
                    <w:jc w:val="center"/>
                  </w:pPr>
                  <w:r>
                    <w:rPr>
                      <w:rFonts w:ascii="Arial" w:hAnsi="Arial" w:eastAsia="Arial" w:cs="Arial"/>
                      <w:sz w:val="20"/>
                    </w:rPr>
                    <w:t>41.3</w:t>
                  </w:r>
                </w:p>
              </w:tc>
              <w:tc>
                <w:tcPr>
                  <w:tcW w:w="0" w:type="auto"/>
                  <w:shd w:val="clear" w:color="auto" w:fill="FFFFFF"/>
                  <w:tcMar>
                    <w:top w:w="0" w:type="dxa"/>
                    <w:left w:w="0" w:type="dxa"/>
                    <w:bottom w:w="0" w:type="dxa"/>
                    <w:right w:w="0" w:type="dxa"/>
                  </w:tcMar>
                  <w:vAlign w:val="center"/>
                </w:tcPr>
                <w:p w14:paraId="3CE4D5FE">
                  <w:pPr>
                    <w:jc w:val="center"/>
                  </w:pPr>
                  <w:r>
                    <w:rPr>
                      <w:rFonts w:ascii="Arial" w:hAnsi="Arial" w:eastAsia="Arial" w:cs="Arial"/>
                      <w:sz w:val="20"/>
                    </w:rPr>
                    <w:t>41.4</w:t>
                  </w:r>
                </w:p>
              </w:tc>
              <w:tc>
                <w:tcPr>
                  <w:tcW w:w="0" w:type="auto"/>
                  <w:shd w:val="clear" w:color="auto" w:fill="FFFFFF"/>
                  <w:tcMar>
                    <w:top w:w="0" w:type="dxa"/>
                    <w:left w:w="0" w:type="dxa"/>
                    <w:bottom w:w="0" w:type="dxa"/>
                    <w:right w:w="0" w:type="dxa"/>
                  </w:tcMar>
                  <w:vAlign w:val="center"/>
                </w:tcPr>
                <w:p w14:paraId="734CAE63">
                  <w:pPr>
                    <w:jc w:val="center"/>
                  </w:pPr>
                  <w:r>
                    <w:rPr>
                      <w:rFonts w:ascii="Arial" w:hAnsi="Arial" w:eastAsia="Arial" w:cs="Arial"/>
                      <w:sz w:val="20"/>
                    </w:rPr>
                    <w:t>41.3</w:t>
                  </w:r>
                </w:p>
              </w:tc>
              <w:tc>
                <w:tcPr>
                  <w:tcW w:w="0" w:type="auto"/>
                  <w:shd w:val="clear" w:color="auto" w:fill="FFFFFF"/>
                  <w:tcMar>
                    <w:top w:w="0" w:type="dxa"/>
                    <w:left w:w="0" w:type="dxa"/>
                    <w:bottom w:w="0" w:type="dxa"/>
                    <w:right w:w="0" w:type="dxa"/>
                  </w:tcMar>
                  <w:vAlign w:val="center"/>
                </w:tcPr>
                <w:p w14:paraId="7B299F21">
                  <w:pPr>
                    <w:jc w:val="center"/>
                  </w:pPr>
                  <w:r>
                    <w:rPr>
                      <w:rFonts w:ascii="Arial" w:hAnsi="Arial" w:eastAsia="Arial" w:cs="Arial"/>
                      <w:sz w:val="20"/>
                    </w:rPr>
                    <w:t>41.4</w:t>
                  </w:r>
                </w:p>
              </w:tc>
              <w:tc>
                <w:tcPr>
                  <w:tcW w:w="0" w:type="auto"/>
                  <w:shd w:val="clear" w:color="auto" w:fill="FFFFFF"/>
                  <w:tcMar>
                    <w:top w:w="0" w:type="dxa"/>
                    <w:left w:w="0" w:type="dxa"/>
                    <w:bottom w:w="0" w:type="dxa"/>
                    <w:right w:w="0" w:type="dxa"/>
                  </w:tcMar>
                  <w:vAlign w:val="center"/>
                </w:tcPr>
                <w:p w14:paraId="24C0D992">
                  <w:pPr>
                    <w:jc w:val="center"/>
                  </w:pPr>
                  <w:r>
                    <w:rPr>
                      <w:rFonts w:ascii="Arial" w:hAnsi="Arial" w:eastAsia="Arial" w:cs="Arial"/>
                      <w:sz w:val="20"/>
                    </w:rPr>
                    <w:t>1</w:t>
                  </w:r>
                </w:p>
              </w:tc>
            </w:tr>
            <w:tr w14:paraId="7F68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0" w:type="auto"/>
                  <w:shd w:val="clear" w:color="auto" w:fill="FFFFFF"/>
                  <w:tcMar>
                    <w:top w:w="0" w:type="dxa"/>
                    <w:left w:w="0" w:type="dxa"/>
                    <w:bottom w:w="0" w:type="dxa"/>
                    <w:right w:w="0" w:type="dxa"/>
                  </w:tcMar>
                  <w:vAlign w:val="center"/>
                </w:tcPr>
                <w:p w14:paraId="6309F8F0">
                  <w:pPr>
                    <w:jc w:val="center"/>
                  </w:pPr>
                  <w:r>
                    <w:rPr>
                      <w:rFonts w:ascii="Arial" w:hAnsi="Arial" w:eastAsia="Arial" w:cs="Arial"/>
                      <w:sz w:val="20"/>
                    </w:rPr>
                    <w:t>4</w:t>
                  </w:r>
                </w:p>
              </w:tc>
              <w:tc>
                <w:tcPr>
                  <w:tcW w:w="0" w:type="auto"/>
                  <w:vMerge w:val="continue"/>
                  <w:shd w:val="clear" w:color="auto" w:fill="FFFFFF"/>
                  <w:tcMar>
                    <w:top w:w="0" w:type="dxa"/>
                    <w:left w:w="0" w:type="dxa"/>
                    <w:bottom w:w="0" w:type="dxa"/>
                    <w:right w:w="0" w:type="dxa"/>
                  </w:tcMar>
                  <w:vAlign w:val="center"/>
                </w:tcPr>
                <w:p w14:paraId="2F98B944">
                  <w:pPr>
                    <w:jc w:val="center"/>
                  </w:pPr>
                </w:p>
              </w:tc>
              <w:tc>
                <w:tcPr>
                  <w:tcW w:w="0" w:type="auto"/>
                  <w:shd w:val="clear" w:color="auto" w:fill="FFFFFF"/>
                  <w:tcMar>
                    <w:top w:w="0" w:type="dxa"/>
                    <w:left w:w="0" w:type="dxa"/>
                    <w:bottom w:w="0" w:type="dxa"/>
                    <w:right w:w="0" w:type="dxa"/>
                  </w:tcMar>
                  <w:vAlign w:val="center"/>
                </w:tcPr>
                <w:p w14:paraId="3900B233">
                  <w:pPr>
                    <w:jc w:val="center"/>
                  </w:pPr>
                  <w:r>
                    <w:rPr>
                      <w:rFonts w:ascii="Arial" w:hAnsi="Arial" w:eastAsia="Arial" w:cs="Arial"/>
                      <w:sz w:val="20"/>
                    </w:rPr>
                    <w:t>冲床</w:t>
                  </w:r>
                </w:p>
              </w:tc>
              <w:tc>
                <w:tcPr>
                  <w:tcW w:w="0" w:type="auto"/>
                  <w:shd w:val="clear" w:color="auto" w:fill="FFFFFF"/>
                  <w:tcMar>
                    <w:top w:w="0" w:type="dxa"/>
                    <w:left w:w="0" w:type="dxa"/>
                    <w:bottom w:w="0" w:type="dxa"/>
                    <w:right w:w="0" w:type="dxa"/>
                  </w:tcMar>
                  <w:vAlign w:val="center"/>
                </w:tcPr>
                <w:p w14:paraId="77E8F4B8">
                  <w:pPr>
                    <w:jc w:val="center"/>
                  </w:pPr>
                </w:p>
              </w:tc>
              <w:tc>
                <w:tcPr>
                  <w:tcW w:w="0" w:type="auto"/>
                  <w:shd w:val="clear" w:color="auto" w:fill="FFFFFF"/>
                  <w:tcMar>
                    <w:top w:w="0" w:type="dxa"/>
                    <w:left w:w="0" w:type="dxa"/>
                    <w:bottom w:w="0" w:type="dxa"/>
                    <w:right w:w="0" w:type="dxa"/>
                  </w:tcMar>
                  <w:vAlign w:val="center"/>
                </w:tcPr>
                <w:p w14:paraId="7E5F73B0">
                  <w:pPr>
                    <w:jc w:val="center"/>
                  </w:pPr>
                  <w:r>
                    <w:rPr>
                      <w:rFonts w:ascii="Arial" w:hAnsi="Arial" w:eastAsia="Arial" w:cs="Arial"/>
                      <w:sz w:val="20"/>
                    </w:rPr>
                    <w:t>90</w:t>
                  </w:r>
                </w:p>
              </w:tc>
              <w:tc>
                <w:tcPr>
                  <w:tcW w:w="0" w:type="auto"/>
                  <w:shd w:val="clear" w:color="auto" w:fill="FFFFFF"/>
                  <w:tcMar>
                    <w:top w:w="0" w:type="dxa"/>
                    <w:left w:w="0" w:type="dxa"/>
                    <w:bottom w:w="0" w:type="dxa"/>
                    <w:right w:w="0" w:type="dxa"/>
                  </w:tcMar>
                  <w:vAlign w:val="center"/>
                </w:tcPr>
                <w:p w14:paraId="4505D9A3">
                  <w:pPr>
                    <w:jc w:val="center"/>
                  </w:pPr>
                </w:p>
              </w:tc>
              <w:tc>
                <w:tcPr>
                  <w:tcW w:w="0" w:type="auto"/>
                  <w:shd w:val="clear" w:color="auto" w:fill="FFFFFF"/>
                  <w:tcMar>
                    <w:top w:w="0" w:type="dxa"/>
                    <w:left w:w="0" w:type="dxa"/>
                    <w:bottom w:w="0" w:type="dxa"/>
                    <w:right w:w="0" w:type="dxa"/>
                  </w:tcMar>
                  <w:vAlign w:val="center"/>
                </w:tcPr>
                <w:p w14:paraId="3E098DEA">
                  <w:pPr>
                    <w:jc w:val="center"/>
                  </w:pPr>
                  <w:r>
                    <w:rPr>
                      <w:rFonts w:ascii="Arial" w:hAnsi="Arial" w:eastAsia="Arial" w:cs="Arial"/>
                      <w:sz w:val="20"/>
                    </w:rPr>
                    <w:t>83.2</w:t>
                  </w:r>
                </w:p>
              </w:tc>
              <w:tc>
                <w:tcPr>
                  <w:tcW w:w="0" w:type="auto"/>
                  <w:shd w:val="clear" w:color="auto" w:fill="FFFFFF"/>
                  <w:tcMar>
                    <w:top w:w="0" w:type="dxa"/>
                    <w:left w:w="0" w:type="dxa"/>
                    <w:bottom w:w="0" w:type="dxa"/>
                    <w:right w:w="0" w:type="dxa"/>
                  </w:tcMar>
                  <w:vAlign w:val="center"/>
                </w:tcPr>
                <w:p w14:paraId="55EE6D3E">
                  <w:pPr>
                    <w:jc w:val="center"/>
                  </w:pPr>
                  <w:r>
                    <w:rPr>
                      <w:rFonts w:ascii="Arial" w:hAnsi="Arial" w:eastAsia="Arial" w:cs="Arial"/>
                      <w:sz w:val="20"/>
                    </w:rPr>
                    <w:t>80.5</w:t>
                  </w:r>
                </w:p>
              </w:tc>
              <w:tc>
                <w:tcPr>
                  <w:tcW w:w="0" w:type="auto"/>
                  <w:shd w:val="clear" w:color="auto" w:fill="FFFFFF"/>
                  <w:tcMar>
                    <w:top w:w="0" w:type="dxa"/>
                    <w:left w:w="0" w:type="dxa"/>
                    <w:bottom w:w="0" w:type="dxa"/>
                    <w:right w:w="0" w:type="dxa"/>
                  </w:tcMar>
                  <w:vAlign w:val="center"/>
                </w:tcPr>
                <w:p w14:paraId="4DDC2D93">
                  <w:pPr>
                    <w:jc w:val="center"/>
                  </w:pPr>
                  <w:r>
                    <w:rPr>
                      <w:rFonts w:ascii="Arial" w:hAnsi="Arial" w:eastAsia="Arial" w:cs="Arial"/>
                      <w:sz w:val="20"/>
                    </w:rPr>
                    <w:t>1.2</w:t>
                  </w:r>
                </w:p>
              </w:tc>
              <w:tc>
                <w:tcPr>
                  <w:tcW w:w="0" w:type="auto"/>
                  <w:shd w:val="clear" w:color="auto" w:fill="FFFFFF"/>
                  <w:tcMar>
                    <w:top w:w="0" w:type="dxa"/>
                    <w:left w:w="0" w:type="dxa"/>
                    <w:bottom w:w="0" w:type="dxa"/>
                    <w:right w:w="0" w:type="dxa"/>
                  </w:tcMar>
                  <w:vAlign w:val="center"/>
                </w:tcPr>
                <w:p w14:paraId="5C5DB907">
                  <w:pPr>
                    <w:jc w:val="center"/>
                  </w:pPr>
                  <w:r>
                    <w:rPr>
                      <w:rFonts w:ascii="Arial" w:hAnsi="Arial" w:eastAsia="Arial" w:cs="Arial"/>
                      <w:sz w:val="20"/>
                    </w:rPr>
                    <w:t>82.9</w:t>
                  </w:r>
                </w:p>
              </w:tc>
              <w:tc>
                <w:tcPr>
                  <w:tcW w:w="0" w:type="auto"/>
                  <w:shd w:val="clear" w:color="auto" w:fill="FFFFFF"/>
                  <w:tcMar>
                    <w:top w:w="0" w:type="dxa"/>
                    <w:left w:w="0" w:type="dxa"/>
                    <w:bottom w:w="0" w:type="dxa"/>
                    <w:right w:w="0" w:type="dxa"/>
                  </w:tcMar>
                  <w:vAlign w:val="center"/>
                </w:tcPr>
                <w:p w14:paraId="222CC10E">
                  <w:pPr>
                    <w:jc w:val="center"/>
                  </w:pPr>
                  <w:r>
                    <w:rPr>
                      <w:rFonts w:ascii="Arial" w:hAnsi="Arial" w:eastAsia="Arial" w:cs="Arial"/>
                      <w:sz w:val="20"/>
                    </w:rPr>
                    <w:t>18.4</w:t>
                  </w:r>
                </w:p>
              </w:tc>
              <w:tc>
                <w:tcPr>
                  <w:tcW w:w="0" w:type="auto"/>
                  <w:shd w:val="clear" w:color="auto" w:fill="FFFFFF"/>
                  <w:tcMar>
                    <w:top w:w="0" w:type="dxa"/>
                    <w:left w:w="0" w:type="dxa"/>
                    <w:bottom w:w="0" w:type="dxa"/>
                    <w:right w:w="0" w:type="dxa"/>
                  </w:tcMar>
                  <w:vAlign w:val="center"/>
                </w:tcPr>
                <w:p w14:paraId="2B62615D">
                  <w:pPr>
                    <w:jc w:val="center"/>
                  </w:pPr>
                  <w:r>
                    <w:rPr>
                      <w:rFonts w:ascii="Arial" w:hAnsi="Arial" w:eastAsia="Arial" w:cs="Arial"/>
                      <w:sz w:val="20"/>
                    </w:rPr>
                    <w:t>43.3</w:t>
                  </w:r>
                </w:p>
              </w:tc>
              <w:tc>
                <w:tcPr>
                  <w:tcW w:w="0" w:type="auto"/>
                  <w:shd w:val="clear" w:color="auto" w:fill="FFFFFF"/>
                  <w:tcMar>
                    <w:top w:w="0" w:type="dxa"/>
                    <w:left w:w="0" w:type="dxa"/>
                    <w:bottom w:w="0" w:type="dxa"/>
                    <w:right w:w="0" w:type="dxa"/>
                  </w:tcMar>
                  <w:vAlign w:val="center"/>
                </w:tcPr>
                <w:p w14:paraId="344C7810">
                  <w:pPr>
                    <w:jc w:val="center"/>
                  </w:pPr>
                  <w:r>
                    <w:rPr>
                      <w:rFonts w:ascii="Arial" w:hAnsi="Arial" w:eastAsia="Arial" w:cs="Arial"/>
                      <w:sz w:val="20"/>
                    </w:rPr>
                    <w:t>7.6</w:t>
                  </w:r>
                </w:p>
              </w:tc>
              <w:tc>
                <w:tcPr>
                  <w:tcW w:w="0" w:type="auto"/>
                  <w:shd w:val="clear" w:color="auto" w:fill="FFFFFF"/>
                  <w:tcMar>
                    <w:top w:w="0" w:type="dxa"/>
                    <w:left w:w="0" w:type="dxa"/>
                    <w:bottom w:w="0" w:type="dxa"/>
                    <w:right w:w="0" w:type="dxa"/>
                  </w:tcMar>
                  <w:vAlign w:val="center"/>
                </w:tcPr>
                <w:p w14:paraId="0B0C60E5">
                  <w:pPr>
                    <w:jc w:val="center"/>
                  </w:pPr>
                  <w:r>
                    <w:rPr>
                      <w:rFonts w:ascii="Arial" w:hAnsi="Arial" w:eastAsia="Arial" w:cs="Arial"/>
                      <w:sz w:val="20"/>
                    </w:rPr>
                    <w:t>75.3</w:t>
                  </w:r>
                </w:p>
              </w:tc>
              <w:tc>
                <w:tcPr>
                  <w:tcW w:w="0" w:type="auto"/>
                  <w:shd w:val="clear" w:color="auto" w:fill="FFFFFF"/>
                  <w:tcMar>
                    <w:top w:w="0" w:type="dxa"/>
                    <w:left w:w="0" w:type="dxa"/>
                    <w:bottom w:w="0" w:type="dxa"/>
                    <w:right w:w="0" w:type="dxa"/>
                  </w:tcMar>
                  <w:vAlign w:val="center"/>
                </w:tcPr>
                <w:p w14:paraId="45C5685F">
                  <w:pPr>
                    <w:jc w:val="center"/>
                  </w:pPr>
                  <w:r>
                    <w:rPr>
                      <w:rFonts w:ascii="Arial" w:hAnsi="Arial" w:eastAsia="Arial" w:cs="Arial"/>
                      <w:sz w:val="20"/>
                    </w:rPr>
                    <w:t>75.4</w:t>
                  </w:r>
                </w:p>
              </w:tc>
              <w:tc>
                <w:tcPr>
                  <w:tcW w:w="0" w:type="auto"/>
                  <w:shd w:val="clear" w:color="auto" w:fill="FFFFFF"/>
                  <w:tcMar>
                    <w:top w:w="0" w:type="dxa"/>
                    <w:left w:w="0" w:type="dxa"/>
                    <w:bottom w:w="0" w:type="dxa"/>
                    <w:right w:w="0" w:type="dxa"/>
                  </w:tcMar>
                  <w:vAlign w:val="center"/>
                </w:tcPr>
                <w:p w14:paraId="666F4B5F">
                  <w:pPr>
                    <w:jc w:val="center"/>
                  </w:pPr>
                  <w:r>
                    <w:rPr>
                      <w:rFonts w:ascii="Arial" w:hAnsi="Arial" w:eastAsia="Arial" w:cs="Arial"/>
                      <w:sz w:val="20"/>
                    </w:rPr>
                    <w:t>75.3</w:t>
                  </w:r>
                </w:p>
              </w:tc>
              <w:tc>
                <w:tcPr>
                  <w:tcW w:w="0" w:type="auto"/>
                  <w:shd w:val="clear" w:color="auto" w:fill="FFFFFF"/>
                  <w:tcMar>
                    <w:top w:w="0" w:type="dxa"/>
                    <w:left w:w="0" w:type="dxa"/>
                    <w:bottom w:w="0" w:type="dxa"/>
                    <w:right w:w="0" w:type="dxa"/>
                  </w:tcMar>
                  <w:vAlign w:val="center"/>
                </w:tcPr>
                <w:p w14:paraId="6A226842">
                  <w:pPr>
                    <w:jc w:val="center"/>
                  </w:pPr>
                  <w:r>
                    <w:rPr>
                      <w:rFonts w:ascii="Arial" w:hAnsi="Arial" w:eastAsia="Arial" w:cs="Arial"/>
                      <w:sz w:val="20"/>
                    </w:rPr>
                    <w:t>75.5</w:t>
                  </w:r>
                </w:p>
              </w:tc>
              <w:tc>
                <w:tcPr>
                  <w:tcW w:w="0" w:type="auto"/>
                  <w:vMerge w:val="continue"/>
                  <w:shd w:val="clear" w:color="auto" w:fill="FFFFFF"/>
                  <w:tcMar>
                    <w:top w:w="0" w:type="dxa"/>
                    <w:left w:w="0" w:type="dxa"/>
                    <w:bottom w:w="0" w:type="dxa"/>
                    <w:right w:w="0" w:type="dxa"/>
                  </w:tcMar>
                  <w:vAlign w:val="center"/>
                </w:tcPr>
                <w:p w14:paraId="429B3392">
                  <w:pPr>
                    <w:jc w:val="center"/>
                  </w:pPr>
                </w:p>
              </w:tc>
              <w:tc>
                <w:tcPr>
                  <w:tcW w:w="0" w:type="auto"/>
                  <w:shd w:val="clear" w:color="auto" w:fill="FFFFFF"/>
                  <w:tcMar>
                    <w:top w:w="0" w:type="dxa"/>
                    <w:left w:w="0" w:type="dxa"/>
                    <w:bottom w:w="0" w:type="dxa"/>
                    <w:right w:w="0" w:type="dxa"/>
                  </w:tcMar>
                  <w:vAlign w:val="center"/>
                </w:tcPr>
                <w:p w14:paraId="4B64E96F">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44F52C2B">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66F7491E">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70AC8F44">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6C2AB609">
                  <w:pPr>
                    <w:jc w:val="center"/>
                  </w:pPr>
                  <w:r>
                    <w:rPr>
                      <w:rFonts w:ascii="Arial" w:hAnsi="Arial" w:eastAsia="Arial" w:cs="Arial"/>
                      <w:sz w:val="20"/>
                    </w:rPr>
                    <w:t>51.3</w:t>
                  </w:r>
                </w:p>
              </w:tc>
              <w:tc>
                <w:tcPr>
                  <w:tcW w:w="0" w:type="auto"/>
                  <w:shd w:val="clear" w:color="auto" w:fill="FFFFFF"/>
                  <w:tcMar>
                    <w:top w:w="0" w:type="dxa"/>
                    <w:left w:w="0" w:type="dxa"/>
                    <w:bottom w:w="0" w:type="dxa"/>
                    <w:right w:w="0" w:type="dxa"/>
                  </w:tcMar>
                  <w:vAlign w:val="center"/>
                </w:tcPr>
                <w:p w14:paraId="01ABAF90">
                  <w:pPr>
                    <w:jc w:val="center"/>
                  </w:pPr>
                  <w:r>
                    <w:rPr>
                      <w:rFonts w:ascii="Arial" w:hAnsi="Arial" w:eastAsia="Arial" w:cs="Arial"/>
                      <w:sz w:val="20"/>
                    </w:rPr>
                    <w:t>51.4</w:t>
                  </w:r>
                </w:p>
              </w:tc>
              <w:tc>
                <w:tcPr>
                  <w:tcW w:w="0" w:type="auto"/>
                  <w:shd w:val="clear" w:color="auto" w:fill="FFFFFF"/>
                  <w:tcMar>
                    <w:top w:w="0" w:type="dxa"/>
                    <w:left w:w="0" w:type="dxa"/>
                    <w:bottom w:w="0" w:type="dxa"/>
                    <w:right w:w="0" w:type="dxa"/>
                  </w:tcMar>
                  <w:vAlign w:val="center"/>
                </w:tcPr>
                <w:p w14:paraId="3D8F51AE">
                  <w:pPr>
                    <w:jc w:val="center"/>
                  </w:pPr>
                  <w:r>
                    <w:rPr>
                      <w:rFonts w:ascii="Arial" w:hAnsi="Arial" w:eastAsia="Arial" w:cs="Arial"/>
                      <w:sz w:val="20"/>
                    </w:rPr>
                    <w:t>51.3</w:t>
                  </w:r>
                </w:p>
              </w:tc>
              <w:tc>
                <w:tcPr>
                  <w:tcW w:w="0" w:type="auto"/>
                  <w:shd w:val="clear" w:color="auto" w:fill="FFFFFF"/>
                  <w:tcMar>
                    <w:top w:w="0" w:type="dxa"/>
                    <w:left w:w="0" w:type="dxa"/>
                    <w:bottom w:w="0" w:type="dxa"/>
                    <w:right w:w="0" w:type="dxa"/>
                  </w:tcMar>
                  <w:vAlign w:val="center"/>
                </w:tcPr>
                <w:p w14:paraId="3CB4DCD5">
                  <w:pPr>
                    <w:jc w:val="center"/>
                  </w:pPr>
                  <w:r>
                    <w:rPr>
                      <w:rFonts w:ascii="Arial" w:hAnsi="Arial" w:eastAsia="Arial" w:cs="Arial"/>
                      <w:sz w:val="20"/>
                    </w:rPr>
                    <w:t>51.5</w:t>
                  </w:r>
                </w:p>
              </w:tc>
              <w:tc>
                <w:tcPr>
                  <w:tcW w:w="0" w:type="auto"/>
                  <w:shd w:val="clear" w:color="auto" w:fill="FFFFFF"/>
                  <w:tcMar>
                    <w:top w:w="0" w:type="dxa"/>
                    <w:left w:w="0" w:type="dxa"/>
                    <w:bottom w:w="0" w:type="dxa"/>
                    <w:right w:w="0" w:type="dxa"/>
                  </w:tcMar>
                  <w:vAlign w:val="center"/>
                </w:tcPr>
                <w:p w14:paraId="6CA1CC8B">
                  <w:pPr>
                    <w:jc w:val="center"/>
                  </w:pPr>
                  <w:r>
                    <w:rPr>
                      <w:rFonts w:ascii="Arial" w:hAnsi="Arial" w:eastAsia="Arial" w:cs="Arial"/>
                      <w:sz w:val="20"/>
                    </w:rPr>
                    <w:t>1</w:t>
                  </w:r>
                </w:p>
              </w:tc>
            </w:tr>
            <w:tr w14:paraId="6E30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0" w:type="auto"/>
                  <w:shd w:val="clear" w:color="auto" w:fill="FFFFFF"/>
                  <w:tcMar>
                    <w:top w:w="0" w:type="dxa"/>
                    <w:left w:w="0" w:type="dxa"/>
                    <w:bottom w:w="0" w:type="dxa"/>
                    <w:right w:w="0" w:type="dxa"/>
                  </w:tcMar>
                  <w:vAlign w:val="center"/>
                </w:tcPr>
                <w:p w14:paraId="66BB2724">
                  <w:pPr>
                    <w:jc w:val="center"/>
                  </w:pPr>
                  <w:r>
                    <w:rPr>
                      <w:rFonts w:ascii="Arial" w:hAnsi="Arial" w:eastAsia="Arial" w:cs="Arial"/>
                      <w:sz w:val="20"/>
                    </w:rPr>
                    <w:t>5</w:t>
                  </w:r>
                </w:p>
              </w:tc>
              <w:tc>
                <w:tcPr>
                  <w:tcW w:w="0" w:type="auto"/>
                  <w:vMerge w:val="continue"/>
                  <w:shd w:val="clear" w:color="auto" w:fill="FFFFFF"/>
                  <w:tcMar>
                    <w:top w:w="0" w:type="dxa"/>
                    <w:left w:w="0" w:type="dxa"/>
                    <w:bottom w:w="0" w:type="dxa"/>
                    <w:right w:w="0" w:type="dxa"/>
                  </w:tcMar>
                  <w:vAlign w:val="center"/>
                </w:tcPr>
                <w:p w14:paraId="7CE62DB7">
                  <w:pPr>
                    <w:jc w:val="center"/>
                  </w:pPr>
                </w:p>
              </w:tc>
              <w:tc>
                <w:tcPr>
                  <w:tcW w:w="0" w:type="auto"/>
                  <w:shd w:val="clear" w:color="auto" w:fill="FFFFFF"/>
                  <w:tcMar>
                    <w:top w:w="0" w:type="dxa"/>
                    <w:left w:w="0" w:type="dxa"/>
                    <w:bottom w:w="0" w:type="dxa"/>
                    <w:right w:w="0" w:type="dxa"/>
                  </w:tcMar>
                  <w:vAlign w:val="center"/>
                </w:tcPr>
                <w:p w14:paraId="24F5C205">
                  <w:pPr>
                    <w:jc w:val="center"/>
                  </w:pPr>
                  <w:r>
                    <w:rPr>
                      <w:rFonts w:ascii="Arial" w:hAnsi="Arial" w:eastAsia="Arial" w:cs="Arial"/>
                      <w:sz w:val="20"/>
                    </w:rPr>
                    <w:t>胀筋机</w:t>
                  </w:r>
                </w:p>
              </w:tc>
              <w:tc>
                <w:tcPr>
                  <w:tcW w:w="0" w:type="auto"/>
                  <w:shd w:val="clear" w:color="auto" w:fill="FFFFFF"/>
                  <w:tcMar>
                    <w:top w:w="0" w:type="dxa"/>
                    <w:left w:w="0" w:type="dxa"/>
                    <w:bottom w:w="0" w:type="dxa"/>
                    <w:right w:w="0" w:type="dxa"/>
                  </w:tcMar>
                  <w:vAlign w:val="center"/>
                </w:tcPr>
                <w:p w14:paraId="63451827">
                  <w:pPr>
                    <w:jc w:val="center"/>
                  </w:pPr>
                </w:p>
              </w:tc>
              <w:tc>
                <w:tcPr>
                  <w:tcW w:w="0" w:type="auto"/>
                  <w:shd w:val="clear" w:color="auto" w:fill="FFFFFF"/>
                  <w:tcMar>
                    <w:top w:w="0" w:type="dxa"/>
                    <w:left w:w="0" w:type="dxa"/>
                    <w:bottom w:w="0" w:type="dxa"/>
                    <w:right w:w="0" w:type="dxa"/>
                  </w:tcMar>
                  <w:vAlign w:val="center"/>
                </w:tcPr>
                <w:p w14:paraId="674E03F1">
                  <w:pPr>
                    <w:jc w:val="center"/>
                  </w:pPr>
                  <w:r>
                    <w:rPr>
                      <w:rFonts w:ascii="Arial" w:hAnsi="Arial" w:eastAsia="Arial" w:cs="Arial"/>
                      <w:sz w:val="20"/>
                    </w:rPr>
                    <w:t>90</w:t>
                  </w:r>
                </w:p>
              </w:tc>
              <w:tc>
                <w:tcPr>
                  <w:tcW w:w="0" w:type="auto"/>
                  <w:shd w:val="clear" w:color="auto" w:fill="FFFFFF"/>
                  <w:tcMar>
                    <w:top w:w="0" w:type="dxa"/>
                    <w:left w:w="0" w:type="dxa"/>
                    <w:bottom w:w="0" w:type="dxa"/>
                    <w:right w:w="0" w:type="dxa"/>
                  </w:tcMar>
                  <w:vAlign w:val="center"/>
                </w:tcPr>
                <w:p w14:paraId="3C2950C5">
                  <w:pPr>
                    <w:jc w:val="center"/>
                  </w:pPr>
                </w:p>
              </w:tc>
              <w:tc>
                <w:tcPr>
                  <w:tcW w:w="0" w:type="auto"/>
                  <w:shd w:val="clear" w:color="auto" w:fill="FFFFFF"/>
                  <w:tcMar>
                    <w:top w:w="0" w:type="dxa"/>
                    <w:left w:w="0" w:type="dxa"/>
                    <w:bottom w:w="0" w:type="dxa"/>
                    <w:right w:w="0" w:type="dxa"/>
                  </w:tcMar>
                  <w:vAlign w:val="center"/>
                </w:tcPr>
                <w:p w14:paraId="193A27DE">
                  <w:pPr>
                    <w:jc w:val="center"/>
                  </w:pPr>
                  <w:r>
                    <w:rPr>
                      <w:rFonts w:ascii="Arial" w:hAnsi="Arial" w:eastAsia="Arial" w:cs="Arial"/>
                      <w:sz w:val="20"/>
                    </w:rPr>
                    <w:t>92.1</w:t>
                  </w:r>
                </w:p>
              </w:tc>
              <w:tc>
                <w:tcPr>
                  <w:tcW w:w="0" w:type="auto"/>
                  <w:shd w:val="clear" w:color="auto" w:fill="FFFFFF"/>
                  <w:tcMar>
                    <w:top w:w="0" w:type="dxa"/>
                    <w:left w:w="0" w:type="dxa"/>
                    <w:bottom w:w="0" w:type="dxa"/>
                    <w:right w:w="0" w:type="dxa"/>
                  </w:tcMar>
                  <w:vAlign w:val="center"/>
                </w:tcPr>
                <w:p w14:paraId="05AE7246">
                  <w:pPr>
                    <w:jc w:val="center"/>
                  </w:pPr>
                  <w:r>
                    <w:rPr>
                      <w:rFonts w:ascii="Arial" w:hAnsi="Arial" w:eastAsia="Arial" w:cs="Arial"/>
                      <w:sz w:val="20"/>
                    </w:rPr>
                    <w:t>77.8</w:t>
                  </w:r>
                </w:p>
              </w:tc>
              <w:tc>
                <w:tcPr>
                  <w:tcW w:w="0" w:type="auto"/>
                  <w:shd w:val="clear" w:color="auto" w:fill="FFFFFF"/>
                  <w:tcMar>
                    <w:top w:w="0" w:type="dxa"/>
                    <w:left w:w="0" w:type="dxa"/>
                    <w:bottom w:w="0" w:type="dxa"/>
                    <w:right w:w="0" w:type="dxa"/>
                  </w:tcMar>
                  <w:vAlign w:val="center"/>
                </w:tcPr>
                <w:p w14:paraId="53FE4BBE">
                  <w:pPr>
                    <w:jc w:val="center"/>
                  </w:pPr>
                  <w:r>
                    <w:rPr>
                      <w:rFonts w:ascii="Arial" w:hAnsi="Arial" w:eastAsia="Arial" w:cs="Arial"/>
                      <w:sz w:val="20"/>
                    </w:rPr>
                    <w:t>1.2</w:t>
                  </w:r>
                </w:p>
              </w:tc>
              <w:tc>
                <w:tcPr>
                  <w:tcW w:w="0" w:type="auto"/>
                  <w:shd w:val="clear" w:color="auto" w:fill="FFFFFF"/>
                  <w:tcMar>
                    <w:top w:w="0" w:type="dxa"/>
                    <w:left w:w="0" w:type="dxa"/>
                    <w:bottom w:w="0" w:type="dxa"/>
                    <w:right w:w="0" w:type="dxa"/>
                  </w:tcMar>
                  <w:vAlign w:val="center"/>
                </w:tcPr>
                <w:p w14:paraId="5140602D">
                  <w:pPr>
                    <w:jc w:val="center"/>
                  </w:pPr>
                  <w:r>
                    <w:rPr>
                      <w:rFonts w:ascii="Arial" w:hAnsi="Arial" w:eastAsia="Arial" w:cs="Arial"/>
                      <w:sz w:val="20"/>
                    </w:rPr>
                    <w:t>73.6</w:t>
                  </w:r>
                </w:p>
              </w:tc>
              <w:tc>
                <w:tcPr>
                  <w:tcW w:w="0" w:type="auto"/>
                  <w:shd w:val="clear" w:color="auto" w:fill="FFFFFF"/>
                  <w:tcMar>
                    <w:top w:w="0" w:type="dxa"/>
                    <w:left w:w="0" w:type="dxa"/>
                    <w:bottom w:w="0" w:type="dxa"/>
                    <w:right w:w="0" w:type="dxa"/>
                  </w:tcMar>
                  <w:vAlign w:val="center"/>
                </w:tcPr>
                <w:p w14:paraId="01D47077">
                  <w:pPr>
                    <w:jc w:val="center"/>
                  </w:pPr>
                  <w:r>
                    <w:rPr>
                      <w:rFonts w:ascii="Arial" w:hAnsi="Arial" w:eastAsia="Arial" w:cs="Arial"/>
                      <w:sz w:val="20"/>
                    </w:rPr>
                    <w:t>18.6</w:t>
                  </w:r>
                </w:p>
              </w:tc>
              <w:tc>
                <w:tcPr>
                  <w:tcW w:w="0" w:type="auto"/>
                  <w:shd w:val="clear" w:color="auto" w:fill="FFFFFF"/>
                  <w:tcMar>
                    <w:top w:w="0" w:type="dxa"/>
                    <w:left w:w="0" w:type="dxa"/>
                    <w:bottom w:w="0" w:type="dxa"/>
                    <w:right w:w="0" w:type="dxa"/>
                  </w:tcMar>
                  <w:vAlign w:val="center"/>
                </w:tcPr>
                <w:p w14:paraId="2F62AA7A">
                  <w:pPr>
                    <w:jc w:val="center"/>
                  </w:pPr>
                  <w:r>
                    <w:rPr>
                      <w:rFonts w:ascii="Arial" w:hAnsi="Arial" w:eastAsia="Arial" w:cs="Arial"/>
                      <w:sz w:val="20"/>
                    </w:rPr>
                    <w:t>52.6</w:t>
                  </w:r>
                </w:p>
              </w:tc>
              <w:tc>
                <w:tcPr>
                  <w:tcW w:w="0" w:type="auto"/>
                  <w:shd w:val="clear" w:color="auto" w:fill="FFFFFF"/>
                  <w:tcMar>
                    <w:top w:w="0" w:type="dxa"/>
                    <w:left w:w="0" w:type="dxa"/>
                    <w:bottom w:w="0" w:type="dxa"/>
                    <w:right w:w="0" w:type="dxa"/>
                  </w:tcMar>
                  <w:vAlign w:val="center"/>
                </w:tcPr>
                <w:p w14:paraId="4022A667">
                  <w:pPr>
                    <w:jc w:val="center"/>
                  </w:pPr>
                  <w:r>
                    <w:rPr>
                      <w:rFonts w:ascii="Arial" w:hAnsi="Arial" w:eastAsia="Arial" w:cs="Arial"/>
                      <w:sz w:val="20"/>
                    </w:rPr>
                    <w:t>7.6</w:t>
                  </w:r>
                </w:p>
              </w:tc>
              <w:tc>
                <w:tcPr>
                  <w:tcW w:w="0" w:type="auto"/>
                  <w:shd w:val="clear" w:color="auto" w:fill="FFFFFF"/>
                  <w:tcMar>
                    <w:top w:w="0" w:type="dxa"/>
                    <w:left w:w="0" w:type="dxa"/>
                    <w:bottom w:w="0" w:type="dxa"/>
                    <w:right w:w="0" w:type="dxa"/>
                  </w:tcMar>
                  <w:vAlign w:val="center"/>
                </w:tcPr>
                <w:p w14:paraId="4916F91F">
                  <w:pPr>
                    <w:jc w:val="center"/>
                  </w:pPr>
                  <w:r>
                    <w:rPr>
                      <w:rFonts w:ascii="Arial" w:hAnsi="Arial" w:eastAsia="Arial" w:cs="Arial"/>
                      <w:sz w:val="20"/>
                    </w:rPr>
                    <w:t>75.3</w:t>
                  </w:r>
                </w:p>
              </w:tc>
              <w:tc>
                <w:tcPr>
                  <w:tcW w:w="0" w:type="auto"/>
                  <w:shd w:val="clear" w:color="auto" w:fill="FFFFFF"/>
                  <w:tcMar>
                    <w:top w:w="0" w:type="dxa"/>
                    <w:left w:w="0" w:type="dxa"/>
                    <w:bottom w:w="0" w:type="dxa"/>
                    <w:right w:w="0" w:type="dxa"/>
                  </w:tcMar>
                  <w:vAlign w:val="center"/>
                </w:tcPr>
                <w:p w14:paraId="6B49AE8C">
                  <w:pPr>
                    <w:jc w:val="center"/>
                  </w:pPr>
                  <w:r>
                    <w:rPr>
                      <w:rFonts w:ascii="Arial" w:hAnsi="Arial" w:eastAsia="Arial" w:cs="Arial"/>
                      <w:sz w:val="20"/>
                    </w:rPr>
                    <w:t>75.4</w:t>
                  </w:r>
                </w:p>
              </w:tc>
              <w:tc>
                <w:tcPr>
                  <w:tcW w:w="0" w:type="auto"/>
                  <w:shd w:val="clear" w:color="auto" w:fill="FFFFFF"/>
                  <w:tcMar>
                    <w:top w:w="0" w:type="dxa"/>
                    <w:left w:w="0" w:type="dxa"/>
                    <w:bottom w:w="0" w:type="dxa"/>
                    <w:right w:w="0" w:type="dxa"/>
                  </w:tcMar>
                  <w:vAlign w:val="center"/>
                </w:tcPr>
                <w:p w14:paraId="425B8346">
                  <w:pPr>
                    <w:jc w:val="center"/>
                  </w:pPr>
                  <w:r>
                    <w:rPr>
                      <w:rFonts w:ascii="Arial" w:hAnsi="Arial" w:eastAsia="Arial" w:cs="Arial"/>
                      <w:sz w:val="20"/>
                    </w:rPr>
                    <w:t>75.3</w:t>
                  </w:r>
                </w:p>
              </w:tc>
              <w:tc>
                <w:tcPr>
                  <w:tcW w:w="0" w:type="auto"/>
                  <w:shd w:val="clear" w:color="auto" w:fill="FFFFFF"/>
                  <w:tcMar>
                    <w:top w:w="0" w:type="dxa"/>
                    <w:left w:w="0" w:type="dxa"/>
                    <w:bottom w:w="0" w:type="dxa"/>
                    <w:right w:w="0" w:type="dxa"/>
                  </w:tcMar>
                  <w:vAlign w:val="center"/>
                </w:tcPr>
                <w:p w14:paraId="3F9D7638">
                  <w:pPr>
                    <w:jc w:val="center"/>
                  </w:pPr>
                  <w:r>
                    <w:rPr>
                      <w:rFonts w:ascii="Arial" w:hAnsi="Arial" w:eastAsia="Arial" w:cs="Arial"/>
                      <w:sz w:val="20"/>
                    </w:rPr>
                    <w:t>75.5</w:t>
                  </w:r>
                </w:p>
              </w:tc>
              <w:tc>
                <w:tcPr>
                  <w:tcW w:w="0" w:type="auto"/>
                  <w:vMerge w:val="continue"/>
                  <w:shd w:val="clear" w:color="auto" w:fill="FFFFFF"/>
                  <w:tcMar>
                    <w:top w:w="0" w:type="dxa"/>
                    <w:left w:w="0" w:type="dxa"/>
                    <w:bottom w:w="0" w:type="dxa"/>
                    <w:right w:w="0" w:type="dxa"/>
                  </w:tcMar>
                  <w:vAlign w:val="center"/>
                </w:tcPr>
                <w:p w14:paraId="509C5993">
                  <w:pPr>
                    <w:jc w:val="center"/>
                  </w:pPr>
                </w:p>
              </w:tc>
              <w:tc>
                <w:tcPr>
                  <w:tcW w:w="0" w:type="auto"/>
                  <w:shd w:val="clear" w:color="auto" w:fill="FFFFFF"/>
                  <w:tcMar>
                    <w:top w:w="0" w:type="dxa"/>
                    <w:left w:w="0" w:type="dxa"/>
                    <w:bottom w:w="0" w:type="dxa"/>
                    <w:right w:w="0" w:type="dxa"/>
                  </w:tcMar>
                  <w:vAlign w:val="center"/>
                </w:tcPr>
                <w:p w14:paraId="37627C51">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0913F3E1">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267FA7A5">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07475777">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33142139">
                  <w:pPr>
                    <w:jc w:val="center"/>
                  </w:pPr>
                  <w:r>
                    <w:rPr>
                      <w:rFonts w:ascii="Arial" w:hAnsi="Arial" w:eastAsia="Arial" w:cs="Arial"/>
                      <w:sz w:val="20"/>
                    </w:rPr>
                    <w:t>51.3</w:t>
                  </w:r>
                </w:p>
              </w:tc>
              <w:tc>
                <w:tcPr>
                  <w:tcW w:w="0" w:type="auto"/>
                  <w:shd w:val="clear" w:color="auto" w:fill="FFFFFF"/>
                  <w:tcMar>
                    <w:top w:w="0" w:type="dxa"/>
                    <w:left w:w="0" w:type="dxa"/>
                    <w:bottom w:w="0" w:type="dxa"/>
                    <w:right w:w="0" w:type="dxa"/>
                  </w:tcMar>
                  <w:vAlign w:val="center"/>
                </w:tcPr>
                <w:p w14:paraId="5E22659B">
                  <w:pPr>
                    <w:jc w:val="center"/>
                  </w:pPr>
                  <w:r>
                    <w:rPr>
                      <w:rFonts w:ascii="Arial" w:hAnsi="Arial" w:eastAsia="Arial" w:cs="Arial"/>
                      <w:sz w:val="20"/>
                    </w:rPr>
                    <w:t>51.4</w:t>
                  </w:r>
                </w:p>
              </w:tc>
              <w:tc>
                <w:tcPr>
                  <w:tcW w:w="0" w:type="auto"/>
                  <w:shd w:val="clear" w:color="auto" w:fill="FFFFFF"/>
                  <w:tcMar>
                    <w:top w:w="0" w:type="dxa"/>
                    <w:left w:w="0" w:type="dxa"/>
                    <w:bottom w:w="0" w:type="dxa"/>
                    <w:right w:w="0" w:type="dxa"/>
                  </w:tcMar>
                  <w:vAlign w:val="center"/>
                </w:tcPr>
                <w:p w14:paraId="322007ED">
                  <w:pPr>
                    <w:jc w:val="center"/>
                  </w:pPr>
                  <w:r>
                    <w:rPr>
                      <w:rFonts w:ascii="Arial" w:hAnsi="Arial" w:eastAsia="Arial" w:cs="Arial"/>
                      <w:sz w:val="20"/>
                    </w:rPr>
                    <w:t>51.3</w:t>
                  </w:r>
                </w:p>
              </w:tc>
              <w:tc>
                <w:tcPr>
                  <w:tcW w:w="0" w:type="auto"/>
                  <w:shd w:val="clear" w:color="auto" w:fill="FFFFFF"/>
                  <w:tcMar>
                    <w:top w:w="0" w:type="dxa"/>
                    <w:left w:w="0" w:type="dxa"/>
                    <w:bottom w:w="0" w:type="dxa"/>
                    <w:right w:w="0" w:type="dxa"/>
                  </w:tcMar>
                  <w:vAlign w:val="center"/>
                </w:tcPr>
                <w:p w14:paraId="6970E7F7">
                  <w:pPr>
                    <w:jc w:val="center"/>
                  </w:pPr>
                  <w:r>
                    <w:rPr>
                      <w:rFonts w:ascii="Arial" w:hAnsi="Arial" w:eastAsia="Arial" w:cs="Arial"/>
                      <w:sz w:val="20"/>
                    </w:rPr>
                    <w:t>51.5</w:t>
                  </w:r>
                </w:p>
              </w:tc>
              <w:tc>
                <w:tcPr>
                  <w:tcW w:w="0" w:type="auto"/>
                  <w:shd w:val="clear" w:color="auto" w:fill="FFFFFF"/>
                  <w:tcMar>
                    <w:top w:w="0" w:type="dxa"/>
                    <w:left w:w="0" w:type="dxa"/>
                    <w:bottom w:w="0" w:type="dxa"/>
                    <w:right w:w="0" w:type="dxa"/>
                  </w:tcMar>
                  <w:vAlign w:val="center"/>
                </w:tcPr>
                <w:p w14:paraId="76669349">
                  <w:pPr>
                    <w:jc w:val="center"/>
                  </w:pPr>
                  <w:r>
                    <w:rPr>
                      <w:rFonts w:ascii="Arial" w:hAnsi="Arial" w:eastAsia="Arial" w:cs="Arial"/>
                      <w:sz w:val="20"/>
                    </w:rPr>
                    <w:t>1</w:t>
                  </w:r>
                </w:p>
              </w:tc>
            </w:tr>
            <w:tr w14:paraId="35B2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0" w:type="auto"/>
                  <w:shd w:val="clear" w:color="auto" w:fill="FFFFFF"/>
                  <w:tcMar>
                    <w:top w:w="0" w:type="dxa"/>
                    <w:left w:w="0" w:type="dxa"/>
                    <w:bottom w:w="0" w:type="dxa"/>
                    <w:right w:w="0" w:type="dxa"/>
                  </w:tcMar>
                  <w:vAlign w:val="center"/>
                </w:tcPr>
                <w:p w14:paraId="6784D850">
                  <w:pPr>
                    <w:jc w:val="center"/>
                  </w:pPr>
                  <w:r>
                    <w:rPr>
                      <w:rFonts w:ascii="Arial" w:hAnsi="Arial" w:eastAsia="Arial" w:cs="Arial"/>
                      <w:sz w:val="20"/>
                    </w:rPr>
                    <w:t>6</w:t>
                  </w:r>
                </w:p>
              </w:tc>
              <w:tc>
                <w:tcPr>
                  <w:tcW w:w="0" w:type="auto"/>
                  <w:vMerge w:val="continue"/>
                  <w:shd w:val="clear" w:color="auto" w:fill="FFFFFF"/>
                  <w:tcMar>
                    <w:top w:w="0" w:type="dxa"/>
                    <w:left w:w="0" w:type="dxa"/>
                    <w:bottom w:w="0" w:type="dxa"/>
                    <w:right w:w="0" w:type="dxa"/>
                  </w:tcMar>
                  <w:vAlign w:val="center"/>
                </w:tcPr>
                <w:p w14:paraId="70339BD7">
                  <w:pPr>
                    <w:jc w:val="center"/>
                  </w:pPr>
                </w:p>
              </w:tc>
              <w:tc>
                <w:tcPr>
                  <w:tcW w:w="0" w:type="auto"/>
                  <w:shd w:val="clear" w:color="auto" w:fill="FFFFFF"/>
                  <w:tcMar>
                    <w:top w:w="0" w:type="dxa"/>
                    <w:left w:w="0" w:type="dxa"/>
                    <w:bottom w:w="0" w:type="dxa"/>
                    <w:right w:w="0" w:type="dxa"/>
                  </w:tcMar>
                  <w:vAlign w:val="center"/>
                </w:tcPr>
                <w:p w14:paraId="37AF11F4">
                  <w:pPr>
                    <w:jc w:val="center"/>
                  </w:pPr>
                  <w:r>
                    <w:rPr>
                      <w:rFonts w:ascii="Arial" w:hAnsi="Arial" w:eastAsia="Arial" w:cs="Arial"/>
                      <w:sz w:val="20"/>
                    </w:rPr>
                    <w:t>清洗</w:t>
                  </w:r>
                  <w:r>
                    <w:rPr>
                      <w:rFonts w:hint="eastAsia" w:ascii="Arial" w:hAnsi="Arial" w:eastAsia="宋体" w:cs="Arial"/>
                      <w:sz w:val="20"/>
                      <w:lang w:eastAsia="zh-CN"/>
                    </w:rPr>
                    <w:t>、</w:t>
                  </w:r>
                  <w:r>
                    <w:rPr>
                      <w:rFonts w:hint="eastAsia" w:ascii="Arial" w:hAnsi="Arial" w:eastAsia="宋体" w:cs="Arial"/>
                      <w:sz w:val="20"/>
                      <w:lang w:val="en-US" w:eastAsia="zh-CN"/>
                    </w:rPr>
                    <w:t>陶化</w:t>
                  </w:r>
                  <w:r>
                    <w:rPr>
                      <w:rFonts w:ascii="Arial" w:hAnsi="Arial" w:eastAsia="Arial" w:cs="Arial"/>
                      <w:sz w:val="20"/>
                    </w:rPr>
                    <w:t>烘干线</w:t>
                  </w:r>
                  <w:r>
                    <w:rPr>
                      <w:rFonts w:hint="eastAsia" w:ascii="Arial" w:hAnsi="Arial" w:eastAsia="宋体" w:cs="Arial"/>
                      <w:sz w:val="20"/>
                      <w:lang w:eastAsia="zh-CN"/>
                    </w:rPr>
                    <w:t>，</w:t>
                  </w:r>
                  <w:r>
                    <w:rPr>
                      <w:rFonts w:ascii="Arial" w:hAnsi="Arial" w:eastAsia="Arial" w:cs="Arial"/>
                      <w:sz w:val="20"/>
                    </w:rPr>
                    <w:t>1台（按点声源组预测）</w:t>
                  </w:r>
                </w:p>
              </w:tc>
              <w:tc>
                <w:tcPr>
                  <w:tcW w:w="0" w:type="auto"/>
                  <w:shd w:val="clear" w:color="auto" w:fill="FFFFFF"/>
                  <w:tcMar>
                    <w:top w:w="0" w:type="dxa"/>
                    <w:left w:w="0" w:type="dxa"/>
                    <w:bottom w:w="0" w:type="dxa"/>
                    <w:right w:w="0" w:type="dxa"/>
                  </w:tcMar>
                  <w:vAlign w:val="center"/>
                </w:tcPr>
                <w:p w14:paraId="7B2FA1DB">
                  <w:pPr>
                    <w:jc w:val="center"/>
                  </w:pPr>
                </w:p>
              </w:tc>
              <w:tc>
                <w:tcPr>
                  <w:tcW w:w="0" w:type="auto"/>
                  <w:shd w:val="clear" w:color="auto" w:fill="FFFFFF"/>
                  <w:tcMar>
                    <w:top w:w="0" w:type="dxa"/>
                    <w:left w:w="0" w:type="dxa"/>
                    <w:bottom w:w="0" w:type="dxa"/>
                    <w:right w:w="0" w:type="dxa"/>
                  </w:tcMar>
                  <w:vAlign w:val="center"/>
                </w:tcPr>
                <w:p w14:paraId="01540DB8">
                  <w:pPr>
                    <w:jc w:val="center"/>
                  </w:pPr>
                  <w:r>
                    <w:rPr>
                      <w:rFonts w:ascii="Arial" w:hAnsi="Arial" w:eastAsia="Arial" w:cs="Arial"/>
                      <w:sz w:val="20"/>
                    </w:rPr>
                    <w:t>90（等效后：90.0</w:t>
                  </w:r>
                  <w:r>
                    <w:rPr>
                      <w:rFonts w:hint="eastAsia" w:ascii="Arial" w:hAnsi="Arial" w:eastAsia="宋体" w:cs="Arial"/>
                      <w:sz w:val="20"/>
                      <w:lang w:eastAsia="zh-CN"/>
                    </w:rPr>
                    <w:t>）</w:t>
                  </w:r>
                </w:p>
              </w:tc>
              <w:tc>
                <w:tcPr>
                  <w:tcW w:w="0" w:type="auto"/>
                  <w:shd w:val="clear" w:color="auto" w:fill="FFFFFF"/>
                  <w:tcMar>
                    <w:top w:w="0" w:type="dxa"/>
                    <w:left w:w="0" w:type="dxa"/>
                    <w:bottom w:w="0" w:type="dxa"/>
                    <w:right w:w="0" w:type="dxa"/>
                  </w:tcMar>
                  <w:vAlign w:val="center"/>
                </w:tcPr>
                <w:p w14:paraId="6E1A694E">
                  <w:pPr>
                    <w:jc w:val="center"/>
                  </w:pPr>
                </w:p>
              </w:tc>
              <w:tc>
                <w:tcPr>
                  <w:tcW w:w="0" w:type="auto"/>
                  <w:shd w:val="clear" w:color="auto" w:fill="FFFFFF"/>
                  <w:tcMar>
                    <w:top w:w="0" w:type="dxa"/>
                    <w:left w:w="0" w:type="dxa"/>
                    <w:bottom w:w="0" w:type="dxa"/>
                    <w:right w:w="0" w:type="dxa"/>
                  </w:tcMar>
                  <w:vAlign w:val="center"/>
                </w:tcPr>
                <w:p w14:paraId="5315C716">
                  <w:pPr>
                    <w:jc w:val="center"/>
                  </w:pPr>
                  <w:r>
                    <w:rPr>
                      <w:rFonts w:ascii="Arial" w:hAnsi="Arial" w:eastAsia="Arial" w:cs="Arial"/>
                      <w:sz w:val="20"/>
                    </w:rPr>
                    <w:t>108.5</w:t>
                  </w:r>
                </w:p>
              </w:tc>
              <w:tc>
                <w:tcPr>
                  <w:tcW w:w="0" w:type="auto"/>
                  <w:shd w:val="clear" w:color="auto" w:fill="FFFFFF"/>
                  <w:tcMar>
                    <w:top w:w="0" w:type="dxa"/>
                    <w:left w:w="0" w:type="dxa"/>
                    <w:bottom w:w="0" w:type="dxa"/>
                    <w:right w:w="0" w:type="dxa"/>
                  </w:tcMar>
                  <w:vAlign w:val="center"/>
                </w:tcPr>
                <w:p w14:paraId="348F4E56">
                  <w:pPr>
                    <w:jc w:val="center"/>
                  </w:pPr>
                  <w:r>
                    <w:rPr>
                      <w:rFonts w:ascii="Arial" w:hAnsi="Arial" w:eastAsia="Arial" w:cs="Arial"/>
                      <w:sz w:val="20"/>
                    </w:rPr>
                    <w:t>74.1</w:t>
                  </w:r>
                </w:p>
              </w:tc>
              <w:tc>
                <w:tcPr>
                  <w:tcW w:w="0" w:type="auto"/>
                  <w:shd w:val="clear" w:color="auto" w:fill="FFFFFF"/>
                  <w:tcMar>
                    <w:top w:w="0" w:type="dxa"/>
                    <w:left w:w="0" w:type="dxa"/>
                    <w:bottom w:w="0" w:type="dxa"/>
                    <w:right w:w="0" w:type="dxa"/>
                  </w:tcMar>
                  <w:vAlign w:val="center"/>
                </w:tcPr>
                <w:p w14:paraId="0C323EA9">
                  <w:pPr>
                    <w:jc w:val="center"/>
                  </w:pPr>
                  <w:r>
                    <w:rPr>
                      <w:rFonts w:ascii="Arial" w:hAnsi="Arial" w:eastAsia="Arial" w:cs="Arial"/>
                      <w:sz w:val="20"/>
                    </w:rPr>
                    <w:t>1.2</w:t>
                  </w:r>
                </w:p>
              </w:tc>
              <w:tc>
                <w:tcPr>
                  <w:tcW w:w="0" w:type="auto"/>
                  <w:shd w:val="clear" w:color="auto" w:fill="FFFFFF"/>
                  <w:tcMar>
                    <w:top w:w="0" w:type="dxa"/>
                    <w:left w:w="0" w:type="dxa"/>
                    <w:bottom w:w="0" w:type="dxa"/>
                    <w:right w:w="0" w:type="dxa"/>
                  </w:tcMar>
                  <w:vAlign w:val="center"/>
                </w:tcPr>
                <w:p w14:paraId="61537D5F">
                  <w:pPr>
                    <w:jc w:val="center"/>
                  </w:pPr>
                  <w:r>
                    <w:rPr>
                      <w:rFonts w:ascii="Arial" w:hAnsi="Arial" w:eastAsia="Arial" w:cs="Arial"/>
                      <w:sz w:val="20"/>
                    </w:rPr>
                    <w:t>56.8</w:t>
                  </w:r>
                </w:p>
              </w:tc>
              <w:tc>
                <w:tcPr>
                  <w:tcW w:w="0" w:type="auto"/>
                  <w:shd w:val="clear" w:color="auto" w:fill="FFFFFF"/>
                  <w:tcMar>
                    <w:top w:w="0" w:type="dxa"/>
                    <w:left w:w="0" w:type="dxa"/>
                    <w:bottom w:w="0" w:type="dxa"/>
                    <w:right w:w="0" w:type="dxa"/>
                  </w:tcMar>
                  <w:vAlign w:val="center"/>
                </w:tcPr>
                <w:p w14:paraId="1F939291">
                  <w:pPr>
                    <w:jc w:val="center"/>
                  </w:pPr>
                  <w:r>
                    <w:rPr>
                      <w:rFonts w:ascii="Arial" w:hAnsi="Arial" w:eastAsia="Arial" w:cs="Arial"/>
                      <w:sz w:val="20"/>
                    </w:rPr>
                    <w:t>20.2</w:t>
                  </w:r>
                </w:p>
              </w:tc>
              <w:tc>
                <w:tcPr>
                  <w:tcW w:w="0" w:type="auto"/>
                  <w:shd w:val="clear" w:color="auto" w:fill="FFFFFF"/>
                  <w:tcMar>
                    <w:top w:w="0" w:type="dxa"/>
                    <w:left w:w="0" w:type="dxa"/>
                    <w:bottom w:w="0" w:type="dxa"/>
                    <w:right w:w="0" w:type="dxa"/>
                  </w:tcMar>
                  <w:vAlign w:val="center"/>
                </w:tcPr>
                <w:p w14:paraId="194903D5">
                  <w:pPr>
                    <w:jc w:val="center"/>
                  </w:pPr>
                  <w:r>
                    <w:rPr>
                      <w:rFonts w:ascii="Arial" w:hAnsi="Arial" w:eastAsia="Arial" w:cs="Arial"/>
                      <w:sz w:val="20"/>
                    </w:rPr>
                    <w:t>69.3</w:t>
                  </w:r>
                </w:p>
              </w:tc>
              <w:tc>
                <w:tcPr>
                  <w:tcW w:w="0" w:type="auto"/>
                  <w:shd w:val="clear" w:color="auto" w:fill="FFFFFF"/>
                  <w:tcMar>
                    <w:top w:w="0" w:type="dxa"/>
                    <w:left w:w="0" w:type="dxa"/>
                    <w:bottom w:w="0" w:type="dxa"/>
                    <w:right w:w="0" w:type="dxa"/>
                  </w:tcMar>
                  <w:vAlign w:val="center"/>
                </w:tcPr>
                <w:p w14:paraId="7D6056AD">
                  <w:pPr>
                    <w:jc w:val="center"/>
                  </w:pPr>
                  <w:r>
                    <w:rPr>
                      <w:rFonts w:ascii="Arial" w:hAnsi="Arial" w:eastAsia="Arial" w:cs="Arial"/>
                      <w:sz w:val="20"/>
                    </w:rPr>
                    <w:t>6.2</w:t>
                  </w:r>
                </w:p>
              </w:tc>
              <w:tc>
                <w:tcPr>
                  <w:tcW w:w="0" w:type="auto"/>
                  <w:shd w:val="clear" w:color="auto" w:fill="FFFFFF"/>
                  <w:tcMar>
                    <w:top w:w="0" w:type="dxa"/>
                    <w:left w:w="0" w:type="dxa"/>
                    <w:bottom w:w="0" w:type="dxa"/>
                    <w:right w:w="0" w:type="dxa"/>
                  </w:tcMar>
                  <w:vAlign w:val="center"/>
                </w:tcPr>
                <w:p w14:paraId="71329837">
                  <w:pPr>
                    <w:jc w:val="center"/>
                  </w:pPr>
                  <w:r>
                    <w:rPr>
                      <w:rFonts w:ascii="Arial" w:hAnsi="Arial" w:eastAsia="Arial" w:cs="Arial"/>
                      <w:sz w:val="20"/>
                    </w:rPr>
                    <w:t>75.3</w:t>
                  </w:r>
                </w:p>
              </w:tc>
              <w:tc>
                <w:tcPr>
                  <w:tcW w:w="0" w:type="auto"/>
                  <w:shd w:val="clear" w:color="auto" w:fill="FFFFFF"/>
                  <w:tcMar>
                    <w:top w:w="0" w:type="dxa"/>
                    <w:left w:w="0" w:type="dxa"/>
                    <w:bottom w:w="0" w:type="dxa"/>
                    <w:right w:w="0" w:type="dxa"/>
                  </w:tcMar>
                  <w:vAlign w:val="center"/>
                </w:tcPr>
                <w:p w14:paraId="2EFA9638">
                  <w:pPr>
                    <w:jc w:val="center"/>
                  </w:pPr>
                  <w:r>
                    <w:rPr>
                      <w:rFonts w:ascii="Arial" w:hAnsi="Arial" w:eastAsia="Arial" w:cs="Arial"/>
                      <w:sz w:val="20"/>
                    </w:rPr>
                    <w:t>75.4</w:t>
                  </w:r>
                </w:p>
              </w:tc>
              <w:tc>
                <w:tcPr>
                  <w:tcW w:w="0" w:type="auto"/>
                  <w:shd w:val="clear" w:color="auto" w:fill="FFFFFF"/>
                  <w:tcMar>
                    <w:top w:w="0" w:type="dxa"/>
                    <w:left w:w="0" w:type="dxa"/>
                    <w:bottom w:w="0" w:type="dxa"/>
                    <w:right w:w="0" w:type="dxa"/>
                  </w:tcMar>
                  <w:vAlign w:val="center"/>
                </w:tcPr>
                <w:p w14:paraId="2F5D682B">
                  <w:pPr>
                    <w:jc w:val="center"/>
                  </w:pPr>
                  <w:r>
                    <w:rPr>
                      <w:rFonts w:ascii="Arial" w:hAnsi="Arial" w:eastAsia="Arial" w:cs="Arial"/>
                      <w:sz w:val="20"/>
                    </w:rPr>
                    <w:t>75.3</w:t>
                  </w:r>
                </w:p>
              </w:tc>
              <w:tc>
                <w:tcPr>
                  <w:tcW w:w="0" w:type="auto"/>
                  <w:shd w:val="clear" w:color="auto" w:fill="FFFFFF"/>
                  <w:tcMar>
                    <w:top w:w="0" w:type="dxa"/>
                    <w:left w:w="0" w:type="dxa"/>
                    <w:bottom w:w="0" w:type="dxa"/>
                    <w:right w:w="0" w:type="dxa"/>
                  </w:tcMar>
                  <w:vAlign w:val="center"/>
                </w:tcPr>
                <w:p w14:paraId="192893D0">
                  <w:pPr>
                    <w:jc w:val="center"/>
                  </w:pPr>
                  <w:r>
                    <w:rPr>
                      <w:rFonts w:ascii="Arial" w:hAnsi="Arial" w:eastAsia="Arial" w:cs="Arial"/>
                      <w:sz w:val="20"/>
                    </w:rPr>
                    <w:t>75.6</w:t>
                  </w:r>
                </w:p>
              </w:tc>
              <w:tc>
                <w:tcPr>
                  <w:tcW w:w="0" w:type="auto"/>
                  <w:vMerge w:val="continue"/>
                  <w:shd w:val="clear" w:color="auto" w:fill="FFFFFF"/>
                  <w:tcMar>
                    <w:top w:w="0" w:type="dxa"/>
                    <w:left w:w="0" w:type="dxa"/>
                    <w:bottom w:w="0" w:type="dxa"/>
                    <w:right w:w="0" w:type="dxa"/>
                  </w:tcMar>
                  <w:vAlign w:val="center"/>
                </w:tcPr>
                <w:p w14:paraId="2DAC3593">
                  <w:pPr>
                    <w:jc w:val="center"/>
                  </w:pPr>
                </w:p>
              </w:tc>
              <w:tc>
                <w:tcPr>
                  <w:tcW w:w="0" w:type="auto"/>
                  <w:shd w:val="clear" w:color="auto" w:fill="FFFFFF"/>
                  <w:tcMar>
                    <w:top w:w="0" w:type="dxa"/>
                    <w:left w:w="0" w:type="dxa"/>
                    <w:bottom w:w="0" w:type="dxa"/>
                    <w:right w:w="0" w:type="dxa"/>
                  </w:tcMar>
                  <w:vAlign w:val="center"/>
                </w:tcPr>
                <w:p w14:paraId="33623BB3">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00820593">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0804800C">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27A37E67">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42A58E66">
                  <w:pPr>
                    <w:jc w:val="center"/>
                  </w:pPr>
                  <w:r>
                    <w:rPr>
                      <w:rFonts w:ascii="Arial" w:hAnsi="Arial" w:eastAsia="Arial" w:cs="Arial"/>
                      <w:sz w:val="20"/>
                    </w:rPr>
                    <w:t>51.3</w:t>
                  </w:r>
                </w:p>
              </w:tc>
              <w:tc>
                <w:tcPr>
                  <w:tcW w:w="0" w:type="auto"/>
                  <w:shd w:val="clear" w:color="auto" w:fill="FFFFFF"/>
                  <w:tcMar>
                    <w:top w:w="0" w:type="dxa"/>
                    <w:left w:w="0" w:type="dxa"/>
                    <w:bottom w:w="0" w:type="dxa"/>
                    <w:right w:w="0" w:type="dxa"/>
                  </w:tcMar>
                  <w:vAlign w:val="center"/>
                </w:tcPr>
                <w:p w14:paraId="12134598">
                  <w:pPr>
                    <w:jc w:val="center"/>
                  </w:pPr>
                  <w:r>
                    <w:rPr>
                      <w:rFonts w:ascii="Arial" w:hAnsi="Arial" w:eastAsia="Arial" w:cs="Arial"/>
                      <w:sz w:val="20"/>
                    </w:rPr>
                    <w:t>51.4</w:t>
                  </w:r>
                </w:p>
              </w:tc>
              <w:tc>
                <w:tcPr>
                  <w:tcW w:w="0" w:type="auto"/>
                  <w:shd w:val="clear" w:color="auto" w:fill="FFFFFF"/>
                  <w:tcMar>
                    <w:top w:w="0" w:type="dxa"/>
                    <w:left w:w="0" w:type="dxa"/>
                    <w:bottom w:w="0" w:type="dxa"/>
                    <w:right w:w="0" w:type="dxa"/>
                  </w:tcMar>
                  <w:vAlign w:val="center"/>
                </w:tcPr>
                <w:p w14:paraId="792D7B13">
                  <w:pPr>
                    <w:jc w:val="center"/>
                  </w:pPr>
                  <w:r>
                    <w:rPr>
                      <w:rFonts w:ascii="Arial" w:hAnsi="Arial" w:eastAsia="Arial" w:cs="Arial"/>
                      <w:sz w:val="20"/>
                    </w:rPr>
                    <w:t>51.3</w:t>
                  </w:r>
                </w:p>
              </w:tc>
              <w:tc>
                <w:tcPr>
                  <w:tcW w:w="0" w:type="auto"/>
                  <w:shd w:val="clear" w:color="auto" w:fill="FFFFFF"/>
                  <w:tcMar>
                    <w:top w:w="0" w:type="dxa"/>
                    <w:left w:w="0" w:type="dxa"/>
                    <w:bottom w:w="0" w:type="dxa"/>
                    <w:right w:w="0" w:type="dxa"/>
                  </w:tcMar>
                  <w:vAlign w:val="center"/>
                </w:tcPr>
                <w:p w14:paraId="6FA09543">
                  <w:pPr>
                    <w:jc w:val="center"/>
                  </w:pPr>
                  <w:r>
                    <w:rPr>
                      <w:rFonts w:ascii="Arial" w:hAnsi="Arial" w:eastAsia="Arial" w:cs="Arial"/>
                      <w:sz w:val="20"/>
                    </w:rPr>
                    <w:t>51.6</w:t>
                  </w:r>
                </w:p>
              </w:tc>
              <w:tc>
                <w:tcPr>
                  <w:tcW w:w="0" w:type="auto"/>
                  <w:shd w:val="clear" w:color="auto" w:fill="FFFFFF"/>
                  <w:tcMar>
                    <w:top w:w="0" w:type="dxa"/>
                    <w:left w:w="0" w:type="dxa"/>
                    <w:bottom w:w="0" w:type="dxa"/>
                    <w:right w:w="0" w:type="dxa"/>
                  </w:tcMar>
                  <w:vAlign w:val="center"/>
                </w:tcPr>
                <w:p w14:paraId="397A201F">
                  <w:pPr>
                    <w:jc w:val="center"/>
                  </w:pPr>
                  <w:r>
                    <w:rPr>
                      <w:rFonts w:ascii="Arial" w:hAnsi="Arial" w:eastAsia="Arial" w:cs="Arial"/>
                      <w:sz w:val="20"/>
                    </w:rPr>
                    <w:t>1</w:t>
                  </w:r>
                </w:p>
              </w:tc>
            </w:tr>
            <w:tr w14:paraId="50B8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trPr>
              <w:tc>
                <w:tcPr>
                  <w:tcW w:w="0" w:type="auto"/>
                  <w:shd w:val="clear" w:color="auto" w:fill="FFFFFF"/>
                  <w:tcMar>
                    <w:top w:w="0" w:type="dxa"/>
                    <w:left w:w="0" w:type="dxa"/>
                    <w:bottom w:w="0" w:type="dxa"/>
                    <w:right w:w="0" w:type="dxa"/>
                  </w:tcMar>
                  <w:vAlign w:val="center"/>
                </w:tcPr>
                <w:p w14:paraId="57549C50">
                  <w:pPr>
                    <w:jc w:val="center"/>
                  </w:pPr>
                  <w:r>
                    <w:rPr>
                      <w:rFonts w:hint="eastAsia" w:ascii="Arial" w:hAnsi="Arial" w:eastAsia="宋体" w:cs="Arial"/>
                      <w:sz w:val="20"/>
                      <w:lang w:val="en-US" w:eastAsia="zh-CN"/>
                    </w:rPr>
                    <w:t>7</w:t>
                  </w:r>
                </w:p>
              </w:tc>
              <w:tc>
                <w:tcPr>
                  <w:tcW w:w="0" w:type="auto"/>
                  <w:vMerge w:val="continue"/>
                  <w:shd w:val="clear" w:color="auto" w:fill="FFFFFF"/>
                  <w:tcMar>
                    <w:top w:w="0" w:type="dxa"/>
                    <w:left w:w="0" w:type="dxa"/>
                    <w:bottom w:w="0" w:type="dxa"/>
                    <w:right w:w="0" w:type="dxa"/>
                  </w:tcMar>
                  <w:vAlign w:val="center"/>
                </w:tcPr>
                <w:p w14:paraId="651DCD65">
                  <w:pPr>
                    <w:jc w:val="center"/>
                  </w:pPr>
                </w:p>
              </w:tc>
              <w:tc>
                <w:tcPr>
                  <w:tcW w:w="0" w:type="auto"/>
                  <w:shd w:val="clear" w:color="auto" w:fill="FFFFFF"/>
                  <w:tcMar>
                    <w:top w:w="0" w:type="dxa"/>
                    <w:left w:w="0" w:type="dxa"/>
                    <w:bottom w:w="0" w:type="dxa"/>
                    <w:right w:w="0" w:type="dxa"/>
                  </w:tcMar>
                  <w:vAlign w:val="center"/>
                </w:tcPr>
                <w:p w14:paraId="1A2DD774">
                  <w:pPr>
                    <w:jc w:val="center"/>
                  </w:pPr>
                  <w:r>
                    <w:rPr>
                      <w:rFonts w:ascii="Arial" w:hAnsi="Arial" w:eastAsia="Arial" w:cs="Arial"/>
                      <w:sz w:val="20"/>
                    </w:rPr>
                    <w:t>喷漆烘干线</w:t>
                  </w:r>
                  <w:r>
                    <w:rPr>
                      <w:rFonts w:hint="eastAsia" w:ascii="Arial" w:hAnsi="Arial" w:eastAsia="宋体" w:cs="Arial"/>
                      <w:sz w:val="20"/>
                      <w:lang w:eastAsia="zh-CN"/>
                    </w:rPr>
                    <w:t>，</w:t>
                  </w:r>
                  <w:r>
                    <w:rPr>
                      <w:rFonts w:ascii="Arial" w:hAnsi="Arial" w:eastAsia="Arial" w:cs="Arial"/>
                      <w:sz w:val="20"/>
                    </w:rPr>
                    <w:t>1台（按点声源组预测）</w:t>
                  </w:r>
                </w:p>
              </w:tc>
              <w:tc>
                <w:tcPr>
                  <w:tcW w:w="0" w:type="auto"/>
                  <w:shd w:val="clear" w:color="auto" w:fill="FFFFFF"/>
                  <w:tcMar>
                    <w:top w:w="0" w:type="dxa"/>
                    <w:left w:w="0" w:type="dxa"/>
                    <w:bottom w:w="0" w:type="dxa"/>
                    <w:right w:w="0" w:type="dxa"/>
                  </w:tcMar>
                  <w:vAlign w:val="center"/>
                </w:tcPr>
                <w:p w14:paraId="4A9F4934">
                  <w:pPr>
                    <w:jc w:val="center"/>
                  </w:pPr>
                </w:p>
              </w:tc>
              <w:tc>
                <w:tcPr>
                  <w:tcW w:w="0" w:type="auto"/>
                  <w:shd w:val="clear" w:color="auto" w:fill="FFFFFF"/>
                  <w:tcMar>
                    <w:top w:w="0" w:type="dxa"/>
                    <w:left w:w="0" w:type="dxa"/>
                    <w:bottom w:w="0" w:type="dxa"/>
                    <w:right w:w="0" w:type="dxa"/>
                  </w:tcMar>
                  <w:vAlign w:val="center"/>
                </w:tcPr>
                <w:p w14:paraId="78B13A64">
                  <w:pPr>
                    <w:jc w:val="center"/>
                  </w:pPr>
                  <w:r>
                    <w:rPr>
                      <w:rFonts w:ascii="Arial" w:hAnsi="Arial" w:eastAsia="Arial" w:cs="Arial"/>
                      <w:sz w:val="20"/>
                    </w:rPr>
                    <w:t>90（等效后：90.0</w:t>
                  </w:r>
                  <w:r>
                    <w:rPr>
                      <w:rFonts w:hint="eastAsia" w:ascii="Arial" w:hAnsi="Arial" w:eastAsia="宋体" w:cs="Arial"/>
                      <w:sz w:val="20"/>
                      <w:lang w:eastAsia="zh-CN"/>
                    </w:rPr>
                    <w:t>）</w:t>
                  </w:r>
                </w:p>
              </w:tc>
              <w:tc>
                <w:tcPr>
                  <w:tcW w:w="0" w:type="auto"/>
                  <w:shd w:val="clear" w:color="auto" w:fill="FFFFFF"/>
                  <w:tcMar>
                    <w:top w:w="0" w:type="dxa"/>
                    <w:left w:w="0" w:type="dxa"/>
                    <w:bottom w:w="0" w:type="dxa"/>
                    <w:right w:w="0" w:type="dxa"/>
                  </w:tcMar>
                  <w:vAlign w:val="center"/>
                </w:tcPr>
                <w:p w14:paraId="3E80631A">
                  <w:pPr>
                    <w:jc w:val="center"/>
                  </w:pPr>
                </w:p>
              </w:tc>
              <w:tc>
                <w:tcPr>
                  <w:tcW w:w="0" w:type="auto"/>
                  <w:shd w:val="clear" w:color="auto" w:fill="FFFFFF"/>
                  <w:tcMar>
                    <w:top w:w="0" w:type="dxa"/>
                    <w:left w:w="0" w:type="dxa"/>
                    <w:bottom w:w="0" w:type="dxa"/>
                    <w:right w:w="0" w:type="dxa"/>
                  </w:tcMar>
                  <w:vAlign w:val="center"/>
                </w:tcPr>
                <w:p w14:paraId="360D8186">
                  <w:pPr>
                    <w:jc w:val="center"/>
                  </w:pPr>
                  <w:r>
                    <w:rPr>
                      <w:rFonts w:ascii="Arial" w:hAnsi="Arial" w:eastAsia="Arial" w:cs="Arial"/>
                      <w:sz w:val="20"/>
                    </w:rPr>
                    <w:t>118.3</w:t>
                  </w:r>
                </w:p>
              </w:tc>
              <w:tc>
                <w:tcPr>
                  <w:tcW w:w="0" w:type="auto"/>
                  <w:shd w:val="clear" w:color="auto" w:fill="FFFFFF"/>
                  <w:tcMar>
                    <w:top w:w="0" w:type="dxa"/>
                    <w:left w:w="0" w:type="dxa"/>
                    <w:bottom w:w="0" w:type="dxa"/>
                    <w:right w:w="0" w:type="dxa"/>
                  </w:tcMar>
                  <w:vAlign w:val="center"/>
                </w:tcPr>
                <w:p w14:paraId="2EC89839">
                  <w:pPr>
                    <w:jc w:val="center"/>
                  </w:pPr>
                  <w:r>
                    <w:rPr>
                      <w:rFonts w:ascii="Arial" w:hAnsi="Arial" w:eastAsia="Arial" w:cs="Arial"/>
                      <w:sz w:val="20"/>
                    </w:rPr>
                    <w:t>52.7</w:t>
                  </w:r>
                </w:p>
              </w:tc>
              <w:tc>
                <w:tcPr>
                  <w:tcW w:w="0" w:type="auto"/>
                  <w:shd w:val="clear" w:color="auto" w:fill="FFFFFF"/>
                  <w:tcMar>
                    <w:top w:w="0" w:type="dxa"/>
                    <w:left w:w="0" w:type="dxa"/>
                    <w:bottom w:w="0" w:type="dxa"/>
                    <w:right w:w="0" w:type="dxa"/>
                  </w:tcMar>
                  <w:vAlign w:val="center"/>
                </w:tcPr>
                <w:p w14:paraId="38DE9F31">
                  <w:pPr>
                    <w:jc w:val="center"/>
                  </w:pPr>
                  <w:r>
                    <w:rPr>
                      <w:rFonts w:ascii="Arial" w:hAnsi="Arial" w:eastAsia="Arial" w:cs="Arial"/>
                      <w:sz w:val="20"/>
                    </w:rPr>
                    <w:t>1.2</w:t>
                  </w:r>
                </w:p>
              </w:tc>
              <w:tc>
                <w:tcPr>
                  <w:tcW w:w="0" w:type="auto"/>
                  <w:shd w:val="clear" w:color="auto" w:fill="FFFFFF"/>
                  <w:tcMar>
                    <w:top w:w="0" w:type="dxa"/>
                    <w:left w:w="0" w:type="dxa"/>
                    <w:bottom w:w="0" w:type="dxa"/>
                    <w:right w:w="0" w:type="dxa"/>
                  </w:tcMar>
                  <w:vAlign w:val="center"/>
                </w:tcPr>
                <w:p w14:paraId="2B91377E">
                  <w:pPr>
                    <w:jc w:val="center"/>
                  </w:pPr>
                  <w:r>
                    <w:rPr>
                      <w:rFonts w:ascii="Arial" w:hAnsi="Arial" w:eastAsia="Arial" w:cs="Arial"/>
                      <w:sz w:val="20"/>
                    </w:rPr>
                    <w:t>41.2</w:t>
                  </w:r>
                </w:p>
              </w:tc>
              <w:tc>
                <w:tcPr>
                  <w:tcW w:w="0" w:type="auto"/>
                  <w:shd w:val="clear" w:color="auto" w:fill="FFFFFF"/>
                  <w:tcMar>
                    <w:top w:w="0" w:type="dxa"/>
                    <w:left w:w="0" w:type="dxa"/>
                    <w:bottom w:w="0" w:type="dxa"/>
                    <w:right w:w="0" w:type="dxa"/>
                  </w:tcMar>
                  <w:vAlign w:val="center"/>
                </w:tcPr>
                <w:p w14:paraId="18DFBDF1">
                  <w:pPr>
                    <w:jc w:val="center"/>
                  </w:pPr>
                  <w:r>
                    <w:rPr>
                      <w:rFonts w:ascii="Arial" w:hAnsi="Arial" w:eastAsia="Arial" w:cs="Arial"/>
                      <w:sz w:val="20"/>
                    </w:rPr>
                    <w:t>3.0</w:t>
                  </w:r>
                </w:p>
              </w:tc>
              <w:tc>
                <w:tcPr>
                  <w:tcW w:w="0" w:type="auto"/>
                  <w:shd w:val="clear" w:color="auto" w:fill="FFFFFF"/>
                  <w:tcMar>
                    <w:top w:w="0" w:type="dxa"/>
                    <w:left w:w="0" w:type="dxa"/>
                    <w:bottom w:w="0" w:type="dxa"/>
                    <w:right w:w="0" w:type="dxa"/>
                  </w:tcMar>
                  <w:vAlign w:val="center"/>
                </w:tcPr>
                <w:p w14:paraId="08FAB4A1">
                  <w:pPr>
                    <w:jc w:val="center"/>
                  </w:pPr>
                  <w:r>
                    <w:rPr>
                      <w:rFonts w:ascii="Arial" w:hAnsi="Arial" w:eastAsia="Arial" w:cs="Arial"/>
                      <w:sz w:val="20"/>
                    </w:rPr>
                    <w:t>86.0</w:t>
                  </w:r>
                </w:p>
              </w:tc>
              <w:tc>
                <w:tcPr>
                  <w:tcW w:w="0" w:type="auto"/>
                  <w:shd w:val="clear" w:color="auto" w:fill="FFFFFF"/>
                  <w:tcMar>
                    <w:top w:w="0" w:type="dxa"/>
                    <w:left w:w="0" w:type="dxa"/>
                    <w:bottom w:w="0" w:type="dxa"/>
                    <w:right w:w="0" w:type="dxa"/>
                  </w:tcMar>
                  <w:vAlign w:val="center"/>
                </w:tcPr>
                <w:p w14:paraId="3D6F2DBE">
                  <w:pPr>
                    <w:jc w:val="center"/>
                  </w:pPr>
                  <w:r>
                    <w:rPr>
                      <w:rFonts w:ascii="Arial" w:hAnsi="Arial" w:eastAsia="Arial" w:cs="Arial"/>
                      <w:sz w:val="20"/>
                    </w:rPr>
                    <w:t>23.8</w:t>
                  </w:r>
                </w:p>
              </w:tc>
              <w:tc>
                <w:tcPr>
                  <w:tcW w:w="0" w:type="auto"/>
                  <w:shd w:val="clear" w:color="auto" w:fill="FFFFFF"/>
                  <w:tcMar>
                    <w:top w:w="0" w:type="dxa"/>
                    <w:left w:w="0" w:type="dxa"/>
                    <w:bottom w:w="0" w:type="dxa"/>
                    <w:right w:w="0" w:type="dxa"/>
                  </w:tcMar>
                  <w:vAlign w:val="center"/>
                </w:tcPr>
                <w:p w14:paraId="27E8A343">
                  <w:pPr>
                    <w:jc w:val="center"/>
                  </w:pPr>
                  <w:r>
                    <w:rPr>
                      <w:rFonts w:ascii="Arial" w:hAnsi="Arial" w:eastAsia="Arial" w:cs="Arial"/>
                      <w:sz w:val="20"/>
                    </w:rPr>
                    <w:t>75.3</w:t>
                  </w:r>
                </w:p>
              </w:tc>
              <w:tc>
                <w:tcPr>
                  <w:tcW w:w="0" w:type="auto"/>
                  <w:shd w:val="clear" w:color="auto" w:fill="FFFFFF"/>
                  <w:tcMar>
                    <w:top w:w="0" w:type="dxa"/>
                    <w:left w:w="0" w:type="dxa"/>
                    <w:bottom w:w="0" w:type="dxa"/>
                    <w:right w:w="0" w:type="dxa"/>
                  </w:tcMar>
                  <w:vAlign w:val="center"/>
                </w:tcPr>
                <w:p w14:paraId="0814DE32">
                  <w:pPr>
                    <w:jc w:val="center"/>
                  </w:pPr>
                  <w:r>
                    <w:rPr>
                      <w:rFonts w:ascii="Arial" w:hAnsi="Arial" w:eastAsia="Arial" w:cs="Arial"/>
                      <w:sz w:val="20"/>
                    </w:rPr>
                    <w:t>76.3</w:t>
                  </w:r>
                </w:p>
              </w:tc>
              <w:tc>
                <w:tcPr>
                  <w:tcW w:w="0" w:type="auto"/>
                  <w:shd w:val="clear" w:color="auto" w:fill="FFFFFF"/>
                  <w:tcMar>
                    <w:top w:w="0" w:type="dxa"/>
                    <w:left w:w="0" w:type="dxa"/>
                    <w:bottom w:w="0" w:type="dxa"/>
                    <w:right w:w="0" w:type="dxa"/>
                  </w:tcMar>
                  <w:vAlign w:val="center"/>
                </w:tcPr>
                <w:p w14:paraId="27C48445">
                  <w:pPr>
                    <w:jc w:val="center"/>
                  </w:pPr>
                  <w:r>
                    <w:rPr>
                      <w:rFonts w:ascii="Arial" w:hAnsi="Arial" w:eastAsia="Arial" w:cs="Arial"/>
                      <w:sz w:val="20"/>
                    </w:rPr>
                    <w:t>75.3</w:t>
                  </w:r>
                </w:p>
              </w:tc>
              <w:tc>
                <w:tcPr>
                  <w:tcW w:w="0" w:type="auto"/>
                  <w:shd w:val="clear" w:color="auto" w:fill="FFFFFF"/>
                  <w:tcMar>
                    <w:top w:w="0" w:type="dxa"/>
                    <w:left w:w="0" w:type="dxa"/>
                    <w:bottom w:w="0" w:type="dxa"/>
                    <w:right w:w="0" w:type="dxa"/>
                  </w:tcMar>
                  <w:vAlign w:val="center"/>
                </w:tcPr>
                <w:p w14:paraId="2DFC7D1C">
                  <w:pPr>
                    <w:jc w:val="center"/>
                  </w:pPr>
                  <w:r>
                    <w:rPr>
                      <w:rFonts w:ascii="Arial" w:hAnsi="Arial" w:eastAsia="Arial" w:cs="Arial"/>
                      <w:sz w:val="20"/>
                    </w:rPr>
                    <w:t>75.4</w:t>
                  </w:r>
                </w:p>
              </w:tc>
              <w:tc>
                <w:tcPr>
                  <w:tcW w:w="0" w:type="auto"/>
                  <w:vMerge w:val="continue"/>
                  <w:shd w:val="clear" w:color="auto" w:fill="FFFFFF"/>
                  <w:tcMar>
                    <w:top w:w="0" w:type="dxa"/>
                    <w:left w:w="0" w:type="dxa"/>
                    <w:bottom w:w="0" w:type="dxa"/>
                    <w:right w:w="0" w:type="dxa"/>
                  </w:tcMar>
                  <w:vAlign w:val="center"/>
                </w:tcPr>
                <w:p w14:paraId="52B66CEC">
                  <w:pPr>
                    <w:jc w:val="center"/>
                  </w:pPr>
                </w:p>
              </w:tc>
              <w:tc>
                <w:tcPr>
                  <w:tcW w:w="0" w:type="auto"/>
                  <w:shd w:val="clear" w:color="auto" w:fill="FFFFFF"/>
                  <w:tcMar>
                    <w:top w:w="0" w:type="dxa"/>
                    <w:left w:w="0" w:type="dxa"/>
                    <w:bottom w:w="0" w:type="dxa"/>
                    <w:right w:w="0" w:type="dxa"/>
                  </w:tcMar>
                  <w:vAlign w:val="center"/>
                </w:tcPr>
                <w:p w14:paraId="7CB28BF0">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35939C1A">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477E9FCC">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5F71EBDD">
                  <w:pPr>
                    <w:jc w:val="center"/>
                  </w:pPr>
                  <w:r>
                    <w:rPr>
                      <w:rFonts w:ascii="Arial" w:hAnsi="Arial" w:eastAsia="Arial" w:cs="Arial"/>
                      <w:sz w:val="20"/>
                    </w:rPr>
                    <w:t>24.0</w:t>
                  </w:r>
                </w:p>
              </w:tc>
              <w:tc>
                <w:tcPr>
                  <w:tcW w:w="0" w:type="auto"/>
                  <w:shd w:val="clear" w:color="auto" w:fill="FFFFFF"/>
                  <w:tcMar>
                    <w:top w:w="0" w:type="dxa"/>
                    <w:left w:w="0" w:type="dxa"/>
                    <w:bottom w:w="0" w:type="dxa"/>
                    <w:right w:w="0" w:type="dxa"/>
                  </w:tcMar>
                  <w:vAlign w:val="center"/>
                </w:tcPr>
                <w:p w14:paraId="12B5BDE3">
                  <w:pPr>
                    <w:jc w:val="center"/>
                  </w:pPr>
                  <w:r>
                    <w:rPr>
                      <w:rFonts w:ascii="Arial" w:hAnsi="Arial" w:eastAsia="Arial" w:cs="Arial"/>
                      <w:sz w:val="20"/>
                    </w:rPr>
                    <w:t>51.3</w:t>
                  </w:r>
                </w:p>
              </w:tc>
              <w:tc>
                <w:tcPr>
                  <w:tcW w:w="0" w:type="auto"/>
                  <w:shd w:val="clear" w:color="auto" w:fill="FFFFFF"/>
                  <w:tcMar>
                    <w:top w:w="0" w:type="dxa"/>
                    <w:left w:w="0" w:type="dxa"/>
                    <w:bottom w:w="0" w:type="dxa"/>
                    <w:right w:w="0" w:type="dxa"/>
                  </w:tcMar>
                  <w:vAlign w:val="center"/>
                </w:tcPr>
                <w:p w14:paraId="75989CBB">
                  <w:pPr>
                    <w:jc w:val="center"/>
                  </w:pPr>
                  <w:r>
                    <w:rPr>
                      <w:rFonts w:ascii="Arial" w:hAnsi="Arial" w:eastAsia="Arial" w:cs="Arial"/>
                      <w:sz w:val="20"/>
                    </w:rPr>
                    <w:t>52.3</w:t>
                  </w:r>
                </w:p>
              </w:tc>
              <w:tc>
                <w:tcPr>
                  <w:tcW w:w="0" w:type="auto"/>
                  <w:shd w:val="clear" w:color="auto" w:fill="FFFFFF"/>
                  <w:tcMar>
                    <w:top w:w="0" w:type="dxa"/>
                    <w:left w:w="0" w:type="dxa"/>
                    <w:bottom w:w="0" w:type="dxa"/>
                    <w:right w:w="0" w:type="dxa"/>
                  </w:tcMar>
                  <w:vAlign w:val="center"/>
                </w:tcPr>
                <w:p w14:paraId="4CA8A5ED">
                  <w:pPr>
                    <w:jc w:val="center"/>
                  </w:pPr>
                  <w:r>
                    <w:rPr>
                      <w:rFonts w:ascii="Arial" w:hAnsi="Arial" w:eastAsia="Arial" w:cs="Arial"/>
                      <w:sz w:val="20"/>
                    </w:rPr>
                    <w:t>51.3</w:t>
                  </w:r>
                </w:p>
              </w:tc>
              <w:tc>
                <w:tcPr>
                  <w:tcW w:w="0" w:type="auto"/>
                  <w:shd w:val="clear" w:color="auto" w:fill="FFFFFF"/>
                  <w:tcMar>
                    <w:top w:w="0" w:type="dxa"/>
                    <w:left w:w="0" w:type="dxa"/>
                    <w:bottom w:w="0" w:type="dxa"/>
                    <w:right w:w="0" w:type="dxa"/>
                  </w:tcMar>
                  <w:vAlign w:val="center"/>
                </w:tcPr>
                <w:p w14:paraId="6626D2AA">
                  <w:pPr>
                    <w:jc w:val="center"/>
                  </w:pPr>
                  <w:r>
                    <w:rPr>
                      <w:rFonts w:ascii="Arial" w:hAnsi="Arial" w:eastAsia="Arial" w:cs="Arial"/>
                      <w:sz w:val="20"/>
                    </w:rPr>
                    <w:t>51.4</w:t>
                  </w:r>
                </w:p>
              </w:tc>
              <w:tc>
                <w:tcPr>
                  <w:tcW w:w="0" w:type="auto"/>
                  <w:shd w:val="clear" w:color="auto" w:fill="FFFFFF"/>
                  <w:tcMar>
                    <w:top w:w="0" w:type="dxa"/>
                    <w:left w:w="0" w:type="dxa"/>
                    <w:bottom w:w="0" w:type="dxa"/>
                    <w:right w:w="0" w:type="dxa"/>
                  </w:tcMar>
                  <w:vAlign w:val="center"/>
                </w:tcPr>
                <w:p w14:paraId="5461D947">
                  <w:pPr>
                    <w:jc w:val="center"/>
                  </w:pPr>
                  <w:r>
                    <w:rPr>
                      <w:rFonts w:ascii="Arial" w:hAnsi="Arial" w:eastAsia="Arial" w:cs="Arial"/>
                      <w:sz w:val="20"/>
                    </w:rPr>
                    <w:t>1</w:t>
                  </w:r>
                </w:p>
              </w:tc>
            </w:tr>
            <w:bookmarkEnd w:id="5"/>
          </w:tbl>
          <w:p w14:paraId="6330332C">
            <w:pPr>
              <w:pStyle w:val="62"/>
              <w:bidi w:val="0"/>
              <w:rPr>
                <w:rFonts w:hint="eastAsia"/>
              </w:rPr>
            </w:pPr>
          </w:p>
          <w:p w14:paraId="60F95EC4">
            <w:pPr>
              <w:pStyle w:val="19"/>
              <w:jc w:val="both"/>
              <w:outlineLvl w:val="0"/>
              <w:rPr>
                <w:rFonts w:hint="eastAsia" w:ascii="黑体" w:hAnsi="黑体" w:eastAsia="黑体"/>
                <w:snapToGrid w:val="0"/>
                <w:sz w:val="30"/>
                <w:szCs w:val="30"/>
                <w:vertAlign w:val="baseline"/>
              </w:rPr>
            </w:pPr>
          </w:p>
        </w:tc>
      </w:tr>
    </w:tbl>
    <w:p w14:paraId="32B05B81">
      <w:pPr>
        <w:pStyle w:val="19"/>
        <w:jc w:val="both"/>
        <w:outlineLvl w:val="0"/>
        <w:rPr>
          <w:rFonts w:hint="eastAsia" w:ascii="黑体" w:hAnsi="黑体" w:eastAsia="黑体"/>
          <w:snapToGrid w:val="0"/>
          <w:sz w:val="30"/>
          <w:szCs w:val="30"/>
        </w:rPr>
        <w:sectPr>
          <w:pgSz w:w="16838" w:h="11906" w:orient="landscape"/>
          <w:pgMar w:top="1531" w:right="1701" w:bottom="1531" w:left="1701" w:header="851" w:footer="851" w:gutter="0"/>
          <w:pgNumType w:fmt="decimal"/>
          <w:cols w:space="720" w:num="1"/>
          <w:docGrid w:linePitch="312" w:charSpace="0"/>
        </w:sect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8542"/>
      </w:tblGrid>
      <w:tr w14:paraId="0736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518" w:type="dxa"/>
          </w:tcPr>
          <w:p w14:paraId="7882702B">
            <w:pPr>
              <w:pStyle w:val="19"/>
              <w:jc w:val="center"/>
              <w:outlineLvl w:val="0"/>
              <w:rPr>
                <w:rFonts w:hint="eastAsia" w:ascii="黑体" w:hAnsi="黑体" w:eastAsia="黑体"/>
                <w:snapToGrid w:val="0"/>
                <w:sz w:val="30"/>
                <w:szCs w:val="30"/>
                <w:vertAlign w:val="baseline"/>
              </w:rPr>
            </w:pPr>
          </w:p>
        </w:tc>
        <w:tc>
          <w:tcPr>
            <w:tcW w:w="8542" w:type="dxa"/>
          </w:tcPr>
          <w:p w14:paraId="362C9948">
            <w:pPr>
              <w:pStyle w:val="52"/>
              <w:bidi w:val="0"/>
              <w:rPr>
                <w:rFonts w:hint="eastAsia"/>
                <w:lang w:val="en-US" w:eastAsia="zh-CN"/>
              </w:rPr>
            </w:pPr>
            <w:r>
              <w:rPr>
                <w:rFonts w:hint="eastAsia"/>
                <w:lang w:val="en-US" w:eastAsia="zh-CN"/>
              </w:rPr>
              <w:t>3.3预测结果</w:t>
            </w:r>
          </w:p>
          <w:p w14:paraId="0773B4D3">
            <w:pPr>
              <w:pStyle w:val="54"/>
              <w:bidi w:val="0"/>
              <w:rPr>
                <w:rFonts w:hint="eastAsia"/>
                <w:lang w:val="en-US" w:eastAsia="zh-CN"/>
              </w:rPr>
            </w:pPr>
            <w:r>
              <w:rPr>
                <w:rFonts w:hint="eastAsia"/>
                <w:lang w:val="en-US" w:eastAsia="zh-CN"/>
              </w:rPr>
              <w:t>通过预测模型计算，项目厂界噪声预测结果与达标分析见表4-11。</w:t>
            </w:r>
          </w:p>
          <w:p w14:paraId="4AC736A4">
            <w:pPr>
              <w:pStyle w:val="62"/>
              <w:bidi w:val="0"/>
              <w:rPr>
                <w:rFonts w:hint="eastAsia"/>
                <w:lang w:val="en-US" w:eastAsia="zh-CN"/>
              </w:rPr>
            </w:pPr>
            <w:r>
              <w:rPr>
                <w:rFonts w:hint="eastAsia"/>
                <w:lang w:val="en-US" w:eastAsia="zh-CN"/>
              </w:rPr>
              <w:t>表4-11    厂界噪声预测结果与达标分析表</w:t>
            </w:r>
          </w:p>
          <w:tbl>
            <w:tblPr>
              <w:tblStyle w:val="23"/>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03"/>
              <w:gridCol w:w="803"/>
              <w:gridCol w:w="803"/>
              <w:gridCol w:w="993"/>
              <w:gridCol w:w="1417"/>
              <w:gridCol w:w="1418"/>
              <w:gridCol w:w="1188"/>
            </w:tblGrid>
            <w:tr w14:paraId="2EF3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01" w:type="dxa"/>
                  <w:vMerge w:val="restart"/>
                  <w:vAlign w:val="center"/>
                </w:tcPr>
                <w:p w14:paraId="5C63D2F6">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预测方位</w:t>
                  </w:r>
                </w:p>
              </w:tc>
              <w:tc>
                <w:tcPr>
                  <w:tcW w:w="2409" w:type="dxa"/>
                  <w:gridSpan w:val="3"/>
                  <w:vAlign w:val="center"/>
                </w:tcPr>
                <w:p w14:paraId="255D9F30">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b/>
                      <w:sz w:val="21"/>
                      <w:szCs w:val="21"/>
                      <w:lang w:val="en-US" w:eastAsia="zh-CN"/>
                    </w:rPr>
                    <w:t>最大值点</w:t>
                  </w:r>
                  <w:r>
                    <w:rPr>
                      <w:rFonts w:ascii="Times New Roman" w:hAnsi="Times New Roman" w:cs="Times New Roman" w:eastAsiaTheme="minorEastAsia"/>
                      <w:b/>
                      <w:sz w:val="21"/>
                      <w:szCs w:val="21"/>
                    </w:rPr>
                    <w:t>空间相对位置/m</w:t>
                  </w:r>
                </w:p>
              </w:tc>
              <w:tc>
                <w:tcPr>
                  <w:tcW w:w="993" w:type="dxa"/>
                  <w:vMerge w:val="restart"/>
                  <w:vAlign w:val="center"/>
                </w:tcPr>
                <w:p w14:paraId="1D664E91">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时段</w:t>
                  </w:r>
                </w:p>
              </w:tc>
              <w:tc>
                <w:tcPr>
                  <w:tcW w:w="1417" w:type="dxa"/>
                  <w:vMerge w:val="restart"/>
                  <w:vAlign w:val="center"/>
                </w:tcPr>
                <w:p w14:paraId="497FEB13">
                  <w:pPr>
                    <w:jc w:val="center"/>
                    <w:rPr>
                      <w:rFonts w:ascii="Times New Roman" w:hAnsi="Times New Roman" w:cs="Times New Roman" w:eastAsiaTheme="minorEastAsia"/>
                      <w:sz w:val="21"/>
                      <w:szCs w:val="21"/>
                    </w:rPr>
                  </w:pPr>
                  <w:r>
                    <w:rPr>
                      <w:rFonts w:hint="eastAsia" w:ascii="Times New Roman" w:hAnsi="Times New Roman" w:cs="Times New Roman" w:eastAsiaTheme="minorEastAsia"/>
                      <w:b/>
                      <w:sz w:val="21"/>
                      <w:szCs w:val="21"/>
                    </w:rPr>
                    <w:t>贡献值</w:t>
                  </w:r>
                  <w:r>
                    <w:rPr>
                      <w:rFonts w:ascii="Times New Roman" w:hAnsi="Times New Roman" w:cs="Times New Roman" w:eastAsiaTheme="minorEastAsia"/>
                      <w:b/>
                      <w:sz w:val="21"/>
                      <w:szCs w:val="21"/>
                    </w:rPr>
                    <w:t>dB(A)</w:t>
                  </w:r>
                </w:p>
              </w:tc>
              <w:tc>
                <w:tcPr>
                  <w:tcW w:w="1418" w:type="dxa"/>
                  <w:vMerge w:val="restart"/>
                  <w:vAlign w:val="center"/>
                </w:tcPr>
                <w:p w14:paraId="69879010">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标准限值dB(A)</w:t>
                  </w:r>
                </w:p>
              </w:tc>
              <w:tc>
                <w:tcPr>
                  <w:tcW w:w="1188" w:type="dxa"/>
                  <w:vMerge w:val="restart"/>
                  <w:vAlign w:val="center"/>
                </w:tcPr>
                <w:p w14:paraId="421C56A9">
                  <w:pPr>
                    <w:jc w:val="center"/>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达标情况</w:t>
                  </w:r>
                </w:p>
              </w:tc>
            </w:tr>
            <w:tr w14:paraId="6211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1" w:type="dxa"/>
                  <w:vMerge w:val="continue"/>
                  <w:shd w:val="clear" w:color="auto" w:fill="FFFFFF"/>
                  <w:vAlign w:val="center"/>
                </w:tcPr>
                <w:p w14:paraId="6FBA4CEF">
                  <w:pPr>
                    <w:jc w:val="center"/>
                    <w:rPr>
                      <w:rFonts w:ascii="Times New Roman" w:hAnsi="Times New Roman" w:cs="Times New Roman" w:eastAsiaTheme="minorEastAsia"/>
                      <w:sz w:val="21"/>
                      <w:szCs w:val="21"/>
                    </w:rPr>
                  </w:pPr>
                </w:p>
              </w:tc>
              <w:tc>
                <w:tcPr>
                  <w:tcW w:w="803" w:type="dxa"/>
                  <w:shd w:val="clear" w:color="auto" w:fill="FFFFFF"/>
                  <w:vAlign w:val="center"/>
                </w:tcPr>
                <w:p w14:paraId="0FE21EBE">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X</w:t>
                  </w:r>
                </w:p>
              </w:tc>
              <w:tc>
                <w:tcPr>
                  <w:tcW w:w="803" w:type="dxa"/>
                  <w:shd w:val="clear" w:color="auto" w:fill="FFFFFF"/>
                  <w:vAlign w:val="center"/>
                </w:tcPr>
                <w:p w14:paraId="39A12240">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Y</w:t>
                  </w:r>
                </w:p>
              </w:tc>
              <w:tc>
                <w:tcPr>
                  <w:tcW w:w="803" w:type="dxa"/>
                  <w:shd w:val="clear" w:color="auto" w:fill="FFFFFF"/>
                  <w:vAlign w:val="center"/>
                </w:tcPr>
                <w:p w14:paraId="57F61BB1">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Z</w:t>
                  </w:r>
                </w:p>
              </w:tc>
              <w:tc>
                <w:tcPr>
                  <w:tcW w:w="993" w:type="dxa"/>
                  <w:vMerge w:val="continue"/>
                  <w:shd w:val="clear" w:color="auto" w:fill="FFFFFF"/>
                  <w:vAlign w:val="center"/>
                </w:tcPr>
                <w:p w14:paraId="321E47DD">
                  <w:pPr>
                    <w:jc w:val="center"/>
                    <w:rPr>
                      <w:rFonts w:ascii="Times New Roman" w:hAnsi="Times New Roman" w:cs="Times New Roman" w:eastAsiaTheme="minorEastAsia"/>
                      <w:sz w:val="21"/>
                      <w:szCs w:val="21"/>
                    </w:rPr>
                  </w:pPr>
                </w:p>
              </w:tc>
              <w:tc>
                <w:tcPr>
                  <w:tcW w:w="1417" w:type="dxa"/>
                  <w:vMerge w:val="continue"/>
                  <w:shd w:val="clear" w:color="auto" w:fill="FFFFFF"/>
                  <w:vAlign w:val="center"/>
                </w:tcPr>
                <w:p w14:paraId="2DB551E6">
                  <w:pPr>
                    <w:jc w:val="center"/>
                    <w:rPr>
                      <w:rFonts w:ascii="Times New Roman" w:hAnsi="Times New Roman" w:cs="Times New Roman" w:eastAsiaTheme="minorEastAsia"/>
                      <w:sz w:val="21"/>
                      <w:szCs w:val="21"/>
                    </w:rPr>
                  </w:pPr>
                </w:p>
              </w:tc>
              <w:tc>
                <w:tcPr>
                  <w:tcW w:w="1418" w:type="dxa"/>
                  <w:vMerge w:val="continue"/>
                  <w:shd w:val="clear" w:color="auto" w:fill="FFFFFF"/>
                  <w:vAlign w:val="center"/>
                </w:tcPr>
                <w:p w14:paraId="20054583">
                  <w:pPr>
                    <w:jc w:val="center"/>
                    <w:rPr>
                      <w:rFonts w:ascii="Times New Roman" w:hAnsi="Times New Roman" w:cs="Times New Roman" w:eastAsiaTheme="minorEastAsia"/>
                      <w:sz w:val="21"/>
                      <w:szCs w:val="21"/>
                    </w:rPr>
                  </w:pPr>
                </w:p>
              </w:tc>
              <w:tc>
                <w:tcPr>
                  <w:tcW w:w="1188" w:type="dxa"/>
                  <w:vMerge w:val="continue"/>
                  <w:shd w:val="clear" w:color="auto" w:fill="FFFFFF"/>
                  <w:vAlign w:val="center"/>
                </w:tcPr>
                <w:p w14:paraId="24E0F40A">
                  <w:pPr>
                    <w:jc w:val="center"/>
                    <w:rPr>
                      <w:rFonts w:ascii="Times New Roman" w:hAnsi="Times New Roman" w:cs="Times New Roman" w:eastAsiaTheme="minorEastAsia"/>
                      <w:sz w:val="21"/>
                      <w:szCs w:val="21"/>
                    </w:rPr>
                  </w:pPr>
                </w:p>
              </w:tc>
            </w:tr>
            <w:tr w14:paraId="7B27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14:paraId="4D2F81EA">
                  <w:r>
                    <w:rPr>
                      <w:rFonts w:ascii="Arial" w:hAnsi="Arial" w:eastAsia="Arial" w:cs="Arial"/>
                      <w:sz w:val="20"/>
                    </w:rPr>
                    <w:t>东侧</w:t>
                  </w:r>
                </w:p>
              </w:tc>
              <w:tc>
                <w:tcPr>
                  <w:tcW w:w="803" w:type="dxa"/>
                  <w:shd w:val="clear" w:color="auto" w:fill="FFFFFF"/>
                  <w:vAlign w:val="center"/>
                </w:tcPr>
                <w:p w14:paraId="58D6799A">
                  <w:r>
                    <w:rPr>
                      <w:rFonts w:ascii="Arial" w:hAnsi="Arial" w:eastAsia="Arial" w:cs="Arial"/>
                      <w:sz w:val="20"/>
                    </w:rPr>
                    <w:t>158.3</w:t>
                  </w:r>
                </w:p>
              </w:tc>
              <w:tc>
                <w:tcPr>
                  <w:tcW w:w="803" w:type="dxa"/>
                  <w:shd w:val="clear" w:color="auto" w:fill="FFFFFF"/>
                  <w:vAlign w:val="center"/>
                </w:tcPr>
                <w:p w14:paraId="6D241C29">
                  <w:r>
                    <w:rPr>
                      <w:rFonts w:ascii="Arial" w:hAnsi="Arial" w:eastAsia="Arial" w:cs="Arial"/>
                      <w:sz w:val="20"/>
                    </w:rPr>
                    <w:t>9.8</w:t>
                  </w:r>
                </w:p>
              </w:tc>
              <w:tc>
                <w:tcPr>
                  <w:tcW w:w="803" w:type="dxa"/>
                  <w:shd w:val="clear" w:color="auto" w:fill="FFFFFF"/>
                  <w:vAlign w:val="center"/>
                </w:tcPr>
                <w:p w14:paraId="5519D607">
                  <w:r>
                    <w:rPr>
                      <w:rFonts w:ascii="Arial" w:hAnsi="Arial" w:eastAsia="Arial" w:cs="Arial"/>
                      <w:sz w:val="20"/>
                    </w:rPr>
                    <w:t>1.2</w:t>
                  </w:r>
                </w:p>
              </w:tc>
              <w:tc>
                <w:tcPr>
                  <w:tcW w:w="993" w:type="dxa"/>
                  <w:shd w:val="clear" w:color="auto" w:fill="FFFFFF"/>
                  <w:vAlign w:val="center"/>
                </w:tcPr>
                <w:p w14:paraId="1E0616E3">
                  <w:r>
                    <w:rPr>
                      <w:rFonts w:ascii="Arial" w:hAnsi="Arial" w:eastAsia="Arial" w:cs="Arial"/>
                      <w:sz w:val="20"/>
                    </w:rPr>
                    <w:t>昼间</w:t>
                  </w:r>
                </w:p>
              </w:tc>
              <w:tc>
                <w:tcPr>
                  <w:tcW w:w="1417" w:type="dxa"/>
                  <w:shd w:val="clear" w:color="auto" w:fill="FFFFFF"/>
                  <w:vAlign w:val="center"/>
                </w:tcPr>
                <w:p w14:paraId="76C7A220">
                  <w:r>
                    <w:rPr>
                      <w:rFonts w:ascii="Arial" w:hAnsi="Arial" w:eastAsia="Arial" w:cs="Arial"/>
                      <w:sz w:val="20"/>
                    </w:rPr>
                    <w:t>53</w:t>
                  </w:r>
                </w:p>
              </w:tc>
              <w:tc>
                <w:tcPr>
                  <w:tcW w:w="1418" w:type="dxa"/>
                  <w:shd w:val="clear" w:color="auto" w:fill="FFFFFF"/>
                  <w:vAlign w:val="center"/>
                </w:tcPr>
                <w:p w14:paraId="12A4E19D">
                  <w:r>
                    <w:rPr>
                      <w:rFonts w:ascii="Arial" w:hAnsi="Arial" w:eastAsia="Arial" w:cs="Arial"/>
                      <w:sz w:val="20"/>
                    </w:rPr>
                    <w:t>65</w:t>
                  </w:r>
                </w:p>
              </w:tc>
              <w:tc>
                <w:tcPr>
                  <w:tcW w:w="1188" w:type="dxa"/>
                  <w:shd w:val="clear" w:color="auto" w:fill="FFFFFF"/>
                  <w:vAlign w:val="center"/>
                </w:tcPr>
                <w:p w14:paraId="250E452A">
                  <w:r>
                    <w:rPr>
                      <w:rFonts w:ascii="Arial" w:hAnsi="Arial" w:eastAsia="Arial" w:cs="Arial"/>
                      <w:sz w:val="20"/>
                    </w:rPr>
                    <w:t>达标</w:t>
                  </w:r>
                </w:p>
              </w:tc>
            </w:tr>
            <w:tr w14:paraId="7EC7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14:paraId="02DF62DA">
                  <w:r>
                    <w:rPr>
                      <w:rFonts w:ascii="Arial" w:hAnsi="Arial" w:eastAsia="Arial" w:cs="Arial"/>
                      <w:sz w:val="20"/>
                    </w:rPr>
                    <w:t>南侧</w:t>
                  </w:r>
                </w:p>
              </w:tc>
              <w:tc>
                <w:tcPr>
                  <w:tcW w:w="803" w:type="dxa"/>
                  <w:shd w:val="clear" w:color="auto" w:fill="FFFFFF"/>
                  <w:vAlign w:val="center"/>
                </w:tcPr>
                <w:p w14:paraId="0729EC2A">
                  <w:r>
                    <w:rPr>
                      <w:rFonts w:ascii="Arial" w:hAnsi="Arial" w:eastAsia="Arial" w:cs="Arial"/>
                      <w:sz w:val="20"/>
                    </w:rPr>
                    <w:t>60.1</w:t>
                  </w:r>
                </w:p>
              </w:tc>
              <w:tc>
                <w:tcPr>
                  <w:tcW w:w="803" w:type="dxa"/>
                  <w:shd w:val="clear" w:color="auto" w:fill="FFFFFF"/>
                  <w:vAlign w:val="center"/>
                </w:tcPr>
                <w:p w14:paraId="226C74E4">
                  <w:r>
                    <w:rPr>
                      <w:rFonts w:ascii="Arial" w:hAnsi="Arial" w:eastAsia="Arial" w:cs="Arial"/>
                      <w:sz w:val="20"/>
                    </w:rPr>
                    <w:t>-142.6</w:t>
                  </w:r>
                </w:p>
              </w:tc>
              <w:tc>
                <w:tcPr>
                  <w:tcW w:w="803" w:type="dxa"/>
                  <w:shd w:val="clear" w:color="auto" w:fill="FFFFFF"/>
                  <w:vAlign w:val="center"/>
                </w:tcPr>
                <w:p w14:paraId="3D761D8F">
                  <w:r>
                    <w:rPr>
                      <w:rFonts w:ascii="Arial" w:hAnsi="Arial" w:eastAsia="Arial" w:cs="Arial"/>
                      <w:sz w:val="20"/>
                    </w:rPr>
                    <w:t>1.2</w:t>
                  </w:r>
                </w:p>
              </w:tc>
              <w:tc>
                <w:tcPr>
                  <w:tcW w:w="993" w:type="dxa"/>
                  <w:shd w:val="clear" w:color="auto" w:fill="FFFFFF"/>
                  <w:vAlign w:val="center"/>
                </w:tcPr>
                <w:p w14:paraId="59C0735A">
                  <w:r>
                    <w:rPr>
                      <w:rFonts w:ascii="Arial" w:hAnsi="Arial" w:eastAsia="Arial" w:cs="Arial"/>
                      <w:sz w:val="20"/>
                    </w:rPr>
                    <w:t>昼间</w:t>
                  </w:r>
                </w:p>
              </w:tc>
              <w:tc>
                <w:tcPr>
                  <w:tcW w:w="1417" w:type="dxa"/>
                  <w:shd w:val="clear" w:color="auto" w:fill="FFFFFF"/>
                  <w:vAlign w:val="center"/>
                </w:tcPr>
                <w:p w14:paraId="78750204">
                  <w:r>
                    <w:rPr>
                      <w:rFonts w:ascii="Arial" w:hAnsi="Arial" w:eastAsia="Arial" w:cs="Arial"/>
                      <w:sz w:val="20"/>
                    </w:rPr>
                    <w:t>36.7</w:t>
                  </w:r>
                </w:p>
              </w:tc>
              <w:tc>
                <w:tcPr>
                  <w:tcW w:w="1418" w:type="dxa"/>
                  <w:shd w:val="clear" w:color="auto" w:fill="FFFFFF"/>
                  <w:vAlign w:val="center"/>
                </w:tcPr>
                <w:p w14:paraId="4E215116">
                  <w:r>
                    <w:rPr>
                      <w:rFonts w:ascii="Arial" w:hAnsi="Arial" w:eastAsia="Arial" w:cs="Arial"/>
                      <w:sz w:val="20"/>
                    </w:rPr>
                    <w:t>65</w:t>
                  </w:r>
                </w:p>
              </w:tc>
              <w:tc>
                <w:tcPr>
                  <w:tcW w:w="1188" w:type="dxa"/>
                  <w:shd w:val="clear" w:color="auto" w:fill="FFFFFF"/>
                  <w:vAlign w:val="center"/>
                </w:tcPr>
                <w:p w14:paraId="66ECBE4C">
                  <w:r>
                    <w:rPr>
                      <w:rFonts w:ascii="Arial" w:hAnsi="Arial" w:eastAsia="Arial" w:cs="Arial"/>
                      <w:sz w:val="20"/>
                    </w:rPr>
                    <w:t>达标</w:t>
                  </w:r>
                </w:p>
              </w:tc>
            </w:tr>
            <w:tr w14:paraId="1556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14:paraId="275099AD">
                  <w:r>
                    <w:rPr>
                      <w:rFonts w:ascii="Arial" w:hAnsi="Arial" w:eastAsia="Arial" w:cs="Arial"/>
                      <w:sz w:val="20"/>
                    </w:rPr>
                    <w:t>西侧</w:t>
                  </w:r>
                </w:p>
              </w:tc>
              <w:tc>
                <w:tcPr>
                  <w:tcW w:w="803" w:type="dxa"/>
                  <w:shd w:val="clear" w:color="auto" w:fill="FFFFFF"/>
                  <w:vAlign w:val="center"/>
                </w:tcPr>
                <w:p w14:paraId="379E9E09">
                  <w:r>
                    <w:rPr>
                      <w:rFonts w:ascii="Arial" w:hAnsi="Arial" w:eastAsia="Arial" w:cs="Arial"/>
                      <w:sz w:val="20"/>
                    </w:rPr>
                    <w:t>-136.1</w:t>
                  </w:r>
                </w:p>
              </w:tc>
              <w:tc>
                <w:tcPr>
                  <w:tcW w:w="803" w:type="dxa"/>
                  <w:shd w:val="clear" w:color="auto" w:fill="FFFFFF"/>
                  <w:vAlign w:val="center"/>
                </w:tcPr>
                <w:p w14:paraId="04E30C6C">
                  <w:r>
                    <w:rPr>
                      <w:rFonts w:ascii="Arial" w:hAnsi="Arial" w:eastAsia="Arial" w:cs="Arial"/>
                      <w:sz w:val="20"/>
                    </w:rPr>
                    <w:t>58</w:t>
                  </w:r>
                </w:p>
              </w:tc>
              <w:tc>
                <w:tcPr>
                  <w:tcW w:w="803" w:type="dxa"/>
                  <w:shd w:val="clear" w:color="auto" w:fill="FFFFFF"/>
                  <w:vAlign w:val="center"/>
                </w:tcPr>
                <w:p w14:paraId="0A2EEE5A">
                  <w:r>
                    <w:rPr>
                      <w:rFonts w:ascii="Arial" w:hAnsi="Arial" w:eastAsia="Arial" w:cs="Arial"/>
                      <w:sz w:val="20"/>
                    </w:rPr>
                    <w:t>1.2</w:t>
                  </w:r>
                </w:p>
              </w:tc>
              <w:tc>
                <w:tcPr>
                  <w:tcW w:w="993" w:type="dxa"/>
                  <w:shd w:val="clear" w:color="auto" w:fill="FFFFFF"/>
                  <w:vAlign w:val="center"/>
                </w:tcPr>
                <w:p w14:paraId="3AB93142">
                  <w:r>
                    <w:rPr>
                      <w:rFonts w:ascii="Arial" w:hAnsi="Arial" w:eastAsia="Arial" w:cs="Arial"/>
                      <w:sz w:val="20"/>
                    </w:rPr>
                    <w:t>昼间</w:t>
                  </w:r>
                </w:p>
              </w:tc>
              <w:tc>
                <w:tcPr>
                  <w:tcW w:w="1417" w:type="dxa"/>
                  <w:shd w:val="clear" w:color="auto" w:fill="FFFFFF"/>
                  <w:vAlign w:val="center"/>
                </w:tcPr>
                <w:p w14:paraId="3F5A793B">
                  <w:r>
                    <w:rPr>
                      <w:rFonts w:ascii="Arial" w:hAnsi="Arial" w:eastAsia="Arial" w:cs="Arial"/>
                      <w:sz w:val="20"/>
                    </w:rPr>
                    <w:t>28.2</w:t>
                  </w:r>
                </w:p>
              </w:tc>
              <w:tc>
                <w:tcPr>
                  <w:tcW w:w="1418" w:type="dxa"/>
                  <w:shd w:val="clear" w:color="auto" w:fill="FFFFFF"/>
                  <w:vAlign w:val="center"/>
                </w:tcPr>
                <w:p w14:paraId="334358D9">
                  <w:r>
                    <w:rPr>
                      <w:rFonts w:ascii="Arial" w:hAnsi="Arial" w:eastAsia="Arial" w:cs="Arial"/>
                      <w:sz w:val="20"/>
                    </w:rPr>
                    <w:t>65</w:t>
                  </w:r>
                </w:p>
              </w:tc>
              <w:tc>
                <w:tcPr>
                  <w:tcW w:w="1188" w:type="dxa"/>
                  <w:shd w:val="clear" w:color="auto" w:fill="FFFFFF"/>
                  <w:vAlign w:val="center"/>
                </w:tcPr>
                <w:p w14:paraId="165AA1FF">
                  <w:r>
                    <w:rPr>
                      <w:rFonts w:ascii="Arial" w:hAnsi="Arial" w:eastAsia="Arial" w:cs="Arial"/>
                      <w:sz w:val="20"/>
                    </w:rPr>
                    <w:t>达标</w:t>
                  </w:r>
                </w:p>
              </w:tc>
            </w:tr>
            <w:tr w14:paraId="55E5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shd w:val="clear" w:color="auto" w:fill="FFFFFF"/>
                  <w:vAlign w:val="center"/>
                </w:tcPr>
                <w:p w14:paraId="307B8515">
                  <w:r>
                    <w:rPr>
                      <w:rFonts w:ascii="Arial" w:hAnsi="Arial" w:eastAsia="Arial" w:cs="Arial"/>
                      <w:sz w:val="20"/>
                    </w:rPr>
                    <w:t>北侧</w:t>
                  </w:r>
                </w:p>
              </w:tc>
              <w:tc>
                <w:tcPr>
                  <w:tcW w:w="803" w:type="dxa"/>
                  <w:shd w:val="clear" w:color="auto" w:fill="FFFFFF"/>
                  <w:vAlign w:val="center"/>
                </w:tcPr>
                <w:p w14:paraId="51F59C5C">
                  <w:r>
                    <w:rPr>
                      <w:rFonts w:ascii="Arial" w:hAnsi="Arial" w:eastAsia="Arial" w:cs="Arial"/>
                      <w:sz w:val="20"/>
                    </w:rPr>
                    <w:t>102.9</w:t>
                  </w:r>
                </w:p>
              </w:tc>
              <w:tc>
                <w:tcPr>
                  <w:tcW w:w="803" w:type="dxa"/>
                  <w:shd w:val="clear" w:color="auto" w:fill="FFFFFF"/>
                  <w:vAlign w:val="center"/>
                </w:tcPr>
                <w:p w14:paraId="3139A0A5">
                  <w:r>
                    <w:rPr>
                      <w:rFonts w:ascii="Arial" w:hAnsi="Arial" w:eastAsia="Arial" w:cs="Arial"/>
                      <w:sz w:val="20"/>
                    </w:rPr>
                    <w:t>93.3</w:t>
                  </w:r>
                </w:p>
              </w:tc>
              <w:tc>
                <w:tcPr>
                  <w:tcW w:w="803" w:type="dxa"/>
                  <w:shd w:val="clear" w:color="auto" w:fill="FFFFFF"/>
                  <w:vAlign w:val="center"/>
                </w:tcPr>
                <w:p w14:paraId="53C30897">
                  <w:r>
                    <w:rPr>
                      <w:rFonts w:ascii="Arial" w:hAnsi="Arial" w:eastAsia="Arial" w:cs="Arial"/>
                      <w:sz w:val="20"/>
                    </w:rPr>
                    <w:t>1.2</w:t>
                  </w:r>
                </w:p>
              </w:tc>
              <w:tc>
                <w:tcPr>
                  <w:tcW w:w="993" w:type="dxa"/>
                  <w:shd w:val="clear" w:color="auto" w:fill="FFFFFF"/>
                  <w:vAlign w:val="center"/>
                </w:tcPr>
                <w:p w14:paraId="79CD8757">
                  <w:r>
                    <w:rPr>
                      <w:rFonts w:ascii="Arial" w:hAnsi="Arial" w:eastAsia="Arial" w:cs="Arial"/>
                      <w:sz w:val="20"/>
                    </w:rPr>
                    <w:t>昼间</w:t>
                  </w:r>
                </w:p>
              </w:tc>
              <w:tc>
                <w:tcPr>
                  <w:tcW w:w="1417" w:type="dxa"/>
                  <w:shd w:val="clear" w:color="auto" w:fill="FFFFFF"/>
                  <w:vAlign w:val="center"/>
                </w:tcPr>
                <w:p w14:paraId="563A087F">
                  <w:r>
                    <w:rPr>
                      <w:rFonts w:ascii="Arial" w:hAnsi="Arial" w:eastAsia="Arial" w:cs="Arial"/>
                      <w:sz w:val="20"/>
                    </w:rPr>
                    <w:t>61.6</w:t>
                  </w:r>
                </w:p>
              </w:tc>
              <w:tc>
                <w:tcPr>
                  <w:tcW w:w="1418" w:type="dxa"/>
                  <w:shd w:val="clear" w:color="auto" w:fill="FFFFFF"/>
                  <w:vAlign w:val="center"/>
                </w:tcPr>
                <w:p w14:paraId="019CDD04">
                  <w:r>
                    <w:rPr>
                      <w:rFonts w:ascii="Arial" w:hAnsi="Arial" w:eastAsia="Arial" w:cs="Arial"/>
                      <w:sz w:val="20"/>
                    </w:rPr>
                    <w:t>65</w:t>
                  </w:r>
                </w:p>
              </w:tc>
              <w:tc>
                <w:tcPr>
                  <w:tcW w:w="1188" w:type="dxa"/>
                  <w:shd w:val="clear" w:color="auto" w:fill="FFFFFF"/>
                  <w:vAlign w:val="center"/>
                </w:tcPr>
                <w:p w14:paraId="1CEB92EC">
                  <w:r>
                    <w:rPr>
                      <w:rFonts w:ascii="Arial" w:hAnsi="Arial" w:eastAsia="Arial" w:cs="Arial"/>
                      <w:sz w:val="20"/>
                    </w:rPr>
                    <w:t>达标</w:t>
                  </w:r>
                </w:p>
              </w:tc>
            </w:tr>
          </w:tbl>
          <w:p w14:paraId="157FCEF1">
            <w:pPr>
              <w:pStyle w:val="54"/>
              <w:bidi w:val="0"/>
              <w:rPr>
                <w:rFonts w:hint="default"/>
                <w:lang w:val="en-US" w:eastAsia="zh-CN"/>
              </w:rPr>
            </w:pPr>
            <w:r>
              <w:rPr>
                <w:rFonts w:hint="default"/>
                <w:lang w:val="en-US" w:eastAsia="zh-CN"/>
              </w:rPr>
              <w:t>表中坐标以厂界中心为坐标原点，正东向为X轴正方向，正北向为Y轴正方向由上表可知，正常工况下，项目厂界噪声满足《工业企业厂界环境噪声排放标准》</w:t>
            </w:r>
            <w:r>
              <w:rPr>
                <w:rFonts w:hint="eastAsia"/>
                <w:lang w:val="en-US" w:eastAsia="zh-CN"/>
              </w:rPr>
              <w:t>（</w:t>
            </w:r>
            <w:r>
              <w:rPr>
                <w:rFonts w:hint="default"/>
                <w:lang w:val="en-US" w:eastAsia="zh-CN"/>
              </w:rPr>
              <w:t>GB12348.2008</w:t>
            </w:r>
            <w:r>
              <w:rPr>
                <w:rFonts w:hint="eastAsia"/>
                <w:lang w:val="en-US" w:eastAsia="zh-CN"/>
              </w:rPr>
              <w:t>）3</w:t>
            </w:r>
            <w:r>
              <w:rPr>
                <w:rFonts w:hint="default"/>
                <w:lang w:val="en-US" w:eastAsia="zh-CN"/>
              </w:rPr>
              <w:t>类标准</w:t>
            </w:r>
            <w:r>
              <w:rPr>
                <w:rFonts w:hint="eastAsia"/>
                <w:lang w:val="en-US" w:eastAsia="zh-CN"/>
              </w:rPr>
              <w:t>（夜间不生产）</w:t>
            </w:r>
            <w:r>
              <w:rPr>
                <w:rFonts w:hint="default"/>
                <w:lang w:val="en-US" w:eastAsia="zh-CN"/>
              </w:rPr>
              <w:t>。</w:t>
            </w:r>
          </w:p>
          <w:p w14:paraId="0B2FBA36">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本项目周边无环境敏感目标，因此本项目运营期噪声影响主要表现为对厂区员工的影响。</w:t>
            </w:r>
          </w:p>
          <w:p w14:paraId="31C3E1CD">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本环评要求采取以下措施：</w:t>
            </w:r>
          </w:p>
          <w:p w14:paraId="30334322">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（1）在设备的选型中要注意选用低噪声的设备，以降低声源噪声。</w:t>
            </w:r>
          </w:p>
          <w:p w14:paraId="14317166">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（2）在总图布局上根据工艺流程要求，尽可能将高噪设备集中，还应根据高噪声设备所在位置，充分利用噪声的指向性，利用建筑物的阻隔效应，科学布置以保证厂界噪声达标。</w:t>
            </w:r>
          </w:p>
          <w:p w14:paraId="6BC6C704">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（3）对高噪声设备采用基础减振、消声器、隔声罩等措施，以降低噪声。</w:t>
            </w:r>
          </w:p>
          <w:p w14:paraId="503CC3E5">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（4）在厂区内，特别是车间四周种植一些防噪效果较好的树种，并配灌木，高低搭配，可以有效地防止噪声的传播。</w:t>
            </w:r>
          </w:p>
          <w:p w14:paraId="7F4E2B1B">
            <w:pPr>
              <w:widowControl w:val="0"/>
              <w:bidi w:val="0"/>
              <w:spacing w:line="520" w:lineRule="exact"/>
              <w:ind w:firstLine="480" w:firstLineChars="200"/>
              <w:jc w:val="both"/>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（5）加强管理，经常对产噪设备的性能进行检查，保持设备平衡，以减少振动的产生，平时要对防噪设施经常维护，确保其发挥正常功能。</w:t>
            </w:r>
          </w:p>
          <w:p w14:paraId="35550A7C">
            <w:pPr>
              <w:pStyle w:val="60"/>
              <w:bidi w:val="0"/>
              <w:rPr>
                <w:rFonts w:hint="eastAsia"/>
              </w:rPr>
            </w:pPr>
            <w:r>
              <w:rPr>
                <w:rFonts w:hint="eastAsia"/>
                <w:lang w:val="en-US" w:eastAsia="zh-CN"/>
              </w:rPr>
              <w:t>3.4</w:t>
            </w:r>
            <w:r>
              <w:rPr>
                <w:rFonts w:hint="eastAsia"/>
              </w:rPr>
              <w:t>监测要求</w:t>
            </w:r>
          </w:p>
          <w:p w14:paraId="37C43D9B">
            <w:pPr>
              <w:widowControl/>
              <w:topLinePunct w:val="0"/>
              <w:autoSpaceDE/>
              <w:autoSpaceDN/>
              <w:bidi w:val="0"/>
              <w:snapToGrid w:val="0"/>
              <w:spacing w:line="520" w:lineRule="exact"/>
              <w:ind w:right="0" w:firstLine="480" w:firstLineChars="200"/>
              <w:jc w:val="both"/>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为保障运营期间各污染物排放达标，建设单位应定期开展污染物排放监测，根据《排污单位自行监测技术指南总则》（HJ819-2017），本项目噪声监测内容及执行标准见下表</w:t>
            </w:r>
            <w:r>
              <w:rPr>
                <w:rFonts w:hint="eastAsia" w:ascii="Times New Roman" w:hAnsi="Times New Roman" w:eastAsia="宋体" w:cs="Times New Roman"/>
                <w:kern w:val="0"/>
                <w:sz w:val="24"/>
                <w:szCs w:val="24"/>
                <w:lang w:val="en-US" w:eastAsia="zh-CN" w:bidi="ar-SA"/>
              </w:rPr>
              <w:t>4-</w:t>
            </w:r>
            <w:r>
              <w:rPr>
                <w:rFonts w:hint="eastAsia" w:cs="Times New Roman"/>
                <w:kern w:val="0"/>
                <w:sz w:val="24"/>
                <w:szCs w:val="24"/>
                <w:lang w:val="en-US" w:eastAsia="zh-CN" w:bidi="ar-SA"/>
              </w:rPr>
              <w:t>12</w:t>
            </w:r>
            <w:r>
              <w:rPr>
                <w:rFonts w:hint="default" w:ascii="Times New Roman" w:hAnsi="Times New Roman" w:eastAsia="宋体" w:cs="Times New Roman"/>
                <w:kern w:val="0"/>
                <w:sz w:val="24"/>
                <w:szCs w:val="24"/>
                <w:lang w:val="en-US" w:eastAsia="zh-CN" w:bidi="ar-SA"/>
              </w:rPr>
              <w:t>。</w:t>
            </w:r>
          </w:p>
          <w:p w14:paraId="01400741">
            <w:pPr>
              <w:pStyle w:val="62"/>
              <w:bidi w:val="0"/>
              <w:rPr>
                <w:rFonts w:hint="eastAsia"/>
                <w:lang w:val="en-US" w:eastAsia="zh-CN"/>
              </w:rPr>
            </w:pPr>
            <w:r>
              <w:rPr>
                <w:rFonts w:hint="default"/>
                <w:lang w:val="en-US" w:eastAsia="zh-CN"/>
              </w:rPr>
              <w:t>表</w:t>
            </w:r>
            <w:r>
              <w:rPr>
                <w:rFonts w:hint="eastAsia"/>
                <w:lang w:val="en-US" w:eastAsia="zh-CN"/>
              </w:rPr>
              <w:t>4-12    运营期噪声监测一览表</w:t>
            </w:r>
          </w:p>
          <w:tbl>
            <w:tblPr>
              <w:tblStyle w:val="23"/>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28"/>
              <w:gridCol w:w="1321"/>
              <w:gridCol w:w="1777"/>
              <w:gridCol w:w="3103"/>
            </w:tblGrid>
            <w:tr w14:paraId="38D2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noWrap w:val="0"/>
                  <w:vAlign w:val="center"/>
                </w:tcPr>
                <w:p w14:paraId="4D96541F">
                  <w:pPr>
                    <w:pStyle w:val="61"/>
                    <w:bidi w:val="0"/>
                    <w:rPr>
                      <w:rFonts w:hint="default"/>
                      <w:lang w:val="en-US" w:eastAsia="zh-CN"/>
                    </w:rPr>
                  </w:pPr>
                  <w:r>
                    <w:rPr>
                      <w:rFonts w:hint="default"/>
                      <w:lang w:val="en-US" w:eastAsia="zh-CN"/>
                    </w:rPr>
                    <w:t>项目</w:t>
                  </w:r>
                </w:p>
              </w:tc>
              <w:tc>
                <w:tcPr>
                  <w:tcW w:w="679" w:type="pct"/>
                  <w:noWrap w:val="0"/>
                  <w:vAlign w:val="center"/>
                </w:tcPr>
                <w:p w14:paraId="646AA4F8">
                  <w:pPr>
                    <w:pStyle w:val="61"/>
                    <w:bidi w:val="0"/>
                    <w:rPr>
                      <w:rFonts w:hint="default"/>
                      <w:lang w:val="en-US" w:eastAsia="zh-CN"/>
                    </w:rPr>
                  </w:pPr>
                  <w:r>
                    <w:rPr>
                      <w:rFonts w:hint="default"/>
                      <w:lang w:val="en-US" w:eastAsia="zh-CN"/>
                    </w:rPr>
                    <w:t>指标</w:t>
                  </w:r>
                </w:p>
              </w:tc>
              <w:tc>
                <w:tcPr>
                  <w:tcW w:w="795" w:type="pct"/>
                  <w:noWrap w:val="0"/>
                  <w:vAlign w:val="center"/>
                </w:tcPr>
                <w:p w14:paraId="152097E5">
                  <w:pPr>
                    <w:pStyle w:val="61"/>
                    <w:bidi w:val="0"/>
                    <w:rPr>
                      <w:rFonts w:hint="default"/>
                      <w:lang w:val="en-US" w:eastAsia="zh-CN"/>
                    </w:rPr>
                  </w:pPr>
                  <w:r>
                    <w:rPr>
                      <w:rFonts w:hint="default"/>
                      <w:lang w:val="en-US" w:eastAsia="zh-CN"/>
                    </w:rPr>
                    <w:t>点位</w:t>
                  </w:r>
                </w:p>
              </w:tc>
              <w:tc>
                <w:tcPr>
                  <w:tcW w:w="1070" w:type="pct"/>
                  <w:noWrap w:val="0"/>
                  <w:vAlign w:val="center"/>
                </w:tcPr>
                <w:p w14:paraId="784FAB35">
                  <w:pPr>
                    <w:pStyle w:val="61"/>
                    <w:bidi w:val="0"/>
                    <w:rPr>
                      <w:rFonts w:hint="default"/>
                      <w:lang w:val="en-US" w:eastAsia="zh-CN"/>
                    </w:rPr>
                  </w:pPr>
                  <w:r>
                    <w:rPr>
                      <w:rFonts w:hint="default"/>
                      <w:lang w:val="en-US" w:eastAsia="zh-CN"/>
                    </w:rPr>
                    <w:t>频次</w:t>
                  </w:r>
                </w:p>
              </w:tc>
              <w:tc>
                <w:tcPr>
                  <w:tcW w:w="1868" w:type="pct"/>
                  <w:noWrap w:val="0"/>
                  <w:vAlign w:val="center"/>
                </w:tcPr>
                <w:p w14:paraId="4220AC01">
                  <w:pPr>
                    <w:pStyle w:val="61"/>
                    <w:bidi w:val="0"/>
                    <w:rPr>
                      <w:rFonts w:hint="default"/>
                      <w:lang w:val="en-US" w:eastAsia="zh-CN"/>
                    </w:rPr>
                  </w:pPr>
                  <w:r>
                    <w:rPr>
                      <w:rFonts w:hint="default"/>
                      <w:lang w:val="en-US" w:eastAsia="zh-CN"/>
                    </w:rPr>
                    <w:t>执行标准</w:t>
                  </w:r>
                </w:p>
              </w:tc>
            </w:tr>
            <w:tr w14:paraId="7EB6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87" w:type="pct"/>
                  <w:noWrap w:val="0"/>
                  <w:vAlign w:val="center"/>
                </w:tcPr>
                <w:p w14:paraId="633FF173">
                  <w:pPr>
                    <w:pStyle w:val="61"/>
                    <w:bidi w:val="0"/>
                    <w:rPr>
                      <w:rFonts w:hint="default"/>
                      <w:lang w:val="en-US" w:eastAsia="zh-CN"/>
                    </w:rPr>
                  </w:pPr>
                  <w:r>
                    <w:rPr>
                      <w:rFonts w:hint="default"/>
                      <w:lang w:val="en-US" w:eastAsia="zh-CN"/>
                    </w:rPr>
                    <w:t>噪声</w:t>
                  </w:r>
                </w:p>
              </w:tc>
              <w:tc>
                <w:tcPr>
                  <w:tcW w:w="679" w:type="pct"/>
                  <w:noWrap w:val="0"/>
                  <w:vAlign w:val="center"/>
                </w:tcPr>
                <w:p w14:paraId="54EE1035">
                  <w:pPr>
                    <w:pStyle w:val="61"/>
                    <w:bidi w:val="0"/>
                    <w:rPr>
                      <w:rFonts w:hint="default"/>
                      <w:lang w:val="en-US" w:eastAsia="zh-CN"/>
                    </w:rPr>
                  </w:pPr>
                  <w:r>
                    <w:rPr>
                      <w:rFonts w:hint="default"/>
                      <w:lang w:val="en-US" w:eastAsia="zh-CN"/>
                    </w:rPr>
                    <w:t>等效连续A声级</w:t>
                  </w:r>
                </w:p>
              </w:tc>
              <w:tc>
                <w:tcPr>
                  <w:tcW w:w="795" w:type="pct"/>
                  <w:noWrap w:val="0"/>
                  <w:vAlign w:val="center"/>
                </w:tcPr>
                <w:p w14:paraId="25682E5C">
                  <w:pPr>
                    <w:pStyle w:val="61"/>
                    <w:bidi w:val="0"/>
                    <w:rPr>
                      <w:rFonts w:hint="default"/>
                      <w:lang w:val="en-US" w:eastAsia="zh-CN"/>
                    </w:rPr>
                  </w:pPr>
                  <w:r>
                    <w:rPr>
                      <w:rFonts w:hint="default"/>
                      <w:lang w:val="en-US" w:eastAsia="zh-CN"/>
                    </w:rPr>
                    <w:t>四周厂界外1m处</w:t>
                  </w:r>
                </w:p>
              </w:tc>
              <w:tc>
                <w:tcPr>
                  <w:tcW w:w="1070" w:type="pct"/>
                  <w:noWrap w:val="0"/>
                  <w:vAlign w:val="center"/>
                </w:tcPr>
                <w:p w14:paraId="1516493D">
                  <w:pPr>
                    <w:pStyle w:val="61"/>
                    <w:bidi w:val="0"/>
                    <w:rPr>
                      <w:rFonts w:hint="default"/>
                      <w:lang w:val="en-US" w:eastAsia="zh-CN"/>
                    </w:rPr>
                  </w:pPr>
                  <w:r>
                    <w:rPr>
                      <w:rFonts w:hint="default"/>
                      <w:lang w:val="en-US" w:eastAsia="zh-CN"/>
                    </w:rPr>
                    <w:t>1季度1次</w:t>
                  </w:r>
                </w:p>
              </w:tc>
              <w:tc>
                <w:tcPr>
                  <w:tcW w:w="1868" w:type="pct"/>
                  <w:noWrap w:val="0"/>
                  <w:vAlign w:val="center"/>
                </w:tcPr>
                <w:p w14:paraId="7B2E0040">
                  <w:pPr>
                    <w:pStyle w:val="61"/>
                    <w:bidi w:val="0"/>
                    <w:rPr>
                      <w:rFonts w:hint="default"/>
                      <w:lang w:val="en-US" w:eastAsia="zh-CN"/>
                    </w:rPr>
                  </w:pPr>
                  <w:r>
                    <w:rPr>
                      <w:rFonts w:hint="default"/>
                      <w:lang w:val="en-US" w:eastAsia="zh-CN"/>
                    </w:rPr>
                    <w:t>《工业企业厂界环境噪声排放标准》（GB12348—2008）中3类功能区限值标准</w:t>
                  </w:r>
                </w:p>
              </w:tc>
            </w:tr>
          </w:tbl>
          <w:p w14:paraId="47A18B66">
            <w:pPr>
              <w:pStyle w:val="60"/>
              <w:bidi w:val="0"/>
              <w:rPr>
                <w:rFonts w:hint="eastAsia"/>
                <w:lang w:val="en-US" w:eastAsia="zh-CN"/>
              </w:rPr>
            </w:pPr>
            <w:r>
              <w:rPr>
                <w:rFonts w:hint="eastAsia"/>
                <w:lang w:val="en-US" w:eastAsia="zh-CN"/>
              </w:rPr>
              <w:t>4.固体废物环境影响和保护措施</w:t>
            </w:r>
          </w:p>
          <w:p w14:paraId="20E04F40">
            <w:pPr>
              <w:pStyle w:val="60"/>
              <w:bidi w:val="0"/>
              <w:rPr>
                <w:rFonts w:hint="default"/>
                <w:lang w:val="en-US" w:eastAsia="zh-CN"/>
              </w:rPr>
            </w:pPr>
            <w:r>
              <w:rPr>
                <w:rFonts w:hint="eastAsia"/>
                <w:lang w:val="en-US" w:eastAsia="zh-CN"/>
              </w:rPr>
              <w:t>4.1</w:t>
            </w:r>
            <w:r>
              <w:rPr>
                <w:rFonts w:hint="eastAsia"/>
              </w:rPr>
              <w:t>固体废物产生</w:t>
            </w:r>
            <w:r>
              <w:rPr>
                <w:rFonts w:hint="eastAsia"/>
                <w:lang w:val="en-US" w:eastAsia="zh-CN"/>
              </w:rPr>
              <w:t>及</w:t>
            </w:r>
            <w:r>
              <w:rPr>
                <w:rFonts w:hint="eastAsia"/>
              </w:rPr>
              <w:t>处置情况</w:t>
            </w:r>
          </w:p>
          <w:p w14:paraId="040338A7">
            <w:pPr>
              <w:pStyle w:val="51"/>
              <w:bidi w:val="0"/>
              <w:rPr>
                <w:rFonts w:hint="eastAsia"/>
                <w:lang w:val="en-US" w:eastAsia="zh-CN"/>
              </w:rPr>
            </w:pPr>
            <w:r>
              <w:rPr>
                <w:rFonts w:hint="eastAsia"/>
                <w:lang w:val="en-US" w:eastAsia="zh-CN"/>
              </w:rPr>
              <w:t>（1）生活垃圾</w:t>
            </w:r>
          </w:p>
          <w:p w14:paraId="2C192970">
            <w:pPr>
              <w:pStyle w:val="54"/>
              <w:bidi w:val="0"/>
              <w:rPr>
                <w:rFonts w:hint="default"/>
                <w:lang w:val="en-US" w:eastAsia="zh-CN"/>
              </w:rPr>
            </w:pPr>
            <w:r>
              <w:rPr>
                <w:rFonts w:hint="default"/>
                <w:lang w:val="en-US" w:eastAsia="zh-CN"/>
              </w:rPr>
              <w:t>本项目职工人数</w:t>
            </w:r>
            <w:r>
              <w:rPr>
                <w:rFonts w:hint="eastAsia"/>
                <w:lang w:val="en-US" w:eastAsia="zh-CN"/>
              </w:rPr>
              <w:t>15</w:t>
            </w:r>
            <w:r>
              <w:rPr>
                <w:rFonts w:hint="default"/>
                <w:lang w:val="en-US" w:eastAsia="zh-CN"/>
              </w:rPr>
              <w:t>人，生活垃圾按每人每天产生0.5kg/d计，则产生量为</w:t>
            </w:r>
            <w:r>
              <w:rPr>
                <w:rFonts w:hint="eastAsia"/>
                <w:lang w:val="en-US" w:eastAsia="zh-CN"/>
              </w:rPr>
              <w:t>1.35t</w:t>
            </w:r>
            <w:r>
              <w:rPr>
                <w:rFonts w:hint="default"/>
                <w:lang w:val="en-US" w:eastAsia="zh-CN"/>
              </w:rPr>
              <w:t>/a，生活垃圾集中收集后交由环卫部门统一清运至垃圾处理站处理。</w:t>
            </w:r>
          </w:p>
          <w:p w14:paraId="632721AC">
            <w:pPr>
              <w:pStyle w:val="51"/>
              <w:bidi w:val="0"/>
              <w:rPr>
                <w:rFonts w:hint="eastAsia"/>
                <w:lang w:val="en-US" w:eastAsia="zh-CN"/>
              </w:rPr>
            </w:pPr>
            <w:r>
              <w:rPr>
                <w:rFonts w:hint="eastAsia"/>
                <w:lang w:val="en-US" w:eastAsia="zh-CN"/>
              </w:rPr>
              <w:t>（2）一般固废</w:t>
            </w:r>
          </w:p>
          <w:p w14:paraId="4E23BF4A">
            <w:pPr>
              <w:pStyle w:val="54"/>
              <w:bidi w:val="0"/>
              <w:rPr>
                <w:rFonts w:hint="default"/>
                <w:lang w:val="en-US" w:eastAsia="zh-CN"/>
              </w:rPr>
            </w:pPr>
            <w:r>
              <w:rPr>
                <w:rFonts w:hint="default"/>
                <w:lang w:val="en-US" w:eastAsia="zh-CN"/>
              </w:rPr>
              <w:t>①</w:t>
            </w:r>
            <w:r>
              <w:rPr>
                <w:rFonts w:hint="eastAsia"/>
                <w:lang w:val="en-US" w:eastAsia="zh-CN"/>
              </w:rPr>
              <w:t>废包装材料</w:t>
            </w:r>
          </w:p>
          <w:p w14:paraId="20A283FE">
            <w:pPr>
              <w:pStyle w:val="54"/>
              <w:bidi w:val="0"/>
              <w:rPr>
                <w:rFonts w:hint="eastAsia"/>
                <w:lang w:val="en-US" w:eastAsia="zh-CN"/>
              </w:rPr>
            </w:pPr>
            <w:r>
              <w:rPr>
                <w:rFonts w:hint="eastAsia"/>
                <w:lang w:val="en-US" w:eastAsia="zh-CN"/>
              </w:rPr>
              <w:t>据</w:t>
            </w:r>
            <w:r>
              <w:rPr>
                <w:rFonts w:hint="default"/>
                <w:lang w:val="en-US" w:eastAsia="zh-CN"/>
              </w:rPr>
              <w:t>企业提供资料，</w:t>
            </w:r>
            <w:r>
              <w:rPr>
                <w:rFonts w:hint="eastAsia"/>
                <w:lang w:val="en-US" w:eastAsia="zh-CN"/>
              </w:rPr>
              <w:t>在</w:t>
            </w:r>
            <w:r>
              <w:rPr>
                <w:rFonts w:hint="default"/>
                <w:lang w:val="en-US" w:eastAsia="zh-CN"/>
              </w:rPr>
              <w:t>拆除</w:t>
            </w:r>
            <w:r>
              <w:rPr>
                <w:rFonts w:hint="eastAsia"/>
                <w:lang w:val="en-US" w:eastAsia="zh-CN"/>
              </w:rPr>
              <w:t>钢卷</w:t>
            </w:r>
            <w:r>
              <w:rPr>
                <w:rFonts w:hint="default"/>
                <w:lang w:val="en-US" w:eastAsia="zh-CN"/>
              </w:rPr>
              <w:t>包装</w:t>
            </w:r>
            <w:r>
              <w:rPr>
                <w:rFonts w:hint="eastAsia"/>
                <w:lang w:val="en-US" w:eastAsia="zh-CN"/>
              </w:rPr>
              <w:t>时</w:t>
            </w:r>
            <w:r>
              <w:rPr>
                <w:rFonts w:hint="default"/>
                <w:lang w:val="en-US" w:eastAsia="zh-CN"/>
              </w:rPr>
              <w:t>会产生少量废</w:t>
            </w:r>
            <w:r>
              <w:rPr>
                <w:rFonts w:hint="eastAsia"/>
                <w:lang w:val="en-US" w:eastAsia="zh-CN"/>
              </w:rPr>
              <w:t>包装材料（主要为包装带）</w:t>
            </w:r>
            <w:r>
              <w:rPr>
                <w:rFonts w:hint="default"/>
                <w:lang w:val="en-US" w:eastAsia="zh-CN"/>
              </w:rPr>
              <w:t>，</w:t>
            </w:r>
            <w:r>
              <w:rPr>
                <w:rFonts w:hint="eastAsia"/>
                <w:lang w:val="en-US" w:eastAsia="zh-CN"/>
              </w:rPr>
              <w:t>根据建设单位提供资料，</w:t>
            </w:r>
            <w:r>
              <w:rPr>
                <w:rFonts w:hint="default"/>
                <w:lang w:val="en-US" w:eastAsia="zh-CN"/>
              </w:rPr>
              <w:t>产生量为</w:t>
            </w:r>
            <w:r>
              <w:rPr>
                <w:rFonts w:hint="eastAsia"/>
                <w:lang w:val="en-US" w:eastAsia="zh-CN"/>
              </w:rPr>
              <w:t>0.5</w:t>
            </w:r>
            <w:r>
              <w:rPr>
                <w:rFonts w:hint="default"/>
                <w:lang w:val="en-US" w:eastAsia="zh-CN"/>
              </w:rPr>
              <w:t>t/a</w:t>
            </w:r>
            <w:r>
              <w:rPr>
                <w:rFonts w:hint="eastAsia"/>
                <w:lang w:val="en-US" w:eastAsia="zh-CN"/>
              </w:rPr>
              <w:t>，经收集后外售综合利用。</w:t>
            </w:r>
          </w:p>
          <w:p w14:paraId="1F592E22">
            <w:pPr>
              <w:pStyle w:val="54"/>
              <w:bidi w:val="0"/>
              <w:rPr>
                <w:rFonts w:hint="eastAsia"/>
                <w:lang w:val="en-US" w:eastAsia="zh-CN"/>
              </w:rPr>
            </w:pPr>
            <w:r>
              <w:rPr>
                <w:rFonts w:hint="default"/>
                <w:lang w:val="en-US" w:eastAsia="zh-CN"/>
              </w:rPr>
              <w:t>②</w:t>
            </w:r>
            <w:r>
              <w:rPr>
                <w:rFonts w:hint="eastAsia"/>
                <w:lang w:val="en-US" w:eastAsia="zh-CN"/>
              </w:rPr>
              <w:t>废边角料</w:t>
            </w:r>
          </w:p>
          <w:p w14:paraId="37DA956E">
            <w:pPr>
              <w:pStyle w:val="54"/>
              <w:bidi w:val="0"/>
              <w:rPr>
                <w:rFonts w:hint="eastAsia"/>
                <w:lang w:val="en-US" w:eastAsia="zh-CN"/>
              </w:rPr>
            </w:pPr>
            <w:r>
              <w:rPr>
                <w:rFonts w:hint="default" w:ascii="Times New Roman" w:hAnsi="Times New Roman" w:eastAsia="宋体" w:cs="Times New Roman"/>
                <w:color w:val="auto"/>
                <w:sz w:val="24"/>
                <w:szCs w:val="24"/>
                <w:lang w:val="en-US" w:eastAsia="zh-CN"/>
              </w:rPr>
              <w:t>在</w:t>
            </w:r>
            <w:r>
              <w:rPr>
                <w:rFonts w:hint="eastAsia" w:cs="Times New Roman"/>
                <w:color w:val="auto"/>
                <w:sz w:val="24"/>
                <w:szCs w:val="24"/>
                <w:lang w:val="en-US" w:eastAsia="zh-CN"/>
              </w:rPr>
              <w:t>裁剪及冲压</w:t>
            </w:r>
            <w:r>
              <w:rPr>
                <w:rFonts w:hint="default" w:ascii="Times New Roman" w:hAnsi="Times New Roman" w:eastAsia="宋体" w:cs="Times New Roman"/>
                <w:color w:val="auto"/>
                <w:sz w:val="24"/>
                <w:szCs w:val="24"/>
                <w:lang w:val="en-US" w:eastAsia="zh-CN"/>
              </w:rPr>
              <w:t>工序中会产生少量废边角料</w:t>
            </w:r>
            <w:r>
              <w:rPr>
                <w:rFonts w:hint="eastAsia" w:ascii="Times New Roman" w:hAnsi="Times New Roman" w:eastAsia="宋体" w:cs="Times New Roman"/>
                <w:color w:val="auto"/>
                <w:sz w:val="24"/>
                <w:szCs w:val="24"/>
                <w:lang w:val="en-US" w:eastAsia="zh-CN"/>
              </w:rPr>
              <w:t>，根据建设单位提供资料，产生总量</w:t>
            </w:r>
            <w:r>
              <w:rPr>
                <w:rFonts w:hint="eastAsia" w:cs="Times New Roman"/>
                <w:color w:val="auto"/>
                <w:sz w:val="24"/>
                <w:szCs w:val="24"/>
                <w:lang w:val="en-US" w:eastAsia="zh-CN"/>
              </w:rPr>
              <w:t>约</w:t>
            </w:r>
            <w:r>
              <w:rPr>
                <w:rFonts w:hint="eastAsia" w:ascii="Times New Roman" w:hAnsi="Times New Roman" w:eastAsia="宋体" w:cs="Times New Roman"/>
                <w:color w:val="auto"/>
                <w:sz w:val="24"/>
                <w:szCs w:val="24"/>
                <w:lang w:val="en-US" w:eastAsia="zh-CN"/>
              </w:rPr>
              <w:t>为</w:t>
            </w:r>
            <w:r>
              <w:rPr>
                <w:rFonts w:hint="eastAsia"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t/a。</w:t>
            </w:r>
            <w:r>
              <w:rPr>
                <w:rFonts w:hint="eastAsia"/>
                <w:lang w:val="en-US" w:eastAsia="zh-CN"/>
              </w:rPr>
              <w:t>经收集后外售综合利用。</w:t>
            </w:r>
          </w:p>
          <w:p w14:paraId="0A5C0CB4">
            <w:pPr>
              <w:pStyle w:val="54"/>
              <w:bidi w:val="0"/>
              <w:rPr>
                <w:rFonts w:hint="eastAsia"/>
                <w:lang w:val="en-US" w:eastAsia="zh-CN"/>
              </w:rPr>
            </w:pPr>
            <w:r>
              <w:rPr>
                <w:rFonts w:hint="eastAsia"/>
                <w:lang w:val="en-US" w:eastAsia="zh-CN"/>
              </w:rPr>
              <w:t>③废水性涂料桶</w:t>
            </w:r>
          </w:p>
          <w:p w14:paraId="76DCAA44">
            <w:pPr>
              <w:pStyle w:val="54"/>
              <w:bidi w:val="0"/>
              <w:rPr>
                <w:rFonts w:hint="default"/>
                <w:lang w:val="en-US" w:eastAsia="zh-CN"/>
              </w:rPr>
            </w:pPr>
            <w:r>
              <w:rPr>
                <w:rFonts w:hint="eastAsia"/>
                <w:lang w:val="en-US" w:eastAsia="zh-CN"/>
              </w:rPr>
              <w:t>本项目1个水性涂料桶约为0.8kg，水性涂料包装桶产生量为625个</w:t>
            </w:r>
            <w:r>
              <w:rPr>
                <w:rFonts w:hint="default"/>
                <w:lang w:val="en-US" w:eastAsia="zh-CN"/>
              </w:rPr>
              <w:t>，</w:t>
            </w:r>
            <w:r>
              <w:rPr>
                <w:rFonts w:hint="eastAsia"/>
                <w:lang w:val="en-US" w:eastAsia="zh-CN"/>
              </w:rPr>
              <w:t>即产生量为0.5t/a，</w:t>
            </w:r>
            <w:r>
              <w:rPr>
                <w:rFonts w:hint="eastAsia"/>
              </w:rPr>
              <w:t>通过对照《国家危险废物名录（202</w:t>
            </w:r>
            <w:r>
              <w:rPr>
                <w:rFonts w:hint="eastAsia"/>
                <w:lang w:val="en-US" w:eastAsia="zh-CN"/>
              </w:rPr>
              <w:t>5</w:t>
            </w:r>
            <w:r>
              <w:rPr>
                <w:rFonts w:hint="eastAsia"/>
              </w:rPr>
              <w:t>年</w:t>
            </w:r>
            <w:r>
              <w:rPr>
                <w:rFonts w:hint="eastAsia"/>
                <w:lang w:val="en-US" w:eastAsia="zh-CN"/>
              </w:rPr>
              <w:t>版</w:t>
            </w:r>
            <w:r>
              <w:rPr>
                <w:rFonts w:hint="eastAsia"/>
              </w:rPr>
              <w:t>）》，</w:t>
            </w:r>
            <w:r>
              <w:rPr>
                <w:rFonts w:hint="eastAsia"/>
                <w:lang w:val="en-US" w:eastAsia="zh-CN"/>
              </w:rPr>
              <w:t>废水性涂料桶不</w:t>
            </w:r>
            <w:r>
              <w:rPr>
                <w:rFonts w:hint="eastAsia"/>
              </w:rPr>
              <w:t>属于危险废物，</w:t>
            </w:r>
            <w:r>
              <w:rPr>
                <w:rFonts w:hint="default"/>
                <w:lang w:val="en-US" w:eastAsia="zh-CN"/>
              </w:rPr>
              <w:t>收集后暂存于</w:t>
            </w:r>
            <w:r>
              <w:rPr>
                <w:rFonts w:hint="eastAsia"/>
                <w:lang w:val="en-US" w:eastAsia="zh-CN"/>
              </w:rPr>
              <w:t>一般固废</w:t>
            </w:r>
            <w:r>
              <w:rPr>
                <w:rFonts w:hint="default"/>
                <w:lang w:val="en-US" w:eastAsia="zh-CN"/>
              </w:rPr>
              <w:t>暂存间。</w:t>
            </w:r>
          </w:p>
          <w:p w14:paraId="2777D12D">
            <w:pPr>
              <w:pStyle w:val="54"/>
              <w:bidi w:val="0"/>
              <w:rPr>
                <w:rFonts w:hint="default"/>
                <w:lang w:val="en-US" w:eastAsia="zh-CN"/>
              </w:rPr>
            </w:pPr>
            <w:r>
              <w:rPr>
                <w:rFonts w:hint="eastAsia"/>
                <w:lang w:val="en-US" w:eastAsia="zh-CN"/>
              </w:rPr>
              <w:t>（3）危险废物</w:t>
            </w:r>
          </w:p>
          <w:p w14:paraId="5CE48F7D">
            <w:pPr>
              <w:pStyle w:val="54"/>
              <w:bidi w:val="0"/>
              <w:rPr>
                <w:rFonts w:hint="default"/>
              </w:rPr>
            </w:pPr>
            <w:r>
              <w:rPr>
                <w:rFonts w:hint="default"/>
              </w:rPr>
              <w:t>①废弃活性炭</w:t>
            </w:r>
          </w:p>
          <w:p w14:paraId="28B5454F">
            <w:pPr>
              <w:pStyle w:val="54"/>
              <w:bidi w:val="0"/>
              <w:rPr>
                <w:rFonts w:hint="eastAsia" w:eastAsia="宋体"/>
                <w:lang w:val="en-US" w:eastAsia="zh-CN"/>
              </w:rPr>
            </w:pPr>
            <w:r>
              <w:rPr>
                <w:rFonts w:hint="default"/>
              </w:rPr>
              <w:t>有机挥发性气体经</w:t>
            </w:r>
            <w:r>
              <w:rPr>
                <w:rFonts w:hint="eastAsia"/>
                <w:lang w:eastAsia="zh-CN"/>
              </w:rPr>
              <w:t>“</w:t>
            </w:r>
            <w:r>
              <w:rPr>
                <w:rFonts w:hint="eastAsia"/>
                <w:lang w:val="en-US" w:eastAsia="zh-CN"/>
              </w:rPr>
              <w:t>二级</w:t>
            </w:r>
            <w:r>
              <w:rPr>
                <w:rFonts w:hint="default"/>
              </w:rPr>
              <w:t>活性炭吸附系统</w:t>
            </w:r>
            <w:r>
              <w:rPr>
                <w:rFonts w:hint="eastAsia"/>
                <w:lang w:eastAsia="zh-CN"/>
              </w:rPr>
              <w:t>”</w:t>
            </w:r>
            <w:r>
              <w:rPr>
                <w:rFonts w:hint="default"/>
              </w:rPr>
              <w:t>处理，</w:t>
            </w:r>
            <w:r>
              <w:rPr>
                <w:rFonts w:hint="eastAsia"/>
                <w:lang w:val="en-US" w:eastAsia="zh-CN"/>
              </w:rPr>
              <w:t>会</w:t>
            </w:r>
            <w:r>
              <w:rPr>
                <w:rFonts w:hint="default"/>
              </w:rPr>
              <w:t>产生废活性炭。本项目活性炭吸附装置中的活性炭在吸附挥发性有机物饱和之后需要进行更换，活性炭吸附有机废气的能力大概为自身单位重量的1/3，废弃活性炭是被吸附的有机气体的量和活性炭本身的用量之和。本项目有机废气共吸附量为</w:t>
            </w:r>
            <w:r>
              <w:rPr>
                <w:rFonts w:hint="eastAsia"/>
                <w:lang w:val="en-US" w:eastAsia="zh-CN"/>
              </w:rPr>
              <w:t>1.14</w:t>
            </w:r>
            <w:r>
              <w:rPr>
                <w:rFonts w:hint="default"/>
              </w:rPr>
              <w:t>t/a，活性炭用量约为</w:t>
            </w:r>
            <w:r>
              <w:rPr>
                <w:rFonts w:hint="eastAsia"/>
                <w:lang w:val="en-US" w:eastAsia="zh-CN"/>
              </w:rPr>
              <w:t>3.42</w:t>
            </w:r>
            <w:r>
              <w:rPr>
                <w:rFonts w:hint="default"/>
              </w:rPr>
              <w:t>t/a，</w:t>
            </w:r>
            <w:r>
              <w:rPr>
                <w:rFonts w:hint="eastAsia"/>
                <w:lang w:val="en-US" w:eastAsia="zh-CN"/>
              </w:rPr>
              <w:t>废活性炭量为3.42</w:t>
            </w:r>
            <w:r>
              <w:rPr>
                <w:rFonts w:hint="default"/>
              </w:rPr>
              <w:t>t/a</w:t>
            </w:r>
            <w:r>
              <w:rPr>
                <w:rFonts w:hint="eastAsia"/>
                <w:lang w:eastAsia="zh-CN"/>
              </w:rPr>
              <w:t>。</w:t>
            </w:r>
          </w:p>
          <w:p w14:paraId="13E307D6">
            <w:pPr>
              <w:pStyle w:val="54"/>
              <w:bidi w:val="0"/>
              <w:rPr>
                <w:rFonts w:hint="default"/>
              </w:rPr>
            </w:pPr>
            <w:r>
              <w:rPr>
                <w:rFonts w:hint="default"/>
              </w:rPr>
              <w:t>为保障项目工艺废气的有效吸附处理，活性炭按照每三个月更换一次频率进行更换。</w:t>
            </w:r>
          </w:p>
          <w:p w14:paraId="660A92B3">
            <w:pPr>
              <w:pStyle w:val="54"/>
              <w:bidi w:val="0"/>
              <w:rPr>
                <w:rFonts w:hint="eastAsia"/>
              </w:rPr>
            </w:pPr>
            <w:r>
              <w:rPr>
                <w:rFonts w:hint="eastAsia"/>
              </w:rPr>
              <w:t>根据《国家危险废物名录（202</w:t>
            </w:r>
            <w:r>
              <w:rPr>
                <w:rFonts w:hint="eastAsia"/>
                <w:lang w:val="en-US" w:eastAsia="zh-CN"/>
              </w:rPr>
              <w:t>5年</w:t>
            </w:r>
            <w:r>
              <w:rPr>
                <w:rFonts w:hint="eastAsia"/>
              </w:rPr>
              <w:t>版）》，废活性炭属于危险废物，废物类别为HW49，废物代码为900-039-49，将废弃活性炭暂存于危险废物贮存间，</w:t>
            </w:r>
            <w:r>
              <w:rPr>
                <w:rFonts w:hint="eastAsia"/>
                <w:lang w:val="en-US" w:eastAsia="zh-CN"/>
              </w:rPr>
              <w:t>再由活性炭再生中心或有资质的单位集中收集，通过高温或其他物理化学方式进行再生，以保证活性炭的吸附效率及资源的循环利用</w:t>
            </w:r>
            <w:r>
              <w:rPr>
                <w:rFonts w:hint="eastAsia"/>
              </w:rPr>
              <w:t>。</w:t>
            </w:r>
          </w:p>
          <w:p w14:paraId="129F8F1B">
            <w:pPr>
              <w:pStyle w:val="54"/>
              <w:bidi w:val="0"/>
              <w:rPr>
                <w:rFonts w:hint="default"/>
              </w:rPr>
            </w:pPr>
            <w:r>
              <w:rPr>
                <w:rFonts w:hint="default"/>
              </w:rPr>
              <w:t>②废润滑油及废润滑油桶</w:t>
            </w:r>
          </w:p>
          <w:p w14:paraId="0E2B3A63">
            <w:pPr>
              <w:pStyle w:val="54"/>
              <w:bidi w:val="0"/>
              <w:rPr>
                <w:rFonts w:hint="eastAsia"/>
              </w:rPr>
            </w:pPr>
            <w:r>
              <w:rPr>
                <w:rFonts w:hint="eastAsia"/>
              </w:rPr>
              <w:t>本项目机械设备使用过程中将产生的废润滑油和废润滑油桶，根据业主提供资料，本项目</w:t>
            </w:r>
            <w:r>
              <w:rPr>
                <w:rFonts w:hint="eastAsia"/>
                <w:lang w:val="en-US" w:eastAsia="zh-CN"/>
              </w:rPr>
              <w:t>部分</w:t>
            </w:r>
            <w:r>
              <w:rPr>
                <w:rFonts w:hint="eastAsia"/>
              </w:rPr>
              <w:t>机械设备</w:t>
            </w:r>
            <w:r>
              <w:rPr>
                <w:rFonts w:hint="eastAsia"/>
                <w:lang w:eastAsia="zh-CN"/>
              </w:rPr>
              <w:t>（</w:t>
            </w:r>
            <w:r>
              <w:rPr>
                <w:rFonts w:hint="eastAsia"/>
                <w:lang w:val="en-US" w:eastAsia="zh-CN"/>
              </w:rPr>
              <w:t>主要为冲床和胀筋机</w:t>
            </w:r>
            <w:r>
              <w:rPr>
                <w:rFonts w:hint="eastAsia"/>
                <w:lang w:eastAsia="zh-CN"/>
              </w:rPr>
              <w:t>）</w:t>
            </w:r>
            <w:r>
              <w:rPr>
                <w:rFonts w:hint="eastAsia"/>
                <w:lang w:val="en-US" w:eastAsia="zh-CN"/>
              </w:rPr>
              <w:t>需</w:t>
            </w:r>
            <w:r>
              <w:rPr>
                <w:rFonts w:hint="eastAsia"/>
              </w:rPr>
              <w:t>定期更换润滑油，废润滑油的产生量约为0.0</w:t>
            </w:r>
            <w:r>
              <w:rPr>
                <w:rFonts w:hint="eastAsia"/>
                <w:lang w:val="en-US" w:eastAsia="zh-CN"/>
              </w:rPr>
              <w:t>5</w:t>
            </w:r>
            <w:r>
              <w:rPr>
                <w:rFonts w:hint="eastAsia"/>
              </w:rPr>
              <w:t>t/a，废润滑油桶的产生量约为0.0</w:t>
            </w:r>
            <w:r>
              <w:rPr>
                <w:rFonts w:hint="eastAsia"/>
                <w:lang w:val="en-US" w:eastAsia="zh-CN"/>
              </w:rPr>
              <w:t>05</w:t>
            </w:r>
            <w:r>
              <w:rPr>
                <w:rFonts w:hint="eastAsia"/>
              </w:rPr>
              <w:t>t/a。废润滑油通过对照《国家危险废物名录（202</w:t>
            </w:r>
            <w:r>
              <w:rPr>
                <w:rFonts w:hint="eastAsia"/>
                <w:lang w:val="en-US" w:eastAsia="zh-CN"/>
              </w:rPr>
              <w:t>5</w:t>
            </w:r>
            <w:r>
              <w:rPr>
                <w:rFonts w:hint="eastAsia"/>
              </w:rPr>
              <w:t>年</w:t>
            </w:r>
            <w:r>
              <w:rPr>
                <w:rFonts w:hint="eastAsia"/>
                <w:lang w:val="en-US" w:eastAsia="zh-CN"/>
              </w:rPr>
              <w:t>版</w:t>
            </w:r>
            <w:r>
              <w:rPr>
                <w:rFonts w:hint="eastAsia"/>
              </w:rPr>
              <w:t>）》，属于危险废物，废物类别为HW08废矿物油与含矿物油废物，危废代码：900-214-08（车辆、轮船及其它机械维修过程中产生的废发动机油、制动器油、自动变速器油、齿轮油等废润滑油）；废润滑油桶通过对照《国家危险废物名录（202</w:t>
            </w:r>
            <w:r>
              <w:rPr>
                <w:rFonts w:hint="eastAsia"/>
                <w:lang w:val="en-US" w:eastAsia="zh-CN"/>
              </w:rPr>
              <w:t>5</w:t>
            </w:r>
            <w:r>
              <w:rPr>
                <w:rFonts w:hint="eastAsia"/>
              </w:rPr>
              <w:t>年</w:t>
            </w:r>
            <w:r>
              <w:rPr>
                <w:rFonts w:hint="eastAsia"/>
                <w:lang w:val="en-US" w:eastAsia="zh-CN"/>
              </w:rPr>
              <w:t>版</w:t>
            </w:r>
            <w:r>
              <w:rPr>
                <w:rFonts w:hint="eastAsia"/>
              </w:rPr>
              <w:t>）》，属于危险废物，废物类别为HW49废矿物油与含矿物油废物，废物代码为900-249-08（其他生产、销售、使用过程中产生的废矿物油及沾染矿物油的废弃包装物）。检修过程中设备废机油及废机油桶统一收集，存放在危险废物贮存间，由有资质单位统一收集处理。</w:t>
            </w:r>
          </w:p>
          <w:p w14:paraId="1E740E33">
            <w:pPr>
              <w:pStyle w:val="54"/>
              <w:bidi w:val="0"/>
              <w:rPr>
                <w:rFonts w:hint="eastAsia"/>
                <w:lang w:val="en-US" w:eastAsia="zh-CN"/>
              </w:rPr>
            </w:pPr>
            <w:r>
              <w:rPr>
                <w:rFonts w:hint="eastAsia"/>
                <w:lang w:val="en-US" w:eastAsia="zh-CN"/>
              </w:rPr>
              <w:t>③清洗废渣</w:t>
            </w:r>
          </w:p>
          <w:p w14:paraId="2EB01EF3">
            <w:pPr>
              <w:pStyle w:val="54"/>
              <w:bidi w:val="0"/>
              <w:rPr>
                <w:rFonts w:hint="default" w:eastAsia="宋体"/>
                <w:lang w:val="en-US" w:eastAsia="zh-CN"/>
              </w:rPr>
            </w:pPr>
            <w:r>
              <w:rPr>
                <w:rFonts w:hint="eastAsia"/>
                <w:lang w:val="en-US" w:eastAsia="zh-CN"/>
              </w:rPr>
              <w:t>本项目清洗废水经沉淀、絮凝后会产生废渣，主要成分为悬浮物和石油类，产生量约0.06t/a。根据</w:t>
            </w:r>
            <w:r>
              <w:rPr>
                <w:rFonts w:hint="eastAsia"/>
              </w:rPr>
              <w:t>《国家危险废物名录（202</w:t>
            </w:r>
            <w:r>
              <w:rPr>
                <w:rFonts w:hint="eastAsia"/>
                <w:lang w:val="en-US" w:eastAsia="zh-CN"/>
              </w:rPr>
              <w:t>5年</w:t>
            </w:r>
            <w:r>
              <w:rPr>
                <w:rFonts w:hint="eastAsia"/>
              </w:rPr>
              <w:t>版）》</w:t>
            </w:r>
            <w:r>
              <w:rPr>
                <w:rFonts w:hint="eastAsia"/>
                <w:lang w:eastAsia="zh-CN"/>
              </w:rPr>
              <w:t>，</w:t>
            </w:r>
            <w:r>
              <w:rPr>
                <w:rFonts w:hint="eastAsia"/>
                <w:lang w:val="en-US" w:eastAsia="zh-CN"/>
              </w:rPr>
              <w:t>属于危险废物，废物类别为HW08废矿物油与含矿物油废物，危废代码：900-210-08（含油废水处理中隔油、气浮、沉淀等处理过程中产生的浮油、浮渣和污泥不包括废水生化处理污泥）。</w:t>
            </w:r>
          </w:p>
          <w:p w14:paraId="5A432173">
            <w:pPr>
              <w:pStyle w:val="54"/>
              <w:bidi w:val="0"/>
              <w:rPr>
                <w:rFonts w:hint="default"/>
                <w:lang w:val="en-US" w:eastAsia="zh-CN"/>
              </w:rPr>
            </w:pPr>
            <w:r>
              <w:rPr>
                <w:rFonts w:hint="eastAsia"/>
                <w:lang w:val="en-US" w:eastAsia="zh-CN"/>
              </w:rPr>
              <w:t>本项目固体废物产生明细见表4-13。</w:t>
            </w:r>
          </w:p>
          <w:p w14:paraId="47E49695">
            <w:pPr>
              <w:pStyle w:val="49"/>
              <w:bidi w:val="0"/>
              <w:rPr>
                <w:rFonts w:hint="default"/>
                <w:lang w:val="en-US" w:eastAsia="zh-CN"/>
              </w:rPr>
            </w:pPr>
            <w:r>
              <w:rPr>
                <w:rFonts w:hint="eastAsia"/>
                <w:lang w:val="en-US" w:eastAsia="zh-CN"/>
              </w:rPr>
              <w:t>表4-13    项目固体废物产生情况明细</w:t>
            </w:r>
          </w:p>
          <w:tbl>
            <w:tblPr>
              <w:tblStyle w:val="23"/>
              <w:tblW w:w="498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755"/>
              <w:gridCol w:w="1005"/>
              <w:gridCol w:w="1380"/>
              <w:gridCol w:w="930"/>
              <w:gridCol w:w="855"/>
              <w:gridCol w:w="1269"/>
            </w:tblGrid>
            <w:tr w14:paraId="47F6D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63" w:type="pct"/>
                  <w:noWrap w:val="0"/>
                  <w:vAlign w:val="center"/>
                </w:tcPr>
                <w:p w14:paraId="11FE74FE">
                  <w:pPr>
                    <w:pStyle w:val="50"/>
                    <w:bidi w:val="0"/>
                    <w:rPr>
                      <w:rFonts w:hint="default"/>
                      <w:lang w:val="en-US" w:eastAsia="zh-CN"/>
                    </w:rPr>
                  </w:pPr>
                  <w:r>
                    <w:rPr>
                      <w:rFonts w:hint="eastAsia"/>
                      <w:lang w:val="en-US" w:eastAsia="zh-CN"/>
                    </w:rPr>
                    <w:t>废物属性</w:t>
                  </w:r>
                </w:p>
              </w:tc>
              <w:tc>
                <w:tcPr>
                  <w:tcW w:w="1057" w:type="pct"/>
                  <w:noWrap w:val="0"/>
                  <w:vAlign w:val="center"/>
                </w:tcPr>
                <w:p w14:paraId="789D12D5">
                  <w:pPr>
                    <w:pStyle w:val="50"/>
                    <w:bidi w:val="0"/>
                    <w:rPr>
                      <w:lang w:val="en-US" w:eastAsia="zh-CN"/>
                    </w:rPr>
                  </w:pPr>
                  <w:r>
                    <w:rPr>
                      <w:lang w:val="en-US" w:eastAsia="zh-CN"/>
                    </w:rPr>
                    <w:t>类型</w:t>
                  </w:r>
                </w:p>
              </w:tc>
              <w:tc>
                <w:tcPr>
                  <w:tcW w:w="605" w:type="pct"/>
                  <w:noWrap w:val="0"/>
                  <w:vAlign w:val="center"/>
                </w:tcPr>
                <w:p w14:paraId="5F6BE704">
                  <w:pPr>
                    <w:pStyle w:val="50"/>
                    <w:bidi w:val="0"/>
                    <w:rPr>
                      <w:rFonts w:hint="eastAsia"/>
                      <w:lang w:val="en-US" w:eastAsia="zh-CN"/>
                    </w:rPr>
                  </w:pPr>
                  <w:r>
                    <w:rPr>
                      <w:rFonts w:hint="eastAsia"/>
                      <w:lang w:val="en-US" w:eastAsia="zh-CN"/>
                    </w:rPr>
                    <w:t>废物类别</w:t>
                  </w:r>
                </w:p>
              </w:tc>
              <w:tc>
                <w:tcPr>
                  <w:tcW w:w="831" w:type="pct"/>
                  <w:noWrap w:val="0"/>
                  <w:vAlign w:val="center"/>
                </w:tcPr>
                <w:p w14:paraId="54D36A94">
                  <w:pPr>
                    <w:pStyle w:val="50"/>
                    <w:bidi w:val="0"/>
                    <w:rPr>
                      <w:lang w:val="en-US" w:eastAsia="zh-CN"/>
                    </w:rPr>
                  </w:pPr>
                  <w:r>
                    <w:rPr>
                      <w:rFonts w:hint="eastAsia"/>
                      <w:lang w:val="en-US" w:eastAsia="zh-CN"/>
                    </w:rPr>
                    <w:t>废物代码</w:t>
                  </w:r>
                </w:p>
              </w:tc>
              <w:tc>
                <w:tcPr>
                  <w:tcW w:w="560" w:type="pct"/>
                  <w:noWrap w:val="0"/>
                  <w:vAlign w:val="center"/>
                </w:tcPr>
                <w:p w14:paraId="4416CFE6">
                  <w:pPr>
                    <w:pStyle w:val="50"/>
                    <w:bidi w:val="0"/>
                    <w:rPr>
                      <w:lang w:val="en-US" w:eastAsia="zh-CN"/>
                    </w:rPr>
                  </w:pPr>
                  <w:r>
                    <w:rPr>
                      <w:lang w:val="en-US" w:eastAsia="zh-CN"/>
                    </w:rPr>
                    <w:t>产生量（</w:t>
                  </w:r>
                  <w:r>
                    <w:rPr>
                      <w:rFonts w:hint="eastAsia"/>
                      <w:lang w:val="en-US" w:eastAsia="zh-CN"/>
                    </w:rPr>
                    <w:t>t</w:t>
                  </w:r>
                  <w:r>
                    <w:rPr>
                      <w:lang w:val="en-US" w:eastAsia="zh-CN"/>
                    </w:rPr>
                    <w:t>/a）</w:t>
                  </w:r>
                </w:p>
              </w:tc>
              <w:tc>
                <w:tcPr>
                  <w:tcW w:w="515" w:type="pct"/>
                  <w:noWrap w:val="0"/>
                  <w:vAlign w:val="center"/>
                </w:tcPr>
                <w:p w14:paraId="63248634">
                  <w:pPr>
                    <w:pStyle w:val="50"/>
                    <w:bidi w:val="0"/>
                    <w:rPr>
                      <w:rFonts w:hint="default"/>
                      <w:lang w:val="en-US" w:eastAsia="zh-CN"/>
                    </w:rPr>
                  </w:pPr>
                  <w:r>
                    <w:rPr>
                      <w:rFonts w:hint="eastAsia"/>
                      <w:lang w:val="en-US" w:eastAsia="zh-CN"/>
                    </w:rPr>
                    <w:t>危险特性</w:t>
                  </w:r>
                </w:p>
              </w:tc>
              <w:tc>
                <w:tcPr>
                  <w:tcW w:w="765" w:type="pct"/>
                  <w:noWrap w:val="0"/>
                  <w:vAlign w:val="center"/>
                </w:tcPr>
                <w:p w14:paraId="02741943">
                  <w:pPr>
                    <w:pStyle w:val="50"/>
                    <w:bidi w:val="0"/>
                    <w:rPr>
                      <w:rFonts w:hint="eastAsia"/>
                      <w:lang w:val="en-US" w:eastAsia="zh-CN"/>
                    </w:rPr>
                  </w:pPr>
                  <w:r>
                    <w:rPr>
                      <w:rFonts w:hint="eastAsia"/>
                      <w:lang w:val="en-US" w:eastAsia="zh-CN"/>
                    </w:rPr>
                    <w:t>去向</w:t>
                  </w:r>
                </w:p>
              </w:tc>
            </w:tr>
            <w:tr w14:paraId="60B01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63" w:type="pct"/>
                  <w:tcBorders>
                    <w:top w:val="single" w:color="auto" w:sz="4" w:space="0"/>
                  </w:tcBorders>
                  <w:noWrap w:val="0"/>
                  <w:vAlign w:val="center"/>
                </w:tcPr>
                <w:p w14:paraId="57063C64">
                  <w:pPr>
                    <w:pStyle w:val="50"/>
                    <w:bidi w:val="0"/>
                    <w:rPr>
                      <w:rFonts w:hint="default"/>
                      <w:lang w:val="en-US" w:eastAsia="zh-CN"/>
                    </w:rPr>
                  </w:pPr>
                  <w:r>
                    <w:rPr>
                      <w:rFonts w:hint="eastAsia"/>
                      <w:lang w:val="en-US" w:eastAsia="zh-CN"/>
                    </w:rPr>
                    <w:t>生活垃圾</w:t>
                  </w:r>
                </w:p>
              </w:tc>
              <w:tc>
                <w:tcPr>
                  <w:tcW w:w="1057" w:type="pct"/>
                  <w:tcBorders>
                    <w:top w:val="single" w:color="auto" w:sz="4" w:space="0"/>
                  </w:tcBorders>
                  <w:noWrap w:val="0"/>
                  <w:vAlign w:val="center"/>
                </w:tcPr>
                <w:p w14:paraId="511C2363">
                  <w:pPr>
                    <w:pStyle w:val="50"/>
                    <w:bidi w:val="0"/>
                    <w:rPr>
                      <w:rFonts w:hint="eastAsia"/>
                      <w:lang w:val="en-US" w:eastAsia="zh-CN"/>
                    </w:rPr>
                  </w:pPr>
                  <w:r>
                    <w:rPr>
                      <w:rFonts w:hint="eastAsia"/>
                      <w:lang w:val="en-US" w:eastAsia="zh-CN"/>
                    </w:rPr>
                    <w:t>生活垃圾</w:t>
                  </w:r>
                </w:p>
              </w:tc>
              <w:tc>
                <w:tcPr>
                  <w:tcW w:w="605" w:type="pct"/>
                  <w:tcBorders>
                    <w:top w:val="single" w:color="auto" w:sz="4" w:space="0"/>
                    <w:bottom w:val="single" w:color="auto" w:sz="4" w:space="0"/>
                  </w:tcBorders>
                  <w:noWrap w:val="0"/>
                  <w:vAlign w:val="center"/>
                </w:tcPr>
                <w:p w14:paraId="2AFE06E0">
                  <w:pPr>
                    <w:pStyle w:val="50"/>
                    <w:bidi w:val="0"/>
                    <w:rPr>
                      <w:rFonts w:hint="eastAsia"/>
                      <w:lang w:val="en-US" w:eastAsia="zh-CN"/>
                    </w:rPr>
                  </w:pPr>
                  <w:r>
                    <w:rPr>
                      <w:rFonts w:hint="eastAsia"/>
                      <w:lang w:val="en-US" w:eastAsia="zh-CN"/>
                    </w:rPr>
                    <w:t>SW61</w:t>
                  </w:r>
                </w:p>
                <w:p w14:paraId="57E5E14F">
                  <w:pPr>
                    <w:pStyle w:val="50"/>
                    <w:bidi w:val="0"/>
                    <w:rPr>
                      <w:rFonts w:hint="default"/>
                      <w:lang w:val="en-US" w:eastAsia="zh-CN"/>
                    </w:rPr>
                  </w:pPr>
                  <w:r>
                    <w:rPr>
                      <w:rFonts w:hint="eastAsia"/>
                      <w:lang w:val="en-US" w:eastAsia="zh-CN"/>
                    </w:rPr>
                    <w:t>SW62</w:t>
                  </w:r>
                </w:p>
              </w:tc>
              <w:tc>
                <w:tcPr>
                  <w:tcW w:w="831" w:type="pct"/>
                  <w:tcBorders>
                    <w:top w:val="single" w:color="auto" w:sz="4" w:space="0"/>
                    <w:bottom w:val="single" w:color="auto" w:sz="4" w:space="0"/>
                  </w:tcBorders>
                  <w:noWrap w:val="0"/>
                  <w:vAlign w:val="center"/>
                </w:tcPr>
                <w:p w14:paraId="32156BD2">
                  <w:pPr>
                    <w:pStyle w:val="50"/>
                    <w:bidi w:val="0"/>
                    <w:rPr>
                      <w:rFonts w:hint="eastAsia"/>
                      <w:lang w:val="en-US" w:eastAsia="zh-CN"/>
                    </w:rPr>
                  </w:pPr>
                  <w:r>
                    <w:rPr>
                      <w:rFonts w:hint="eastAsia"/>
                      <w:lang w:val="en-US" w:eastAsia="zh-CN"/>
                    </w:rPr>
                    <w:t>900-001-S61</w:t>
                  </w:r>
                </w:p>
                <w:p w14:paraId="17286480">
                  <w:pPr>
                    <w:pStyle w:val="50"/>
                    <w:bidi w:val="0"/>
                    <w:rPr>
                      <w:rFonts w:hint="eastAsia"/>
                      <w:lang w:val="en-US" w:eastAsia="zh-CN"/>
                    </w:rPr>
                  </w:pPr>
                  <w:r>
                    <w:rPr>
                      <w:rFonts w:hint="eastAsia"/>
                      <w:lang w:val="en-US" w:eastAsia="zh-CN"/>
                    </w:rPr>
                    <w:t>900-001-S62</w:t>
                  </w:r>
                </w:p>
                <w:p w14:paraId="022ECBB1">
                  <w:pPr>
                    <w:pStyle w:val="50"/>
                    <w:bidi w:val="0"/>
                    <w:rPr>
                      <w:rFonts w:hint="eastAsia"/>
                      <w:lang w:val="en-US" w:eastAsia="zh-CN"/>
                    </w:rPr>
                  </w:pPr>
                  <w:r>
                    <w:rPr>
                      <w:rFonts w:hint="eastAsia"/>
                      <w:lang w:val="en-US" w:eastAsia="zh-CN"/>
                    </w:rPr>
                    <w:t>900-002-S62</w:t>
                  </w:r>
                </w:p>
              </w:tc>
              <w:tc>
                <w:tcPr>
                  <w:tcW w:w="560" w:type="pct"/>
                  <w:noWrap w:val="0"/>
                  <w:vAlign w:val="center"/>
                </w:tcPr>
                <w:p w14:paraId="25D31D54">
                  <w:pPr>
                    <w:pStyle w:val="50"/>
                    <w:bidi w:val="0"/>
                    <w:rPr>
                      <w:rFonts w:hint="default"/>
                      <w:lang w:val="en-US" w:eastAsia="zh-CN"/>
                    </w:rPr>
                  </w:pPr>
                  <w:r>
                    <w:rPr>
                      <w:rFonts w:hint="eastAsia"/>
                      <w:lang w:val="en-US" w:eastAsia="zh-CN"/>
                    </w:rPr>
                    <w:t>1.35</w:t>
                  </w:r>
                </w:p>
              </w:tc>
              <w:tc>
                <w:tcPr>
                  <w:tcW w:w="515" w:type="pct"/>
                  <w:noWrap w:val="0"/>
                  <w:vAlign w:val="center"/>
                </w:tcPr>
                <w:p w14:paraId="44CD371F">
                  <w:pPr>
                    <w:pStyle w:val="50"/>
                    <w:bidi w:val="0"/>
                    <w:rPr>
                      <w:rFonts w:hint="default"/>
                      <w:lang w:val="en-US" w:eastAsia="zh-CN"/>
                    </w:rPr>
                  </w:pPr>
                  <w:r>
                    <w:rPr>
                      <w:rFonts w:hint="eastAsia"/>
                      <w:lang w:val="en-US" w:eastAsia="zh-CN"/>
                    </w:rPr>
                    <w:t>/</w:t>
                  </w:r>
                </w:p>
              </w:tc>
              <w:tc>
                <w:tcPr>
                  <w:tcW w:w="765" w:type="pct"/>
                  <w:noWrap w:val="0"/>
                  <w:vAlign w:val="center"/>
                </w:tcPr>
                <w:p w14:paraId="60DF40A2">
                  <w:pPr>
                    <w:pStyle w:val="50"/>
                    <w:bidi w:val="0"/>
                    <w:rPr>
                      <w:rFonts w:hint="eastAsia"/>
                      <w:lang w:val="en-US" w:eastAsia="zh-CN"/>
                    </w:rPr>
                  </w:pPr>
                  <w:r>
                    <w:rPr>
                      <w:rFonts w:hint="eastAsia"/>
                      <w:lang w:val="en-US" w:eastAsia="zh-CN"/>
                    </w:rPr>
                    <w:t>交环卫部门定时清运处理</w:t>
                  </w:r>
                </w:p>
              </w:tc>
            </w:tr>
            <w:tr w14:paraId="2531E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63" w:type="pct"/>
                  <w:vMerge w:val="restart"/>
                  <w:noWrap w:val="0"/>
                  <w:vAlign w:val="center"/>
                </w:tcPr>
                <w:p w14:paraId="208FA69E">
                  <w:pPr>
                    <w:pStyle w:val="50"/>
                    <w:bidi w:val="0"/>
                    <w:rPr>
                      <w:rFonts w:hint="default"/>
                      <w:lang w:val="en-US" w:eastAsia="zh-CN"/>
                    </w:rPr>
                  </w:pPr>
                  <w:r>
                    <w:rPr>
                      <w:rFonts w:hint="eastAsia"/>
                      <w:lang w:val="en-US" w:eastAsia="zh-CN"/>
                    </w:rPr>
                    <w:t>一般固废</w:t>
                  </w:r>
                </w:p>
              </w:tc>
              <w:tc>
                <w:tcPr>
                  <w:tcW w:w="1057" w:type="pct"/>
                  <w:noWrap w:val="0"/>
                  <w:vAlign w:val="center"/>
                </w:tcPr>
                <w:p w14:paraId="33F85484">
                  <w:pPr>
                    <w:pStyle w:val="50"/>
                    <w:bidi w:val="0"/>
                    <w:rPr>
                      <w:rFonts w:hint="eastAsia"/>
                      <w:lang w:val="en-US" w:eastAsia="zh-CN"/>
                    </w:rPr>
                  </w:pPr>
                  <w:r>
                    <w:rPr>
                      <w:rFonts w:hint="default"/>
                      <w:lang w:val="en-US" w:eastAsia="zh-CN"/>
                    </w:rPr>
                    <w:t>废包装材料</w:t>
                  </w:r>
                </w:p>
              </w:tc>
              <w:tc>
                <w:tcPr>
                  <w:tcW w:w="605" w:type="pct"/>
                  <w:tcBorders>
                    <w:top w:val="single" w:color="auto" w:sz="4" w:space="0"/>
                  </w:tcBorders>
                  <w:noWrap w:val="0"/>
                  <w:vAlign w:val="center"/>
                </w:tcPr>
                <w:p w14:paraId="7E660E4F">
                  <w:pPr>
                    <w:pStyle w:val="50"/>
                    <w:bidi w:val="0"/>
                    <w:rPr>
                      <w:rFonts w:hint="default"/>
                      <w:lang w:val="en-US" w:eastAsia="zh-CN"/>
                    </w:rPr>
                  </w:pPr>
                  <w:r>
                    <w:rPr>
                      <w:rFonts w:hint="eastAsia"/>
                      <w:lang w:val="en-US" w:eastAsia="zh-CN"/>
                    </w:rPr>
                    <w:t>SW17</w:t>
                  </w:r>
                </w:p>
              </w:tc>
              <w:tc>
                <w:tcPr>
                  <w:tcW w:w="831" w:type="pct"/>
                  <w:tcBorders>
                    <w:top w:val="single" w:color="auto" w:sz="4" w:space="0"/>
                  </w:tcBorders>
                  <w:noWrap w:val="0"/>
                  <w:vAlign w:val="center"/>
                </w:tcPr>
                <w:p w14:paraId="0B562BB0">
                  <w:pPr>
                    <w:pStyle w:val="50"/>
                    <w:bidi w:val="0"/>
                    <w:rPr>
                      <w:rFonts w:hint="default"/>
                      <w:lang w:val="en-US" w:eastAsia="zh-CN"/>
                    </w:rPr>
                  </w:pPr>
                  <w:r>
                    <w:rPr>
                      <w:rFonts w:hint="eastAsia"/>
                      <w:lang w:val="en-US" w:eastAsia="zh-CN"/>
                    </w:rPr>
                    <w:t>900-003-S17</w:t>
                  </w:r>
                </w:p>
              </w:tc>
              <w:tc>
                <w:tcPr>
                  <w:tcW w:w="560" w:type="pct"/>
                  <w:noWrap w:val="0"/>
                  <w:vAlign w:val="center"/>
                </w:tcPr>
                <w:p w14:paraId="23AE2C29">
                  <w:pPr>
                    <w:pStyle w:val="50"/>
                    <w:bidi w:val="0"/>
                    <w:rPr>
                      <w:rFonts w:hint="default"/>
                      <w:lang w:val="en-US" w:eastAsia="zh-CN"/>
                    </w:rPr>
                  </w:pPr>
                  <w:r>
                    <w:rPr>
                      <w:rFonts w:hint="eastAsia"/>
                      <w:lang w:val="en-US" w:eastAsia="zh-CN"/>
                    </w:rPr>
                    <w:t>0.5</w:t>
                  </w:r>
                </w:p>
              </w:tc>
              <w:tc>
                <w:tcPr>
                  <w:tcW w:w="515" w:type="pct"/>
                  <w:noWrap w:val="0"/>
                  <w:vAlign w:val="center"/>
                </w:tcPr>
                <w:p w14:paraId="60CE5416">
                  <w:pPr>
                    <w:pStyle w:val="50"/>
                    <w:bidi w:val="0"/>
                    <w:rPr>
                      <w:rFonts w:hint="default"/>
                      <w:lang w:val="en-US" w:eastAsia="zh-CN"/>
                    </w:rPr>
                  </w:pPr>
                  <w:r>
                    <w:rPr>
                      <w:rFonts w:hint="eastAsia"/>
                      <w:lang w:val="en-US" w:eastAsia="zh-CN"/>
                    </w:rPr>
                    <w:t>/</w:t>
                  </w:r>
                </w:p>
              </w:tc>
              <w:tc>
                <w:tcPr>
                  <w:tcW w:w="765" w:type="pct"/>
                  <w:vMerge w:val="restart"/>
                  <w:noWrap w:val="0"/>
                  <w:vAlign w:val="center"/>
                </w:tcPr>
                <w:p w14:paraId="174315EF">
                  <w:pPr>
                    <w:pStyle w:val="50"/>
                    <w:bidi w:val="0"/>
                    <w:rPr>
                      <w:rFonts w:hint="default"/>
                      <w:lang w:val="en-US" w:eastAsia="zh-CN"/>
                    </w:rPr>
                  </w:pPr>
                  <w:r>
                    <w:rPr>
                      <w:rFonts w:hint="eastAsia"/>
                      <w:lang w:val="en-US" w:eastAsia="zh-CN"/>
                    </w:rPr>
                    <w:t>外售综合处理</w:t>
                  </w:r>
                </w:p>
              </w:tc>
            </w:tr>
            <w:tr w14:paraId="2691A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63" w:type="pct"/>
                  <w:vMerge w:val="continue"/>
                  <w:noWrap w:val="0"/>
                  <w:vAlign w:val="center"/>
                </w:tcPr>
                <w:p w14:paraId="20075CCC">
                  <w:pPr>
                    <w:pStyle w:val="50"/>
                    <w:bidi w:val="0"/>
                    <w:rPr>
                      <w:rFonts w:hint="eastAsia"/>
                      <w:lang w:val="en-US" w:eastAsia="zh-CN"/>
                    </w:rPr>
                  </w:pPr>
                </w:p>
              </w:tc>
              <w:tc>
                <w:tcPr>
                  <w:tcW w:w="1057" w:type="pct"/>
                  <w:noWrap w:val="0"/>
                  <w:vAlign w:val="center"/>
                </w:tcPr>
                <w:p w14:paraId="2AB70DC0">
                  <w:pPr>
                    <w:pStyle w:val="50"/>
                    <w:bidi w:val="0"/>
                    <w:rPr>
                      <w:rFonts w:hint="default"/>
                      <w:lang w:val="en-US" w:eastAsia="zh-CN"/>
                    </w:rPr>
                  </w:pPr>
                  <w:r>
                    <w:rPr>
                      <w:rFonts w:hint="eastAsia"/>
                      <w:lang w:val="en-US" w:eastAsia="zh-CN"/>
                    </w:rPr>
                    <w:t>废边角料</w:t>
                  </w:r>
                </w:p>
              </w:tc>
              <w:tc>
                <w:tcPr>
                  <w:tcW w:w="605" w:type="pct"/>
                  <w:tcBorders>
                    <w:top w:val="single" w:color="auto" w:sz="4" w:space="0"/>
                  </w:tcBorders>
                  <w:noWrap w:val="0"/>
                  <w:vAlign w:val="center"/>
                </w:tcPr>
                <w:p w14:paraId="23A05DDE">
                  <w:pPr>
                    <w:pStyle w:val="50"/>
                    <w:bidi w:val="0"/>
                    <w:rPr>
                      <w:rFonts w:hint="default"/>
                      <w:lang w:val="en-US" w:eastAsia="zh-CN"/>
                    </w:rPr>
                  </w:pPr>
                  <w:r>
                    <w:rPr>
                      <w:rFonts w:hint="eastAsia"/>
                      <w:lang w:val="en-US" w:eastAsia="zh-CN"/>
                    </w:rPr>
                    <w:t>SW17</w:t>
                  </w:r>
                </w:p>
              </w:tc>
              <w:tc>
                <w:tcPr>
                  <w:tcW w:w="831" w:type="pct"/>
                  <w:tcBorders>
                    <w:top w:val="single" w:color="auto" w:sz="4" w:space="0"/>
                  </w:tcBorders>
                  <w:noWrap w:val="0"/>
                  <w:vAlign w:val="center"/>
                </w:tcPr>
                <w:p w14:paraId="25053DAA">
                  <w:pPr>
                    <w:pStyle w:val="50"/>
                    <w:bidi w:val="0"/>
                    <w:rPr>
                      <w:rFonts w:hint="default"/>
                      <w:lang w:val="en-US" w:eastAsia="zh-CN"/>
                    </w:rPr>
                  </w:pPr>
                  <w:r>
                    <w:rPr>
                      <w:rFonts w:hint="eastAsia"/>
                      <w:lang w:val="en-US" w:eastAsia="zh-CN"/>
                    </w:rPr>
                    <w:t>900-003-S17</w:t>
                  </w:r>
                </w:p>
              </w:tc>
              <w:tc>
                <w:tcPr>
                  <w:tcW w:w="560" w:type="pct"/>
                  <w:noWrap w:val="0"/>
                  <w:vAlign w:val="center"/>
                </w:tcPr>
                <w:p w14:paraId="4F589E3C">
                  <w:pPr>
                    <w:pStyle w:val="50"/>
                    <w:bidi w:val="0"/>
                    <w:rPr>
                      <w:rFonts w:hint="default"/>
                      <w:lang w:val="en-US" w:eastAsia="zh-CN"/>
                    </w:rPr>
                  </w:pPr>
                  <w:r>
                    <w:rPr>
                      <w:rFonts w:hint="eastAsia"/>
                      <w:lang w:val="en-US" w:eastAsia="zh-CN"/>
                    </w:rPr>
                    <w:t>4</w:t>
                  </w:r>
                </w:p>
              </w:tc>
              <w:tc>
                <w:tcPr>
                  <w:tcW w:w="515" w:type="pct"/>
                  <w:noWrap w:val="0"/>
                  <w:vAlign w:val="center"/>
                </w:tcPr>
                <w:p w14:paraId="15850C27">
                  <w:pPr>
                    <w:pStyle w:val="50"/>
                    <w:bidi w:val="0"/>
                    <w:rPr>
                      <w:rFonts w:hint="default"/>
                      <w:lang w:val="en-US" w:eastAsia="zh-CN"/>
                    </w:rPr>
                  </w:pPr>
                  <w:r>
                    <w:rPr>
                      <w:rFonts w:hint="eastAsia"/>
                      <w:lang w:val="en-US" w:eastAsia="zh-CN"/>
                    </w:rPr>
                    <w:t>/</w:t>
                  </w:r>
                </w:p>
              </w:tc>
              <w:tc>
                <w:tcPr>
                  <w:tcW w:w="765" w:type="pct"/>
                  <w:vMerge w:val="continue"/>
                  <w:noWrap w:val="0"/>
                  <w:vAlign w:val="center"/>
                </w:tcPr>
                <w:p w14:paraId="71F851BE">
                  <w:pPr>
                    <w:pStyle w:val="50"/>
                    <w:bidi w:val="0"/>
                    <w:rPr>
                      <w:rFonts w:hint="default"/>
                      <w:lang w:val="en-US" w:eastAsia="zh-CN"/>
                    </w:rPr>
                  </w:pPr>
                </w:p>
              </w:tc>
            </w:tr>
            <w:tr w14:paraId="680E0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63" w:type="pct"/>
                  <w:vMerge w:val="continue"/>
                  <w:noWrap w:val="0"/>
                  <w:vAlign w:val="center"/>
                </w:tcPr>
                <w:p w14:paraId="7AAB1223">
                  <w:pPr>
                    <w:pStyle w:val="50"/>
                    <w:bidi w:val="0"/>
                    <w:rPr>
                      <w:rFonts w:hint="eastAsia"/>
                      <w:lang w:val="en-US" w:eastAsia="zh-CN"/>
                    </w:rPr>
                  </w:pPr>
                </w:p>
              </w:tc>
              <w:tc>
                <w:tcPr>
                  <w:tcW w:w="1057" w:type="pct"/>
                  <w:noWrap w:val="0"/>
                  <w:vAlign w:val="center"/>
                </w:tcPr>
                <w:p w14:paraId="0DDD23E1">
                  <w:pPr>
                    <w:pStyle w:val="50"/>
                    <w:bidi w:val="0"/>
                    <w:rPr>
                      <w:rFonts w:hint="default"/>
                      <w:lang w:val="en-US" w:eastAsia="zh-CN"/>
                    </w:rPr>
                  </w:pPr>
                  <w:r>
                    <w:rPr>
                      <w:rFonts w:hint="eastAsia"/>
                      <w:lang w:val="en-US" w:eastAsia="zh-CN"/>
                    </w:rPr>
                    <w:t>废水性涂料桶</w:t>
                  </w:r>
                </w:p>
              </w:tc>
              <w:tc>
                <w:tcPr>
                  <w:tcW w:w="605" w:type="pct"/>
                  <w:tcBorders>
                    <w:top w:val="single" w:color="auto" w:sz="4" w:space="0"/>
                  </w:tcBorders>
                  <w:shd w:val="clear" w:color="auto" w:fill="auto"/>
                  <w:noWrap w:val="0"/>
                  <w:vAlign w:val="center"/>
                </w:tcPr>
                <w:p w14:paraId="08A127E5">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SW59</w:t>
                  </w:r>
                </w:p>
              </w:tc>
              <w:tc>
                <w:tcPr>
                  <w:tcW w:w="831" w:type="pct"/>
                  <w:tcBorders>
                    <w:top w:val="single" w:color="auto" w:sz="4" w:space="0"/>
                  </w:tcBorders>
                  <w:shd w:val="clear" w:color="auto" w:fill="auto"/>
                  <w:noWrap w:val="0"/>
                  <w:vAlign w:val="center"/>
                </w:tcPr>
                <w:p w14:paraId="42D78CDD">
                  <w:pPr>
                    <w:pStyle w:val="50"/>
                    <w:bidi w:val="0"/>
                    <w:rPr>
                      <w:rFonts w:hint="eastAsia" w:ascii="Times New Roman" w:hAnsi="Times New Roman" w:eastAsiaTheme="minorEastAsia" w:cstheme="minorEastAsia"/>
                      <w:color w:val="auto"/>
                      <w:kern w:val="2"/>
                      <w:sz w:val="21"/>
                      <w:szCs w:val="21"/>
                      <w:lang w:val="en-US" w:eastAsia="zh-CN" w:bidi="ar-SA"/>
                    </w:rPr>
                  </w:pPr>
                  <w:r>
                    <w:rPr>
                      <w:rFonts w:hint="eastAsia"/>
                      <w:lang w:val="en-US" w:eastAsia="zh-CN"/>
                    </w:rPr>
                    <w:t>900-099-S59</w:t>
                  </w:r>
                </w:p>
              </w:tc>
              <w:tc>
                <w:tcPr>
                  <w:tcW w:w="560" w:type="pct"/>
                  <w:noWrap w:val="0"/>
                  <w:vAlign w:val="center"/>
                </w:tcPr>
                <w:p w14:paraId="1EFA6611">
                  <w:pPr>
                    <w:pStyle w:val="50"/>
                    <w:bidi w:val="0"/>
                    <w:rPr>
                      <w:rFonts w:hint="default"/>
                      <w:lang w:val="en-US" w:eastAsia="zh-CN"/>
                    </w:rPr>
                  </w:pPr>
                  <w:r>
                    <w:rPr>
                      <w:rFonts w:hint="eastAsia"/>
                      <w:lang w:val="en-US" w:eastAsia="zh-CN"/>
                    </w:rPr>
                    <w:t>0.5</w:t>
                  </w:r>
                </w:p>
              </w:tc>
              <w:tc>
                <w:tcPr>
                  <w:tcW w:w="515" w:type="pct"/>
                  <w:noWrap w:val="0"/>
                  <w:vAlign w:val="center"/>
                </w:tcPr>
                <w:p w14:paraId="6E7FE17A">
                  <w:pPr>
                    <w:pStyle w:val="50"/>
                    <w:bidi w:val="0"/>
                    <w:rPr>
                      <w:rFonts w:hint="default"/>
                      <w:lang w:val="en-US" w:eastAsia="zh-CN"/>
                    </w:rPr>
                  </w:pPr>
                  <w:r>
                    <w:rPr>
                      <w:rFonts w:hint="eastAsia"/>
                      <w:lang w:val="en-US" w:eastAsia="zh-CN"/>
                    </w:rPr>
                    <w:t>/</w:t>
                  </w:r>
                </w:p>
              </w:tc>
              <w:tc>
                <w:tcPr>
                  <w:tcW w:w="765" w:type="pct"/>
                  <w:vMerge w:val="continue"/>
                  <w:noWrap w:val="0"/>
                  <w:vAlign w:val="center"/>
                </w:tcPr>
                <w:p w14:paraId="78339B94">
                  <w:pPr>
                    <w:pStyle w:val="50"/>
                    <w:bidi w:val="0"/>
                    <w:rPr>
                      <w:rFonts w:hint="eastAsia"/>
                      <w:lang w:val="en-US" w:eastAsia="zh-CN"/>
                    </w:rPr>
                  </w:pPr>
                </w:p>
              </w:tc>
            </w:tr>
            <w:tr w14:paraId="28820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5" w:hRule="atLeast"/>
              </w:trPr>
              <w:tc>
                <w:tcPr>
                  <w:tcW w:w="663" w:type="pct"/>
                  <w:vMerge w:val="restart"/>
                  <w:noWrap w:val="0"/>
                  <w:vAlign w:val="center"/>
                </w:tcPr>
                <w:p w14:paraId="3AC64CF1">
                  <w:pPr>
                    <w:pStyle w:val="50"/>
                    <w:bidi w:val="0"/>
                    <w:rPr>
                      <w:rFonts w:hint="default"/>
                      <w:lang w:val="en-US" w:eastAsia="zh-CN"/>
                    </w:rPr>
                  </w:pPr>
                  <w:r>
                    <w:rPr>
                      <w:rFonts w:hint="eastAsia"/>
                      <w:lang w:val="en-US" w:eastAsia="zh-CN"/>
                    </w:rPr>
                    <w:t>危险废物</w:t>
                  </w:r>
                </w:p>
              </w:tc>
              <w:tc>
                <w:tcPr>
                  <w:tcW w:w="1057" w:type="pct"/>
                  <w:noWrap w:val="0"/>
                  <w:vAlign w:val="center"/>
                </w:tcPr>
                <w:p w14:paraId="414E2412">
                  <w:pPr>
                    <w:pStyle w:val="50"/>
                    <w:bidi w:val="0"/>
                    <w:rPr>
                      <w:rFonts w:hint="default"/>
                      <w:lang w:val="en-US" w:eastAsia="zh-CN"/>
                    </w:rPr>
                  </w:pPr>
                  <w:r>
                    <w:rPr>
                      <w:rFonts w:hint="eastAsia"/>
                      <w:lang w:val="en-US" w:eastAsia="zh-CN"/>
                    </w:rPr>
                    <w:t>废活性炭</w:t>
                  </w:r>
                </w:p>
              </w:tc>
              <w:tc>
                <w:tcPr>
                  <w:tcW w:w="605" w:type="pct"/>
                  <w:noWrap w:val="0"/>
                  <w:vAlign w:val="center"/>
                </w:tcPr>
                <w:p w14:paraId="497BF73F">
                  <w:pPr>
                    <w:pStyle w:val="50"/>
                    <w:bidi w:val="0"/>
                    <w:rPr>
                      <w:rFonts w:hint="default"/>
                      <w:lang w:val="en-US" w:eastAsia="zh-CN"/>
                    </w:rPr>
                  </w:pPr>
                  <w:r>
                    <w:rPr>
                      <w:rFonts w:hint="eastAsia"/>
                      <w:lang w:val="en-US" w:eastAsia="zh-CN"/>
                    </w:rPr>
                    <w:t>HW49</w:t>
                  </w:r>
                </w:p>
              </w:tc>
              <w:tc>
                <w:tcPr>
                  <w:tcW w:w="831" w:type="pct"/>
                  <w:noWrap w:val="0"/>
                  <w:vAlign w:val="center"/>
                </w:tcPr>
                <w:p w14:paraId="17F95EB3">
                  <w:pPr>
                    <w:pStyle w:val="50"/>
                    <w:bidi w:val="0"/>
                    <w:rPr>
                      <w:rFonts w:hint="default"/>
                      <w:lang w:val="en-US" w:eastAsia="zh-CN"/>
                    </w:rPr>
                  </w:pPr>
                  <w:r>
                    <w:rPr>
                      <w:rFonts w:hint="eastAsia"/>
                      <w:lang w:val="en-US" w:eastAsia="zh-CN"/>
                    </w:rPr>
                    <w:t>900-039-49</w:t>
                  </w:r>
                </w:p>
              </w:tc>
              <w:tc>
                <w:tcPr>
                  <w:tcW w:w="560" w:type="pct"/>
                  <w:noWrap w:val="0"/>
                  <w:vAlign w:val="center"/>
                </w:tcPr>
                <w:p w14:paraId="11958569">
                  <w:pPr>
                    <w:pStyle w:val="50"/>
                    <w:bidi w:val="0"/>
                    <w:rPr>
                      <w:rFonts w:hint="default"/>
                      <w:lang w:val="en-US" w:eastAsia="zh-CN"/>
                    </w:rPr>
                  </w:pPr>
                  <w:r>
                    <w:rPr>
                      <w:rFonts w:hint="eastAsia"/>
                      <w:lang w:val="en-US" w:eastAsia="zh-CN"/>
                    </w:rPr>
                    <w:t>3.42</w:t>
                  </w:r>
                </w:p>
              </w:tc>
              <w:tc>
                <w:tcPr>
                  <w:tcW w:w="515" w:type="pct"/>
                  <w:noWrap w:val="0"/>
                  <w:vAlign w:val="center"/>
                </w:tcPr>
                <w:p w14:paraId="155AF298">
                  <w:pPr>
                    <w:pStyle w:val="50"/>
                    <w:bidi w:val="0"/>
                    <w:rPr>
                      <w:rFonts w:hint="default"/>
                      <w:lang w:val="en-US" w:eastAsia="zh-CN"/>
                    </w:rPr>
                  </w:pPr>
                  <w:r>
                    <w:rPr>
                      <w:rFonts w:hint="default"/>
                      <w:lang w:val="en-US" w:eastAsia="zh-CN"/>
                    </w:rPr>
                    <w:t>T</w:t>
                  </w:r>
                  <w:r>
                    <w:rPr>
                      <w:rFonts w:hint="eastAsia"/>
                      <w:lang w:val="en-US" w:eastAsia="zh-CN"/>
                    </w:rPr>
                    <w:t>,</w:t>
                  </w:r>
                  <w:r>
                    <w:rPr>
                      <w:rFonts w:hint="default"/>
                      <w:lang w:val="en-US" w:eastAsia="zh-CN"/>
                    </w:rPr>
                    <w:t>I</w:t>
                  </w:r>
                </w:p>
              </w:tc>
              <w:tc>
                <w:tcPr>
                  <w:tcW w:w="765" w:type="pct"/>
                  <w:vMerge w:val="restart"/>
                  <w:noWrap w:val="0"/>
                  <w:vAlign w:val="center"/>
                </w:tcPr>
                <w:p w14:paraId="7440CBF0">
                  <w:pPr>
                    <w:pStyle w:val="50"/>
                    <w:bidi w:val="0"/>
                    <w:rPr>
                      <w:rFonts w:hint="default"/>
                      <w:lang w:val="en-US" w:eastAsia="zh-CN"/>
                    </w:rPr>
                  </w:pPr>
                  <w:r>
                    <w:rPr>
                      <w:rFonts w:hint="eastAsia"/>
                      <w:lang w:val="en-US" w:eastAsia="zh-CN"/>
                    </w:rPr>
                    <w:t>暂存于危险废物贮存间，由有资质单位处理</w:t>
                  </w:r>
                </w:p>
              </w:tc>
            </w:tr>
            <w:tr w14:paraId="7D154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63" w:type="pct"/>
                  <w:vMerge w:val="continue"/>
                  <w:noWrap w:val="0"/>
                  <w:vAlign w:val="center"/>
                </w:tcPr>
                <w:p w14:paraId="7C0098B4">
                  <w:pPr>
                    <w:pStyle w:val="50"/>
                    <w:bidi w:val="0"/>
                    <w:rPr>
                      <w:rFonts w:hint="eastAsia"/>
                      <w:lang w:val="en-US" w:eastAsia="zh-CN"/>
                    </w:rPr>
                  </w:pPr>
                </w:p>
              </w:tc>
              <w:tc>
                <w:tcPr>
                  <w:tcW w:w="1057" w:type="pct"/>
                  <w:noWrap w:val="0"/>
                  <w:vAlign w:val="center"/>
                </w:tcPr>
                <w:p w14:paraId="225F14C1">
                  <w:pPr>
                    <w:pStyle w:val="50"/>
                    <w:bidi w:val="0"/>
                    <w:rPr>
                      <w:rFonts w:hint="default"/>
                      <w:lang w:val="en-US" w:eastAsia="zh-CN"/>
                    </w:rPr>
                  </w:pPr>
                  <w:r>
                    <w:rPr>
                      <w:rFonts w:hint="eastAsia"/>
                      <w:lang w:val="en-US" w:eastAsia="zh-CN"/>
                    </w:rPr>
                    <w:t>废润滑油</w:t>
                  </w:r>
                </w:p>
              </w:tc>
              <w:tc>
                <w:tcPr>
                  <w:tcW w:w="605" w:type="pct"/>
                  <w:noWrap w:val="0"/>
                  <w:vAlign w:val="center"/>
                </w:tcPr>
                <w:p w14:paraId="40471B76">
                  <w:pPr>
                    <w:pStyle w:val="50"/>
                    <w:bidi w:val="0"/>
                    <w:rPr>
                      <w:rFonts w:hint="default"/>
                      <w:lang w:val="en-US" w:eastAsia="zh-CN"/>
                    </w:rPr>
                  </w:pPr>
                  <w:r>
                    <w:rPr>
                      <w:rFonts w:hint="eastAsia"/>
                    </w:rPr>
                    <w:t>HW08</w:t>
                  </w:r>
                </w:p>
              </w:tc>
              <w:tc>
                <w:tcPr>
                  <w:tcW w:w="831" w:type="pct"/>
                  <w:noWrap w:val="0"/>
                  <w:vAlign w:val="center"/>
                </w:tcPr>
                <w:p w14:paraId="3AEC7301">
                  <w:pPr>
                    <w:pStyle w:val="50"/>
                    <w:bidi w:val="0"/>
                    <w:rPr>
                      <w:rFonts w:hint="default"/>
                      <w:lang w:val="en-US" w:eastAsia="zh-CN"/>
                    </w:rPr>
                  </w:pPr>
                  <w:r>
                    <w:rPr>
                      <w:rFonts w:hint="eastAsia"/>
                      <w:lang w:val="en-US" w:eastAsia="zh-CN"/>
                    </w:rPr>
                    <w:t>900-214-08</w:t>
                  </w:r>
                </w:p>
              </w:tc>
              <w:tc>
                <w:tcPr>
                  <w:tcW w:w="560" w:type="pct"/>
                  <w:noWrap w:val="0"/>
                  <w:vAlign w:val="center"/>
                </w:tcPr>
                <w:p w14:paraId="5BEF5013">
                  <w:pPr>
                    <w:pStyle w:val="50"/>
                    <w:bidi w:val="0"/>
                    <w:rPr>
                      <w:rFonts w:hint="default"/>
                      <w:lang w:val="en-US" w:eastAsia="zh-CN"/>
                    </w:rPr>
                  </w:pPr>
                  <w:r>
                    <w:rPr>
                      <w:rFonts w:hint="eastAsia"/>
                      <w:lang w:val="en-US" w:eastAsia="zh-CN"/>
                    </w:rPr>
                    <w:t>0.05</w:t>
                  </w:r>
                </w:p>
              </w:tc>
              <w:tc>
                <w:tcPr>
                  <w:tcW w:w="515" w:type="pct"/>
                  <w:noWrap w:val="0"/>
                  <w:vAlign w:val="center"/>
                </w:tcPr>
                <w:p w14:paraId="0E855647">
                  <w:pPr>
                    <w:pStyle w:val="50"/>
                    <w:bidi w:val="0"/>
                    <w:rPr>
                      <w:rFonts w:hint="default"/>
                      <w:lang w:val="en-US" w:eastAsia="zh-CN"/>
                    </w:rPr>
                  </w:pPr>
                  <w:r>
                    <w:rPr>
                      <w:rFonts w:hint="default"/>
                      <w:lang w:val="en-US" w:eastAsia="zh-CN"/>
                    </w:rPr>
                    <w:t>T</w:t>
                  </w:r>
                  <w:r>
                    <w:rPr>
                      <w:rFonts w:hint="eastAsia"/>
                      <w:lang w:val="en-US" w:eastAsia="zh-CN"/>
                    </w:rPr>
                    <w:t>,</w:t>
                  </w:r>
                  <w:r>
                    <w:rPr>
                      <w:rFonts w:hint="default"/>
                      <w:lang w:val="en-US" w:eastAsia="zh-CN"/>
                    </w:rPr>
                    <w:t>I</w:t>
                  </w:r>
                </w:p>
              </w:tc>
              <w:tc>
                <w:tcPr>
                  <w:tcW w:w="765" w:type="pct"/>
                  <w:vMerge w:val="continue"/>
                  <w:noWrap w:val="0"/>
                  <w:vAlign w:val="center"/>
                </w:tcPr>
                <w:p w14:paraId="0270B59F">
                  <w:pPr>
                    <w:pStyle w:val="50"/>
                    <w:bidi w:val="0"/>
                    <w:rPr>
                      <w:rFonts w:hint="default"/>
                      <w:lang w:val="en-US" w:eastAsia="zh-CN"/>
                    </w:rPr>
                  </w:pPr>
                </w:p>
              </w:tc>
            </w:tr>
            <w:tr w14:paraId="6A235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63" w:type="pct"/>
                  <w:vMerge w:val="continue"/>
                  <w:noWrap w:val="0"/>
                  <w:vAlign w:val="center"/>
                </w:tcPr>
                <w:p w14:paraId="50ADB4CD">
                  <w:pPr>
                    <w:pStyle w:val="50"/>
                    <w:bidi w:val="0"/>
                    <w:rPr>
                      <w:rFonts w:hint="eastAsia"/>
                      <w:lang w:val="en-US" w:eastAsia="zh-CN"/>
                    </w:rPr>
                  </w:pPr>
                </w:p>
              </w:tc>
              <w:tc>
                <w:tcPr>
                  <w:tcW w:w="1057" w:type="pct"/>
                  <w:noWrap w:val="0"/>
                  <w:vAlign w:val="center"/>
                </w:tcPr>
                <w:p w14:paraId="13613832">
                  <w:pPr>
                    <w:pStyle w:val="50"/>
                    <w:bidi w:val="0"/>
                    <w:rPr>
                      <w:rFonts w:hint="eastAsia"/>
                      <w:lang w:val="en-US" w:eastAsia="zh-CN"/>
                    </w:rPr>
                  </w:pPr>
                  <w:r>
                    <w:rPr>
                      <w:rFonts w:hint="eastAsia"/>
                      <w:lang w:val="en-US" w:eastAsia="zh-CN"/>
                    </w:rPr>
                    <w:t>废润滑油桶</w:t>
                  </w:r>
                </w:p>
              </w:tc>
              <w:tc>
                <w:tcPr>
                  <w:tcW w:w="605" w:type="pct"/>
                  <w:noWrap w:val="0"/>
                  <w:vAlign w:val="center"/>
                </w:tcPr>
                <w:p w14:paraId="22EBB767">
                  <w:pPr>
                    <w:pStyle w:val="61"/>
                    <w:bidi w:val="0"/>
                    <w:rPr>
                      <w:rFonts w:hint="eastAsia"/>
                      <w:lang w:val="en-US" w:eastAsia="zh-CN"/>
                    </w:rPr>
                  </w:pPr>
                  <w:r>
                    <w:rPr>
                      <w:rFonts w:hint="default"/>
                      <w:highlight w:val="none"/>
                      <w:lang w:val="en-US" w:eastAsia="zh-CN"/>
                    </w:rPr>
                    <w:t>HW08</w:t>
                  </w:r>
                </w:p>
              </w:tc>
              <w:tc>
                <w:tcPr>
                  <w:tcW w:w="831" w:type="pct"/>
                  <w:noWrap w:val="0"/>
                  <w:vAlign w:val="center"/>
                </w:tcPr>
                <w:p w14:paraId="47AF7FEA">
                  <w:pPr>
                    <w:pStyle w:val="61"/>
                    <w:bidi w:val="0"/>
                    <w:rPr>
                      <w:rFonts w:hint="eastAsia"/>
                      <w:lang w:val="en-US" w:eastAsia="zh-CN"/>
                    </w:rPr>
                  </w:pPr>
                  <w:r>
                    <w:rPr>
                      <w:rFonts w:hint="eastAsia"/>
                      <w:highlight w:val="none"/>
                      <w:lang w:val="en-US" w:eastAsia="zh-CN"/>
                    </w:rPr>
                    <w:t>900-249-08</w:t>
                  </w:r>
                </w:p>
              </w:tc>
              <w:tc>
                <w:tcPr>
                  <w:tcW w:w="560" w:type="pct"/>
                  <w:noWrap w:val="0"/>
                  <w:vAlign w:val="center"/>
                </w:tcPr>
                <w:p w14:paraId="6F815CC9">
                  <w:pPr>
                    <w:pStyle w:val="50"/>
                    <w:bidi w:val="0"/>
                    <w:rPr>
                      <w:rFonts w:hint="default"/>
                      <w:lang w:val="en-US" w:eastAsia="zh-CN"/>
                    </w:rPr>
                  </w:pPr>
                  <w:r>
                    <w:rPr>
                      <w:rFonts w:hint="eastAsia"/>
                      <w:lang w:val="en-US" w:eastAsia="zh-CN"/>
                    </w:rPr>
                    <w:t>0.005</w:t>
                  </w:r>
                </w:p>
              </w:tc>
              <w:tc>
                <w:tcPr>
                  <w:tcW w:w="515" w:type="pct"/>
                  <w:noWrap w:val="0"/>
                  <w:vAlign w:val="center"/>
                </w:tcPr>
                <w:p w14:paraId="349E7A09">
                  <w:pPr>
                    <w:pStyle w:val="50"/>
                    <w:bidi w:val="0"/>
                    <w:rPr>
                      <w:rFonts w:hint="default"/>
                      <w:lang w:val="en-US" w:eastAsia="zh-CN"/>
                    </w:rPr>
                  </w:pPr>
                  <w:r>
                    <w:rPr>
                      <w:rFonts w:hint="default"/>
                      <w:lang w:val="en-US" w:eastAsia="zh-CN"/>
                    </w:rPr>
                    <w:t>T</w:t>
                  </w:r>
                  <w:r>
                    <w:rPr>
                      <w:rFonts w:hint="eastAsia"/>
                      <w:lang w:val="en-US" w:eastAsia="zh-CN"/>
                    </w:rPr>
                    <w:t>,</w:t>
                  </w:r>
                  <w:r>
                    <w:rPr>
                      <w:rFonts w:hint="default"/>
                      <w:lang w:val="en-US" w:eastAsia="zh-CN"/>
                    </w:rPr>
                    <w:t>I</w:t>
                  </w:r>
                </w:p>
              </w:tc>
              <w:tc>
                <w:tcPr>
                  <w:tcW w:w="765" w:type="pct"/>
                  <w:vMerge w:val="continue"/>
                  <w:noWrap w:val="0"/>
                  <w:vAlign w:val="center"/>
                </w:tcPr>
                <w:p w14:paraId="56EB39FD">
                  <w:pPr>
                    <w:pStyle w:val="50"/>
                    <w:bidi w:val="0"/>
                    <w:rPr>
                      <w:rFonts w:hint="default"/>
                      <w:lang w:val="en-US" w:eastAsia="zh-CN"/>
                    </w:rPr>
                  </w:pPr>
                </w:p>
              </w:tc>
            </w:tr>
            <w:tr w14:paraId="3A6B9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63" w:type="pct"/>
                  <w:vMerge w:val="continue"/>
                  <w:noWrap w:val="0"/>
                  <w:vAlign w:val="center"/>
                </w:tcPr>
                <w:p w14:paraId="0FA9A02A">
                  <w:pPr>
                    <w:pStyle w:val="50"/>
                    <w:bidi w:val="0"/>
                    <w:rPr>
                      <w:rFonts w:hint="eastAsia"/>
                      <w:lang w:val="en-US" w:eastAsia="zh-CN"/>
                    </w:rPr>
                  </w:pPr>
                </w:p>
              </w:tc>
              <w:tc>
                <w:tcPr>
                  <w:tcW w:w="1057" w:type="pct"/>
                  <w:noWrap w:val="0"/>
                  <w:vAlign w:val="center"/>
                </w:tcPr>
                <w:p w14:paraId="1D0C1463">
                  <w:pPr>
                    <w:pStyle w:val="50"/>
                    <w:bidi w:val="0"/>
                    <w:rPr>
                      <w:rFonts w:hint="default"/>
                      <w:lang w:val="en-US" w:eastAsia="zh-CN"/>
                    </w:rPr>
                  </w:pPr>
                  <w:r>
                    <w:rPr>
                      <w:rFonts w:hint="eastAsia"/>
                      <w:lang w:val="en-US" w:eastAsia="zh-CN"/>
                    </w:rPr>
                    <w:t>清洗废渣</w:t>
                  </w:r>
                </w:p>
              </w:tc>
              <w:tc>
                <w:tcPr>
                  <w:tcW w:w="605" w:type="pct"/>
                  <w:noWrap w:val="0"/>
                  <w:vAlign w:val="center"/>
                </w:tcPr>
                <w:p w14:paraId="54939B62">
                  <w:pPr>
                    <w:pStyle w:val="61"/>
                    <w:bidi w:val="0"/>
                    <w:rPr>
                      <w:rFonts w:hint="default"/>
                      <w:highlight w:val="none"/>
                      <w:lang w:val="en-US" w:eastAsia="zh-CN"/>
                    </w:rPr>
                  </w:pPr>
                  <w:r>
                    <w:rPr>
                      <w:rFonts w:hint="eastAsia"/>
                      <w:highlight w:val="none"/>
                      <w:lang w:val="en-US" w:eastAsia="zh-CN"/>
                    </w:rPr>
                    <w:t>HW08</w:t>
                  </w:r>
                </w:p>
              </w:tc>
              <w:tc>
                <w:tcPr>
                  <w:tcW w:w="831" w:type="pct"/>
                  <w:noWrap w:val="0"/>
                  <w:vAlign w:val="center"/>
                </w:tcPr>
                <w:p w14:paraId="388E25CA">
                  <w:pPr>
                    <w:pStyle w:val="61"/>
                    <w:bidi w:val="0"/>
                    <w:rPr>
                      <w:rFonts w:hint="default"/>
                      <w:highlight w:val="none"/>
                      <w:lang w:val="en-US" w:eastAsia="zh-CN"/>
                    </w:rPr>
                  </w:pPr>
                  <w:r>
                    <w:rPr>
                      <w:rFonts w:hint="eastAsia"/>
                      <w:highlight w:val="none"/>
                      <w:lang w:val="en-US" w:eastAsia="zh-CN"/>
                    </w:rPr>
                    <w:t>900-210-08</w:t>
                  </w:r>
                </w:p>
              </w:tc>
              <w:tc>
                <w:tcPr>
                  <w:tcW w:w="560" w:type="pct"/>
                  <w:noWrap w:val="0"/>
                  <w:vAlign w:val="center"/>
                </w:tcPr>
                <w:p w14:paraId="08EE4404">
                  <w:pPr>
                    <w:pStyle w:val="50"/>
                    <w:bidi w:val="0"/>
                    <w:rPr>
                      <w:rFonts w:hint="default"/>
                      <w:lang w:val="en-US" w:eastAsia="zh-CN"/>
                    </w:rPr>
                  </w:pPr>
                  <w:r>
                    <w:rPr>
                      <w:rFonts w:hint="eastAsia"/>
                      <w:lang w:val="en-US" w:eastAsia="zh-CN"/>
                    </w:rPr>
                    <w:t>0.06</w:t>
                  </w:r>
                </w:p>
              </w:tc>
              <w:tc>
                <w:tcPr>
                  <w:tcW w:w="515" w:type="pct"/>
                  <w:noWrap w:val="0"/>
                  <w:vAlign w:val="center"/>
                </w:tcPr>
                <w:p w14:paraId="5E329E4B">
                  <w:pPr>
                    <w:pStyle w:val="50"/>
                    <w:bidi w:val="0"/>
                    <w:rPr>
                      <w:rFonts w:hint="default"/>
                      <w:lang w:val="en-US" w:eastAsia="zh-CN"/>
                    </w:rPr>
                  </w:pPr>
                  <w:r>
                    <w:rPr>
                      <w:rFonts w:hint="default"/>
                      <w:lang w:val="en-US" w:eastAsia="zh-CN"/>
                    </w:rPr>
                    <w:t>T</w:t>
                  </w:r>
                  <w:r>
                    <w:rPr>
                      <w:rFonts w:hint="eastAsia"/>
                      <w:lang w:val="en-US" w:eastAsia="zh-CN"/>
                    </w:rPr>
                    <w:t>,</w:t>
                  </w:r>
                  <w:r>
                    <w:rPr>
                      <w:rFonts w:hint="default"/>
                      <w:lang w:val="en-US" w:eastAsia="zh-CN"/>
                    </w:rPr>
                    <w:t>I</w:t>
                  </w:r>
                </w:p>
              </w:tc>
              <w:tc>
                <w:tcPr>
                  <w:tcW w:w="765" w:type="pct"/>
                  <w:vMerge w:val="continue"/>
                  <w:noWrap w:val="0"/>
                  <w:vAlign w:val="center"/>
                </w:tcPr>
                <w:p w14:paraId="40603DCD">
                  <w:pPr>
                    <w:pStyle w:val="50"/>
                    <w:bidi w:val="0"/>
                    <w:rPr>
                      <w:rFonts w:hint="default"/>
                      <w:lang w:val="en-US" w:eastAsia="zh-CN"/>
                    </w:rPr>
                  </w:pPr>
                </w:p>
              </w:tc>
            </w:tr>
          </w:tbl>
          <w:p w14:paraId="79FB50E1">
            <w:pPr>
              <w:pStyle w:val="47"/>
              <w:bidi w:val="0"/>
              <w:rPr>
                <w:rFonts w:hint="eastAsia"/>
                <w:lang w:val="en-US" w:eastAsia="zh-CN"/>
              </w:rPr>
            </w:pPr>
            <w:r>
              <w:rPr>
                <w:rFonts w:hint="eastAsia"/>
                <w:lang w:val="en-US" w:eastAsia="zh-CN"/>
              </w:rPr>
              <w:t>综上所述，本项目固体废物得到综合利用和妥善处置，对周围环境影响较小。</w:t>
            </w:r>
          </w:p>
          <w:p w14:paraId="33E60FD1">
            <w:pPr>
              <w:pStyle w:val="60"/>
              <w:bidi w:val="0"/>
              <w:rPr>
                <w:rFonts w:hint="default"/>
                <w:lang w:val="en-US" w:eastAsia="zh-CN"/>
              </w:rPr>
            </w:pPr>
            <w:r>
              <w:rPr>
                <w:rFonts w:hint="eastAsia"/>
                <w:lang w:val="en-US" w:eastAsia="zh-CN"/>
              </w:rPr>
              <w:t>4.2危险固废包装及储存场所环境影响分析</w:t>
            </w:r>
          </w:p>
          <w:p w14:paraId="740CDB49">
            <w:pPr>
              <w:pStyle w:val="54"/>
              <w:bidi w:val="0"/>
              <w:rPr>
                <w:rFonts w:hint="eastAsia"/>
                <w:lang w:val="en-US" w:eastAsia="zh-CN"/>
              </w:rPr>
            </w:pPr>
            <w:r>
              <w:rPr>
                <w:rFonts w:hint="eastAsia"/>
                <w:lang w:val="en-US" w:eastAsia="zh-CN"/>
              </w:rPr>
              <w:t>厂区拟建一座15m</w:t>
            </w:r>
            <w:r>
              <w:rPr>
                <w:rFonts w:hint="eastAsia"/>
                <w:vertAlign w:val="superscript"/>
                <w:lang w:val="en-US" w:eastAsia="zh-CN"/>
              </w:rPr>
              <w:t>2</w:t>
            </w:r>
            <w:r>
              <w:rPr>
                <w:rFonts w:hint="eastAsia"/>
                <w:lang w:val="en-US" w:eastAsia="zh-CN"/>
              </w:rPr>
              <w:t>危险废物贮存间用于危险废物的收集暂存。厂区产生的固体废物将按环评提出的污染防治措施进行收集、暂存、处置或利用。</w:t>
            </w:r>
          </w:p>
          <w:p w14:paraId="78233598">
            <w:pPr>
              <w:pStyle w:val="54"/>
              <w:bidi w:val="0"/>
              <w:rPr>
                <w:rFonts w:hint="eastAsia"/>
                <w:lang w:val="en-US" w:eastAsia="zh-CN"/>
              </w:rPr>
            </w:pPr>
            <w:r>
              <w:rPr>
                <w:rFonts w:hint="eastAsia"/>
                <w:lang w:val="en-US" w:eastAsia="zh-CN"/>
              </w:rPr>
              <w:t>（1）危险废物运行环境管理要求</w:t>
            </w:r>
          </w:p>
          <w:p w14:paraId="68796CD3">
            <w:pPr>
              <w:pStyle w:val="54"/>
              <w:bidi w:val="0"/>
              <w:rPr>
                <w:rFonts w:hint="eastAsia"/>
                <w:lang w:val="en-US" w:eastAsia="zh-CN"/>
              </w:rPr>
            </w:pPr>
            <w:r>
              <w:rPr>
                <w:rFonts w:hint="eastAsia"/>
                <w:lang w:val="en-US" w:eastAsia="zh-CN"/>
              </w:rPr>
              <w:t>危险废物临时存放于指定的危废暂存间，不得露天堆放，危险废物的地坪要符合防腐防渗要求，避免产生渗透、雨水淋溶及大风吹扬及外水入侵冲洗等二次污染；危废暂存间的设置须满足《危险废物贮存污染控制标准》(GB18597-2023)、《危险废物收集贮存运输技术规范》（HJ2025-2012）中相关要求。</w:t>
            </w:r>
          </w:p>
          <w:p w14:paraId="2EA9C96A">
            <w:pPr>
              <w:pStyle w:val="54"/>
              <w:bidi w:val="0"/>
              <w:rPr>
                <w:rFonts w:hint="eastAsia"/>
                <w:lang w:val="en-US" w:eastAsia="zh-CN"/>
              </w:rPr>
            </w:pPr>
            <w:r>
              <w:rPr>
                <w:rFonts w:hint="default"/>
                <w:lang w:val="en-US" w:eastAsia="zh-CN"/>
              </w:rPr>
              <w:t>①</w:t>
            </w:r>
            <w:r>
              <w:rPr>
                <w:rFonts w:hint="eastAsia"/>
                <w:lang w:val="en-US" w:eastAsia="zh-CN"/>
              </w:rPr>
              <w:t>危险废物贮存间应按照《危险废物贮存污染控制标准》（GB18597-2023）的要求进行建设，贮存的危险废物直接接触地面的，还应进行基础防渗，防渗层为至少1m厚黏土层（渗透系数不大于10</w:t>
            </w:r>
            <w:r>
              <w:rPr>
                <w:rFonts w:hint="eastAsia"/>
                <w:vertAlign w:val="superscript"/>
                <w:lang w:val="en-US" w:eastAsia="zh-CN"/>
              </w:rPr>
              <w:t>-7</w:t>
            </w:r>
            <w:r>
              <w:rPr>
                <w:rFonts w:hint="eastAsia"/>
                <w:lang w:val="en-US" w:eastAsia="zh-CN"/>
              </w:rPr>
              <w:t>cm/s），或至少2mm厚高密度聚乙烯膜等人工防渗材料（渗透系数不大于10</w:t>
            </w:r>
            <w:r>
              <w:rPr>
                <w:rFonts w:hint="eastAsia"/>
                <w:vertAlign w:val="superscript"/>
                <w:lang w:val="en-US" w:eastAsia="zh-CN"/>
              </w:rPr>
              <w:t>-10</w:t>
            </w:r>
            <w:r>
              <w:rPr>
                <w:rFonts w:hint="eastAsia"/>
                <w:lang w:val="en-US" w:eastAsia="zh-CN"/>
              </w:rPr>
              <w:t>cm/s），或其他防渗性能等效的材料。</w:t>
            </w:r>
          </w:p>
          <w:p w14:paraId="1F07B0B6">
            <w:pPr>
              <w:pStyle w:val="54"/>
              <w:bidi w:val="0"/>
              <w:rPr>
                <w:rFonts w:hint="eastAsia"/>
                <w:lang w:val="en-US" w:eastAsia="zh-CN"/>
              </w:rPr>
            </w:pPr>
            <w:r>
              <w:rPr>
                <w:rFonts w:hint="default"/>
                <w:lang w:val="en-US" w:eastAsia="zh-CN"/>
              </w:rPr>
              <w:t>②应定期检查危险废物的贮存状况，及时清理贮存设施地面，更换破损泄漏的危险废物贮存容器和包装物，保证堆存危险废物的防雨、防风、防扬尘等设施功能完好</w:t>
            </w:r>
            <w:r>
              <w:rPr>
                <w:rFonts w:hint="eastAsia"/>
                <w:lang w:val="en-US" w:eastAsia="zh-CN"/>
              </w:rPr>
              <w:t>。</w:t>
            </w:r>
          </w:p>
          <w:p w14:paraId="0D8613D5">
            <w:pPr>
              <w:pStyle w:val="54"/>
              <w:bidi w:val="0"/>
              <w:rPr>
                <w:rFonts w:hint="default"/>
                <w:lang w:val="en-US" w:eastAsia="zh-CN"/>
              </w:rPr>
            </w:pPr>
            <w:r>
              <w:rPr>
                <w:rFonts w:hint="default"/>
                <w:lang w:val="en-US" w:eastAsia="zh-CN"/>
              </w:rPr>
              <w:t>③作业设备及车辆等结束作业离开贮存设施时，应对其残留的危险废物进行清理，清理的废物或清洗废水应收集处理</w:t>
            </w:r>
            <w:r>
              <w:rPr>
                <w:rFonts w:hint="eastAsia"/>
                <w:lang w:val="en-US" w:eastAsia="zh-CN"/>
              </w:rPr>
              <w:t>。</w:t>
            </w:r>
          </w:p>
          <w:p w14:paraId="021F6E12">
            <w:pPr>
              <w:pStyle w:val="54"/>
              <w:bidi w:val="0"/>
              <w:rPr>
                <w:rFonts w:hint="default"/>
                <w:lang w:val="en-US" w:eastAsia="zh-CN"/>
              </w:rPr>
            </w:pPr>
            <w:r>
              <w:rPr>
                <w:rFonts w:hint="default"/>
                <w:lang w:val="en-US" w:eastAsia="zh-CN"/>
              </w:rPr>
              <w:t>④贮存设施运行期间，应按国家有关标准和规定建立危险废物管理台账并保存</w:t>
            </w:r>
            <w:r>
              <w:rPr>
                <w:rFonts w:hint="eastAsia"/>
                <w:lang w:val="en-US" w:eastAsia="zh-CN"/>
              </w:rPr>
              <w:t>。</w:t>
            </w:r>
          </w:p>
          <w:p w14:paraId="3DC51AF3">
            <w:pPr>
              <w:pStyle w:val="54"/>
              <w:bidi w:val="0"/>
              <w:rPr>
                <w:rFonts w:hint="default"/>
                <w:lang w:val="en-US" w:eastAsia="zh-CN"/>
              </w:rPr>
            </w:pPr>
            <w:r>
              <w:rPr>
                <w:rFonts w:hint="default"/>
                <w:lang w:val="en-US" w:eastAsia="zh-CN"/>
              </w:rPr>
              <w:t>⑤贮存设施所有者或运营者应建立贮存设施环境管理制度、管理人员岗位职责制度、设施运行操作制度、人员岗位培训制度等</w:t>
            </w:r>
            <w:r>
              <w:rPr>
                <w:rFonts w:hint="eastAsia"/>
                <w:lang w:val="en-US" w:eastAsia="zh-CN"/>
              </w:rPr>
              <w:t>。</w:t>
            </w:r>
          </w:p>
          <w:p w14:paraId="42C4DBAB">
            <w:pPr>
              <w:pStyle w:val="54"/>
              <w:bidi w:val="0"/>
              <w:rPr>
                <w:rFonts w:hint="eastAsia"/>
                <w:lang w:val="en-US" w:eastAsia="zh-CN"/>
              </w:rPr>
            </w:pPr>
            <w:r>
              <w:rPr>
                <w:rFonts w:hint="eastAsia"/>
                <w:lang w:val="en-US" w:eastAsia="zh-CN"/>
              </w:rPr>
              <w:t>（2）危险废物运输措施</w:t>
            </w:r>
          </w:p>
          <w:p w14:paraId="0483DFC1">
            <w:pPr>
              <w:pStyle w:val="54"/>
              <w:bidi w:val="0"/>
              <w:rPr>
                <w:rFonts w:hint="default"/>
                <w:lang w:val="en-US" w:eastAsia="zh-CN"/>
              </w:rPr>
            </w:pPr>
            <w:r>
              <w:rPr>
                <w:rFonts w:hint="default"/>
                <w:lang w:val="en-US" w:eastAsia="zh-CN"/>
              </w:rPr>
              <w:t>防止运输过程中危险废物的污染损害是防止危险废物污染损害的主要环节之一。在运输过程中，如果管理不当或未采取适当的污染防治和安全防护措施，则极易造成污染。我国每年都发生危险废物运输事故，并造成了严重的污染危害。因此，必须对危险废物的运输加以控制和管理。运输危险废物，必须同时符合两个要求，一是必须采取防止污染环境的措施，符合环境保护的要求，做到无害化的运输；二是必须将所运输的危险废物作为危险货物对待，遵守国家有关危险货物运输管理的规定，符合危险货物运输的安全防护要求，做到安全运输。具体的防治污染环境的措施有：</w:t>
            </w:r>
          </w:p>
          <w:p w14:paraId="4FD852DF">
            <w:pPr>
              <w:pStyle w:val="54"/>
              <w:bidi w:val="0"/>
              <w:rPr>
                <w:rFonts w:hint="default"/>
                <w:lang w:val="en-US" w:eastAsia="zh-CN"/>
              </w:rPr>
            </w:pPr>
            <w:r>
              <w:rPr>
                <w:rFonts w:hint="default"/>
                <w:lang w:val="en-US" w:eastAsia="zh-CN"/>
              </w:rPr>
              <w:t>①对运输危险废物的设施和设备应当加强管理和维护，保证其正常运行和使用</w:t>
            </w:r>
            <w:r>
              <w:rPr>
                <w:rFonts w:hint="eastAsia"/>
                <w:lang w:val="en-US" w:eastAsia="zh-CN"/>
              </w:rPr>
              <w:t>。</w:t>
            </w:r>
          </w:p>
          <w:p w14:paraId="5CA5A697">
            <w:pPr>
              <w:pStyle w:val="54"/>
              <w:bidi w:val="0"/>
              <w:rPr>
                <w:rFonts w:hint="default"/>
                <w:lang w:val="en-US" w:eastAsia="zh-CN"/>
              </w:rPr>
            </w:pPr>
            <w:r>
              <w:rPr>
                <w:rFonts w:hint="default"/>
                <w:lang w:val="en-US" w:eastAsia="zh-CN"/>
              </w:rPr>
              <w:t>②不能混合运输性质不相容而又未经安全性处置的危险废物</w:t>
            </w:r>
            <w:r>
              <w:rPr>
                <w:rFonts w:hint="eastAsia"/>
                <w:lang w:val="en-US" w:eastAsia="zh-CN"/>
              </w:rPr>
              <w:t>。</w:t>
            </w:r>
          </w:p>
          <w:p w14:paraId="1EE29143">
            <w:pPr>
              <w:pStyle w:val="54"/>
              <w:bidi w:val="0"/>
              <w:rPr>
                <w:rFonts w:hint="default"/>
                <w:lang w:val="en-US" w:eastAsia="zh-CN"/>
              </w:rPr>
            </w:pPr>
            <w:r>
              <w:rPr>
                <w:rFonts w:hint="default"/>
                <w:lang w:val="en-US" w:eastAsia="zh-CN"/>
              </w:rPr>
              <w:t>③禁止将危险废物与旅客在同一运输工具上载运</w:t>
            </w:r>
            <w:r>
              <w:rPr>
                <w:rFonts w:hint="eastAsia"/>
                <w:lang w:val="en-US" w:eastAsia="zh-CN"/>
              </w:rPr>
              <w:t>。</w:t>
            </w:r>
          </w:p>
          <w:p w14:paraId="152324B7">
            <w:pPr>
              <w:pStyle w:val="54"/>
              <w:bidi w:val="0"/>
              <w:rPr>
                <w:rFonts w:hint="default"/>
                <w:lang w:val="en-US" w:eastAsia="zh-CN"/>
              </w:rPr>
            </w:pPr>
            <w:r>
              <w:rPr>
                <w:rFonts w:hint="default"/>
                <w:lang w:val="en-US" w:eastAsia="zh-CN"/>
              </w:rPr>
              <w:t>④运输危险废物的设施和设备在转作他用时，必须经过消除污染的处理，方可使用</w:t>
            </w:r>
            <w:r>
              <w:rPr>
                <w:rFonts w:hint="eastAsia"/>
                <w:lang w:val="en-US" w:eastAsia="zh-CN"/>
              </w:rPr>
              <w:t>。</w:t>
            </w:r>
          </w:p>
          <w:p w14:paraId="587F774C">
            <w:pPr>
              <w:pStyle w:val="54"/>
              <w:bidi w:val="0"/>
              <w:rPr>
                <w:rFonts w:hint="default"/>
                <w:lang w:val="en-US" w:eastAsia="zh-CN"/>
              </w:rPr>
            </w:pPr>
            <w:r>
              <w:rPr>
                <w:rFonts w:hint="default"/>
                <w:lang w:val="en-US" w:eastAsia="zh-CN"/>
              </w:rPr>
              <w:t>⑤运输危险废物的人员，应当接受专业培训；经考核合格后，方可从事运输危险废物的工作</w:t>
            </w:r>
            <w:r>
              <w:rPr>
                <w:rFonts w:hint="eastAsia"/>
                <w:lang w:val="en-US" w:eastAsia="zh-CN"/>
              </w:rPr>
              <w:t>。</w:t>
            </w:r>
          </w:p>
          <w:p w14:paraId="3473D204">
            <w:pPr>
              <w:pStyle w:val="54"/>
              <w:bidi w:val="0"/>
              <w:rPr>
                <w:rFonts w:hint="default"/>
                <w:lang w:val="en-US" w:eastAsia="zh-CN"/>
              </w:rPr>
            </w:pPr>
            <w:r>
              <w:rPr>
                <w:rFonts w:hint="default"/>
                <w:lang w:val="en-US" w:eastAsia="zh-CN"/>
              </w:rPr>
              <w:t>⑥运输危险废物的单位应当制定在发生意外事故时采取的应急措施和防范措施</w:t>
            </w:r>
            <w:r>
              <w:rPr>
                <w:rFonts w:hint="eastAsia"/>
                <w:lang w:val="en-US" w:eastAsia="zh-CN"/>
              </w:rPr>
              <w:t>。</w:t>
            </w:r>
          </w:p>
          <w:p w14:paraId="6AEEDAC8">
            <w:pPr>
              <w:pStyle w:val="54"/>
              <w:bidi w:val="0"/>
              <w:rPr>
                <w:rFonts w:hint="eastAsia"/>
                <w:lang w:val="en-US" w:eastAsia="zh-CN"/>
              </w:rPr>
            </w:pPr>
            <w:r>
              <w:rPr>
                <w:rFonts w:hint="default"/>
                <w:lang w:val="en-US" w:eastAsia="zh-CN"/>
              </w:rPr>
              <w:t>⑦运输时，发生突发性事故必须立即采取措施消除或者减轻对环境的污染危害，及时通报给附近的单位和居民，并向事故发生地县级以上人民政府环境保护行政主管部门和有关部门报告，接受调查处理。</w:t>
            </w:r>
          </w:p>
          <w:p w14:paraId="7789D537">
            <w:pPr>
              <w:pStyle w:val="60"/>
              <w:bidi w:val="0"/>
              <w:rPr>
                <w:rFonts w:hint="default"/>
                <w:highlight w:val="none"/>
                <w:lang w:val="en-US" w:eastAsia="zh-CN"/>
              </w:rPr>
            </w:pPr>
            <w:r>
              <w:rPr>
                <w:rFonts w:hint="eastAsia"/>
                <w:highlight w:val="none"/>
                <w:lang w:val="en-US" w:eastAsia="zh-CN"/>
              </w:rPr>
              <w:t>5.地下水、土壤环境影响和保护措施</w:t>
            </w:r>
          </w:p>
          <w:p w14:paraId="305E4354">
            <w:pPr>
              <w:pStyle w:val="54"/>
              <w:bidi w:val="0"/>
              <w:rPr>
                <w:rFonts w:hint="default"/>
                <w:lang w:val="en-US" w:eastAsia="zh-CN"/>
              </w:rPr>
            </w:pPr>
            <w:r>
              <w:rPr>
                <w:rFonts w:hint="default"/>
                <w:lang w:val="en-US" w:eastAsia="zh-CN"/>
              </w:rPr>
              <w:t>（1）控制措施</w:t>
            </w:r>
          </w:p>
          <w:p w14:paraId="00842C2E">
            <w:pPr>
              <w:pStyle w:val="54"/>
              <w:bidi w:val="0"/>
              <w:rPr>
                <w:rFonts w:hint="default"/>
                <w:lang w:val="en-US" w:eastAsia="zh-CN"/>
              </w:rPr>
            </w:pPr>
            <w:r>
              <w:rPr>
                <w:rFonts w:hint="default"/>
                <w:lang w:val="en-US" w:eastAsia="zh-CN"/>
              </w:rPr>
              <w:t>根据厂址各生产、生活功能单元可能产生污染的地区，对厂区可能</w:t>
            </w:r>
            <w:r>
              <w:rPr>
                <w:rFonts w:hint="eastAsia"/>
                <w:lang w:val="en-US" w:eastAsia="zh-CN"/>
              </w:rPr>
              <w:t>泄漏</w:t>
            </w:r>
            <w:r>
              <w:rPr>
                <w:rFonts w:hint="default"/>
                <w:lang w:val="en-US" w:eastAsia="zh-CN"/>
              </w:rPr>
              <w:t>污染物的地面进行防渗处理，可有效防止污染物渗入地下</w:t>
            </w:r>
            <w:r>
              <w:rPr>
                <w:rFonts w:hint="eastAsia"/>
                <w:lang w:val="en-US" w:eastAsia="zh-CN"/>
              </w:rPr>
              <w:t>。</w:t>
            </w:r>
            <w:r>
              <w:rPr>
                <w:rFonts w:hint="default"/>
                <w:lang w:val="en-US" w:eastAsia="zh-CN"/>
              </w:rPr>
              <w:t>并及时地将</w:t>
            </w:r>
            <w:r>
              <w:rPr>
                <w:rFonts w:hint="eastAsia"/>
                <w:lang w:val="en-US" w:eastAsia="zh-CN"/>
              </w:rPr>
              <w:t>泄漏</w:t>
            </w:r>
            <w:r>
              <w:rPr>
                <w:rFonts w:hint="default"/>
                <w:lang w:val="en-US" w:eastAsia="zh-CN"/>
              </w:rPr>
              <w:t>、渗漏的污染物收集并进行集中处理。根据厂区各建筑物功能，将厂区划分为重点防渗区和简单防渗区</w:t>
            </w:r>
            <w:r>
              <w:rPr>
                <w:rFonts w:hint="eastAsia"/>
                <w:lang w:val="en-US" w:eastAsia="zh-CN"/>
              </w:rPr>
              <w:t>。</w:t>
            </w:r>
          </w:p>
          <w:p w14:paraId="6AE11713">
            <w:pPr>
              <w:pStyle w:val="54"/>
              <w:bidi w:val="0"/>
              <w:rPr>
                <w:rFonts w:hint="eastAsia" w:ascii="Times New Roman" w:hAnsi="Times New Roman" w:eastAsia="宋体" w:cs="Times New Roman"/>
                <w:kern w:val="0"/>
                <w:szCs w:val="24"/>
                <w:lang w:val="en-US" w:eastAsia="zh-CN" w:bidi="ar-SA"/>
              </w:rPr>
            </w:pPr>
            <w:r>
              <w:rPr>
                <w:rFonts w:hint="default"/>
                <w:lang w:val="en-US" w:eastAsia="zh-CN"/>
              </w:rPr>
              <w:t>重点防渗区</w:t>
            </w:r>
            <w:r>
              <w:rPr>
                <w:rFonts w:hint="eastAsia"/>
                <w:lang w:val="en-US" w:eastAsia="zh-CN"/>
              </w:rPr>
              <w:t>：危险废物贮存间设置成重点防渗区，危险废物贮存间可达到的防风、防晒、防雨、防漏、防渗、防腐的要求；</w:t>
            </w:r>
            <w:r>
              <w:rPr>
                <w:rFonts w:hint="default"/>
                <w:lang w:val="en-US" w:eastAsia="zh-CN"/>
              </w:rPr>
              <w:t>危险废物贮存间</w:t>
            </w:r>
            <w:r>
              <w:rPr>
                <w:rFonts w:hint="eastAsia"/>
                <w:lang w:val="en-US" w:eastAsia="zh-CN"/>
              </w:rPr>
              <w:t>的墙体采用坚固的材料建造，表面无裂缝，危险废物贮存间地面与裙角使用环氧树脂防渗性材料，从而达到表面防渗的效果，渗透系数不大于</w:t>
            </w:r>
            <w:r>
              <w:rPr>
                <w:rFonts w:hint="eastAsia" w:ascii="Times New Roman" w:hAnsi="Times New Roman" w:eastAsia="宋体" w:cs="Times New Roman"/>
                <w:kern w:val="0"/>
                <w:szCs w:val="24"/>
                <w:lang w:val="en-US" w:eastAsia="zh-CN" w:bidi="ar-SA"/>
              </w:rPr>
              <w:t>10</w:t>
            </w:r>
            <w:r>
              <w:rPr>
                <w:rFonts w:hint="eastAsia" w:ascii="Times New Roman" w:hAnsi="Times New Roman" w:eastAsia="宋体" w:cs="Times New Roman"/>
                <w:kern w:val="0"/>
                <w:szCs w:val="24"/>
                <w:vertAlign w:val="superscript"/>
                <w:lang w:val="en-US" w:eastAsia="zh-CN" w:bidi="ar-SA"/>
              </w:rPr>
              <w:t>-7</w:t>
            </w:r>
            <w:r>
              <w:rPr>
                <w:rFonts w:hint="eastAsia" w:ascii="Times New Roman" w:hAnsi="Times New Roman" w:eastAsia="宋体" w:cs="Times New Roman"/>
                <w:kern w:val="0"/>
                <w:szCs w:val="24"/>
                <w:lang w:val="en-US" w:eastAsia="zh-CN" w:bidi="ar-SA"/>
              </w:rPr>
              <w:t>cm/s；危险废物贮存间设置必要的贮存分区，避免不相容危险废物的接触和混合；由此可知，现有危险废物贮存间满足《危险废物贮存污染控制标准》（GB18597-2023）中的相关要求。现有防渗化粪池已用混凝土硬化地面并涂刷2层防渗胶层防渗，确保防渗性能与6.0m厚黏土层（渗透系数K≤1×10</w:t>
            </w:r>
            <w:r>
              <w:rPr>
                <w:rFonts w:hint="eastAsia" w:ascii="Times New Roman" w:hAnsi="Times New Roman" w:eastAsia="宋体" w:cs="Times New Roman"/>
                <w:kern w:val="0"/>
                <w:szCs w:val="24"/>
                <w:vertAlign w:val="superscript"/>
                <w:lang w:val="en-US" w:eastAsia="zh-CN" w:bidi="ar-SA"/>
              </w:rPr>
              <w:t>-7</w:t>
            </w:r>
            <w:r>
              <w:rPr>
                <w:rFonts w:hint="eastAsia" w:ascii="Times New Roman" w:hAnsi="Times New Roman" w:eastAsia="宋体" w:cs="Times New Roman"/>
                <w:kern w:val="0"/>
                <w:szCs w:val="24"/>
                <w:lang w:val="en-US" w:eastAsia="zh-CN" w:bidi="ar-SA"/>
              </w:rPr>
              <w:t>cm/s）等效。</w:t>
            </w:r>
          </w:p>
          <w:p w14:paraId="340F4DB3">
            <w:pPr>
              <w:widowControl/>
              <w:topLinePunct w:val="0"/>
              <w:autoSpaceDE/>
              <w:autoSpaceDN/>
              <w:bidi w:val="0"/>
              <w:snapToGrid w:val="0"/>
              <w:spacing w:line="520" w:lineRule="exact"/>
              <w:ind w:right="0" w:firstLine="480" w:firstLineChars="200"/>
              <w:jc w:val="both"/>
              <w:rPr>
                <w:rFonts w:hint="eastAsia" w:ascii="Times New Roman" w:hAnsi="Times New Roman" w:eastAsia="宋体" w:cs="Times New Roman"/>
                <w:kern w:val="0"/>
                <w:sz w:val="24"/>
                <w:szCs w:val="24"/>
                <w:lang w:val="en-US" w:eastAsia="zh-CN" w:bidi="ar-SA"/>
              </w:rPr>
            </w:pPr>
            <w:r>
              <w:rPr>
                <w:rFonts w:hint="default" w:ascii="Times New Roman" w:hAnsi="Times New Roman" w:eastAsia="宋体" w:cs="Times New Roman"/>
                <w:b w:val="0"/>
                <w:bCs w:val="0"/>
                <w:kern w:val="0"/>
                <w:sz w:val="24"/>
                <w:szCs w:val="24"/>
                <w:lang w:val="en-US" w:eastAsia="zh-CN" w:bidi="ar-SA"/>
              </w:rPr>
              <w:t>简单防渗区</w:t>
            </w:r>
            <w:r>
              <w:rPr>
                <w:rFonts w:hint="eastAsia" w:ascii="Times New Roman" w:hAnsi="Times New Roman" w:eastAsia="宋体" w:cs="Times New Roman"/>
                <w:b w:val="0"/>
                <w:bCs w:val="0"/>
                <w:kern w:val="0"/>
                <w:sz w:val="24"/>
                <w:szCs w:val="24"/>
                <w:lang w:val="en-US" w:eastAsia="zh-CN" w:bidi="ar-SA"/>
              </w:rPr>
              <w:t>：</w:t>
            </w:r>
            <w:r>
              <w:rPr>
                <w:rFonts w:hint="default" w:ascii="Times New Roman" w:hAnsi="Times New Roman" w:eastAsia="宋体" w:cs="Times New Roman"/>
                <w:kern w:val="0"/>
                <w:sz w:val="24"/>
                <w:szCs w:val="24"/>
                <w:lang w:val="en-US" w:eastAsia="zh-CN" w:bidi="ar-SA"/>
              </w:rPr>
              <w:t>项目区主体工程生产厂房及辅助工程等为简单防渗区，</w:t>
            </w:r>
            <w:r>
              <w:rPr>
                <w:rFonts w:hint="eastAsia" w:ascii="Times New Roman" w:hAnsi="Times New Roman" w:eastAsia="宋体" w:cs="Times New Roman"/>
                <w:kern w:val="0"/>
                <w:sz w:val="24"/>
                <w:szCs w:val="24"/>
                <w:lang w:val="en-US" w:eastAsia="zh-CN" w:bidi="ar-SA"/>
              </w:rPr>
              <w:t>地面已完成硬化，满足简单防渗要求。</w:t>
            </w:r>
          </w:p>
          <w:p w14:paraId="672D60C1">
            <w:pPr>
              <w:widowControl/>
              <w:topLinePunct w:val="0"/>
              <w:autoSpaceDE/>
              <w:autoSpaceDN/>
              <w:bidi w:val="0"/>
              <w:snapToGrid w:val="0"/>
              <w:spacing w:line="520" w:lineRule="exact"/>
              <w:ind w:right="0" w:firstLine="0" w:firstLineChars="0"/>
              <w:jc w:val="center"/>
              <w:rPr>
                <w:rFonts w:hint="eastAsia" w:cs="Times New Roman"/>
                <w:kern w:val="0"/>
                <w:sz w:val="24"/>
                <w:szCs w:val="24"/>
                <w:lang w:val="en-US" w:eastAsia="zh-CN" w:bidi="ar-SA"/>
              </w:rPr>
            </w:pPr>
          </w:p>
          <w:p w14:paraId="07434A27">
            <w:pPr>
              <w:widowControl/>
              <w:topLinePunct w:val="0"/>
              <w:autoSpaceDE/>
              <w:autoSpaceDN/>
              <w:bidi w:val="0"/>
              <w:snapToGrid w:val="0"/>
              <w:spacing w:line="520" w:lineRule="exact"/>
              <w:ind w:right="0" w:firstLine="0" w:firstLineChars="0"/>
              <w:jc w:val="center"/>
              <w:rPr>
                <w:rFonts w:hint="default" w:ascii="Times New Roman" w:hAnsi="Times New Roman" w:eastAsia="宋体" w:cs="Times New Roman"/>
                <w:b/>
                <w:bCs/>
                <w:kern w:val="0"/>
                <w:sz w:val="21"/>
                <w:szCs w:val="21"/>
                <w:lang w:val="en-US" w:eastAsia="zh-CN" w:bidi="ar-SA"/>
              </w:rPr>
            </w:pPr>
            <w:r>
              <w:rPr>
                <w:rFonts w:hint="eastAsia" w:cs="Times New Roman"/>
                <w:b/>
                <w:bCs/>
                <w:kern w:val="0"/>
                <w:sz w:val="21"/>
                <w:szCs w:val="21"/>
                <w:lang w:val="en-US" w:eastAsia="zh-CN" w:bidi="ar-SA"/>
              </w:rPr>
              <w:drawing>
                <wp:anchor distT="0" distB="0" distL="114300" distR="114300" simplePos="0" relativeHeight="251659264" behindDoc="0" locked="0" layoutInCell="1" allowOverlap="1">
                  <wp:simplePos x="0" y="0"/>
                  <wp:positionH relativeFrom="column">
                    <wp:posOffset>603250</wp:posOffset>
                  </wp:positionH>
                  <wp:positionV relativeFrom="paragraph">
                    <wp:posOffset>-5256530</wp:posOffset>
                  </wp:positionV>
                  <wp:extent cx="3977640" cy="2948305"/>
                  <wp:effectExtent l="0" t="0" r="0" b="0"/>
                  <wp:wrapTopAndBottom/>
                  <wp:docPr id="15" name="图片 15" descr="分区防渗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分区防渗示意图"/>
                          <pic:cNvPicPr>
                            <a:picLocks noChangeAspect="1"/>
                          </pic:cNvPicPr>
                        </pic:nvPicPr>
                        <pic:blipFill>
                          <a:blip r:embed="rId12"/>
                          <a:srcRect l="11338" t="9960" r="13264" b="9194"/>
                          <a:stretch>
                            <a:fillRect/>
                          </a:stretch>
                        </pic:blipFill>
                        <pic:spPr>
                          <a:xfrm>
                            <a:off x="0" y="0"/>
                            <a:ext cx="3977640" cy="2948305"/>
                          </a:xfrm>
                          <a:prstGeom prst="rect">
                            <a:avLst/>
                          </a:prstGeom>
                        </pic:spPr>
                      </pic:pic>
                    </a:graphicData>
                  </a:graphic>
                </wp:anchor>
              </w:drawing>
            </w:r>
            <w:r>
              <w:rPr>
                <w:rFonts w:hint="eastAsia" w:cs="Times New Roman"/>
                <w:b/>
                <w:bCs/>
                <w:kern w:val="0"/>
                <w:sz w:val="21"/>
                <w:szCs w:val="21"/>
                <w:lang w:val="en-US" w:eastAsia="zh-CN" w:bidi="ar-SA"/>
              </w:rPr>
              <w:t>图4-1   分区防渗示意图</w:t>
            </w:r>
          </w:p>
          <w:p w14:paraId="22653426">
            <w:pPr>
              <w:pStyle w:val="47"/>
              <w:bidi w:val="0"/>
              <w:rPr>
                <w:rFonts w:hint="default"/>
                <w:lang w:val="en-US" w:eastAsia="zh-CN"/>
              </w:rPr>
            </w:pPr>
            <w:r>
              <w:rPr>
                <w:rFonts w:hint="default"/>
                <w:lang w:val="en-US" w:eastAsia="zh-CN"/>
              </w:rPr>
              <w:t>（2）跟踪监测要求</w:t>
            </w:r>
          </w:p>
          <w:p w14:paraId="6A081A2F">
            <w:pPr>
              <w:pStyle w:val="47"/>
              <w:bidi w:val="0"/>
              <w:rPr>
                <w:rFonts w:hint="default" w:ascii="Times New Roman" w:hAnsi="Times New Roman" w:eastAsia="宋体" w:cs="Times New Roman"/>
                <w:kern w:val="0"/>
                <w:szCs w:val="24"/>
                <w:lang w:val="en-US" w:eastAsia="zh-CN" w:bidi="ar-SA"/>
              </w:rPr>
            </w:pPr>
            <w:r>
              <w:rPr>
                <w:rFonts w:hint="default"/>
                <w:lang w:val="en-US" w:eastAsia="zh-CN"/>
              </w:rPr>
              <w:t>本项目在采取落实上述防控措施后，基本不会通过渗透的途径进入地下水、土壤环境。因此，本评价不提出地下水、土壤跟踪监测要求</w:t>
            </w:r>
            <w:r>
              <w:rPr>
                <w:rFonts w:hint="default" w:ascii="Times New Roman" w:hAnsi="Times New Roman" w:eastAsia="宋体" w:cs="Times New Roman"/>
                <w:kern w:val="0"/>
                <w:szCs w:val="24"/>
                <w:lang w:val="en-US" w:eastAsia="zh-CN" w:bidi="ar-SA"/>
              </w:rPr>
              <w:t>。</w:t>
            </w:r>
          </w:p>
          <w:p w14:paraId="1A56C6BF">
            <w:pPr>
              <w:pStyle w:val="60"/>
              <w:bidi w:val="0"/>
              <w:rPr>
                <w:rFonts w:hint="eastAsia"/>
                <w:lang w:val="en-US" w:eastAsia="zh-CN"/>
              </w:rPr>
            </w:pPr>
            <w:r>
              <w:rPr>
                <w:rFonts w:hint="eastAsia"/>
                <w:lang w:val="en-US" w:eastAsia="zh-CN"/>
              </w:rPr>
              <w:t>6.生态环境影响和保护措施</w:t>
            </w:r>
          </w:p>
          <w:p w14:paraId="19020656">
            <w:pPr>
              <w:pStyle w:val="54"/>
              <w:bidi w:val="0"/>
              <w:rPr>
                <w:rFonts w:hint="eastAsia"/>
                <w:lang w:val="en-US" w:eastAsia="zh-CN"/>
              </w:rPr>
            </w:pPr>
            <w:r>
              <w:rPr>
                <w:rFonts w:hint="default"/>
                <w:lang w:val="en-US" w:eastAsia="zh-CN"/>
              </w:rPr>
              <w:t>根据《建设项目环境影响报告表编制技术指南（污染影响类）（试行）》</w:t>
            </w:r>
            <w:r>
              <w:rPr>
                <w:rFonts w:hint="eastAsia"/>
                <w:lang w:val="en-US" w:eastAsia="zh-CN"/>
              </w:rPr>
              <w:t>，本项目在园区内且用地范围内不含有生态环境保护目标，</w:t>
            </w:r>
            <w:r>
              <w:t>因此不开展生态调查和评价。</w:t>
            </w:r>
          </w:p>
          <w:p w14:paraId="0FBB6089">
            <w:pPr>
              <w:pStyle w:val="60"/>
              <w:bidi w:val="0"/>
              <w:rPr>
                <w:rFonts w:hint="eastAsia"/>
              </w:rPr>
            </w:pPr>
            <w:r>
              <w:rPr>
                <w:rFonts w:hint="eastAsia"/>
                <w:lang w:val="en-US" w:eastAsia="zh-CN"/>
              </w:rPr>
              <w:t>7.</w:t>
            </w:r>
            <w:r>
              <w:rPr>
                <w:rFonts w:hint="eastAsia"/>
              </w:rPr>
              <w:t>环境风险分析</w:t>
            </w:r>
          </w:p>
          <w:p w14:paraId="58EEFD53">
            <w:pPr>
              <w:pStyle w:val="60"/>
              <w:bidi w:val="0"/>
              <w:rPr>
                <w:rFonts w:hint="eastAsia"/>
                <w:lang w:val="en-US" w:eastAsia="zh-CN"/>
              </w:rPr>
            </w:pPr>
            <w:r>
              <w:rPr>
                <w:rFonts w:hint="eastAsia"/>
                <w:lang w:val="en-US" w:eastAsia="zh-CN"/>
              </w:rPr>
              <w:t>7.1</w:t>
            </w:r>
            <w:r>
              <w:rPr>
                <w:rFonts w:hint="default"/>
                <w:lang w:val="en-US" w:eastAsia="zh-CN"/>
              </w:rPr>
              <w:t>物质风险识别范围</w:t>
            </w:r>
          </w:p>
          <w:p w14:paraId="6467FF09">
            <w:pPr>
              <w:pStyle w:val="54"/>
              <w:bidi w:val="0"/>
              <w:rPr>
                <w:rFonts w:hint="default"/>
                <w:lang w:val="en-US" w:eastAsia="zh-CN"/>
              </w:rPr>
            </w:pPr>
            <w:r>
              <w:rPr>
                <w:rFonts w:hint="default"/>
                <w:lang w:val="en-US" w:eastAsia="zh-CN"/>
              </w:rPr>
              <w:t>物质风险调查包括主要原材料及辅助材料、最终产品、</w:t>
            </w:r>
            <w:r>
              <w:rPr>
                <w:rFonts w:hint="eastAsia"/>
                <w:lang w:val="en-US" w:eastAsia="zh-CN"/>
              </w:rPr>
              <w:t>“</w:t>
            </w:r>
            <w:r>
              <w:rPr>
                <w:rFonts w:hint="default"/>
                <w:lang w:val="en-US" w:eastAsia="zh-CN"/>
              </w:rPr>
              <w:t>三废</w:t>
            </w:r>
            <w:r>
              <w:rPr>
                <w:rFonts w:hint="eastAsia"/>
                <w:lang w:val="en-US" w:eastAsia="zh-CN"/>
              </w:rPr>
              <w:t>”</w:t>
            </w:r>
            <w:r>
              <w:rPr>
                <w:rFonts w:hint="default"/>
                <w:lang w:val="en-US" w:eastAsia="zh-CN"/>
              </w:rPr>
              <w:t>污染物、火灾和爆炸等伴生/次生的危险物质。本项目</w:t>
            </w:r>
            <w:r>
              <w:rPr>
                <w:rFonts w:hint="eastAsia"/>
                <w:lang w:val="en-US" w:eastAsia="zh-CN"/>
              </w:rPr>
              <w:t>涉及的风险物质主要为天然气和废润滑油，属于《建设项目环境风险评价技术导则》（HJ169-2018）中的风险物质</w:t>
            </w:r>
            <w:r>
              <w:rPr>
                <w:rFonts w:hint="default"/>
                <w:lang w:val="en-US" w:eastAsia="zh-CN"/>
              </w:rPr>
              <w:t>。</w:t>
            </w:r>
            <w:r>
              <w:rPr>
                <w:rFonts w:hint="eastAsia"/>
                <w:lang w:val="en-US" w:eastAsia="zh-CN"/>
              </w:rPr>
              <w:t>厂区内天然气管道约100m（管径为DN50），管道内天然气密度约为1.29kg/m³，则管道内的天然气储量约为1kg。</w:t>
            </w:r>
            <w:r>
              <w:rPr>
                <w:rFonts w:hint="default"/>
                <w:lang w:val="en-US" w:eastAsia="zh-CN"/>
              </w:rPr>
              <w:t>危险化学品中重大危险源辨识调查结果见表</w:t>
            </w:r>
            <w:r>
              <w:rPr>
                <w:rFonts w:hint="eastAsia"/>
                <w:lang w:val="en-US" w:eastAsia="zh-CN"/>
              </w:rPr>
              <w:t>4-14。</w:t>
            </w:r>
          </w:p>
          <w:p w14:paraId="6D09E88D">
            <w:pPr>
              <w:pStyle w:val="62"/>
              <w:bidi w:val="0"/>
              <w:rPr>
                <w:rFonts w:hint="default"/>
                <w:lang w:val="en-US" w:eastAsia="zh-CN"/>
              </w:rPr>
            </w:pPr>
          </w:p>
          <w:p w14:paraId="625C2E77">
            <w:pPr>
              <w:pStyle w:val="62"/>
              <w:bidi w:val="0"/>
              <w:rPr>
                <w:rFonts w:hint="eastAsia"/>
                <w:lang w:val="en-US" w:eastAsia="zh-CN"/>
              </w:rPr>
            </w:pPr>
            <w:r>
              <w:rPr>
                <w:rFonts w:hint="default"/>
                <w:lang w:val="en-US" w:eastAsia="zh-CN"/>
              </w:rPr>
              <w:t>表</w:t>
            </w:r>
            <w:r>
              <w:rPr>
                <w:rFonts w:hint="eastAsia"/>
                <w:lang w:val="en-US" w:eastAsia="zh-CN"/>
              </w:rPr>
              <w:t xml:space="preserve">4-14                </w:t>
            </w:r>
            <w:r>
              <w:rPr>
                <w:rFonts w:hint="default"/>
                <w:lang w:val="en-US" w:eastAsia="zh-CN"/>
              </w:rPr>
              <w:t>风险源调查结果</w:t>
            </w:r>
            <w:r>
              <w:rPr>
                <w:rFonts w:hint="eastAsia"/>
                <w:lang w:val="en-US" w:eastAsia="zh-CN"/>
              </w:rPr>
              <w:t>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15"/>
              <w:gridCol w:w="1233"/>
              <w:gridCol w:w="1236"/>
              <w:gridCol w:w="1148"/>
              <w:gridCol w:w="1195"/>
              <w:gridCol w:w="1677"/>
            </w:tblGrid>
            <w:tr w14:paraId="219C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26" w:type="pct"/>
                  <w:vAlign w:val="center"/>
                </w:tcPr>
                <w:p w14:paraId="55DEE5E5">
                  <w:pPr>
                    <w:pStyle w:val="50"/>
                    <w:bidi w:val="0"/>
                    <w:rPr>
                      <w:rFonts w:hint="default"/>
                      <w:lang w:val="en-US" w:eastAsia="zh-CN"/>
                    </w:rPr>
                  </w:pPr>
                  <w:r>
                    <w:rPr>
                      <w:rFonts w:hint="eastAsia"/>
                      <w:lang w:val="en-US" w:eastAsia="zh-CN"/>
                    </w:rPr>
                    <w:t>序号</w:t>
                  </w:r>
                </w:p>
              </w:tc>
              <w:tc>
                <w:tcPr>
                  <w:tcW w:w="670" w:type="pct"/>
                  <w:vAlign w:val="center"/>
                </w:tcPr>
                <w:p w14:paraId="24B7B8C9">
                  <w:pPr>
                    <w:pStyle w:val="50"/>
                    <w:bidi w:val="0"/>
                    <w:rPr>
                      <w:rFonts w:hint="eastAsia"/>
                      <w:lang w:val="en-US" w:eastAsia="zh-CN"/>
                    </w:rPr>
                  </w:pPr>
                  <w:r>
                    <w:rPr>
                      <w:rFonts w:hint="eastAsia"/>
                      <w:lang w:val="en-US" w:eastAsia="zh-CN"/>
                    </w:rPr>
                    <w:t>名称</w:t>
                  </w:r>
                </w:p>
              </w:tc>
              <w:tc>
                <w:tcPr>
                  <w:tcW w:w="741" w:type="pct"/>
                  <w:vAlign w:val="center"/>
                </w:tcPr>
                <w:p w14:paraId="5ABE3F04">
                  <w:pPr>
                    <w:pStyle w:val="50"/>
                    <w:bidi w:val="0"/>
                    <w:rPr>
                      <w:rFonts w:hint="default"/>
                      <w:lang w:val="en-US" w:eastAsia="zh-CN"/>
                    </w:rPr>
                  </w:pPr>
                  <w:r>
                    <w:rPr>
                      <w:rFonts w:hint="eastAsia"/>
                      <w:lang w:val="en-US" w:eastAsia="zh-CN"/>
                    </w:rPr>
                    <w:t>危险特性</w:t>
                  </w:r>
                </w:p>
              </w:tc>
              <w:tc>
                <w:tcPr>
                  <w:tcW w:w="743" w:type="pct"/>
                  <w:vAlign w:val="center"/>
                </w:tcPr>
                <w:p w14:paraId="6FA58BA6">
                  <w:pPr>
                    <w:pStyle w:val="50"/>
                    <w:bidi w:val="0"/>
                    <w:rPr>
                      <w:rFonts w:hint="default"/>
                      <w:lang w:val="en-US" w:eastAsia="zh-CN"/>
                    </w:rPr>
                  </w:pPr>
                  <w:r>
                    <w:rPr>
                      <w:rFonts w:hint="eastAsia"/>
                      <w:lang w:val="en-US" w:eastAsia="zh-CN"/>
                    </w:rPr>
                    <w:t>储存能力（t/a）</w:t>
                  </w:r>
                </w:p>
              </w:tc>
              <w:tc>
                <w:tcPr>
                  <w:tcW w:w="690" w:type="pct"/>
                  <w:vAlign w:val="center"/>
                </w:tcPr>
                <w:p w14:paraId="55BDF64E">
                  <w:pPr>
                    <w:pStyle w:val="50"/>
                    <w:bidi w:val="0"/>
                    <w:rPr>
                      <w:rFonts w:hint="default"/>
                      <w:lang w:val="en-US" w:eastAsia="zh-CN"/>
                    </w:rPr>
                  </w:pPr>
                  <w:r>
                    <w:rPr>
                      <w:rFonts w:hint="eastAsia"/>
                      <w:lang w:val="en-US" w:eastAsia="zh-CN"/>
                    </w:rPr>
                    <w:t>临界量（t/a）</w:t>
                  </w:r>
                </w:p>
              </w:tc>
              <w:tc>
                <w:tcPr>
                  <w:tcW w:w="718" w:type="pct"/>
                  <w:vAlign w:val="center"/>
                </w:tcPr>
                <w:p w14:paraId="0134A0D0">
                  <w:pPr>
                    <w:pStyle w:val="50"/>
                    <w:bidi w:val="0"/>
                    <w:rPr>
                      <w:rFonts w:hint="default"/>
                      <w:lang w:val="en-US" w:eastAsia="zh-CN"/>
                    </w:rPr>
                  </w:pPr>
                  <w:r>
                    <w:rPr>
                      <w:rFonts w:hint="eastAsia"/>
                      <w:lang w:val="en-US" w:eastAsia="zh-CN"/>
                    </w:rPr>
                    <w:t>Q值</w:t>
                  </w:r>
                </w:p>
              </w:tc>
              <w:tc>
                <w:tcPr>
                  <w:tcW w:w="1008" w:type="pct"/>
                  <w:vAlign w:val="center"/>
                </w:tcPr>
                <w:p w14:paraId="1367CE23">
                  <w:pPr>
                    <w:pStyle w:val="50"/>
                    <w:bidi w:val="0"/>
                    <w:rPr>
                      <w:rFonts w:hint="eastAsia"/>
                      <w:lang w:val="en-US" w:eastAsia="zh-CN"/>
                    </w:rPr>
                  </w:pPr>
                  <w:r>
                    <w:rPr>
                      <w:rFonts w:hint="eastAsia"/>
                      <w:lang w:val="en-US" w:eastAsia="zh-CN"/>
                    </w:rPr>
                    <w:t>分布</w:t>
                  </w:r>
                </w:p>
              </w:tc>
            </w:tr>
            <w:tr w14:paraId="143F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36F0AC92">
                  <w:pPr>
                    <w:pStyle w:val="50"/>
                    <w:bidi w:val="0"/>
                    <w:rPr>
                      <w:rFonts w:hint="default"/>
                      <w:lang w:val="en-US" w:eastAsia="zh-CN"/>
                    </w:rPr>
                  </w:pPr>
                  <w:r>
                    <w:rPr>
                      <w:rFonts w:hint="eastAsia"/>
                      <w:lang w:val="en-US" w:eastAsia="zh-CN"/>
                    </w:rPr>
                    <w:t>1</w:t>
                  </w:r>
                </w:p>
              </w:tc>
              <w:tc>
                <w:tcPr>
                  <w:tcW w:w="670" w:type="pct"/>
                  <w:vAlign w:val="center"/>
                </w:tcPr>
                <w:p w14:paraId="7CD573BC">
                  <w:pPr>
                    <w:pStyle w:val="50"/>
                    <w:bidi w:val="0"/>
                    <w:rPr>
                      <w:rFonts w:hint="default"/>
                      <w:lang w:val="en-US" w:eastAsia="zh-CN"/>
                    </w:rPr>
                  </w:pPr>
                  <w:r>
                    <w:rPr>
                      <w:rFonts w:hint="eastAsia"/>
                      <w:lang w:val="en-US" w:eastAsia="zh-CN"/>
                    </w:rPr>
                    <w:t>废润滑油</w:t>
                  </w:r>
                </w:p>
              </w:tc>
              <w:tc>
                <w:tcPr>
                  <w:tcW w:w="741" w:type="pct"/>
                  <w:vAlign w:val="center"/>
                </w:tcPr>
                <w:p w14:paraId="31752479">
                  <w:pPr>
                    <w:pStyle w:val="50"/>
                    <w:bidi w:val="0"/>
                    <w:rPr>
                      <w:rFonts w:hint="eastAsia"/>
                      <w:lang w:val="en-US" w:eastAsia="zh-CN"/>
                    </w:rPr>
                  </w:pPr>
                  <w:r>
                    <w:rPr>
                      <w:rFonts w:hint="eastAsia"/>
                      <w:lang w:val="en-US" w:eastAsia="zh-CN"/>
                    </w:rPr>
                    <w:t>易燃</w:t>
                  </w:r>
                </w:p>
              </w:tc>
              <w:tc>
                <w:tcPr>
                  <w:tcW w:w="743" w:type="pct"/>
                  <w:vAlign w:val="center"/>
                </w:tcPr>
                <w:p w14:paraId="4F835BBE">
                  <w:pPr>
                    <w:pStyle w:val="50"/>
                    <w:bidi w:val="0"/>
                    <w:rPr>
                      <w:rFonts w:hint="default"/>
                      <w:lang w:val="en-US" w:eastAsia="zh-CN"/>
                    </w:rPr>
                  </w:pPr>
                  <w:r>
                    <w:rPr>
                      <w:rFonts w:hint="eastAsia"/>
                      <w:lang w:val="en-US" w:eastAsia="zh-CN"/>
                    </w:rPr>
                    <w:t>0.05</w:t>
                  </w:r>
                </w:p>
              </w:tc>
              <w:tc>
                <w:tcPr>
                  <w:tcW w:w="690" w:type="pct"/>
                  <w:vAlign w:val="center"/>
                </w:tcPr>
                <w:p w14:paraId="38F6801B">
                  <w:pPr>
                    <w:pStyle w:val="50"/>
                    <w:bidi w:val="0"/>
                    <w:rPr>
                      <w:rFonts w:hint="default"/>
                      <w:lang w:val="en-US" w:eastAsia="zh-CN"/>
                    </w:rPr>
                  </w:pPr>
                  <w:r>
                    <w:rPr>
                      <w:rFonts w:hint="eastAsia"/>
                      <w:lang w:val="en-US" w:eastAsia="zh-CN"/>
                    </w:rPr>
                    <w:t>2500</w:t>
                  </w:r>
                </w:p>
              </w:tc>
              <w:tc>
                <w:tcPr>
                  <w:tcW w:w="718" w:type="pct"/>
                  <w:vAlign w:val="center"/>
                </w:tcPr>
                <w:p w14:paraId="3472F850">
                  <w:pPr>
                    <w:pStyle w:val="50"/>
                    <w:bidi w:val="0"/>
                    <w:rPr>
                      <w:rFonts w:hint="default"/>
                      <w:lang w:val="en-US" w:eastAsia="zh-CN"/>
                    </w:rPr>
                  </w:pPr>
                  <w:r>
                    <w:rPr>
                      <w:rFonts w:hint="eastAsia"/>
                      <w:lang w:val="en-US" w:eastAsia="zh-CN"/>
                    </w:rPr>
                    <w:t>2.1</w:t>
                  </w:r>
                  <w:r>
                    <w:rPr>
                      <w:rFonts w:hint="default"/>
                      <w:lang w:val="en-US" w:eastAsia="zh-CN"/>
                    </w:rPr>
                    <w:t>×</w:t>
                  </w:r>
                  <w:r>
                    <w:rPr>
                      <w:rFonts w:hint="eastAsia"/>
                      <w:lang w:val="en-US" w:eastAsia="zh-CN"/>
                    </w:rPr>
                    <w:t>10</w:t>
                  </w:r>
                  <w:r>
                    <w:rPr>
                      <w:rFonts w:hint="eastAsia"/>
                      <w:vertAlign w:val="superscript"/>
                      <w:lang w:val="en-US" w:eastAsia="zh-CN"/>
                    </w:rPr>
                    <w:t>-5</w:t>
                  </w:r>
                </w:p>
              </w:tc>
              <w:tc>
                <w:tcPr>
                  <w:tcW w:w="1008" w:type="pct"/>
                  <w:vAlign w:val="center"/>
                </w:tcPr>
                <w:p w14:paraId="28C77745">
                  <w:pPr>
                    <w:pStyle w:val="50"/>
                    <w:bidi w:val="0"/>
                    <w:rPr>
                      <w:rFonts w:hint="eastAsia"/>
                      <w:lang w:val="en-US" w:eastAsia="zh-CN"/>
                    </w:rPr>
                  </w:pPr>
                  <w:r>
                    <w:rPr>
                      <w:rFonts w:hint="eastAsia"/>
                      <w:lang w:val="en-US" w:eastAsia="zh-CN"/>
                    </w:rPr>
                    <w:t>危险废物贮存间</w:t>
                  </w:r>
                </w:p>
              </w:tc>
            </w:tr>
            <w:tr w14:paraId="2D62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14:paraId="6C0257FE">
                  <w:pPr>
                    <w:pStyle w:val="50"/>
                    <w:bidi w:val="0"/>
                    <w:rPr>
                      <w:rFonts w:hint="default"/>
                      <w:lang w:val="en-US" w:eastAsia="zh-CN"/>
                    </w:rPr>
                  </w:pPr>
                  <w:r>
                    <w:rPr>
                      <w:rFonts w:hint="eastAsia"/>
                      <w:lang w:val="en-US" w:eastAsia="zh-CN"/>
                    </w:rPr>
                    <w:t>2</w:t>
                  </w:r>
                </w:p>
              </w:tc>
              <w:tc>
                <w:tcPr>
                  <w:tcW w:w="670" w:type="pct"/>
                  <w:vAlign w:val="center"/>
                </w:tcPr>
                <w:p w14:paraId="0873A1EE">
                  <w:pPr>
                    <w:pStyle w:val="50"/>
                    <w:bidi w:val="0"/>
                    <w:rPr>
                      <w:rFonts w:hint="default"/>
                      <w:lang w:val="en-US" w:eastAsia="zh-CN"/>
                    </w:rPr>
                  </w:pPr>
                  <w:r>
                    <w:rPr>
                      <w:rFonts w:hint="eastAsia"/>
                      <w:lang w:val="en-US" w:eastAsia="zh-CN"/>
                    </w:rPr>
                    <w:t>天然气</w:t>
                  </w:r>
                </w:p>
              </w:tc>
              <w:tc>
                <w:tcPr>
                  <w:tcW w:w="741" w:type="pct"/>
                  <w:vAlign w:val="center"/>
                </w:tcPr>
                <w:p w14:paraId="02F0D0BA">
                  <w:pPr>
                    <w:pStyle w:val="50"/>
                    <w:bidi w:val="0"/>
                    <w:rPr>
                      <w:rFonts w:hint="default"/>
                      <w:lang w:val="en-US" w:eastAsia="zh-CN"/>
                    </w:rPr>
                  </w:pPr>
                  <w:r>
                    <w:rPr>
                      <w:rFonts w:hint="eastAsia"/>
                      <w:lang w:val="en-US" w:eastAsia="zh-CN"/>
                    </w:rPr>
                    <w:t>易燃、易爆</w:t>
                  </w:r>
                </w:p>
              </w:tc>
              <w:tc>
                <w:tcPr>
                  <w:tcW w:w="743" w:type="pct"/>
                  <w:vAlign w:val="center"/>
                </w:tcPr>
                <w:p w14:paraId="4F7FFCCC">
                  <w:pPr>
                    <w:pStyle w:val="50"/>
                    <w:bidi w:val="0"/>
                    <w:rPr>
                      <w:rFonts w:hint="default"/>
                      <w:lang w:val="en-US" w:eastAsia="zh-CN"/>
                    </w:rPr>
                  </w:pPr>
                  <w:r>
                    <w:rPr>
                      <w:rFonts w:hint="eastAsia"/>
                      <w:lang w:val="en-US" w:eastAsia="zh-CN"/>
                    </w:rPr>
                    <w:t>0.001</w:t>
                  </w:r>
                </w:p>
              </w:tc>
              <w:tc>
                <w:tcPr>
                  <w:tcW w:w="690" w:type="pct"/>
                  <w:vAlign w:val="center"/>
                </w:tcPr>
                <w:p w14:paraId="5DAC9121">
                  <w:pPr>
                    <w:pStyle w:val="50"/>
                    <w:bidi w:val="0"/>
                    <w:rPr>
                      <w:rFonts w:hint="default"/>
                      <w:lang w:val="en-US" w:eastAsia="zh-CN"/>
                    </w:rPr>
                  </w:pPr>
                  <w:r>
                    <w:rPr>
                      <w:rFonts w:hint="eastAsia"/>
                      <w:lang w:val="en-US" w:eastAsia="zh-CN"/>
                    </w:rPr>
                    <w:t>10</w:t>
                  </w:r>
                </w:p>
              </w:tc>
              <w:tc>
                <w:tcPr>
                  <w:tcW w:w="718" w:type="pct"/>
                  <w:vAlign w:val="center"/>
                </w:tcPr>
                <w:p w14:paraId="47C37D68">
                  <w:pPr>
                    <w:pStyle w:val="50"/>
                    <w:bidi w:val="0"/>
                    <w:rPr>
                      <w:rFonts w:hint="default"/>
                      <w:lang w:val="en-US" w:eastAsia="zh-CN"/>
                    </w:rPr>
                  </w:pPr>
                  <w:r>
                    <w:rPr>
                      <w:rFonts w:hint="eastAsia"/>
                      <w:lang w:val="en-US" w:eastAsia="zh-CN"/>
                    </w:rPr>
                    <w:t>1×10</w:t>
                  </w:r>
                  <w:r>
                    <w:rPr>
                      <w:rFonts w:hint="eastAsia"/>
                      <w:vertAlign w:val="superscript"/>
                      <w:lang w:val="en-US" w:eastAsia="zh-CN"/>
                    </w:rPr>
                    <w:t>-4</w:t>
                  </w:r>
                </w:p>
              </w:tc>
              <w:tc>
                <w:tcPr>
                  <w:tcW w:w="1008" w:type="pct"/>
                  <w:vAlign w:val="center"/>
                </w:tcPr>
                <w:p w14:paraId="76EDE3CC">
                  <w:pPr>
                    <w:pStyle w:val="50"/>
                    <w:bidi w:val="0"/>
                    <w:rPr>
                      <w:rFonts w:hint="default"/>
                      <w:lang w:val="en-US" w:eastAsia="zh-CN"/>
                    </w:rPr>
                  </w:pPr>
                  <w:r>
                    <w:rPr>
                      <w:rFonts w:hint="eastAsia"/>
                      <w:lang w:val="en-US" w:eastAsia="zh-CN"/>
                    </w:rPr>
                    <w:t>燃气管道</w:t>
                  </w:r>
                </w:p>
              </w:tc>
            </w:tr>
            <w:tr w14:paraId="3DEC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2" w:type="pct"/>
                  <w:gridSpan w:val="5"/>
                  <w:vAlign w:val="center"/>
                </w:tcPr>
                <w:p w14:paraId="779704B1">
                  <w:pPr>
                    <w:pStyle w:val="50"/>
                    <w:bidi w:val="0"/>
                    <w:rPr>
                      <w:rFonts w:hint="default"/>
                      <w:lang w:val="en-US" w:eastAsia="zh-CN"/>
                    </w:rPr>
                  </w:pPr>
                  <w:r>
                    <w:rPr>
                      <w:rFonts w:hint="eastAsia"/>
                      <w:lang w:val="en-US" w:eastAsia="zh-CN"/>
                    </w:rPr>
                    <w:t>合计</w:t>
                  </w:r>
                </w:p>
              </w:tc>
              <w:tc>
                <w:tcPr>
                  <w:tcW w:w="718" w:type="pct"/>
                  <w:vAlign w:val="center"/>
                </w:tcPr>
                <w:p w14:paraId="06E9D4C1">
                  <w:pPr>
                    <w:pStyle w:val="50"/>
                    <w:bidi w:val="0"/>
                    <w:rPr>
                      <w:rFonts w:hint="default"/>
                      <w:lang w:val="en-US" w:eastAsia="zh-CN"/>
                    </w:rPr>
                  </w:pPr>
                  <w:r>
                    <w:rPr>
                      <w:rFonts w:hint="eastAsia"/>
                      <w:lang w:val="en-US" w:eastAsia="zh-CN"/>
                    </w:rPr>
                    <w:t>1.21×10</w:t>
                  </w:r>
                  <w:r>
                    <w:rPr>
                      <w:rFonts w:hint="eastAsia"/>
                      <w:vertAlign w:val="superscript"/>
                      <w:lang w:val="en-US" w:eastAsia="zh-CN"/>
                    </w:rPr>
                    <w:t>-4</w:t>
                  </w:r>
                </w:p>
              </w:tc>
              <w:tc>
                <w:tcPr>
                  <w:tcW w:w="1008" w:type="pct"/>
                  <w:vAlign w:val="center"/>
                </w:tcPr>
                <w:p w14:paraId="279BB763">
                  <w:pPr>
                    <w:pStyle w:val="50"/>
                    <w:bidi w:val="0"/>
                    <w:rPr>
                      <w:rFonts w:hint="eastAsia"/>
                      <w:lang w:val="en-US" w:eastAsia="zh-CN"/>
                    </w:rPr>
                  </w:pPr>
                </w:p>
              </w:tc>
            </w:tr>
          </w:tbl>
          <w:p w14:paraId="179E19C1">
            <w:pPr>
              <w:pStyle w:val="60"/>
              <w:bidi w:val="0"/>
              <w:ind w:firstLine="480" w:firstLineChars="200"/>
              <w:rPr>
                <w:rFonts w:hint="default"/>
                <w:b w:val="0"/>
                <w:bCs/>
                <w:lang w:val="en-US" w:eastAsia="zh-CN"/>
              </w:rPr>
            </w:pPr>
            <w:r>
              <w:rPr>
                <w:rFonts w:hint="eastAsia"/>
                <w:b w:val="0"/>
                <w:bCs/>
                <w:lang w:val="en-US" w:eastAsia="zh-CN"/>
              </w:rPr>
              <w:t>由上表可知，本项目危险物质的数量与临界量比值Q为1.21×10</w:t>
            </w:r>
            <w:r>
              <w:rPr>
                <w:rFonts w:hint="eastAsia"/>
                <w:b w:val="0"/>
                <w:bCs/>
                <w:vertAlign w:val="superscript"/>
                <w:lang w:val="en-US" w:eastAsia="zh-CN"/>
              </w:rPr>
              <w:t>-4</w:t>
            </w:r>
            <w:r>
              <w:rPr>
                <w:rFonts w:hint="eastAsia"/>
                <w:b w:val="0"/>
                <w:bCs/>
                <w:vertAlign w:val="baseline"/>
                <w:lang w:val="en-US" w:eastAsia="zh-CN"/>
              </w:rPr>
              <w:t>＜10，该项目环境风险潜势为I。</w:t>
            </w:r>
          </w:p>
          <w:p w14:paraId="727A6348">
            <w:pPr>
              <w:pStyle w:val="60"/>
              <w:bidi w:val="0"/>
              <w:rPr>
                <w:rFonts w:hint="eastAsia"/>
              </w:rPr>
            </w:pPr>
            <w:r>
              <w:rPr>
                <w:rFonts w:hint="eastAsia"/>
                <w:lang w:val="en-US" w:eastAsia="zh-CN"/>
              </w:rPr>
              <w:t>7.2</w:t>
            </w:r>
            <w:r>
              <w:rPr>
                <w:rFonts w:hint="eastAsia"/>
              </w:rPr>
              <w:t>环境风险源影响途径</w:t>
            </w:r>
          </w:p>
          <w:p w14:paraId="71C38A5F">
            <w:pPr>
              <w:pStyle w:val="54"/>
              <w:bidi w:val="0"/>
              <w:rPr>
                <w:rFonts w:hint="eastAsia"/>
              </w:rPr>
            </w:pPr>
            <w:r>
              <w:rPr>
                <w:rFonts w:hint="eastAsia"/>
              </w:rPr>
              <w:t>油品泄漏事故：项目生产过程中涉及的危险品有废</w:t>
            </w:r>
            <w:r>
              <w:rPr>
                <w:rFonts w:hint="eastAsia"/>
                <w:lang w:val="en-US" w:eastAsia="zh-CN"/>
              </w:rPr>
              <w:t>润滑油</w:t>
            </w:r>
            <w:r>
              <w:rPr>
                <w:rFonts w:hint="eastAsia"/>
              </w:rPr>
              <w:t>。当储存设施发生破损造成泄漏，可能会污染周围土壤和地下水，污染的土壤不仅会造成植物的死亡，而且土壤层吸附的油品还会随着下渗补充到地下水。</w:t>
            </w:r>
          </w:p>
          <w:p w14:paraId="012A8995">
            <w:pPr>
              <w:pStyle w:val="54"/>
              <w:bidi w:val="0"/>
              <w:rPr>
                <w:rFonts w:hint="default"/>
                <w:lang w:val="en-US" w:eastAsia="zh-CN"/>
              </w:rPr>
            </w:pPr>
            <w:r>
              <w:rPr>
                <w:rFonts w:hint="eastAsia"/>
                <w:lang w:val="en-US" w:eastAsia="zh-CN"/>
              </w:rPr>
              <w:t>天然气泄漏事故：当管道或连接处破裂发生天然气泄漏可能会发生火灾、爆炸，对项目周边环境空气造成污染。</w:t>
            </w:r>
          </w:p>
          <w:p w14:paraId="43F19CB1">
            <w:pPr>
              <w:pStyle w:val="54"/>
              <w:bidi w:val="0"/>
              <w:rPr>
                <w:rFonts w:hint="eastAsia"/>
                <w:lang w:val="en-US" w:eastAsia="zh-CN"/>
              </w:rPr>
            </w:pPr>
            <w:r>
              <w:rPr>
                <w:rFonts w:hint="eastAsia"/>
                <w:lang w:val="en-US" w:eastAsia="zh-CN"/>
              </w:rPr>
              <w:t>环保设施危险性：本项目配套废气系统出现故障而导致不能正常运作，导致非甲烷总烃未经处理而直接向大气排放。</w:t>
            </w:r>
          </w:p>
          <w:p w14:paraId="363260B1">
            <w:pPr>
              <w:pStyle w:val="54"/>
              <w:bidi w:val="0"/>
              <w:rPr>
                <w:rFonts w:hint="eastAsia"/>
              </w:rPr>
            </w:pPr>
            <w:r>
              <w:rPr>
                <w:rFonts w:hint="eastAsia"/>
                <w:lang w:val="en-US" w:eastAsia="zh-CN"/>
              </w:rPr>
              <w:t>危险废物贮存间</w:t>
            </w:r>
            <w:r>
              <w:rPr>
                <w:rFonts w:hint="eastAsia"/>
              </w:rPr>
              <w:t>管理风险：</w:t>
            </w:r>
            <w:r>
              <w:rPr>
                <w:rFonts w:hint="eastAsia"/>
                <w:lang w:val="en-US" w:eastAsia="zh-CN"/>
              </w:rPr>
              <w:t>危险废物贮存间</w:t>
            </w:r>
            <w:r>
              <w:rPr>
                <w:rFonts w:hint="eastAsia"/>
              </w:rPr>
              <w:t>防渗层破损或破裂，且在收集和转运过程中若管理不当，容易导致危险废物渗漏和洒落至地面，并可能进入地表及地下水体，对土壤和水环境造成污染。</w:t>
            </w:r>
          </w:p>
          <w:p w14:paraId="0205B7A5">
            <w:pPr>
              <w:pStyle w:val="54"/>
              <w:bidi w:val="0"/>
              <w:rPr>
                <w:rFonts w:hint="eastAsia"/>
              </w:rPr>
            </w:pPr>
            <w:r>
              <w:rPr>
                <w:rFonts w:hint="eastAsia"/>
              </w:rPr>
              <w:t>火灾爆炸事故</w:t>
            </w:r>
            <w:r>
              <w:rPr>
                <w:rFonts w:hint="eastAsia"/>
                <w:lang w:eastAsia="zh-CN"/>
              </w:rPr>
              <w:t>引发的伴生</w:t>
            </w:r>
            <w:r>
              <w:rPr>
                <w:rFonts w:hint="eastAsia"/>
                <w:lang w:val="en-US" w:eastAsia="zh-CN"/>
              </w:rPr>
              <w:t>/次生污染</w:t>
            </w:r>
            <w:r>
              <w:rPr>
                <w:rFonts w:hint="eastAsia"/>
              </w:rPr>
              <w:t>：</w:t>
            </w:r>
            <w:r>
              <w:rPr>
                <w:rFonts w:hint="eastAsia"/>
                <w:lang w:val="en-US" w:eastAsia="zh-CN"/>
              </w:rPr>
              <w:t>天然气和</w:t>
            </w:r>
            <w:r>
              <w:rPr>
                <w:rFonts w:hint="eastAsia"/>
              </w:rPr>
              <w:t>废</w:t>
            </w:r>
            <w:r>
              <w:rPr>
                <w:rFonts w:hint="eastAsia"/>
                <w:lang w:val="en-US" w:eastAsia="zh-CN"/>
              </w:rPr>
              <w:t>润滑油</w:t>
            </w:r>
            <w:r>
              <w:rPr>
                <w:rFonts w:hint="eastAsia"/>
              </w:rPr>
              <w:t>具有易燃易爆的危险特性，</w:t>
            </w:r>
            <w:r>
              <w:rPr>
                <w:rFonts w:hint="eastAsia"/>
                <w:lang w:val="en-US" w:eastAsia="zh-CN"/>
              </w:rPr>
              <w:t>发生火灾爆炸事故后</w:t>
            </w:r>
            <w:r>
              <w:rPr>
                <w:rFonts w:hint="eastAsia"/>
              </w:rPr>
              <w:t>随着燃烧氧化，会产生伴生/次生产物，主要为不完全燃烧产生的CO和烟尘等污染物会对大气造成较大影响，从而造成二次污染。</w:t>
            </w:r>
          </w:p>
          <w:p w14:paraId="70CACBB1">
            <w:pPr>
              <w:pStyle w:val="52"/>
              <w:keepNext w:val="0"/>
              <w:keepLines w:val="0"/>
              <w:suppressLineNumbers w:val="0"/>
              <w:bidi w:val="0"/>
              <w:spacing w:before="0" w:beforeAutospacing="0" w:after="0" w:afterAutospacing="0"/>
              <w:ind w:left="0" w:right="0"/>
              <w:rPr>
                <w:rFonts w:cs="Times New Roman"/>
                <w:highlight w:val="none"/>
              </w:rPr>
            </w:pPr>
            <w:r>
              <w:rPr>
                <w:rFonts w:hint="eastAsia" w:cs="Times New Roman"/>
                <w:highlight w:val="none"/>
                <w:lang w:val="en-US" w:eastAsia="zh-CN"/>
              </w:rPr>
              <w:t>7.3</w:t>
            </w:r>
            <w:r>
              <w:rPr>
                <w:rFonts w:hint="eastAsia" w:cs="Times New Roman"/>
                <w:highlight w:val="none"/>
              </w:rPr>
              <w:t>环境</w:t>
            </w:r>
            <w:r>
              <w:rPr>
                <w:rFonts w:cs="Times New Roman"/>
                <w:highlight w:val="none"/>
              </w:rPr>
              <w:t>风险防范措施</w:t>
            </w:r>
          </w:p>
          <w:p w14:paraId="2EA2AA81">
            <w:pPr>
              <w:pStyle w:val="54"/>
              <w:bidi w:val="0"/>
              <w:rPr>
                <w:rFonts w:hint="eastAsia"/>
                <w:highlight w:val="none"/>
              </w:rPr>
            </w:pPr>
            <w:r>
              <w:rPr>
                <w:rFonts w:hint="eastAsia"/>
                <w:highlight w:val="none"/>
              </w:rPr>
              <w:t>为减少</w:t>
            </w:r>
            <w:r>
              <w:rPr>
                <w:rFonts w:hint="eastAsia"/>
                <w:highlight w:val="none"/>
                <w:lang w:val="en-US" w:eastAsia="zh-CN"/>
              </w:rPr>
              <w:t>风险</w:t>
            </w:r>
            <w:r>
              <w:rPr>
                <w:rFonts w:hint="eastAsia"/>
                <w:highlight w:val="none"/>
              </w:rPr>
              <w:t>物质</w:t>
            </w:r>
            <w:r>
              <w:rPr>
                <w:rFonts w:hint="eastAsia"/>
                <w:highlight w:val="none"/>
                <w:lang w:eastAsia="zh-CN"/>
              </w:rPr>
              <w:t>泄漏</w:t>
            </w:r>
            <w:r>
              <w:rPr>
                <w:rFonts w:hint="eastAsia"/>
                <w:highlight w:val="none"/>
              </w:rPr>
              <w:t>等引起的火灾事故，提出以下环境风险防范措施及应急要求：</w:t>
            </w:r>
          </w:p>
          <w:p w14:paraId="0BAE9F39">
            <w:pPr>
              <w:pStyle w:val="54"/>
              <w:bidi w:val="0"/>
              <w:rPr>
                <w:rFonts w:hint="eastAsia"/>
                <w:highlight w:val="none"/>
              </w:rPr>
            </w:pPr>
            <w:r>
              <w:rPr>
                <w:rFonts w:hint="default" w:ascii="Times New Roman" w:hAnsi="Times New Roman" w:cs="Times New Roman"/>
                <w:highlight w:val="none"/>
              </w:rPr>
              <w:t>①</w:t>
            </w:r>
            <w:r>
              <w:rPr>
                <w:rFonts w:hint="eastAsia"/>
                <w:highlight w:val="none"/>
              </w:rPr>
              <w:t>成立专门的责任机构，保证事故发生时组织相关力量及时控制事故的危害，在第一时间，有序有效地控制事故污染，把事故危害减小到</w:t>
            </w:r>
            <w:r>
              <w:rPr>
                <w:rFonts w:hint="eastAsia"/>
                <w:highlight w:val="none"/>
                <w:lang w:eastAsia="zh-CN"/>
              </w:rPr>
              <w:t>最小</w:t>
            </w:r>
            <w:r>
              <w:rPr>
                <w:rFonts w:hint="eastAsia"/>
                <w:highlight w:val="none"/>
              </w:rPr>
              <w:t>。</w:t>
            </w:r>
          </w:p>
          <w:p w14:paraId="1FB04869">
            <w:pPr>
              <w:pStyle w:val="54"/>
              <w:bidi w:val="0"/>
              <w:rPr>
                <w:rFonts w:hint="eastAsia"/>
                <w:highlight w:val="none"/>
              </w:rPr>
            </w:pPr>
            <w:r>
              <w:rPr>
                <w:rFonts w:hint="default" w:ascii="Times New Roman" w:hAnsi="Times New Roman" w:cs="Times New Roman"/>
                <w:highlight w:val="none"/>
              </w:rPr>
              <w:t>②</w:t>
            </w:r>
            <w:r>
              <w:rPr>
                <w:rFonts w:hint="eastAsia"/>
                <w:highlight w:val="none"/>
              </w:rPr>
              <w:t>健全各项制度，强化安全管理意识，加强用电设备及线路的检修和管理。</w:t>
            </w:r>
          </w:p>
          <w:p w14:paraId="2ED2E087">
            <w:pPr>
              <w:pStyle w:val="54"/>
              <w:bidi w:val="0"/>
              <w:rPr>
                <w:rFonts w:hint="eastAsia"/>
                <w:highlight w:val="none"/>
              </w:rPr>
            </w:pPr>
            <w:r>
              <w:rPr>
                <w:rFonts w:hint="default" w:ascii="Times New Roman" w:hAnsi="Times New Roman" w:cs="Times New Roman"/>
                <w:highlight w:val="none"/>
              </w:rPr>
              <w:t>③</w:t>
            </w:r>
            <w:r>
              <w:rPr>
                <w:rFonts w:hint="eastAsia"/>
                <w:highlight w:val="none"/>
              </w:rPr>
              <w:t>严格按照消防安全部门要求，配置消防设施。</w:t>
            </w:r>
          </w:p>
          <w:p w14:paraId="39F21131">
            <w:pPr>
              <w:pStyle w:val="54"/>
              <w:bidi w:val="0"/>
              <w:rPr>
                <w:rFonts w:hint="eastAsia"/>
                <w:highlight w:val="none"/>
              </w:rPr>
            </w:pPr>
            <w:r>
              <w:rPr>
                <w:rFonts w:hint="default" w:ascii="Times New Roman" w:hAnsi="Times New Roman" w:cs="Times New Roman"/>
                <w:highlight w:val="none"/>
              </w:rPr>
              <w:t>④</w:t>
            </w:r>
            <w:r>
              <w:rPr>
                <w:rFonts w:hint="eastAsia"/>
                <w:highlight w:val="none"/>
              </w:rPr>
              <w:t>油类物质等易燃易爆物品存储远离火源。</w:t>
            </w:r>
          </w:p>
          <w:p w14:paraId="368B2207">
            <w:pPr>
              <w:pStyle w:val="54"/>
              <w:bidi w:val="0"/>
              <w:ind w:firstLine="480" w:firstLineChars="200"/>
              <w:rPr>
                <w:rFonts w:hint="eastAsia"/>
                <w:highlight w:val="none"/>
                <w:lang w:val="en-US" w:eastAsia="zh-CN"/>
              </w:rPr>
            </w:pPr>
            <w:r>
              <w:rPr>
                <w:rFonts w:hint="eastAsia"/>
                <w:highlight w:val="none"/>
                <w:lang w:val="en-US" w:eastAsia="zh-CN"/>
              </w:rPr>
              <w:t>⑤管道天然气发生泄漏时，应立即关闭上下游截止阀。迅速撤离泄漏污染区人员至上风处，并进行隔离，严格限制出入，切断火源。建议应急处理人员戴自给正压式呼吸器，穿消防防护服。</w:t>
            </w:r>
          </w:p>
          <w:p w14:paraId="50C5EB1A">
            <w:pPr>
              <w:pStyle w:val="54"/>
              <w:bidi w:val="0"/>
              <w:ind w:firstLine="480" w:firstLineChars="200"/>
              <w:rPr>
                <w:rFonts w:hint="default"/>
                <w:highlight w:val="none"/>
                <w:lang w:val="en-US" w:eastAsia="zh-CN"/>
              </w:rPr>
            </w:pPr>
            <w:r>
              <w:rPr>
                <w:rFonts w:hint="eastAsia"/>
                <w:highlight w:val="none"/>
                <w:lang w:val="en-US" w:eastAsia="zh-CN"/>
              </w:rPr>
              <w:t>⑥加强日常管理，设置天然气泄漏自动报警系统和阀门自动切断、关闭系统。加强安全消防管理工作，安全员、设备管理员负责消防设施的定期检查。</w:t>
            </w:r>
          </w:p>
          <w:p w14:paraId="63C8B35F">
            <w:pPr>
              <w:pStyle w:val="54"/>
              <w:bidi w:val="0"/>
              <w:rPr>
                <w:rFonts w:hint="eastAsia"/>
                <w:highlight w:val="none"/>
              </w:rPr>
            </w:pPr>
            <w:r>
              <w:rPr>
                <w:rFonts w:hint="eastAsia"/>
                <w:highlight w:val="none"/>
              </w:rPr>
              <w:t>在采取以上措施后，可有效降低风险发生的概率。</w:t>
            </w:r>
          </w:p>
          <w:p w14:paraId="2F4EF23C">
            <w:pPr>
              <w:pStyle w:val="54"/>
              <w:bidi w:val="0"/>
              <w:rPr>
                <w:rFonts w:hint="eastAsia"/>
                <w:highlight w:val="none"/>
              </w:rPr>
            </w:pPr>
            <w:r>
              <w:rPr>
                <w:rFonts w:hint="eastAsia"/>
                <w:highlight w:val="none"/>
              </w:rPr>
              <w:t>为减少项目废气处理设施非正常工况导致污染物超标排放对周边环境的影响，提出以下环境风险防范措施及应急要求：</w:t>
            </w:r>
          </w:p>
          <w:p w14:paraId="132F152E">
            <w:pPr>
              <w:pStyle w:val="54"/>
              <w:bidi w:val="0"/>
              <w:rPr>
                <w:rFonts w:hint="eastAsia"/>
                <w:highlight w:val="none"/>
              </w:rPr>
            </w:pPr>
            <w:r>
              <w:rPr>
                <w:rFonts w:hint="eastAsia"/>
                <w:highlight w:val="none"/>
              </w:rPr>
              <w:t>（1）制定环保设备运行维护制度，并派专人进行管理，定期对环保设备进行点检维护。</w:t>
            </w:r>
          </w:p>
          <w:p w14:paraId="087D95AD">
            <w:pPr>
              <w:pStyle w:val="54"/>
              <w:bidi w:val="0"/>
              <w:rPr>
                <w:rFonts w:hint="eastAsia"/>
                <w:highlight w:val="none"/>
              </w:rPr>
            </w:pPr>
            <w:r>
              <w:rPr>
                <w:rFonts w:hint="eastAsia"/>
                <w:highlight w:val="none"/>
              </w:rPr>
              <w:t>（2）定期对风机的运行情况进行检查记录，一旦发现运行异常，立即对相应的生产设备进行停产，并对风机设备进行维修。</w:t>
            </w:r>
          </w:p>
          <w:p w14:paraId="764C75F0">
            <w:pPr>
              <w:pStyle w:val="54"/>
              <w:bidi w:val="0"/>
              <w:rPr>
                <w:rFonts w:hint="eastAsia"/>
                <w:highlight w:val="none"/>
              </w:rPr>
            </w:pPr>
            <w:r>
              <w:rPr>
                <w:rFonts w:hint="eastAsia"/>
                <w:highlight w:val="none"/>
              </w:rPr>
              <w:t>（3）对</w:t>
            </w:r>
            <w:r>
              <w:rPr>
                <w:rFonts w:hint="eastAsia"/>
                <w:highlight w:val="none"/>
                <w:lang w:val="en-US" w:eastAsia="zh-CN"/>
              </w:rPr>
              <w:t>配套环保装置</w:t>
            </w:r>
            <w:r>
              <w:rPr>
                <w:rFonts w:hint="eastAsia"/>
                <w:highlight w:val="none"/>
              </w:rPr>
              <w:t>进行定期检查，确保废气处理效率，若发现破损、损坏或堵塞严重，应立即进行更换，确保其处理效率。</w:t>
            </w:r>
          </w:p>
          <w:p w14:paraId="553817A5">
            <w:pPr>
              <w:pStyle w:val="54"/>
              <w:bidi w:val="0"/>
              <w:rPr>
                <w:rFonts w:hint="default"/>
                <w:lang w:val="en-US" w:eastAsia="zh-CN"/>
              </w:rPr>
            </w:pPr>
          </w:p>
          <w:p w14:paraId="1D6A1128">
            <w:pPr>
              <w:pStyle w:val="54"/>
              <w:bidi w:val="0"/>
              <w:rPr>
                <w:rFonts w:hint="default"/>
                <w:lang w:val="en-US" w:eastAsia="zh-CN"/>
              </w:rPr>
            </w:pPr>
          </w:p>
          <w:p w14:paraId="441BE0E8">
            <w:pPr>
              <w:pStyle w:val="54"/>
              <w:bidi w:val="0"/>
              <w:rPr>
                <w:rFonts w:hint="default"/>
                <w:lang w:val="en-US" w:eastAsia="zh-CN"/>
              </w:rPr>
            </w:pPr>
          </w:p>
          <w:p w14:paraId="42EC3391">
            <w:pPr>
              <w:pStyle w:val="54"/>
              <w:bidi w:val="0"/>
              <w:rPr>
                <w:rFonts w:hint="default"/>
                <w:lang w:val="en-US" w:eastAsia="zh-CN"/>
              </w:rPr>
            </w:pPr>
          </w:p>
          <w:p w14:paraId="306129A4">
            <w:pPr>
              <w:pStyle w:val="54"/>
              <w:bidi w:val="0"/>
              <w:rPr>
                <w:rFonts w:hint="default"/>
                <w:lang w:val="en-US" w:eastAsia="zh-CN"/>
              </w:rPr>
            </w:pPr>
          </w:p>
          <w:p w14:paraId="294A03E7">
            <w:pPr>
              <w:pStyle w:val="54"/>
              <w:bidi w:val="0"/>
              <w:rPr>
                <w:rFonts w:hint="default"/>
                <w:lang w:val="en-US" w:eastAsia="zh-CN"/>
              </w:rPr>
            </w:pPr>
          </w:p>
          <w:p w14:paraId="1EADF488">
            <w:pPr>
              <w:pStyle w:val="54"/>
              <w:bidi w:val="0"/>
              <w:rPr>
                <w:rFonts w:hint="default"/>
                <w:lang w:val="en-US" w:eastAsia="zh-CN"/>
              </w:rPr>
            </w:pPr>
          </w:p>
          <w:p w14:paraId="4FF773F0">
            <w:pPr>
              <w:pStyle w:val="54"/>
              <w:bidi w:val="0"/>
              <w:ind w:left="0" w:leftChars="0" w:firstLine="0" w:firstLineChars="0"/>
              <w:rPr>
                <w:rFonts w:hint="default"/>
                <w:lang w:val="en-US" w:eastAsia="zh-CN"/>
              </w:rPr>
            </w:pPr>
          </w:p>
        </w:tc>
      </w:tr>
    </w:tbl>
    <w:p w14:paraId="7CEF6A40">
      <w:pPr>
        <w:pStyle w:val="19"/>
        <w:jc w:val="center"/>
        <w:outlineLvl w:val="0"/>
        <w:rPr>
          <w:rFonts w:hint="eastAsia" w:ascii="黑体" w:hAnsi="黑体" w:eastAsia="黑体"/>
          <w:snapToGrid w:val="0"/>
          <w:sz w:val="30"/>
          <w:szCs w:val="30"/>
        </w:rPr>
        <w:sectPr>
          <w:pgSz w:w="11906" w:h="16838"/>
          <w:pgMar w:top="1701" w:right="1531" w:bottom="1701" w:left="1531" w:header="851" w:footer="851" w:gutter="0"/>
          <w:pgNumType w:fmt="decimal"/>
          <w:cols w:space="720" w:num="1"/>
          <w:docGrid w:linePitch="312" w:charSpace="0"/>
        </w:sectPr>
      </w:pPr>
    </w:p>
    <w:p w14:paraId="3CA91DB9">
      <w:pPr>
        <w:pStyle w:val="19"/>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7" w:name="_Hlk54167917"/>
      <w:r>
        <w:rPr>
          <w:rFonts w:hint="eastAsia" w:ascii="黑体" w:hAnsi="黑体" w:eastAsia="黑体"/>
          <w:snapToGrid w:val="0"/>
          <w:sz w:val="30"/>
          <w:szCs w:val="30"/>
        </w:rPr>
        <w:t>环境保护措施监督检查清单</w:t>
      </w:r>
      <w:bookmarkEnd w:id="7"/>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334"/>
        <w:gridCol w:w="1383"/>
        <w:gridCol w:w="1756"/>
        <w:gridCol w:w="3102"/>
      </w:tblGrid>
      <w:tr w14:paraId="0D094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tcBorders>
              <w:tl2br w:val="single" w:color="auto" w:sz="4" w:space="0"/>
            </w:tcBorders>
            <w:noWrap w:val="0"/>
            <w:vAlign w:val="top"/>
          </w:tcPr>
          <w:p w14:paraId="528735C7">
            <w:pPr>
              <w:adjustRightInd w:val="0"/>
              <w:snapToGrid w:val="0"/>
              <w:ind w:firstLine="420" w:firstLineChars="200"/>
              <w:rPr>
                <w:rFonts w:hint="eastAsia" w:ascii="宋体" w:hAnsi="宋体" w:cs="宋体"/>
                <w:szCs w:val="21"/>
              </w:rPr>
            </w:pPr>
            <w:r>
              <w:rPr>
                <w:rFonts w:hint="eastAsia" w:ascii="宋体" w:hAnsi="宋体" w:cs="宋体"/>
                <w:szCs w:val="21"/>
              </w:rPr>
              <w:t>内容</w:t>
            </w:r>
          </w:p>
          <w:p w14:paraId="3B6EA702">
            <w:pPr>
              <w:adjustRightInd w:val="0"/>
              <w:snapToGrid w:val="0"/>
              <w:rPr>
                <w:rFonts w:hint="eastAsia" w:ascii="宋体" w:hAnsi="宋体" w:cs="宋体"/>
                <w:szCs w:val="21"/>
              </w:rPr>
            </w:pPr>
            <w:r>
              <w:rPr>
                <w:rFonts w:hint="eastAsia" w:ascii="宋体" w:hAnsi="宋体" w:cs="宋体"/>
                <w:szCs w:val="21"/>
              </w:rPr>
              <w:t>要素</w:t>
            </w:r>
          </w:p>
        </w:tc>
        <w:tc>
          <w:tcPr>
            <w:tcW w:w="1334" w:type="dxa"/>
            <w:noWrap w:val="0"/>
            <w:vAlign w:val="center"/>
          </w:tcPr>
          <w:p w14:paraId="7D604BF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排放口</w:t>
            </w:r>
            <w:r>
              <w:rPr>
                <w:rFonts w:hint="eastAsia" w:ascii="宋体" w:hAnsi="宋体" w:cs="宋体"/>
                <w:szCs w:val="21"/>
                <w:lang w:eastAsia="zh-CN"/>
              </w:rPr>
              <w:t>（</w:t>
            </w:r>
            <w:r>
              <w:rPr>
                <w:rFonts w:hint="eastAsia" w:ascii="宋体" w:hAnsi="宋体" w:cs="宋体"/>
                <w:szCs w:val="21"/>
              </w:rPr>
              <w:t>编号、名称</w:t>
            </w:r>
            <w:r>
              <w:rPr>
                <w:rFonts w:hint="eastAsia" w:ascii="宋体" w:hAnsi="宋体" w:cs="宋体"/>
                <w:szCs w:val="21"/>
                <w:lang w:eastAsia="zh-CN"/>
              </w:rPr>
              <w:t>）</w:t>
            </w:r>
            <w:r>
              <w:rPr>
                <w:rFonts w:hint="eastAsia" w:ascii="宋体" w:hAnsi="宋体" w:cs="宋体"/>
                <w:szCs w:val="21"/>
              </w:rPr>
              <w:t>/污染源</w:t>
            </w:r>
          </w:p>
        </w:tc>
        <w:tc>
          <w:tcPr>
            <w:tcW w:w="1383" w:type="dxa"/>
            <w:noWrap w:val="0"/>
            <w:vAlign w:val="center"/>
          </w:tcPr>
          <w:p w14:paraId="2CE067BF">
            <w:pPr>
              <w:adjustRightInd w:val="0"/>
              <w:snapToGrid w:val="0"/>
              <w:jc w:val="center"/>
              <w:rPr>
                <w:rFonts w:hint="eastAsia" w:ascii="宋体" w:hAnsi="宋体" w:cs="宋体"/>
                <w:szCs w:val="21"/>
              </w:rPr>
            </w:pPr>
            <w:r>
              <w:rPr>
                <w:rFonts w:hint="eastAsia" w:ascii="宋体" w:hAnsi="宋体" w:cs="宋体"/>
                <w:szCs w:val="21"/>
              </w:rPr>
              <w:t>污染物项目</w:t>
            </w:r>
          </w:p>
        </w:tc>
        <w:tc>
          <w:tcPr>
            <w:tcW w:w="1756" w:type="dxa"/>
            <w:noWrap w:val="0"/>
            <w:vAlign w:val="center"/>
          </w:tcPr>
          <w:p w14:paraId="2913D9AE">
            <w:pPr>
              <w:adjustRightInd w:val="0"/>
              <w:snapToGrid w:val="0"/>
              <w:jc w:val="center"/>
              <w:rPr>
                <w:rFonts w:hint="eastAsia" w:ascii="宋体" w:hAnsi="宋体" w:cs="宋体"/>
                <w:szCs w:val="21"/>
              </w:rPr>
            </w:pPr>
            <w:r>
              <w:rPr>
                <w:rFonts w:hint="eastAsia" w:ascii="宋体" w:hAnsi="宋体" w:cs="宋体"/>
                <w:szCs w:val="21"/>
              </w:rPr>
              <w:t>环境保护措施</w:t>
            </w:r>
          </w:p>
        </w:tc>
        <w:tc>
          <w:tcPr>
            <w:tcW w:w="3102" w:type="dxa"/>
            <w:noWrap w:val="0"/>
            <w:vAlign w:val="center"/>
          </w:tcPr>
          <w:p w14:paraId="67A3B4AD">
            <w:pPr>
              <w:adjustRightInd w:val="0"/>
              <w:snapToGrid w:val="0"/>
              <w:jc w:val="center"/>
              <w:rPr>
                <w:rFonts w:hint="eastAsia" w:ascii="宋体" w:hAnsi="宋体" w:cs="宋体"/>
                <w:szCs w:val="21"/>
              </w:rPr>
            </w:pPr>
            <w:r>
              <w:rPr>
                <w:rFonts w:hint="eastAsia" w:ascii="宋体" w:hAnsi="宋体" w:cs="宋体"/>
                <w:szCs w:val="21"/>
              </w:rPr>
              <w:t>执行标准</w:t>
            </w:r>
          </w:p>
        </w:tc>
      </w:tr>
      <w:tr w14:paraId="6C88B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restart"/>
            <w:noWrap w:val="0"/>
            <w:vAlign w:val="center"/>
          </w:tcPr>
          <w:p w14:paraId="0E00AF62">
            <w:pPr>
              <w:adjustRightInd w:val="0"/>
              <w:snapToGrid w:val="0"/>
              <w:jc w:val="center"/>
              <w:rPr>
                <w:rFonts w:hint="eastAsia" w:ascii="宋体" w:hAnsi="宋体" w:cs="宋体"/>
                <w:szCs w:val="21"/>
              </w:rPr>
            </w:pPr>
            <w:r>
              <w:rPr>
                <w:rFonts w:hint="eastAsia" w:ascii="宋体" w:hAnsi="宋体" w:cs="宋体"/>
                <w:szCs w:val="21"/>
              </w:rPr>
              <w:t>大气环境</w:t>
            </w:r>
          </w:p>
        </w:tc>
        <w:tc>
          <w:tcPr>
            <w:tcW w:w="1334" w:type="dxa"/>
            <w:noWrap w:val="0"/>
            <w:vAlign w:val="center"/>
          </w:tcPr>
          <w:p w14:paraId="68B0D738">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default" w:ascii="Times New Roman" w:hAnsi="Times New Roman" w:cs="Times New Roman"/>
                <w:szCs w:val="21"/>
                <w:lang w:val="en-US" w:eastAsia="zh-CN"/>
              </w:rPr>
              <w:t>DA001</w:t>
            </w:r>
          </w:p>
        </w:tc>
        <w:tc>
          <w:tcPr>
            <w:tcW w:w="1383" w:type="dxa"/>
            <w:noWrap w:val="0"/>
            <w:vAlign w:val="center"/>
          </w:tcPr>
          <w:p w14:paraId="608C7A35">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cs="宋体"/>
                <w:szCs w:val="21"/>
                <w:lang w:val="en-US"/>
              </w:rPr>
            </w:pPr>
            <w:r>
              <w:rPr>
                <w:rFonts w:hint="eastAsia"/>
                <w:vertAlign w:val="baseline"/>
                <w:lang w:val="en-US" w:eastAsia="zh-CN"/>
              </w:rPr>
              <w:t>非甲烷总烃、颗粒物</w:t>
            </w:r>
          </w:p>
        </w:tc>
        <w:tc>
          <w:tcPr>
            <w:tcW w:w="1756" w:type="dxa"/>
            <w:noWrap w:val="0"/>
            <w:vAlign w:val="center"/>
          </w:tcPr>
          <w:p w14:paraId="17723304">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lang w:val="en-US" w:eastAsia="zh-CN"/>
              </w:rPr>
              <w:t>干式过滤器+二级</w:t>
            </w:r>
            <w:r>
              <w:rPr>
                <w:rFonts w:hint="default"/>
                <w:lang w:val="en-US" w:eastAsia="zh-CN"/>
              </w:rPr>
              <w:t>活性炭吸附</w:t>
            </w:r>
            <w:r>
              <w:rPr>
                <w:rFonts w:hint="eastAsia"/>
                <w:lang w:val="en-US" w:eastAsia="zh-CN"/>
              </w:rPr>
              <w:t>装置</w:t>
            </w:r>
            <w:r>
              <w:rPr>
                <w:rFonts w:hint="default"/>
                <w:lang w:val="en-US" w:eastAsia="zh-CN"/>
              </w:rPr>
              <w:t>+15m排气筒</w:t>
            </w:r>
          </w:p>
        </w:tc>
        <w:tc>
          <w:tcPr>
            <w:tcW w:w="3102" w:type="dxa"/>
            <w:noWrap w:val="0"/>
            <w:vAlign w:val="center"/>
          </w:tcPr>
          <w:p w14:paraId="4EA0695C">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《大气污染物</w:t>
            </w:r>
            <w:r>
              <w:rPr>
                <w:rFonts w:hint="eastAsia" w:ascii="宋体" w:hAnsi="宋体" w:cs="宋体"/>
                <w:szCs w:val="21"/>
                <w:lang w:val="en-US" w:eastAsia="zh-CN"/>
              </w:rPr>
              <w:t>综合</w:t>
            </w:r>
            <w:r>
              <w:rPr>
                <w:rFonts w:hint="eastAsia" w:ascii="宋体" w:hAnsi="宋体" w:cs="宋体"/>
                <w:szCs w:val="21"/>
              </w:rPr>
              <w:t>排放标准》</w:t>
            </w:r>
            <w:r>
              <w:rPr>
                <w:rFonts w:hint="default" w:ascii="Times New Roman" w:hAnsi="Times New Roman" w:cs="Times New Roman"/>
                <w:szCs w:val="21"/>
              </w:rPr>
              <w:t>（GB</w:t>
            </w:r>
            <w:r>
              <w:rPr>
                <w:rFonts w:hint="eastAsia" w:cs="Times New Roman"/>
                <w:szCs w:val="21"/>
                <w:lang w:val="en-US" w:eastAsia="zh-CN"/>
              </w:rPr>
              <w:t>16297</w:t>
            </w:r>
            <w:r>
              <w:rPr>
                <w:rFonts w:hint="default" w:ascii="Times New Roman" w:hAnsi="Times New Roman" w:cs="Times New Roman"/>
                <w:szCs w:val="21"/>
              </w:rPr>
              <w:t>-</w:t>
            </w:r>
            <w:r>
              <w:rPr>
                <w:rFonts w:hint="eastAsia" w:cs="Times New Roman"/>
                <w:szCs w:val="21"/>
                <w:lang w:val="en-US" w:eastAsia="zh-CN"/>
              </w:rPr>
              <w:t>1996</w:t>
            </w:r>
            <w:r>
              <w:rPr>
                <w:rFonts w:hint="default" w:ascii="Times New Roman" w:hAnsi="Times New Roman" w:cs="Times New Roman"/>
                <w:szCs w:val="21"/>
              </w:rPr>
              <w:t>）</w:t>
            </w:r>
          </w:p>
        </w:tc>
      </w:tr>
      <w:tr w14:paraId="7B62D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2AB9B781">
            <w:pPr>
              <w:adjustRightInd w:val="0"/>
              <w:snapToGrid w:val="0"/>
              <w:jc w:val="center"/>
              <w:rPr>
                <w:rFonts w:hint="eastAsia" w:ascii="宋体" w:hAnsi="宋体" w:cs="宋体"/>
                <w:szCs w:val="21"/>
              </w:rPr>
            </w:pPr>
          </w:p>
        </w:tc>
        <w:tc>
          <w:tcPr>
            <w:tcW w:w="1334" w:type="dxa"/>
            <w:vMerge w:val="restart"/>
            <w:noWrap w:val="0"/>
            <w:vAlign w:val="center"/>
          </w:tcPr>
          <w:p w14:paraId="0F6A6438">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cs="宋体"/>
                <w:szCs w:val="21"/>
                <w:lang w:val="en-US"/>
              </w:rPr>
            </w:pPr>
            <w:r>
              <w:rPr>
                <w:rFonts w:hint="default" w:ascii="Times New Roman" w:hAnsi="Times New Roman" w:cs="Times New Roman"/>
                <w:szCs w:val="21"/>
                <w:lang w:val="en-US" w:eastAsia="zh-CN"/>
              </w:rPr>
              <w:t>DA00</w:t>
            </w:r>
            <w:r>
              <w:rPr>
                <w:rFonts w:hint="eastAsia" w:ascii="Times New Roman" w:hAnsi="Times New Roman" w:cs="Times New Roman"/>
                <w:szCs w:val="21"/>
                <w:lang w:val="en-US" w:eastAsia="zh-CN"/>
              </w:rPr>
              <w:t>2</w:t>
            </w:r>
          </w:p>
        </w:tc>
        <w:tc>
          <w:tcPr>
            <w:tcW w:w="1383" w:type="dxa"/>
            <w:noWrap w:val="0"/>
            <w:vAlign w:val="center"/>
          </w:tcPr>
          <w:p w14:paraId="07D34D3E">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default" w:ascii="Times New Roman" w:hAnsi="Times New Roman" w:cs="Times New Roman"/>
                <w:szCs w:val="21"/>
                <w:lang w:val="en-US" w:eastAsia="zh-CN"/>
              </w:rPr>
              <w:t>SO</w:t>
            </w:r>
            <w:r>
              <w:rPr>
                <w:rFonts w:hint="default" w:ascii="Times New Roman" w:hAnsi="Times New Roman" w:cs="Times New Roman"/>
                <w:szCs w:val="21"/>
                <w:vertAlign w:val="subscript"/>
                <w:lang w:val="en-US" w:eastAsia="zh-CN"/>
              </w:rPr>
              <w:t>2</w:t>
            </w:r>
          </w:p>
        </w:tc>
        <w:tc>
          <w:tcPr>
            <w:tcW w:w="1756" w:type="dxa"/>
            <w:noWrap w:val="0"/>
            <w:vAlign w:val="center"/>
          </w:tcPr>
          <w:p w14:paraId="0A36B468">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w:t>
            </w:r>
          </w:p>
        </w:tc>
        <w:tc>
          <w:tcPr>
            <w:tcW w:w="3102" w:type="dxa"/>
            <w:vMerge w:val="restart"/>
            <w:noWrap w:val="0"/>
            <w:vAlign w:val="center"/>
          </w:tcPr>
          <w:p w14:paraId="1FA22E7D">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cs="Times New Roman"/>
                <w:color w:val="000000" w:themeColor="text1"/>
                <w:szCs w:val="21"/>
                <w:highlight w:val="none"/>
                <w:lang w:val="en-US" w:eastAsia="zh-CN"/>
                <w14:textFill>
                  <w14:solidFill>
                    <w14:schemeClr w14:val="tx1"/>
                  </w14:solidFill>
                </w14:textFill>
              </w:rPr>
              <w:t>《关于印发自治州工业炉窑大气污染综合治理实施方案的通知》（巴环发〔2019〕170号）</w:t>
            </w:r>
          </w:p>
        </w:tc>
      </w:tr>
      <w:tr w14:paraId="36C58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494E1668">
            <w:pPr>
              <w:adjustRightInd w:val="0"/>
              <w:snapToGrid w:val="0"/>
              <w:jc w:val="center"/>
              <w:rPr>
                <w:rFonts w:hint="eastAsia" w:ascii="宋体" w:hAnsi="宋体" w:cs="宋体"/>
                <w:szCs w:val="21"/>
              </w:rPr>
            </w:pPr>
          </w:p>
        </w:tc>
        <w:tc>
          <w:tcPr>
            <w:tcW w:w="1334" w:type="dxa"/>
            <w:vMerge w:val="continue"/>
            <w:noWrap w:val="0"/>
            <w:vAlign w:val="center"/>
          </w:tcPr>
          <w:p w14:paraId="29D1710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szCs w:val="21"/>
                <w:lang w:val="en-US" w:eastAsia="zh-CN"/>
              </w:rPr>
            </w:pPr>
          </w:p>
        </w:tc>
        <w:tc>
          <w:tcPr>
            <w:tcW w:w="1383" w:type="dxa"/>
            <w:noWrap w:val="0"/>
            <w:vAlign w:val="center"/>
          </w:tcPr>
          <w:p w14:paraId="5EA048E4">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szCs w:val="21"/>
                <w:lang w:val="en-US" w:eastAsia="zh-CN"/>
              </w:rPr>
            </w:pPr>
            <w:r>
              <w:rPr>
                <w:rFonts w:hint="eastAsia" w:cs="Times New Roman"/>
                <w:szCs w:val="21"/>
                <w:lang w:val="en-US" w:eastAsia="zh-CN"/>
              </w:rPr>
              <w:t>颗粒物</w:t>
            </w:r>
          </w:p>
        </w:tc>
        <w:tc>
          <w:tcPr>
            <w:tcW w:w="1756" w:type="dxa"/>
            <w:noWrap w:val="0"/>
            <w:vAlign w:val="center"/>
          </w:tcPr>
          <w:p w14:paraId="40C3EA8A">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cs="宋体"/>
                <w:szCs w:val="21"/>
                <w:lang w:val="en-US" w:eastAsia="zh-CN"/>
              </w:rPr>
            </w:pPr>
            <w:r>
              <w:rPr>
                <w:rFonts w:hint="eastAsia" w:ascii="宋体" w:hAnsi="宋体" w:cs="宋体"/>
                <w:szCs w:val="21"/>
                <w:lang w:val="en-US" w:eastAsia="zh-CN"/>
              </w:rPr>
              <w:t>/</w:t>
            </w:r>
          </w:p>
        </w:tc>
        <w:tc>
          <w:tcPr>
            <w:tcW w:w="3102" w:type="dxa"/>
            <w:vMerge w:val="continue"/>
            <w:noWrap w:val="0"/>
            <w:vAlign w:val="center"/>
          </w:tcPr>
          <w:p w14:paraId="63EF2657">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color w:val="000000" w:themeColor="text1"/>
                <w:szCs w:val="21"/>
                <w:highlight w:val="none"/>
                <w:lang w:val="en-US" w:eastAsia="zh-CN"/>
                <w14:textFill>
                  <w14:solidFill>
                    <w14:schemeClr w14:val="tx1"/>
                  </w14:solidFill>
                </w14:textFill>
              </w:rPr>
            </w:pPr>
          </w:p>
        </w:tc>
      </w:tr>
      <w:tr w14:paraId="7A549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7CE2BE7D">
            <w:pPr>
              <w:adjustRightInd w:val="0"/>
              <w:snapToGrid w:val="0"/>
              <w:jc w:val="center"/>
              <w:rPr>
                <w:rFonts w:hint="eastAsia" w:ascii="宋体" w:hAnsi="宋体" w:cs="宋体"/>
                <w:szCs w:val="21"/>
              </w:rPr>
            </w:pPr>
          </w:p>
        </w:tc>
        <w:tc>
          <w:tcPr>
            <w:tcW w:w="1334" w:type="dxa"/>
            <w:vMerge w:val="continue"/>
            <w:noWrap w:val="0"/>
            <w:vAlign w:val="center"/>
          </w:tcPr>
          <w:p w14:paraId="1312EADC">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szCs w:val="21"/>
                <w:lang w:val="en-US" w:eastAsia="zh-CN"/>
              </w:rPr>
            </w:pPr>
          </w:p>
        </w:tc>
        <w:tc>
          <w:tcPr>
            <w:tcW w:w="1383" w:type="dxa"/>
            <w:noWrap w:val="0"/>
            <w:vAlign w:val="center"/>
          </w:tcPr>
          <w:p w14:paraId="2596ABBD">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NO</w:t>
            </w:r>
            <w:r>
              <w:rPr>
                <w:rFonts w:hint="default" w:ascii="Times New Roman" w:hAnsi="Times New Roman" w:cs="Times New Roman"/>
                <w:szCs w:val="21"/>
                <w:vertAlign w:val="subscript"/>
                <w:lang w:val="en-US" w:eastAsia="zh-CN"/>
              </w:rPr>
              <w:t>X</w:t>
            </w:r>
          </w:p>
        </w:tc>
        <w:tc>
          <w:tcPr>
            <w:tcW w:w="1756" w:type="dxa"/>
            <w:noWrap w:val="0"/>
            <w:vAlign w:val="center"/>
          </w:tcPr>
          <w:p w14:paraId="7546B703">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lang w:val="en-US" w:eastAsia="zh-CN"/>
              </w:rPr>
            </w:pPr>
            <w:r>
              <w:rPr>
                <w:rFonts w:hint="eastAsia" w:ascii="宋体" w:hAnsi="宋体" w:cs="宋体"/>
                <w:szCs w:val="21"/>
                <w:lang w:val="en-US" w:eastAsia="zh-CN"/>
              </w:rPr>
              <w:t>低氮燃烧</w:t>
            </w:r>
          </w:p>
        </w:tc>
        <w:tc>
          <w:tcPr>
            <w:tcW w:w="3102" w:type="dxa"/>
            <w:vMerge w:val="continue"/>
            <w:noWrap w:val="0"/>
            <w:vAlign w:val="center"/>
          </w:tcPr>
          <w:p w14:paraId="2C94685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color w:val="000000" w:themeColor="text1"/>
                <w:szCs w:val="21"/>
                <w:highlight w:val="none"/>
                <w:lang w:val="en-US" w:eastAsia="zh-CN"/>
                <w14:textFill>
                  <w14:solidFill>
                    <w14:schemeClr w14:val="tx1"/>
                  </w14:solidFill>
                </w14:textFill>
              </w:rPr>
            </w:pPr>
          </w:p>
        </w:tc>
      </w:tr>
      <w:tr w14:paraId="0F654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4EDE3D6F">
            <w:pPr>
              <w:adjustRightInd w:val="0"/>
              <w:snapToGrid w:val="0"/>
              <w:jc w:val="center"/>
              <w:rPr>
                <w:rFonts w:hint="eastAsia" w:ascii="宋体" w:hAnsi="宋体" w:cs="宋体"/>
                <w:szCs w:val="21"/>
              </w:rPr>
            </w:pPr>
          </w:p>
        </w:tc>
        <w:tc>
          <w:tcPr>
            <w:tcW w:w="1334" w:type="dxa"/>
            <w:vMerge w:val="continue"/>
            <w:noWrap w:val="0"/>
            <w:vAlign w:val="center"/>
          </w:tcPr>
          <w:p w14:paraId="6B9CFD6D">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szCs w:val="21"/>
                <w:lang w:val="en-US" w:eastAsia="zh-CN"/>
              </w:rPr>
            </w:pPr>
          </w:p>
        </w:tc>
        <w:tc>
          <w:tcPr>
            <w:tcW w:w="1383" w:type="dxa"/>
            <w:noWrap w:val="0"/>
            <w:vAlign w:val="center"/>
          </w:tcPr>
          <w:p w14:paraId="60ED3762">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szCs w:val="21"/>
                <w:lang w:val="en-US" w:eastAsia="zh-CN"/>
              </w:rPr>
            </w:pPr>
            <w:r>
              <w:rPr>
                <w:rFonts w:hint="eastAsia" w:cs="Times New Roman"/>
                <w:szCs w:val="21"/>
                <w:lang w:val="en-US" w:eastAsia="zh-CN"/>
              </w:rPr>
              <w:t>林格曼黑度</w:t>
            </w:r>
          </w:p>
        </w:tc>
        <w:tc>
          <w:tcPr>
            <w:tcW w:w="1756" w:type="dxa"/>
            <w:noWrap w:val="0"/>
            <w:vAlign w:val="center"/>
          </w:tcPr>
          <w:p w14:paraId="63161771">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lang w:val="en-US" w:eastAsia="zh-CN"/>
              </w:rPr>
            </w:pPr>
            <w:r>
              <w:rPr>
                <w:rFonts w:hint="eastAsia" w:ascii="宋体" w:hAnsi="宋体" w:cs="宋体"/>
                <w:szCs w:val="21"/>
                <w:lang w:val="en-US" w:eastAsia="zh-CN"/>
              </w:rPr>
              <w:t>/</w:t>
            </w:r>
          </w:p>
        </w:tc>
        <w:tc>
          <w:tcPr>
            <w:tcW w:w="3102" w:type="dxa"/>
            <w:noWrap w:val="0"/>
            <w:vAlign w:val="center"/>
          </w:tcPr>
          <w:p w14:paraId="5A0008EB">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eastAsia"/>
                <w:lang w:eastAsia="zh-CN"/>
              </w:rPr>
              <w:t>《</w:t>
            </w:r>
            <w:r>
              <w:rPr>
                <w:rFonts w:hint="eastAsia"/>
                <w:lang w:val="en-US" w:eastAsia="zh-CN"/>
              </w:rPr>
              <w:t>工业炉窑大气污染物排放标准</w:t>
            </w:r>
            <w:r>
              <w:rPr>
                <w:rFonts w:hint="eastAsia"/>
                <w:lang w:eastAsia="zh-CN"/>
              </w:rPr>
              <w:t>》（</w:t>
            </w:r>
            <w:r>
              <w:rPr>
                <w:rFonts w:hint="eastAsia"/>
                <w:lang w:val="en-US" w:eastAsia="zh-CN"/>
              </w:rPr>
              <w:t>GB9078-1996</w:t>
            </w:r>
            <w:r>
              <w:rPr>
                <w:rFonts w:hint="eastAsia"/>
                <w:lang w:eastAsia="zh-CN"/>
              </w:rPr>
              <w:t>）</w:t>
            </w:r>
          </w:p>
        </w:tc>
      </w:tr>
      <w:tr w14:paraId="550B70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6B84F39F">
            <w:pPr>
              <w:adjustRightInd w:val="0"/>
              <w:snapToGrid w:val="0"/>
              <w:jc w:val="center"/>
              <w:rPr>
                <w:rFonts w:hint="eastAsia" w:ascii="宋体" w:hAnsi="宋体" w:cs="宋体"/>
                <w:szCs w:val="21"/>
              </w:rPr>
            </w:pPr>
          </w:p>
          <w:p w14:paraId="2AC9074C">
            <w:pPr>
              <w:adjustRightInd w:val="0"/>
              <w:snapToGrid w:val="0"/>
              <w:jc w:val="center"/>
              <w:rPr>
                <w:rFonts w:hint="eastAsia" w:ascii="宋体" w:hAnsi="宋体" w:cs="宋体"/>
                <w:szCs w:val="21"/>
              </w:rPr>
            </w:pPr>
          </w:p>
        </w:tc>
        <w:tc>
          <w:tcPr>
            <w:tcW w:w="1334" w:type="dxa"/>
            <w:vMerge w:val="restart"/>
            <w:noWrap w:val="0"/>
            <w:vAlign w:val="center"/>
          </w:tcPr>
          <w:p w14:paraId="7D9EF37C">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szCs w:val="21"/>
                <w:lang w:val="en-US" w:eastAsia="zh-CN"/>
              </w:rPr>
            </w:pPr>
            <w:r>
              <w:rPr>
                <w:rFonts w:hint="eastAsia" w:cs="Times New Roman"/>
                <w:szCs w:val="21"/>
                <w:lang w:val="en-US" w:eastAsia="zh-CN"/>
              </w:rPr>
              <w:t>DA003</w:t>
            </w:r>
          </w:p>
        </w:tc>
        <w:tc>
          <w:tcPr>
            <w:tcW w:w="1383" w:type="dxa"/>
            <w:shd w:val="clear" w:color="auto" w:fill="auto"/>
            <w:noWrap w:val="0"/>
            <w:vAlign w:val="center"/>
          </w:tcPr>
          <w:p w14:paraId="202ED2FC">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kern w:val="2"/>
                <w:sz w:val="21"/>
                <w:szCs w:val="21"/>
                <w:lang w:val="en-US" w:eastAsia="zh-CN" w:bidi="ar-SA"/>
              </w:rPr>
            </w:pPr>
            <w:r>
              <w:rPr>
                <w:rFonts w:hint="default" w:ascii="Times New Roman" w:hAnsi="Times New Roman" w:cs="Times New Roman"/>
                <w:szCs w:val="21"/>
                <w:lang w:val="en-US" w:eastAsia="zh-CN"/>
              </w:rPr>
              <w:t>SO</w:t>
            </w:r>
            <w:r>
              <w:rPr>
                <w:rFonts w:hint="default" w:ascii="Times New Roman" w:hAnsi="Times New Roman" w:cs="Times New Roman"/>
                <w:szCs w:val="21"/>
                <w:vertAlign w:val="subscript"/>
                <w:lang w:val="en-US" w:eastAsia="zh-CN"/>
              </w:rPr>
              <w:t>2</w:t>
            </w:r>
          </w:p>
        </w:tc>
        <w:tc>
          <w:tcPr>
            <w:tcW w:w="1756" w:type="dxa"/>
            <w:shd w:val="clear" w:color="auto" w:fill="auto"/>
            <w:noWrap w:val="0"/>
            <w:vAlign w:val="center"/>
          </w:tcPr>
          <w:p w14:paraId="07701C0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w:t>
            </w:r>
          </w:p>
        </w:tc>
        <w:tc>
          <w:tcPr>
            <w:tcW w:w="3102" w:type="dxa"/>
            <w:vMerge w:val="restart"/>
            <w:shd w:val="clear" w:color="auto" w:fill="auto"/>
            <w:noWrap w:val="0"/>
            <w:vAlign w:val="center"/>
          </w:tcPr>
          <w:p w14:paraId="141473A1">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kern w:val="2"/>
                <w:sz w:val="21"/>
                <w:szCs w:val="21"/>
                <w:lang w:val="en-US" w:eastAsia="zh-CN" w:bidi="ar-SA"/>
              </w:rPr>
            </w:pPr>
            <w:r>
              <w:rPr>
                <w:rFonts w:hint="eastAsia" w:cs="Times New Roman"/>
                <w:color w:val="000000" w:themeColor="text1"/>
                <w:szCs w:val="21"/>
                <w:highlight w:val="none"/>
                <w:lang w:val="en-US" w:eastAsia="zh-CN"/>
                <w14:textFill>
                  <w14:solidFill>
                    <w14:schemeClr w14:val="tx1"/>
                  </w14:solidFill>
                </w14:textFill>
              </w:rPr>
              <w:t>《关于印发自治州工业炉窑大气污染综合治理实施方案的通知》（巴环发〔2019〕170号）</w:t>
            </w:r>
          </w:p>
        </w:tc>
      </w:tr>
      <w:tr w14:paraId="5197C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769E2485">
            <w:pPr>
              <w:adjustRightInd w:val="0"/>
              <w:snapToGrid w:val="0"/>
              <w:jc w:val="center"/>
              <w:rPr>
                <w:rFonts w:hint="eastAsia" w:ascii="宋体" w:hAnsi="宋体" w:cs="宋体"/>
                <w:szCs w:val="21"/>
              </w:rPr>
            </w:pPr>
          </w:p>
        </w:tc>
        <w:tc>
          <w:tcPr>
            <w:tcW w:w="1334" w:type="dxa"/>
            <w:vMerge w:val="continue"/>
            <w:noWrap w:val="0"/>
            <w:vAlign w:val="center"/>
          </w:tcPr>
          <w:p w14:paraId="702964D0">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szCs w:val="21"/>
                <w:lang w:val="en-US" w:eastAsia="zh-CN"/>
              </w:rPr>
            </w:pPr>
          </w:p>
        </w:tc>
        <w:tc>
          <w:tcPr>
            <w:tcW w:w="1383" w:type="dxa"/>
            <w:shd w:val="clear" w:color="auto" w:fill="auto"/>
            <w:noWrap w:val="0"/>
            <w:vAlign w:val="center"/>
          </w:tcPr>
          <w:p w14:paraId="7D4FB66A">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颗粒物</w:t>
            </w:r>
          </w:p>
        </w:tc>
        <w:tc>
          <w:tcPr>
            <w:tcW w:w="1756" w:type="dxa"/>
            <w:shd w:val="clear" w:color="auto" w:fill="auto"/>
            <w:noWrap w:val="0"/>
            <w:vAlign w:val="center"/>
          </w:tcPr>
          <w:p w14:paraId="7C25E04D">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w:t>
            </w:r>
          </w:p>
        </w:tc>
        <w:tc>
          <w:tcPr>
            <w:tcW w:w="3102" w:type="dxa"/>
            <w:vMerge w:val="continue"/>
            <w:noWrap w:val="0"/>
            <w:vAlign w:val="center"/>
          </w:tcPr>
          <w:p w14:paraId="3F4F730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color w:val="000000" w:themeColor="text1"/>
                <w:szCs w:val="21"/>
                <w:highlight w:val="none"/>
                <w:lang w:val="en-US" w:eastAsia="zh-CN"/>
                <w14:textFill>
                  <w14:solidFill>
                    <w14:schemeClr w14:val="tx1"/>
                  </w14:solidFill>
                </w14:textFill>
              </w:rPr>
            </w:pPr>
          </w:p>
        </w:tc>
      </w:tr>
      <w:tr w14:paraId="735D0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52DDD4FB">
            <w:pPr>
              <w:adjustRightInd w:val="0"/>
              <w:snapToGrid w:val="0"/>
              <w:jc w:val="center"/>
              <w:rPr>
                <w:rFonts w:hint="eastAsia" w:ascii="宋体" w:hAnsi="宋体" w:cs="宋体"/>
                <w:szCs w:val="21"/>
              </w:rPr>
            </w:pPr>
          </w:p>
        </w:tc>
        <w:tc>
          <w:tcPr>
            <w:tcW w:w="1334" w:type="dxa"/>
            <w:vMerge w:val="continue"/>
            <w:noWrap w:val="0"/>
            <w:vAlign w:val="center"/>
          </w:tcPr>
          <w:p w14:paraId="2083C55D">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szCs w:val="21"/>
                <w:lang w:val="en-US" w:eastAsia="zh-CN"/>
              </w:rPr>
            </w:pPr>
          </w:p>
        </w:tc>
        <w:tc>
          <w:tcPr>
            <w:tcW w:w="1383" w:type="dxa"/>
            <w:shd w:val="clear" w:color="auto" w:fill="auto"/>
            <w:noWrap w:val="0"/>
            <w:vAlign w:val="center"/>
          </w:tcPr>
          <w:p w14:paraId="0F2854BF">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val="en-US" w:eastAsia="zh-CN"/>
              </w:rPr>
              <w:t>NO</w:t>
            </w:r>
            <w:r>
              <w:rPr>
                <w:rFonts w:hint="default" w:ascii="Times New Roman" w:hAnsi="Times New Roman" w:cs="Times New Roman"/>
                <w:szCs w:val="21"/>
                <w:vertAlign w:val="subscript"/>
                <w:lang w:val="en-US" w:eastAsia="zh-CN"/>
              </w:rPr>
              <w:t>X</w:t>
            </w:r>
          </w:p>
        </w:tc>
        <w:tc>
          <w:tcPr>
            <w:tcW w:w="1756" w:type="dxa"/>
            <w:shd w:val="clear" w:color="auto" w:fill="auto"/>
            <w:noWrap w:val="0"/>
            <w:vAlign w:val="center"/>
          </w:tcPr>
          <w:p w14:paraId="304FEDE8">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低氮燃烧</w:t>
            </w:r>
          </w:p>
        </w:tc>
        <w:tc>
          <w:tcPr>
            <w:tcW w:w="3102" w:type="dxa"/>
            <w:vMerge w:val="continue"/>
            <w:noWrap w:val="0"/>
            <w:vAlign w:val="center"/>
          </w:tcPr>
          <w:p w14:paraId="512B4B5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color w:val="000000" w:themeColor="text1"/>
                <w:szCs w:val="21"/>
                <w:highlight w:val="none"/>
                <w:lang w:val="en-US" w:eastAsia="zh-CN"/>
                <w14:textFill>
                  <w14:solidFill>
                    <w14:schemeClr w14:val="tx1"/>
                  </w14:solidFill>
                </w14:textFill>
              </w:rPr>
            </w:pPr>
          </w:p>
        </w:tc>
      </w:tr>
      <w:tr w14:paraId="37C47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25626315">
            <w:pPr>
              <w:adjustRightInd w:val="0"/>
              <w:snapToGrid w:val="0"/>
              <w:jc w:val="center"/>
              <w:rPr>
                <w:rFonts w:hint="eastAsia" w:ascii="宋体" w:hAnsi="宋体" w:cs="宋体"/>
                <w:szCs w:val="21"/>
              </w:rPr>
            </w:pPr>
          </w:p>
        </w:tc>
        <w:tc>
          <w:tcPr>
            <w:tcW w:w="1334" w:type="dxa"/>
            <w:vMerge w:val="continue"/>
            <w:noWrap w:val="0"/>
            <w:vAlign w:val="center"/>
          </w:tcPr>
          <w:p w14:paraId="5F375DBC">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szCs w:val="21"/>
                <w:lang w:val="en-US" w:eastAsia="zh-CN"/>
              </w:rPr>
            </w:pPr>
          </w:p>
        </w:tc>
        <w:tc>
          <w:tcPr>
            <w:tcW w:w="1383" w:type="dxa"/>
            <w:shd w:val="clear" w:color="auto" w:fill="auto"/>
            <w:noWrap w:val="0"/>
            <w:vAlign w:val="center"/>
          </w:tcPr>
          <w:p w14:paraId="003BC0F0">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Cs w:val="21"/>
                <w:lang w:val="en-US" w:eastAsia="zh-CN"/>
              </w:rPr>
              <w:t>林格曼黑度</w:t>
            </w:r>
          </w:p>
        </w:tc>
        <w:tc>
          <w:tcPr>
            <w:tcW w:w="1756" w:type="dxa"/>
            <w:shd w:val="clear" w:color="auto" w:fill="auto"/>
            <w:noWrap w:val="0"/>
            <w:vAlign w:val="center"/>
          </w:tcPr>
          <w:p w14:paraId="436E6C1C">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w:t>
            </w:r>
          </w:p>
        </w:tc>
        <w:tc>
          <w:tcPr>
            <w:tcW w:w="3102" w:type="dxa"/>
            <w:shd w:val="clear" w:color="auto" w:fill="auto"/>
            <w:noWrap w:val="0"/>
            <w:vAlign w:val="center"/>
          </w:tcPr>
          <w:p w14:paraId="3FD8EA9F">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lang w:eastAsia="zh-CN"/>
              </w:rPr>
              <w:t>《</w:t>
            </w:r>
            <w:r>
              <w:rPr>
                <w:rFonts w:hint="eastAsia"/>
                <w:lang w:val="en-US" w:eastAsia="zh-CN"/>
              </w:rPr>
              <w:t>工业炉窑大气污染物排放标准</w:t>
            </w:r>
            <w:r>
              <w:rPr>
                <w:rFonts w:hint="eastAsia"/>
                <w:lang w:eastAsia="zh-CN"/>
              </w:rPr>
              <w:t>》（</w:t>
            </w:r>
            <w:r>
              <w:rPr>
                <w:rFonts w:hint="eastAsia"/>
                <w:lang w:val="en-US" w:eastAsia="zh-CN"/>
              </w:rPr>
              <w:t>GB9078-1996</w:t>
            </w:r>
            <w:r>
              <w:rPr>
                <w:rFonts w:hint="eastAsia"/>
                <w:lang w:eastAsia="zh-CN"/>
              </w:rPr>
              <w:t>）</w:t>
            </w:r>
          </w:p>
        </w:tc>
      </w:tr>
      <w:tr w14:paraId="5F6D68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3177A841">
            <w:pPr>
              <w:adjustRightInd w:val="0"/>
              <w:snapToGrid w:val="0"/>
              <w:jc w:val="center"/>
              <w:rPr>
                <w:rFonts w:hint="eastAsia" w:ascii="宋体" w:hAnsi="宋体" w:cs="宋体"/>
                <w:szCs w:val="21"/>
              </w:rPr>
            </w:pPr>
          </w:p>
        </w:tc>
        <w:tc>
          <w:tcPr>
            <w:tcW w:w="1334" w:type="dxa"/>
            <w:vMerge w:val="continue"/>
            <w:noWrap w:val="0"/>
            <w:vAlign w:val="center"/>
          </w:tcPr>
          <w:p w14:paraId="2E3817C2">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szCs w:val="21"/>
                <w:lang w:val="en-US" w:eastAsia="zh-CN"/>
              </w:rPr>
            </w:pPr>
          </w:p>
        </w:tc>
        <w:tc>
          <w:tcPr>
            <w:tcW w:w="1383" w:type="dxa"/>
            <w:noWrap w:val="0"/>
            <w:vAlign w:val="center"/>
          </w:tcPr>
          <w:p w14:paraId="317FD90A">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szCs w:val="21"/>
                <w:lang w:val="en-US" w:eastAsia="zh-CN"/>
              </w:rPr>
            </w:pPr>
            <w:r>
              <w:rPr>
                <w:rFonts w:hint="eastAsia" w:cs="Times New Roman"/>
                <w:szCs w:val="21"/>
                <w:lang w:val="en-US" w:eastAsia="zh-CN"/>
              </w:rPr>
              <w:t>非甲烷总烃</w:t>
            </w:r>
          </w:p>
        </w:tc>
        <w:tc>
          <w:tcPr>
            <w:tcW w:w="1756" w:type="dxa"/>
            <w:noWrap w:val="0"/>
            <w:vAlign w:val="center"/>
          </w:tcPr>
          <w:p w14:paraId="5778CBF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lang w:val="en-US" w:eastAsia="zh-CN"/>
              </w:rPr>
            </w:pPr>
            <w:r>
              <w:rPr>
                <w:rFonts w:hint="eastAsia"/>
                <w:lang w:val="en-US" w:eastAsia="zh-CN"/>
              </w:rPr>
              <w:t>二级</w:t>
            </w:r>
            <w:r>
              <w:rPr>
                <w:rFonts w:hint="default"/>
                <w:lang w:val="en-US" w:eastAsia="zh-CN"/>
              </w:rPr>
              <w:t>活性炭吸附</w:t>
            </w:r>
            <w:r>
              <w:rPr>
                <w:rFonts w:hint="eastAsia"/>
                <w:lang w:val="en-US" w:eastAsia="zh-CN"/>
              </w:rPr>
              <w:t>装置</w:t>
            </w:r>
            <w:r>
              <w:rPr>
                <w:rFonts w:hint="default"/>
                <w:lang w:val="en-US" w:eastAsia="zh-CN"/>
              </w:rPr>
              <w:t>+15m排气筒</w:t>
            </w:r>
          </w:p>
        </w:tc>
        <w:tc>
          <w:tcPr>
            <w:tcW w:w="3102" w:type="dxa"/>
            <w:noWrap w:val="0"/>
            <w:vAlign w:val="center"/>
          </w:tcPr>
          <w:p w14:paraId="18F8E6C1">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cs="Times New Roman"/>
                <w:color w:val="000000" w:themeColor="text1"/>
                <w:szCs w:val="21"/>
                <w:highlight w:val="none"/>
                <w:lang w:val="en-US" w:eastAsia="zh-CN"/>
                <w14:textFill>
                  <w14:solidFill>
                    <w14:schemeClr w14:val="tx1"/>
                  </w14:solidFill>
                </w14:textFill>
              </w:rPr>
            </w:pPr>
            <w:r>
              <w:rPr>
                <w:rFonts w:hint="eastAsia" w:ascii="宋体" w:hAnsi="宋体" w:cs="宋体"/>
                <w:szCs w:val="21"/>
              </w:rPr>
              <w:t>《大气污染物</w:t>
            </w:r>
            <w:r>
              <w:rPr>
                <w:rFonts w:hint="eastAsia" w:ascii="宋体" w:hAnsi="宋体" w:cs="宋体"/>
                <w:szCs w:val="21"/>
                <w:lang w:val="en-US" w:eastAsia="zh-CN"/>
              </w:rPr>
              <w:t>综合</w:t>
            </w:r>
            <w:r>
              <w:rPr>
                <w:rFonts w:hint="eastAsia" w:ascii="宋体" w:hAnsi="宋体" w:cs="宋体"/>
                <w:szCs w:val="21"/>
              </w:rPr>
              <w:t>排放标准》</w:t>
            </w:r>
            <w:r>
              <w:rPr>
                <w:rFonts w:hint="default" w:ascii="Times New Roman" w:hAnsi="Times New Roman" w:cs="Times New Roman"/>
                <w:szCs w:val="21"/>
              </w:rPr>
              <w:t>（GB</w:t>
            </w:r>
            <w:r>
              <w:rPr>
                <w:rFonts w:hint="eastAsia" w:cs="Times New Roman"/>
                <w:szCs w:val="21"/>
                <w:lang w:val="en-US" w:eastAsia="zh-CN"/>
              </w:rPr>
              <w:t>16297</w:t>
            </w:r>
            <w:r>
              <w:rPr>
                <w:rFonts w:hint="default" w:ascii="Times New Roman" w:hAnsi="Times New Roman" w:cs="Times New Roman"/>
                <w:szCs w:val="21"/>
              </w:rPr>
              <w:t>-</w:t>
            </w:r>
            <w:r>
              <w:rPr>
                <w:rFonts w:hint="eastAsia" w:cs="Times New Roman"/>
                <w:szCs w:val="21"/>
                <w:lang w:val="en-US" w:eastAsia="zh-CN"/>
              </w:rPr>
              <w:t>1996</w:t>
            </w:r>
            <w:r>
              <w:rPr>
                <w:rFonts w:hint="default" w:ascii="Times New Roman" w:hAnsi="Times New Roman" w:cs="Times New Roman"/>
                <w:szCs w:val="21"/>
              </w:rPr>
              <w:t>）</w:t>
            </w:r>
          </w:p>
        </w:tc>
      </w:tr>
      <w:tr w14:paraId="69E373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6C42B866">
            <w:pPr>
              <w:adjustRightInd w:val="0"/>
              <w:snapToGrid w:val="0"/>
              <w:jc w:val="center"/>
              <w:rPr>
                <w:rFonts w:hint="eastAsia" w:ascii="宋体" w:hAnsi="宋体" w:cs="宋体"/>
                <w:szCs w:val="21"/>
              </w:rPr>
            </w:pPr>
          </w:p>
        </w:tc>
        <w:tc>
          <w:tcPr>
            <w:tcW w:w="1334" w:type="dxa"/>
            <w:noWrap w:val="0"/>
            <w:vAlign w:val="center"/>
          </w:tcPr>
          <w:p w14:paraId="40A0D8C0">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szCs w:val="21"/>
                <w:lang w:val="en-US" w:eastAsia="zh-CN"/>
              </w:rPr>
            </w:pPr>
            <w:r>
              <w:rPr>
                <w:rFonts w:hint="eastAsia" w:cs="Times New Roman"/>
                <w:szCs w:val="21"/>
                <w:lang w:val="en-US" w:eastAsia="zh-CN"/>
              </w:rPr>
              <w:t>厂内</w:t>
            </w:r>
          </w:p>
        </w:tc>
        <w:tc>
          <w:tcPr>
            <w:tcW w:w="1383" w:type="dxa"/>
            <w:noWrap w:val="0"/>
            <w:vAlign w:val="center"/>
          </w:tcPr>
          <w:p w14:paraId="2E482F77">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vertAlign w:val="baseline"/>
                <w:lang w:val="en-US" w:eastAsia="zh-CN"/>
              </w:rPr>
            </w:pPr>
            <w:r>
              <w:rPr>
                <w:rFonts w:hint="eastAsia"/>
                <w:vertAlign w:val="baseline"/>
                <w:lang w:val="en-US" w:eastAsia="zh-CN"/>
              </w:rPr>
              <w:t>非甲烷总烃</w:t>
            </w:r>
          </w:p>
        </w:tc>
        <w:tc>
          <w:tcPr>
            <w:tcW w:w="1756" w:type="dxa"/>
            <w:noWrap w:val="0"/>
            <w:vAlign w:val="center"/>
          </w:tcPr>
          <w:p w14:paraId="470447C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lang w:val="en-US" w:eastAsia="zh-CN"/>
              </w:rPr>
            </w:pPr>
            <w:r>
              <w:rPr>
                <w:rFonts w:hint="eastAsia"/>
                <w:lang w:val="en-US" w:eastAsia="zh-CN"/>
              </w:rPr>
              <w:t>加强管理、加强车间通风</w:t>
            </w:r>
          </w:p>
        </w:tc>
        <w:tc>
          <w:tcPr>
            <w:tcW w:w="3102" w:type="dxa"/>
            <w:noWrap w:val="0"/>
            <w:vAlign w:val="center"/>
          </w:tcPr>
          <w:p w14:paraId="00ADF5A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lang w:val="en-US" w:eastAsia="zh-CN"/>
              </w:rPr>
            </w:pPr>
            <w:r>
              <w:rPr>
                <w:rFonts w:hint="eastAsia"/>
                <w:lang w:val="en-US" w:eastAsia="zh-CN"/>
              </w:rPr>
              <w:t>《</w:t>
            </w:r>
            <w:r>
              <w:rPr>
                <w:rFonts w:hint="default"/>
                <w:lang w:val="en-US" w:eastAsia="zh-CN"/>
              </w:rPr>
              <w:t>挥发性有机物无组织排放控制标准</w:t>
            </w:r>
            <w:r>
              <w:rPr>
                <w:rFonts w:hint="eastAsia"/>
                <w:lang w:val="en-US" w:eastAsia="zh-CN"/>
              </w:rPr>
              <w:t>》</w:t>
            </w:r>
            <w:r>
              <w:rPr>
                <w:rFonts w:hint="default"/>
                <w:lang w:val="en-US" w:eastAsia="zh-CN"/>
              </w:rPr>
              <w:t>（GB37822-2019）</w:t>
            </w:r>
          </w:p>
        </w:tc>
      </w:tr>
      <w:tr w14:paraId="4C3AF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004F5EB3">
            <w:pPr>
              <w:adjustRightInd w:val="0"/>
              <w:snapToGrid w:val="0"/>
              <w:jc w:val="center"/>
              <w:rPr>
                <w:rFonts w:hint="eastAsia" w:ascii="宋体" w:hAnsi="宋体" w:cs="宋体"/>
                <w:szCs w:val="21"/>
              </w:rPr>
            </w:pPr>
          </w:p>
        </w:tc>
        <w:tc>
          <w:tcPr>
            <w:tcW w:w="1334" w:type="dxa"/>
            <w:vMerge w:val="restart"/>
            <w:noWrap w:val="0"/>
            <w:vAlign w:val="center"/>
          </w:tcPr>
          <w:p w14:paraId="366897D5">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szCs w:val="21"/>
                <w:lang w:val="en-US" w:eastAsia="zh-CN"/>
              </w:rPr>
            </w:pPr>
            <w:r>
              <w:rPr>
                <w:rFonts w:hint="eastAsia" w:cs="Times New Roman"/>
                <w:szCs w:val="21"/>
                <w:lang w:val="en-US" w:eastAsia="zh-CN"/>
              </w:rPr>
              <w:t>厂界</w:t>
            </w:r>
          </w:p>
        </w:tc>
        <w:tc>
          <w:tcPr>
            <w:tcW w:w="1383" w:type="dxa"/>
            <w:noWrap w:val="0"/>
            <w:vAlign w:val="center"/>
          </w:tcPr>
          <w:p w14:paraId="61D12F43">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vertAlign w:val="baseline"/>
                <w:lang w:val="en-US" w:eastAsia="zh-CN"/>
              </w:rPr>
            </w:pPr>
            <w:r>
              <w:rPr>
                <w:rFonts w:hint="eastAsia"/>
                <w:vertAlign w:val="baseline"/>
                <w:lang w:val="en-US" w:eastAsia="zh-CN"/>
              </w:rPr>
              <w:t>非甲烷总烃</w:t>
            </w:r>
          </w:p>
        </w:tc>
        <w:tc>
          <w:tcPr>
            <w:tcW w:w="1756" w:type="dxa"/>
            <w:vMerge w:val="restart"/>
            <w:noWrap w:val="0"/>
            <w:vAlign w:val="center"/>
          </w:tcPr>
          <w:p w14:paraId="54612B81">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lang w:val="en-US" w:eastAsia="zh-CN"/>
              </w:rPr>
            </w:pPr>
            <w:r>
              <w:rPr>
                <w:rFonts w:hint="eastAsia"/>
                <w:lang w:val="en-US" w:eastAsia="zh-CN"/>
              </w:rPr>
              <w:t>加强管理、加强车间通风</w:t>
            </w:r>
          </w:p>
        </w:tc>
        <w:tc>
          <w:tcPr>
            <w:tcW w:w="3102" w:type="dxa"/>
            <w:vMerge w:val="restart"/>
            <w:noWrap w:val="0"/>
            <w:vAlign w:val="center"/>
          </w:tcPr>
          <w:p w14:paraId="1BC33536">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lang w:val="en-US" w:eastAsia="zh-CN"/>
              </w:rPr>
            </w:pPr>
            <w:r>
              <w:rPr>
                <w:rFonts w:hint="default"/>
                <w:lang w:val="en-US" w:eastAsia="zh-CN"/>
              </w:rPr>
              <w:t>《</w:t>
            </w:r>
            <w:r>
              <w:rPr>
                <w:rFonts w:hint="eastAsia"/>
                <w:lang w:val="en-US" w:eastAsia="zh-CN"/>
              </w:rPr>
              <w:t>大气</w:t>
            </w:r>
            <w:r>
              <w:rPr>
                <w:rFonts w:hint="default"/>
                <w:lang w:val="en-US" w:eastAsia="zh-CN"/>
              </w:rPr>
              <w:t>污染物</w:t>
            </w:r>
            <w:r>
              <w:rPr>
                <w:rFonts w:hint="eastAsia"/>
                <w:lang w:val="en-US" w:eastAsia="zh-CN"/>
              </w:rPr>
              <w:t>综合</w:t>
            </w:r>
            <w:r>
              <w:rPr>
                <w:rFonts w:hint="default"/>
                <w:lang w:val="en-US" w:eastAsia="zh-CN"/>
              </w:rPr>
              <w:t>排放标准</w:t>
            </w:r>
            <w:r>
              <w:rPr>
                <w:rFonts w:hint="eastAsia"/>
                <w:lang w:val="en-US" w:eastAsia="zh-CN"/>
              </w:rPr>
              <w:t>》</w:t>
            </w:r>
            <w:r>
              <w:rPr>
                <w:rFonts w:hint="default"/>
                <w:lang w:val="en-US" w:eastAsia="zh-CN"/>
              </w:rPr>
              <w:t>（GB</w:t>
            </w:r>
            <w:r>
              <w:rPr>
                <w:rFonts w:hint="eastAsia"/>
                <w:lang w:val="en-US" w:eastAsia="zh-CN"/>
              </w:rPr>
              <w:t>16297</w:t>
            </w:r>
            <w:r>
              <w:rPr>
                <w:rFonts w:hint="default"/>
                <w:lang w:val="en-US" w:eastAsia="zh-CN"/>
              </w:rPr>
              <w:t>-</w:t>
            </w:r>
            <w:r>
              <w:rPr>
                <w:rFonts w:hint="eastAsia"/>
                <w:lang w:val="en-US" w:eastAsia="zh-CN"/>
              </w:rPr>
              <w:t>1996</w:t>
            </w:r>
            <w:r>
              <w:rPr>
                <w:rFonts w:hint="default"/>
                <w:lang w:val="en-US" w:eastAsia="zh-CN"/>
              </w:rPr>
              <w:t>）</w:t>
            </w:r>
          </w:p>
        </w:tc>
      </w:tr>
      <w:tr w14:paraId="71CF5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0BAF8096">
            <w:pPr>
              <w:adjustRightInd w:val="0"/>
              <w:snapToGrid w:val="0"/>
              <w:jc w:val="center"/>
              <w:rPr>
                <w:rFonts w:hint="eastAsia" w:ascii="宋体" w:hAnsi="宋体" w:cs="宋体"/>
                <w:szCs w:val="21"/>
              </w:rPr>
            </w:pPr>
          </w:p>
        </w:tc>
        <w:tc>
          <w:tcPr>
            <w:tcW w:w="1334" w:type="dxa"/>
            <w:vMerge w:val="continue"/>
            <w:noWrap w:val="0"/>
            <w:vAlign w:val="center"/>
          </w:tcPr>
          <w:p w14:paraId="64C11F9A">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Times New Roman" w:hAnsi="Times New Roman" w:cs="Times New Roman"/>
                <w:szCs w:val="21"/>
                <w:lang w:val="en-US" w:eastAsia="zh-CN"/>
              </w:rPr>
            </w:pPr>
          </w:p>
        </w:tc>
        <w:tc>
          <w:tcPr>
            <w:tcW w:w="1383" w:type="dxa"/>
            <w:noWrap w:val="0"/>
            <w:vAlign w:val="center"/>
          </w:tcPr>
          <w:p w14:paraId="446D552A">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vertAlign w:val="baseline"/>
                <w:lang w:val="en-US" w:eastAsia="zh-CN"/>
              </w:rPr>
            </w:pPr>
            <w:r>
              <w:rPr>
                <w:rFonts w:hint="eastAsia"/>
                <w:vertAlign w:val="baseline"/>
                <w:lang w:val="en-US" w:eastAsia="zh-CN"/>
              </w:rPr>
              <w:t>颗粒物</w:t>
            </w:r>
          </w:p>
        </w:tc>
        <w:tc>
          <w:tcPr>
            <w:tcW w:w="1756" w:type="dxa"/>
            <w:vMerge w:val="continue"/>
            <w:noWrap w:val="0"/>
            <w:vAlign w:val="center"/>
          </w:tcPr>
          <w:p w14:paraId="4D51C385">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lang w:val="en-US" w:eastAsia="zh-CN"/>
              </w:rPr>
            </w:pPr>
          </w:p>
        </w:tc>
        <w:tc>
          <w:tcPr>
            <w:tcW w:w="3102" w:type="dxa"/>
            <w:vMerge w:val="continue"/>
            <w:noWrap w:val="0"/>
            <w:vAlign w:val="center"/>
          </w:tcPr>
          <w:p w14:paraId="6AFECC4B">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lang w:val="en-US" w:eastAsia="zh-CN"/>
              </w:rPr>
            </w:pPr>
          </w:p>
        </w:tc>
      </w:tr>
      <w:tr w14:paraId="79028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restart"/>
            <w:noWrap w:val="0"/>
            <w:vAlign w:val="center"/>
          </w:tcPr>
          <w:p w14:paraId="05FD79F6">
            <w:pPr>
              <w:adjustRightInd w:val="0"/>
              <w:snapToGrid w:val="0"/>
              <w:jc w:val="center"/>
              <w:rPr>
                <w:rFonts w:hint="eastAsia" w:ascii="宋体" w:hAnsi="宋体" w:cs="宋体"/>
                <w:szCs w:val="21"/>
              </w:rPr>
            </w:pPr>
            <w:r>
              <w:rPr>
                <w:rFonts w:hint="eastAsia" w:ascii="宋体" w:hAnsi="宋体" w:cs="宋体"/>
                <w:szCs w:val="21"/>
              </w:rPr>
              <w:t>地表水环境</w:t>
            </w:r>
          </w:p>
        </w:tc>
        <w:tc>
          <w:tcPr>
            <w:tcW w:w="1334" w:type="dxa"/>
            <w:noWrap w:val="0"/>
            <w:vAlign w:val="center"/>
          </w:tcPr>
          <w:p w14:paraId="36AF4400">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生活污水</w:t>
            </w:r>
          </w:p>
        </w:tc>
        <w:tc>
          <w:tcPr>
            <w:tcW w:w="1383" w:type="dxa"/>
            <w:noWrap w:val="0"/>
            <w:vAlign w:val="center"/>
          </w:tcPr>
          <w:p w14:paraId="2BCF8827">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lang w:val="en-US" w:eastAsia="zh-CN"/>
              </w:rPr>
              <w:t>COD</w:t>
            </w:r>
            <w:r>
              <w:rPr>
                <w:rFonts w:hint="eastAsia"/>
                <w:lang w:val="en-US" w:eastAsia="zh-CN"/>
              </w:rPr>
              <w:t>、</w:t>
            </w:r>
            <w:r>
              <w:rPr>
                <w:lang w:val="en-US" w:eastAsia="zh-CN"/>
              </w:rPr>
              <w:t>BOD</w:t>
            </w:r>
            <w:r>
              <w:rPr>
                <w:rFonts w:hint="eastAsia"/>
                <w:vertAlign w:val="subscript"/>
                <w:lang w:val="en-US" w:eastAsia="zh-CN"/>
              </w:rPr>
              <w:t>5</w:t>
            </w:r>
            <w:r>
              <w:rPr>
                <w:rFonts w:hint="eastAsia"/>
                <w:vertAlign w:val="baseline"/>
                <w:lang w:val="en-US" w:eastAsia="zh-CN"/>
              </w:rPr>
              <w:t>、</w:t>
            </w:r>
            <w:r>
              <w:rPr>
                <w:lang w:val="en-US" w:eastAsia="zh-CN"/>
              </w:rPr>
              <w:t>SS</w:t>
            </w:r>
            <w:r>
              <w:rPr>
                <w:rFonts w:hint="eastAsia"/>
                <w:lang w:val="en-US" w:eastAsia="zh-CN"/>
              </w:rPr>
              <w:t>、</w:t>
            </w:r>
            <w:r>
              <w:rPr>
                <w:lang w:val="en-US" w:eastAsia="zh-CN"/>
              </w:rPr>
              <w:t>氨氮</w:t>
            </w:r>
            <w:r>
              <w:rPr>
                <w:rFonts w:hint="eastAsia"/>
                <w:lang w:val="en-US" w:eastAsia="zh-CN"/>
              </w:rPr>
              <w:t>、动植物油</w:t>
            </w:r>
          </w:p>
        </w:tc>
        <w:tc>
          <w:tcPr>
            <w:tcW w:w="1756" w:type="dxa"/>
            <w:noWrap w:val="0"/>
            <w:vAlign w:val="center"/>
          </w:tcPr>
          <w:p w14:paraId="169D9CAD">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经化粪池处理后排入污水管网</w:t>
            </w:r>
          </w:p>
        </w:tc>
        <w:tc>
          <w:tcPr>
            <w:tcW w:w="3102" w:type="dxa"/>
            <w:noWrap w:val="0"/>
            <w:vAlign w:val="center"/>
          </w:tcPr>
          <w:p w14:paraId="18910D0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default"/>
              </w:rPr>
              <w:t>《污水综合排放标准》（GB8978-1996）三级</w:t>
            </w:r>
          </w:p>
        </w:tc>
      </w:tr>
      <w:tr w14:paraId="20D0F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vMerge w:val="continue"/>
            <w:noWrap w:val="0"/>
            <w:vAlign w:val="center"/>
          </w:tcPr>
          <w:p w14:paraId="4C21ADA7">
            <w:pPr>
              <w:adjustRightInd w:val="0"/>
              <w:snapToGrid w:val="0"/>
              <w:jc w:val="center"/>
              <w:rPr>
                <w:rFonts w:hint="eastAsia" w:ascii="宋体" w:hAnsi="宋体" w:cs="宋体"/>
                <w:szCs w:val="21"/>
              </w:rPr>
            </w:pPr>
          </w:p>
        </w:tc>
        <w:tc>
          <w:tcPr>
            <w:tcW w:w="1334" w:type="dxa"/>
            <w:noWrap w:val="0"/>
            <w:vAlign w:val="center"/>
          </w:tcPr>
          <w:p w14:paraId="6F2971FC">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生产废水</w:t>
            </w:r>
          </w:p>
        </w:tc>
        <w:tc>
          <w:tcPr>
            <w:tcW w:w="1383" w:type="dxa"/>
            <w:noWrap w:val="0"/>
            <w:vAlign w:val="center"/>
          </w:tcPr>
          <w:p w14:paraId="0452C71E">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清洗废水</w:t>
            </w:r>
          </w:p>
        </w:tc>
        <w:tc>
          <w:tcPr>
            <w:tcW w:w="1756" w:type="dxa"/>
            <w:noWrap w:val="0"/>
            <w:vAlign w:val="center"/>
          </w:tcPr>
          <w:p w14:paraId="6482C33B">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循环使用不外排</w:t>
            </w:r>
          </w:p>
        </w:tc>
        <w:tc>
          <w:tcPr>
            <w:tcW w:w="3102" w:type="dxa"/>
            <w:noWrap w:val="0"/>
            <w:vAlign w:val="center"/>
          </w:tcPr>
          <w:p w14:paraId="2F126729">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szCs w:val="21"/>
                <w:lang w:val="en-US" w:eastAsia="zh-CN"/>
              </w:rPr>
            </w:pPr>
            <w:r>
              <w:rPr>
                <w:rFonts w:hint="default" w:ascii="Times New Roman" w:hAnsi="Times New Roman" w:cs="Times New Roman"/>
                <w:szCs w:val="21"/>
                <w:lang w:val="en-US" w:eastAsia="zh-CN"/>
              </w:rPr>
              <w:t>/</w:t>
            </w:r>
          </w:p>
        </w:tc>
      </w:tr>
      <w:tr w14:paraId="670F33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noWrap w:val="0"/>
            <w:vAlign w:val="center"/>
          </w:tcPr>
          <w:p w14:paraId="73DDCC68">
            <w:pPr>
              <w:adjustRightInd w:val="0"/>
              <w:snapToGrid w:val="0"/>
              <w:jc w:val="center"/>
              <w:rPr>
                <w:rFonts w:hint="eastAsia" w:ascii="宋体" w:hAnsi="宋体" w:cs="宋体"/>
                <w:szCs w:val="21"/>
              </w:rPr>
            </w:pPr>
            <w:r>
              <w:rPr>
                <w:rFonts w:hint="eastAsia" w:ascii="宋体" w:hAnsi="宋体" w:cs="宋体"/>
                <w:szCs w:val="21"/>
              </w:rPr>
              <w:t>声环境</w:t>
            </w:r>
          </w:p>
        </w:tc>
        <w:tc>
          <w:tcPr>
            <w:tcW w:w="1334" w:type="dxa"/>
            <w:noWrap w:val="0"/>
            <w:vAlign w:val="center"/>
          </w:tcPr>
          <w:p w14:paraId="0443C3E2">
            <w:pPr>
              <w:pStyle w:val="42"/>
              <w:keepNext w:val="0"/>
              <w:keepLines w:val="0"/>
              <w:pageBreakBefore w:val="0"/>
              <w:widowControl w:val="0"/>
              <w:kinsoku/>
              <w:wordWrap w:val="0"/>
              <w:overflowPunct/>
              <w:topLinePunct w:val="0"/>
              <w:autoSpaceDE/>
              <w:autoSpaceDN/>
              <w:bidi w:val="0"/>
              <w:adjustRightInd w:val="0"/>
              <w:snapToGrid w:val="0"/>
              <w:textAlignment w:val="auto"/>
              <w:rPr>
                <w:rFonts w:hint="eastAsia" w:ascii="宋体" w:hAnsi="Times New Roman" w:eastAsia="宋体" w:cs="Times New Roman"/>
                <w:kern w:val="0"/>
                <w:sz w:val="21"/>
                <w:szCs w:val="20"/>
                <w:lang w:val="en-US" w:eastAsia="zh-CN" w:bidi="ar-SA"/>
              </w:rPr>
            </w:pPr>
            <w:r>
              <w:rPr>
                <w:rFonts w:hint="default"/>
              </w:rPr>
              <w:t>生产设备</w:t>
            </w:r>
          </w:p>
        </w:tc>
        <w:tc>
          <w:tcPr>
            <w:tcW w:w="1383" w:type="dxa"/>
            <w:noWrap w:val="0"/>
            <w:vAlign w:val="center"/>
          </w:tcPr>
          <w:p w14:paraId="37FE43F9">
            <w:pPr>
              <w:pStyle w:val="42"/>
              <w:keepNext w:val="0"/>
              <w:keepLines w:val="0"/>
              <w:pageBreakBefore w:val="0"/>
              <w:widowControl w:val="0"/>
              <w:kinsoku/>
              <w:wordWrap w:val="0"/>
              <w:overflowPunct/>
              <w:topLinePunct w:val="0"/>
              <w:autoSpaceDE/>
              <w:autoSpaceDN/>
              <w:bidi w:val="0"/>
              <w:adjustRightInd w:val="0"/>
              <w:snapToGrid w:val="0"/>
              <w:textAlignment w:val="auto"/>
              <w:rPr>
                <w:rFonts w:hint="eastAsia" w:ascii="宋体" w:hAnsi="Times New Roman" w:eastAsia="宋体" w:cs="Times New Roman"/>
                <w:kern w:val="0"/>
                <w:sz w:val="21"/>
                <w:szCs w:val="20"/>
                <w:lang w:val="en-US" w:eastAsia="zh-CN" w:bidi="ar-SA"/>
              </w:rPr>
            </w:pPr>
            <w:r>
              <w:rPr>
                <w:rFonts w:hint="default"/>
              </w:rPr>
              <w:t>生产设备运行噪声</w:t>
            </w:r>
          </w:p>
        </w:tc>
        <w:tc>
          <w:tcPr>
            <w:tcW w:w="1756" w:type="dxa"/>
            <w:noWrap w:val="0"/>
            <w:vAlign w:val="center"/>
          </w:tcPr>
          <w:p w14:paraId="55B01450">
            <w:pPr>
              <w:pStyle w:val="42"/>
              <w:keepNext w:val="0"/>
              <w:keepLines w:val="0"/>
              <w:pageBreakBefore w:val="0"/>
              <w:widowControl w:val="0"/>
              <w:kinsoku/>
              <w:wordWrap w:val="0"/>
              <w:overflowPunct/>
              <w:topLinePunct w:val="0"/>
              <w:autoSpaceDE/>
              <w:autoSpaceDN/>
              <w:bidi w:val="0"/>
              <w:adjustRightInd w:val="0"/>
              <w:snapToGrid w:val="0"/>
              <w:textAlignment w:val="auto"/>
              <w:rPr>
                <w:rFonts w:hint="eastAsia" w:ascii="宋体" w:hAnsi="Times New Roman" w:eastAsia="宋体" w:cs="Times New Roman"/>
                <w:kern w:val="0"/>
                <w:sz w:val="21"/>
                <w:szCs w:val="20"/>
                <w:lang w:val="en-US" w:eastAsia="zh-CN" w:bidi="ar-SA"/>
              </w:rPr>
            </w:pPr>
            <w:r>
              <w:rPr>
                <w:rFonts w:hint="default"/>
                <w:sz w:val="21"/>
                <w:szCs w:val="20"/>
              </w:rPr>
              <w:t>对各类主要噪声源采用低噪声源设备、并采取减振、隔声等措施</w:t>
            </w:r>
          </w:p>
        </w:tc>
        <w:tc>
          <w:tcPr>
            <w:tcW w:w="3102" w:type="dxa"/>
            <w:noWrap w:val="0"/>
            <w:vAlign w:val="center"/>
          </w:tcPr>
          <w:p w14:paraId="37C3BD18">
            <w:pPr>
              <w:pStyle w:val="42"/>
              <w:keepNext w:val="0"/>
              <w:keepLines w:val="0"/>
              <w:pageBreakBefore w:val="0"/>
              <w:widowControl w:val="0"/>
              <w:kinsoku/>
              <w:wordWrap w:val="0"/>
              <w:overflowPunct/>
              <w:topLinePunct w:val="0"/>
              <w:autoSpaceDE/>
              <w:autoSpaceDN/>
              <w:bidi w:val="0"/>
              <w:adjustRightInd w:val="0"/>
              <w:snapToGrid w:val="0"/>
              <w:textAlignment w:val="auto"/>
              <w:rPr>
                <w:rFonts w:hint="eastAsia" w:ascii="宋体" w:hAnsi="Times New Roman" w:eastAsia="宋体" w:cs="Times New Roman"/>
                <w:kern w:val="0"/>
                <w:sz w:val="21"/>
                <w:szCs w:val="20"/>
                <w:lang w:val="en-US" w:eastAsia="zh-CN" w:bidi="ar-SA"/>
              </w:rPr>
            </w:pPr>
            <w:r>
              <w:rPr>
                <w:rFonts w:hint="default"/>
              </w:rPr>
              <w:t>《工业企业厂界环境噪声排放标准》</w:t>
            </w:r>
            <w:r>
              <w:rPr>
                <w:rFonts w:hint="default" w:ascii="Times New Roman" w:hAnsi="Times New Roman" w:cs="Times New Roman"/>
              </w:rPr>
              <w:t>（GB12348-2008）3</w:t>
            </w:r>
            <w:r>
              <w:rPr>
                <w:rFonts w:hint="default"/>
              </w:rPr>
              <w:t>类标准</w:t>
            </w:r>
          </w:p>
        </w:tc>
      </w:tr>
      <w:tr w14:paraId="2CEBA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25" w:type="dxa"/>
            <w:noWrap w:val="0"/>
            <w:vAlign w:val="center"/>
          </w:tcPr>
          <w:p w14:paraId="4397A4E4">
            <w:pPr>
              <w:adjustRightInd w:val="0"/>
              <w:snapToGrid w:val="0"/>
              <w:jc w:val="center"/>
              <w:rPr>
                <w:rFonts w:hint="eastAsia" w:ascii="宋体" w:hAnsi="宋体" w:cs="宋体"/>
                <w:szCs w:val="21"/>
              </w:rPr>
            </w:pPr>
            <w:r>
              <w:rPr>
                <w:rFonts w:hint="eastAsia" w:ascii="宋体" w:hAnsi="宋体" w:cs="宋体"/>
                <w:szCs w:val="21"/>
              </w:rPr>
              <w:t>电磁辐射</w:t>
            </w:r>
          </w:p>
        </w:tc>
        <w:tc>
          <w:tcPr>
            <w:tcW w:w="1334" w:type="dxa"/>
            <w:noWrap w:val="0"/>
            <w:vAlign w:val="center"/>
          </w:tcPr>
          <w:p w14:paraId="3C826D4C">
            <w:pPr>
              <w:pStyle w:val="42"/>
              <w:keepNext w:val="0"/>
              <w:keepLines w:val="0"/>
              <w:pageBreakBefore w:val="0"/>
              <w:widowControl w:val="0"/>
              <w:kinsoku/>
              <w:wordWrap w:val="0"/>
              <w:overflowPunct/>
              <w:topLinePunct w:val="0"/>
              <w:autoSpaceDE/>
              <w:autoSpaceDN/>
              <w:bidi w:val="0"/>
              <w:adjustRightInd w:val="0"/>
              <w:snapToGrid w:val="0"/>
              <w:textAlignment w:val="auto"/>
              <w:rPr>
                <w:rFonts w:hint="default" w:ascii="Times New Roman" w:hAnsi="Times New Roman" w:eastAsia="宋体" w:cs="Times New Roman"/>
                <w:kern w:val="0"/>
                <w:sz w:val="21"/>
                <w:szCs w:val="20"/>
                <w:lang w:val="en-US" w:eastAsia="zh-CN" w:bidi="ar-SA"/>
              </w:rPr>
            </w:pPr>
            <w:r>
              <w:rPr>
                <w:rFonts w:hint="default" w:ascii="Times New Roman" w:hAnsi="Times New Roman" w:cs="Times New Roman"/>
                <w:lang w:val="en-US" w:eastAsia="zh-CN"/>
              </w:rPr>
              <w:t>/</w:t>
            </w:r>
          </w:p>
        </w:tc>
        <w:tc>
          <w:tcPr>
            <w:tcW w:w="1383" w:type="dxa"/>
            <w:noWrap w:val="0"/>
            <w:vAlign w:val="center"/>
          </w:tcPr>
          <w:p w14:paraId="15C99D88">
            <w:pPr>
              <w:pStyle w:val="42"/>
              <w:keepNext w:val="0"/>
              <w:keepLines w:val="0"/>
              <w:pageBreakBefore w:val="0"/>
              <w:widowControl w:val="0"/>
              <w:kinsoku/>
              <w:wordWrap w:val="0"/>
              <w:overflowPunct/>
              <w:topLinePunct w:val="0"/>
              <w:autoSpaceDE/>
              <w:autoSpaceDN/>
              <w:bidi w:val="0"/>
              <w:adjustRightInd w:val="0"/>
              <w:snapToGrid w:val="0"/>
              <w:textAlignment w:val="auto"/>
              <w:rPr>
                <w:rFonts w:hint="default" w:ascii="Times New Roman" w:hAnsi="Times New Roman" w:eastAsia="宋体" w:cs="Times New Roman"/>
                <w:kern w:val="0"/>
                <w:sz w:val="21"/>
                <w:szCs w:val="20"/>
                <w:lang w:val="en-US" w:eastAsia="zh-CN" w:bidi="ar-SA"/>
              </w:rPr>
            </w:pPr>
            <w:r>
              <w:rPr>
                <w:rFonts w:hint="default" w:ascii="Times New Roman" w:hAnsi="Times New Roman" w:cs="Times New Roman"/>
                <w:lang w:val="en-US" w:eastAsia="zh-CN"/>
              </w:rPr>
              <w:t>/</w:t>
            </w:r>
          </w:p>
        </w:tc>
        <w:tc>
          <w:tcPr>
            <w:tcW w:w="1756" w:type="dxa"/>
            <w:noWrap w:val="0"/>
            <w:vAlign w:val="center"/>
          </w:tcPr>
          <w:p w14:paraId="6B27EF7D">
            <w:pPr>
              <w:pStyle w:val="42"/>
              <w:keepNext w:val="0"/>
              <w:keepLines w:val="0"/>
              <w:pageBreakBefore w:val="0"/>
              <w:widowControl w:val="0"/>
              <w:kinsoku/>
              <w:wordWrap w:val="0"/>
              <w:overflowPunct/>
              <w:topLinePunct w:val="0"/>
              <w:autoSpaceDE/>
              <w:autoSpaceDN/>
              <w:bidi w:val="0"/>
              <w:adjustRightInd w:val="0"/>
              <w:snapToGrid w:val="0"/>
              <w:textAlignment w:val="auto"/>
              <w:rPr>
                <w:rFonts w:hint="default" w:ascii="Times New Roman" w:hAnsi="Times New Roman" w:eastAsia="宋体" w:cs="Times New Roman"/>
                <w:kern w:val="0"/>
                <w:sz w:val="21"/>
                <w:szCs w:val="20"/>
                <w:lang w:val="en-US" w:eastAsia="zh-CN" w:bidi="ar-SA"/>
              </w:rPr>
            </w:pPr>
            <w:r>
              <w:rPr>
                <w:rFonts w:hint="default" w:ascii="Times New Roman" w:hAnsi="Times New Roman" w:cs="Times New Roman"/>
                <w:lang w:val="en-US" w:eastAsia="zh-CN"/>
              </w:rPr>
              <w:t>/</w:t>
            </w:r>
          </w:p>
        </w:tc>
        <w:tc>
          <w:tcPr>
            <w:tcW w:w="3102" w:type="dxa"/>
            <w:noWrap w:val="0"/>
            <w:vAlign w:val="center"/>
          </w:tcPr>
          <w:p w14:paraId="6E4FADE3">
            <w:pPr>
              <w:pStyle w:val="42"/>
              <w:keepNext w:val="0"/>
              <w:keepLines w:val="0"/>
              <w:pageBreakBefore w:val="0"/>
              <w:widowControl w:val="0"/>
              <w:kinsoku/>
              <w:wordWrap w:val="0"/>
              <w:overflowPunct/>
              <w:topLinePunct w:val="0"/>
              <w:autoSpaceDE/>
              <w:autoSpaceDN/>
              <w:bidi w:val="0"/>
              <w:adjustRightInd w:val="0"/>
              <w:snapToGrid w:val="0"/>
              <w:textAlignment w:val="auto"/>
              <w:rPr>
                <w:rFonts w:hint="default" w:ascii="Times New Roman" w:hAnsi="Times New Roman" w:eastAsia="宋体" w:cs="Times New Roman"/>
                <w:kern w:val="0"/>
                <w:sz w:val="21"/>
                <w:szCs w:val="20"/>
                <w:lang w:val="en-US" w:eastAsia="zh-CN" w:bidi="ar-SA"/>
              </w:rPr>
            </w:pPr>
            <w:r>
              <w:rPr>
                <w:rFonts w:hint="default" w:ascii="Times New Roman" w:hAnsi="Times New Roman" w:cs="Times New Roman"/>
                <w:lang w:val="en-US" w:eastAsia="zh-CN"/>
              </w:rPr>
              <w:t>/</w:t>
            </w:r>
          </w:p>
        </w:tc>
      </w:tr>
      <w:tr w14:paraId="750D6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5" w:type="dxa"/>
            <w:noWrap w:val="0"/>
            <w:vAlign w:val="center"/>
          </w:tcPr>
          <w:p w14:paraId="5A2ABEFD">
            <w:pPr>
              <w:adjustRightInd w:val="0"/>
              <w:snapToGrid w:val="0"/>
              <w:jc w:val="center"/>
              <w:rPr>
                <w:rFonts w:hint="eastAsia" w:ascii="宋体" w:hAnsi="宋体" w:cs="宋体"/>
                <w:szCs w:val="21"/>
              </w:rPr>
            </w:pPr>
            <w:r>
              <w:rPr>
                <w:rFonts w:hint="eastAsia" w:ascii="宋体" w:hAnsi="宋体" w:cs="宋体"/>
                <w:szCs w:val="21"/>
              </w:rPr>
              <w:t>固体废物</w:t>
            </w:r>
          </w:p>
        </w:tc>
        <w:tc>
          <w:tcPr>
            <w:tcW w:w="7575" w:type="dxa"/>
            <w:gridSpan w:val="4"/>
            <w:noWrap w:val="0"/>
            <w:vAlign w:val="center"/>
          </w:tcPr>
          <w:p w14:paraId="798ECDD5">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eastAsia="zh-CN"/>
              </w:rPr>
            </w:pPr>
            <w:r>
              <w:rPr>
                <w:rFonts w:hint="eastAsia"/>
                <w:sz w:val="21"/>
                <w:szCs w:val="21"/>
              </w:rPr>
              <w:t>1、生活垃圾集中收集后由环卫部门定期清运处理</w:t>
            </w:r>
            <w:r>
              <w:rPr>
                <w:rFonts w:hint="eastAsia"/>
                <w:sz w:val="21"/>
                <w:szCs w:val="21"/>
                <w:lang w:eastAsia="zh-CN"/>
              </w:rPr>
              <w:t>。</w:t>
            </w:r>
          </w:p>
          <w:p w14:paraId="086A02A4">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eastAsia="zh-CN"/>
              </w:rPr>
            </w:pPr>
            <w:r>
              <w:rPr>
                <w:rFonts w:hint="eastAsia"/>
                <w:sz w:val="21"/>
                <w:szCs w:val="21"/>
              </w:rPr>
              <w:t>2、废包装材料</w:t>
            </w:r>
            <w:r>
              <w:rPr>
                <w:rFonts w:hint="eastAsia"/>
                <w:sz w:val="21"/>
                <w:szCs w:val="21"/>
                <w:lang w:val="en-US" w:eastAsia="zh-CN"/>
              </w:rPr>
              <w:t>和废边角料等一般固废</w:t>
            </w:r>
            <w:r>
              <w:rPr>
                <w:rFonts w:hint="eastAsia"/>
                <w:sz w:val="21"/>
                <w:szCs w:val="21"/>
              </w:rPr>
              <w:t>收集后</w:t>
            </w:r>
            <w:r>
              <w:rPr>
                <w:rFonts w:hint="eastAsia"/>
                <w:sz w:val="21"/>
                <w:szCs w:val="21"/>
                <w:lang w:val="en-US" w:eastAsia="zh-CN"/>
              </w:rPr>
              <w:t>外售综合利用</w:t>
            </w:r>
            <w:r>
              <w:rPr>
                <w:rFonts w:hint="eastAsia"/>
                <w:sz w:val="21"/>
                <w:szCs w:val="21"/>
                <w:lang w:eastAsia="zh-CN"/>
              </w:rPr>
              <w:t>。</w:t>
            </w:r>
          </w:p>
          <w:p w14:paraId="06515570">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eastAsia="zh-CN"/>
              </w:rPr>
            </w:pPr>
            <w:r>
              <w:rPr>
                <w:rFonts w:hint="eastAsia"/>
                <w:sz w:val="21"/>
                <w:szCs w:val="21"/>
                <w:lang w:val="en-US" w:eastAsia="zh-CN"/>
              </w:rPr>
              <w:t>3</w:t>
            </w:r>
            <w:r>
              <w:rPr>
                <w:rFonts w:hint="eastAsia"/>
                <w:sz w:val="21"/>
                <w:szCs w:val="21"/>
              </w:rPr>
              <w:t>、废活性炭用密封塑料桶装后暂存于危险废物暂存间，定期委托有运输及处置资质的单位运走处置</w:t>
            </w:r>
            <w:r>
              <w:rPr>
                <w:rFonts w:hint="eastAsia"/>
                <w:sz w:val="21"/>
                <w:szCs w:val="21"/>
                <w:lang w:eastAsia="zh-CN"/>
              </w:rPr>
              <w:t>。</w:t>
            </w:r>
          </w:p>
          <w:p w14:paraId="20995407">
            <w:pPr>
              <w:pStyle w:val="54"/>
              <w:keepNext w:val="0"/>
              <w:keepLines w:val="0"/>
              <w:pageBreakBefore w:val="0"/>
              <w:widowControl w:val="0"/>
              <w:kinsoku/>
              <w:wordWrap/>
              <w:overflowPunct/>
              <w:topLinePunct w:val="0"/>
              <w:autoSpaceDE/>
              <w:autoSpaceDN/>
              <w:bidi w:val="0"/>
              <w:spacing w:line="480" w:lineRule="exact"/>
              <w:ind w:firstLine="0" w:firstLineChars="0"/>
              <w:textAlignment w:val="auto"/>
              <w:rPr>
                <w:rFonts w:hint="eastAsia" w:ascii="宋体" w:hAnsi="宋体" w:cs="宋体"/>
                <w:szCs w:val="21"/>
              </w:rPr>
            </w:pPr>
            <w:r>
              <w:rPr>
                <w:rFonts w:hint="eastAsia"/>
                <w:sz w:val="21"/>
                <w:szCs w:val="21"/>
                <w:lang w:val="en-US" w:eastAsia="zh-CN"/>
              </w:rPr>
              <w:t>4</w:t>
            </w:r>
            <w:r>
              <w:rPr>
                <w:rFonts w:hint="eastAsia"/>
                <w:sz w:val="21"/>
                <w:szCs w:val="21"/>
              </w:rPr>
              <w:t>、设备维修产生的废润滑油</w:t>
            </w:r>
            <w:r>
              <w:rPr>
                <w:rFonts w:hint="eastAsia"/>
                <w:sz w:val="21"/>
                <w:szCs w:val="21"/>
                <w:lang w:eastAsia="zh-CN"/>
              </w:rPr>
              <w:t>、</w:t>
            </w:r>
            <w:r>
              <w:rPr>
                <w:rFonts w:hint="eastAsia"/>
                <w:sz w:val="21"/>
                <w:szCs w:val="21"/>
                <w:lang w:val="en-US" w:eastAsia="zh-CN"/>
              </w:rPr>
              <w:t>废润滑油桶</w:t>
            </w:r>
            <w:r>
              <w:rPr>
                <w:rFonts w:hint="eastAsia"/>
                <w:sz w:val="21"/>
                <w:szCs w:val="21"/>
              </w:rPr>
              <w:t>集中收集存放在厂区</w:t>
            </w:r>
            <w:r>
              <w:rPr>
                <w:rFonts w:hint="eastAsia"/>
                <w:sz w:val="21"/>
                <w:szCs w:val="21"/>
                <w:lang w:eastAsia="zh-CN"/>
              </w:rPr>
              <w:t>危险废物贮存间</w:t>
            </w:r>
            <w:r>
              <w:rPr>
                <w:rFonts w:hint="eastAsia"/>
                <w:sz w:val="21"/>
                <w:szCs w:val="21"/>
              </w:rPr>
              <w:t>，定期交</w:t>
            </w:r>
            <w:r>
              <w:rPr>
                <w:rFonts w:hint="eastAsia"/>
                <w:sz w:val="21"/>
                <w:szCs w:val="21"/>
                <w:lang w:val="en-US" w:eastAsia="zh-CN"/>
              </w:rPr>
              <w:t>由</w:t>
            </w:r>
            <w:r>
              <w:rPr>
                <w:rFonts w:hint="eastAsia"/>
                <w:sz w:val="21"/>
                <w:szCs w:val="21"/>
              </w:rPr>
              <w:t>有资质的单位进行处理</w:t>
            </w:r>
            <w:r>
              <w:rPr>
                <w:rFonts w:hint="eastAsia"/>
                <w:sz w:val="21"/>
                <w:szCs w:val="21"/>
                <w:lang w:eastAsia="zh-CN"/>
              </w:rPr>
              <w:t>。</w:t>
            </w:r>
          </w:p>
        </w:tc>
      </w:tr>
      <w:tr w14:paraId="43EB6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25" w:type="dxa"/>
            <w:noWrap w:val="0"/>
            <w:vAlign w:val="center"/>
          </w:tcPr>
          <w:p w14:paraId="57E8F8D8">
            <w:pPr>
              <w:adjustRightInd w:val="0"/>
              <w:snapToGrid w:val="0"/>
              <w:jc w:val="center"/>
              <w:rPr>
                <w:rFonts w:hint="eastAsia" w:ascii="宋体" w:hAnsi="宋体" w:cs="宋体"/>
                <w:szCs w:val="21"/>
              </w:rPr>
            </w:pPr>
            <w:r>
              <w:rPr>
                <w:rFonts w:hint="eastAsia" w:ascii="宋体" w:hAnsi="宋体" w:cs="宋体"/>
                <w:szCs w:val="21"/>
              </w:rPr>
              <w:t>土壤及地下水污染防治措施</w:t>
            </w:r>
          </w:p>
        </w:tc>
        <w:tc>
          <w:tcPr>
            <w:tcW w:w="7575" w:type="dxa"/>
            <w:gridSpan w:val="4"/>
            <w:noWrap w:val="0"/>
            <w:vAlign w:val="center"/>
          </w:tcPr>
          <w:p w14:paraId="0333457E">
            <w:pPr>
              <w:pStyle w:val="54"/>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cs="宋体"/>
                <w:szCs w:val="21"/>
              </w:rPr>
            </w:pPr>
            <w:r>
              <w:rPr>
                <w:rFonts w:hint="eastAsia"/>
                <w:sz w:val="21"/>
                <w:szCs w:val="21"/>
              </w:rPr>
              <w:t>分区防控</w:t>
            </w:r>
            <w:r>
              <w:rPr>
                <w:rFonts w:hint="eastAsia"/>
                <w:sz w:val="21"/>
                <w:szCs w:val="21"/>
                <w:lang w:eastAsia="zh-CN"/>
              </w:rPr>
              <w:t>：</w:t>
            </w:r>
            <w:r>
              <w:rPr>
                <w:rFonts w:hint="eastAsia"/>
                <w:sz w:val="21"/>
                <w:szCs w:val="21"/>
                <w:lang w:val="en-US" w:eastAsia="zh-CN"/>
              </w:rPr>
              <w:t>危险废物贮存间</w:t>
            </w:r>
            <w:r>
              <w:rPr>
                <w:rFonts w:hint="eastAsia"/>
                <w:sz w:val="21"/>
                <w:szCs w:val="21"/>
              </w:rPr>
              <w:t>为重点防渗区</w:t>
            </w:r>
            <w:r>
              <w:rPr>
                <w:rFonts w:hint="eastAsia"/>
                <w:sz w:val="21"/>
                <w:szCs w:val="21"/>
                <w:lang w:eastAsia="zh-CN"/>
              </w:rPr>
              <w:t>；</w:t>
            </w:r>
            <w:r>
              <w:rPr>
                <w:rFonts w:hint="eastAsia"/>
                <w:sz w:val="21"/>
                <w:szCs w:val="21"/>
              </w:rPr>
              <w:t>化粪池</w:t>
            </w:r>
            <w:r>
              <w:rPr>
                <w:rFonts w:hint="eastAsia"/>
                <w:sz w:val="21"/>
                <w:szCs w:val="21"/>
                <w:lang w:val="en-US" w:eastAsia="zh-CN"/>
              </w:rPr>
              <w:t>为一般防渗</w:t>
            </w:r>
            <w:r>
              <w:rPr>
                <w:rFonts w:hint="eastAsia"/>
                <w:sz w:val="21"/>
                <w:szCs w:val="21"/>
                <w:lang w:eastAsia="zh-CN"/>
              </w:rPr>
              <w:t>；</w:t>
            </w:r>
            <w:r>
              <w:rPr>
                <w:rFonts w:hint="eastAsia"/>
                <w:sz w:val="21"/>
                <w:szCs w:val="21"/>
                <w:lang w:val="en-US" w:eastAsia="zh-CN"/>
              </w:rPr>
              <w:t>生产区，厂区道路和办公室</w:t>
            </w:r>
            <w:r>
              <w:rPr>
                <w:rFonts w:hint="eastAsia"/>
                <w:sz w:val="21"/>
                <w:szCs w:val="21"/>
              </w:rPr>
              <w:t>为简单防渗</w:t>
            </w:r>
            <w:r>
              <w:rPr>
                <w:rFonts w:hint="eastAsia"/>
                <w:sz w:val="21"/>
                <w:szCs w:val="21"/>
                <w:lang w:eastAsia="zh-CN"/>
              </w:rPr>
              <w:t>；</w:t>
            </w:r>
            <w:r>
              <w:rPr>
                <w:rFonts w:hint="eastAsia"/>
                <w:sz w:val="21"/>
                <w:szCs w:val="21"/>
              </w:rPr>
              <w:t>满足相关防渗要求后，因此本项目对周边土壤环境、地下水环境影响较小。</w:t>
            </w:r>
          </w:p>
        </w:tc>
      </w:tr>
      <w:tr w14:paraId="20824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25" w:type="dxa"/>
            <w:noWrap w:val="0"/>
            <w:vAlign w:val="center"/>
          </w:tcPr>
          <w:p w14:paraId="3C5AB681">
            <w:pPr>
              <w:adjustRightInd w:val="0"/>
              <w:snapToGrid w:val="0"/>
              <w:jc w:val="center"/>
              <w:rPr>
                <w:rFonts w:hint="eastAsia" w:ascii="宋体" w:hAnsi="宋体" w:cs="宋体"/>
                <w:szCs w:val="21"/>
              </w:rPr>
            </w:pPr>
            <w:r>
              <w:rPr>
                <w:rFonts w:hint="eastAsia" w:ascii="宋体" w:hAnsi="宋体" w:cs="宋体"/>
                <w:szCs w:val="21"/>
              </w:rPr>
              <w:t>生态保护措施</w:t>
            </w:r>
          </w:p>
        </w:tc>
        <w:tc>
          <w:tcPr>
            <w:tcW w:w="7575" w:type="dxa"/>
            <w:gridSpan w:val="4"/>
            <w:noWrap w:val="0"/>
            <w:vAlign w:val="center"/>
          </w:tcPr>
          <w:p w14:paraId="6018E64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szCs w:val="21"/>
              </w:rPr>
            </w:pPr>
            <w:r>
              <w:rPr>
                <w:rFonts w:hint="eastAsia" w:ascii="Times New Roman" w:hAnsi="Times New Roman" w:eastAsia="宋体" w:cs="宋体"/>
                <w:b w:val="0"/>
                <w:sz w:val="21"/>
                <w:szCs w:val="21"/>
                <w:lang w:val="en-US" w:eastAsia="zh-CN"/>
              </w:rPr>
              <w:t>无</w:t>
            </w:r>
          </w:p>
        </w:tc>
      </w:tr>
      <w:tr w14:paraId="5DD18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25" w:type="dxa"/>
            <w:noWrap w:val="0"/>
            <w:vAlign w:val="center"/>
          </w:tcPr>
          <w:p w14:paraId="681F352B">
            <w:pPr>
              <w:adjustRightInd w:val="0"/>
              <w:snapToGrid w:val="0"/>
              <w:jc w:val="center"/>
              <w:rPr>
                <w:rFonts w:ascii="宋体" w:hAnsi="宋体" w:cs="宋体"/>
                <w:spacing w:val="-8"/>
                <w:szCs w:val="21"/>
              </w:rPr>
            </w:pPr>
            <w:r>
              <w:rPr>
                <w:rFonts w:hint="eastAsia" w:ascii="宋体" w:hAnsi="宋体" w:cs="宋体"/>
                <w:spacing w:val="-8"/>
                <w:szCs w:val="21"/>
              </w:rPr>
              <w:t>环境风险</w:t>
            </w:r>
          </w:p>
          <w:p w14:paraId="358DC2BE">
            <w:pPr>
              <w:adjustRightInd w:val="0"/>
              <w:snapToGrid w:val="0"/>
              <w:jc w:val="center"/>
              <w:rPr>
                <w:rFonts w:hint="eastAsia" w:ascii="宋体" w:hAnsi="宋体" w:cs="宋体"/>
                <w:spacing w:val="-8"/>
                <w:szCs w:val="21"/>
              </w:rPr>
            </w:pPr>
            <w:r>
              <w:rPr>
                <w:rFonts w:hint="eastAsia" w:ascii="宋体" w:hAnsi="宋体" w:cs="宋体"/>
                <w:spacing w:val="-8"/>
                <w:szCs w:val="21"/>
              </w:rPr>
              <w:t>防范措施</w:t>
            </w:r>
          </w:p>
        </w:tc>
        <w:tc>
          <w:tcPr>
            <w:tcW w:w="7575" w:type="dxa"/>
            <w:gridSpan w:val="4"/>
            <w:noWrap w:val="0"/>
            <w:vAlign w:val="center"/>
          </w:tcPr>
          <w:p w14:paraId="0463EEC6">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rPr>
            </w:pPr>
            <w:r>
              <w:rPr>
                <w:rFonts w:hint="eastAsia"/>
                <w:sz w:val="21"/>
                <w:szCs w:val="21"/>
              </w:rPr>
              <w:t>为减少项目事故对周边环境的影响，本次评价建议单位做好如下防范措施：</w:t>
            </w:r>
          </w:p>
          <w:p w14:paraId="2CBCF882">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rPr>
            </w:pPr>
            <w:r>
              <w:rPr>
                <w:rFonts w:hint="eastAsia"/>
                <w:sz w:val="21"/>
                <w:szCs w:val="21"/>
              </w:rPr>
              <w:t>（1）成立专门的责任机构，保证事故发生时组织相关力量及时控制事故的危害，在第一时间，有序有效地控制事故污染，把事故危害减小到</w:t>
            </w:r>
            <w:r>
              <w:rPr>
                <w:rFonts w:hint="eastAsia"/>
                <w:sz w:val="21"/>
                <w:szCs w:val="21"/>
                <w:lang w:eastAsia="zh-CN"/>
              </w:rPr>
              <w:t>最小</w:t>
            </w:r>
            <w:r>
              <w:rPr>
                <w:rFonts w:hint="eastAsia"/>
                <w:sz w:val="21"/>
                <w:szCs w:val="21"/>
              </w:rPr>
              <w:t>。</w:t>
            </w:r>
          </w:p>
          <w:p w14:paraId="6172BD8F">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rPr>
            </w:pPr>
            <w:r>
              <w:rPr>
                <w:rFonts w:hint="eastAsia"/>
                <w:sz w:val="21"/>
                <w:szCs w:val="21"/>
              </w:rPr>
              <w:t>（2）健全各项制度，强化安全管理意识，加强用电设备及线路的检修和管理。</w:t>
            </w:r>
          </w:p>
          <w:p w14:paraId="370E45A9">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rPr>
            </w:pPr>
            <w:r>
              <w:rPr>
                <w:rFonts w:hint="eastAsia"/>
                <w:sz w:val="21"/>
                <w:szCs w:val="21"/>
              </w:rPr>
              <w:t>（3）严格按照消防安全部门要求，配置消防设施。</w:t>
            </w:r>
          </w:p>
          <w:p w14:paraId="71474B37">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rPr>
            </w:pPr>
            <w:r>
              <w:rPr>
                <w:rFonts w:hint="eastAsia"/>
                <w:sz w:val="21"/>
                <w:szCs w:val="21"/>
              </w:rPr>
              <w:t>（4）油类物质等易燃易爆物品存储远离火源。</w:t>
            </w:r>
          </w:p>
          <w:p w14:paraId="74DB54A9">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rPr>
            </w:pPr>
            <w:r>
              <w:rPr>
                <w:rFonts w:hint="eastAsia"/>
                <w:sz w:val="21"/>
                <w:szCs w:val="21"/>
              </w:rPr>
              <w:t>（5）制定环保设备运行维护制度，并派专人进行管理，定期对环保设备进行点检维护。</w:t>
            </w:r>
          </w:p>
          <w:p w14:paraId="3B227F68">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rPr>
            </w:pPr>
            <w:r>
              <w:rPr>
                <w:rFonts w:hint="eastAsia"/>
                <w:sz w:val="21"/>
                <w:szCs w:val="21"/>
              </w:rPr>
              <w:t>（6）定期对</w:t>
            </w:r>
            <w:r>
              <w:rPr>
                <w:rFonts w:hint="eastAsia"/>
                <w:sz w:val="21"/>
                <w:szCs w:val="21"/>
                <w:lang w:val="en-US" w:eastAsia="zh-CN"/>
              </w:rPr>
              <w:t>污染防治设施</w:t>
            </w:r>
            <w:r>
              <w:rPr>
                <w:rFonts w:hint="eastAsia"/>
                <w:sz w:val="21"/>
                <w:szCs w:val="21"/>
              </w:rPr>
              <w:t>的运行情况进行检查记录，一旦发现运行异常，立即对相应的生产设备进行停产，并对设备进行维修。</w:t>
            </w:r>
          </w:p>
          <w:p w14:paraId="63D78AD9">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val="en-US" w:eastAsia="zh-CN"/>
              </w:rPr>
            </w:pPr>
            <w:r>
              <w:rPr>
                <w:rFonts w:hint="eastAsia"/>
                <w:sz w:val="21"/>
                <w:szCs w:val="21"/>
              </w:rPr>
              <w:t>（7）</w:t>
            </w:r>
            <w:r>
              <w:rPr>
                <w:rFonts w:hint="eastAsia"/>
                <w:sz w:val="21"/>
                <w:szCs w:val="21"/>
                <w:lang w:val="en-US" w:eastAsia="zh-CN"/>
              </w:rPr>
              <w:t>管道天然气发生泄漏时，应立即关闭上下游截止阀。迅速撤离泄漏污染区人员至上风处，并进行隔离，严格限制出入，切断火源。建议应急处理人员戴自给正压式呼吸器，穿消防防护服。</w:t>
            </w:r>
          </w:p>
          <w:p w14:paraId="21CF0478">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rPr>
            </w:pPr>
            <w:r>
              <w:rPr>
                <w:rFonts w:hint="eastAsia"/>
                <w:sz w:val="21"/>
                <w:szCs w:val="21"/>
                <w:lang w:val="en-US" w:eastAsia="zh-CN"/>
              </w:rPr>
              <w:t>（8）加强日常管理，设置天然气泄漏自动报警系统和阀门自动切断、关闭系统。加强安全消防管理工作，安全员、设备管理员负责消防设施的定期检查。</w:t>
            </w:r>
          </w:p>
          <w:p w14:paraId="7AD8B9E7">
            <w:pPr>
              <w:pStyle w:val="54"/>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cs="宋体"/>
                <w:szCs w:val="21"/>
              </w:rPr>
            </w:pPr>
            <w:r>
              <w:rPr>
                <w:rFonts w:hint="eastAsia"/>
                <w:sz w:val="21"/>
                <w:szCs w:val="21"/>
              </w:rPr>
              <w:t>采取以上措施后，可有效降低事故发生的概率。</w:t>
            </w:r>
          </w:p>
        </w:tc>
      </w:tr>
      <w:tr w14:paraId="036885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225" w:type="dxa"/>
            <w:noWrap w:val="0"/>
            <w:vAlign w:val="center"/>
          </w:tcPr>
          <w:p w14:paraId="1189BE3D">
            <w:pPr>
              <w:adjustRightInd w:val="0"/>
              <w:snapToGrid w:val="0"/>
              <w:jc w:val="center"/>
              <w:rPr>
                <w:rFonts w:ascii="宋体" w:hAnsi="宋体" w:cs="宋体"/>
                <w:spacing w:val="-8"/>
                <w:szCs w:val="21"/>
              </w:rPr>
            </w:pPr>
            <w:r>
              <w:rPr>
                <w:rFonts w:hint="eastAsia" w:ascii="宋体" w:hAnsi="宋体" w:cs="宋体"/>
                <w:spacing w:val="-8"/>
                <w:szCs w:val="21"/>
              </w:rPr>
              <w:t>其他环境</w:t>
            </w:r>
          </w:p>
          <w:p w14:paraId="6437E6BE">
            <w:pPr>
              <w:adjustRightInd w:val="0"/>
              <w:snapToGrid w:val="0"/>
              <w:jc w:val="center"/>
              <w:rPr>
                <w:rFonts w:hint="eastAsia" w:ascii="宋体" w:hAnsi="宋体" w:cs="宋体"/>
                <w:spacing w:val="-8"/>
                <w:szCs w:val="21"/>
              </w:rPr>
            </w:pPr>
            <w:r>
              <w:rPr>
                <w:rFonts w:hint="eastAsia" w:ascii="宋体" w:hAnsi="宋体" w:cs="宋体"/>
                <w:spacing w:val="-8"/>
                <w:szCs w:val="21"/>
              </w:rPr>
              <w:t>管理要求</w:t>
            </w:r>
          </w:p>
        </w:tc>
        <w:tc>
          <w:tcPr>
            <w:tcW w:w="7575" w:type="dxa"/>
            <w:gridSpan w:val="4"/>
            <w:noWrap w:val="0"/>
            <w:vAlign w:val="center"/>
          </w:tcPr>
          <w:p w14:paraId="4BBE21E3">
            <w:pPr>
              <w:pStyle w:val="54"/>
              <w:keepNext w:val="0"/>
              <w:keepLines w:val="0"/>
              <w:pageBreakBefore w:val="0"/>
              <w:widowControl w:val="0"/>
              <w:kinsoku/>
              <w:wordWrap/>
              <w:overflowPunct/>
              <w:topLinePunct w:val="0"/>
              <w:autoSpaceDE/>
              <w:autoSpaceDN/>
              <w:bidi w:val="0"/>
              <w:spacing w:line="480" w:lineRule="exact"/>
              <w:textAlignment w:val="auto"/>
              <w:rPr>
                <w:rFonts w:hint="eastAsia"/>
                <w:b/>
                <w:bCs/>
                <w:sz w:val="21"/>
                <w:szCs w:val="21"/>
                <w:lang w:val="en-US" w:eastAsia="zh-CN"/>
              </w:rPr>
            </w:pPr>
            <w:r>
              <w:rPr>
                <w:rFonts w:hint="eastAsia"/>
                <w:b/>
                <w:bCs/>
                <w:sz w:val="21"/>
                <w:szCs w:val="21"/>
                <w:lang w:val="en-US" w:eastAsia="zh-CN"/>
              </w:rPr>
              <w:t>1.管理制度</w:t>
            </w:r>
          </w:p>
          <w:p w14:paraId="62BA0092">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val="en-US" w:eastAsia="zh-CN"/>
              </w:rPr>
            </w:pPr>
            <w:r>
              <w:rPr>
                <w:rFonts w:hint="eastAsia"/>
                <w:sz w:val="21"/>
                <w:szCs w:val="21"/>
                <w:lang w:val="en-US" w:eastAsia="zh-CN"/>
              </w:rPr>
              <w:t>为了缓解建设项目生产运行期对环境构成的不良影响，在采取环保治理工程措施解决建设项目环境影响的同时，必须制定全面的企业环境管理计划，配备专职环保人员1-2名，负责环境监督管理工作，同时要加强对管理人员的环保培训，不断提高管理水平。企业排污发生重大变化、污染治理设施改变或生产运行计划改变等都必须向当地环保部门申报，经审批同意后方可实施。对污染治理设施和管理必须与生产经营活动一起纳入企业的日常管理中，要建立岗位责任制，制定操作规程，建立管理台账。</w:t>
            </w:r>
          </w:p>
          <w:p w14:paraId="0E775E65">
            <w:pPr>
              <w:pStyle w:val="54"/>
              <w:keepNext w:val="0"/>
              <w:keepLines w:val="0"/>
              <w:pageBreakBefore w:val="0"/>
              <w:widowControl w:val="0"/>
              <w:kinsoku/>
              <w:wordWrap/>
              <w:overflowPunct/>
              <w:topLinePunct w:val="0"/>
              <w:autoSpaceDE/>
              <w:autoSpaceDN/>
              <w:bidi w:val="0"/>
              <w:spacing w:line="480" w:lineRule="exact"/>
              <w:textAlignment w:val="auto"/>
              <w:rPr>
                <w:rFonts w:hint="eastAsia"/>
                <w:b/>
                <w:bCs/>
                <w:sz w:val="21"/>
                <w:szCs w:val="21"/>
                <w:lang w:val="en-US" w:eastAsia="zh-CN"/>
              </w:rPr>
            </w:pPr>
            <w:r>
              <w:rPr>
                <w:rFonts w:hint="eastAsia"/>
                <w:b/>
                <w:bCs/>
                <w:sz w:val="21"/>
                <w:szCs w:val="21"/>
                <w:lang w:val="en-US" w:eastAsia="zh-CN"/>
              </w:rPr>
              <w:t>2.排放口信息化、规范化</w:t>
            </w:r>
          </w:p>
          <w:p w14:paraId="68AD0371">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val="en-US" w:eastAsia="zh-CN"/>
              </w:rPr>
            </w:pPr>
            <w:r>
              <w:rPr>
                <w:rFonts w:hint="eastAsia"/>
                <w:sz w:val="21"/>
                <w:szCs w:val="21"/>
                <w:lang w:val="en-US" w:eastAsia="zh-CN"/>
              </w:rPr>
              <w:t>建设项目排气筒采样平台、采样口等内容须按照《排污单位污染物排放口监测点位设置技术规范》（HJ1405-2024）要求设置。</w:t>
            </w:r>
          </w:p>
          <w:p w14:paraId="43FFA969">
            <w:pPr>
              <w:pStyle w:val="54"/>
              <w:keepNext w:val="0"/>
              <w:keepLines w:val="0"/>
              <w:pageBreakBefore w:val="0"/>
              <w:widowControl w:val="0"/>
              <w:kinsoku/>
              <w:wordWrap/>
              <w:overflowPunct/>
              <w:topLinePunct w:val="0"/>
              <w:autoSpaceDE/>
              <w:autoSpaceDN/>
              <w:bidi w:val="0"/>
              <w:spacing w:line="480" w:lineRule="exact"/>
              <w:textAlignment w:val="auto"/>
              <w:rPr>
                <w:b/>
                <w:bCs/>
                <w:sz w:val="21"/>
                <w:szCs w:val="21"/>
                <w:lang w:val="en-US" w:eastAsia="zh-CN"/>
              </w:rPr>
            </w:pPr>
            <w:r>
              <w:rPr>
                <w:rFonts w:hint="eastAsia"/>
                <w:b/>
                <w:bCs/>
                <w:sz w:val="21"/>
                <w:szCs w:val="21"/>
                <w:lang w:val="en-US" w:eastAsia="zh-CN"/>
              </w:rPr>
              <w:t>3.排污申报</w:t>
            </w:r>
          </w:p>
          <w:p w14:paraId="0A040D75">
            <w:pPr>
              <w:pStyle w:val="54"/>
              <w:keepNext w:val="0"/>
              <w:keepLines w:val="0"/>
              <w:pageBreakBefore w:val="0"/>
              <w:widowControl w:val="0"/>
              <w:kinsoku/>
              <w:wordWrap/>
              <w:overflowPunct/>
              <w:topLinePunct w:val="0"/>
              <w:autoSpaceDE/>
              <w:autoSpaceDN/>
              <w:bidi w:val="0"/>
              <w:spacing w:line="480" w:lineRule="exact"/>
              <w:textAlignment w:val="auto"/>
              <w:rPr>
                <w:sz w:val="21"/>
                <w:szCs w:val="21"/>
                <w:lang w:val="en-US" w:eastAsia="zh-CN"/>
              </w:rPr>
            </w:pPr>
            <w:r>
              <w:rPr>
                <w:rFonts w:hint="eastAsia"/>
                <w:sz w:val="21"/>
                <w:szCs w:val="21"/>
                <w:lang w:val="en-US" w:eastAsia="zh-CN"/>
              </w:rPr>
              <w:t>（</w:t>
            </w:r>
            <w:r>
              <w:rPr>
                <w:rFonts w:hint="default"/>
                <w:sz w:val="21"/>
                <w:szCs w:val="21"/>
                <w:lang w:val="en-US" w:eastAsia="zh-CN"/>
              </w:rPr>
              <w:t>1</w:t>
            </w:r>
            <w:r>
              <w:rPr>
                <w:rFonts w:hint="eastAsia"/>
                <w:sz w:val="21"/>
                <w:szCs w:val="21"/>
                <w:lang w:val="en-US" w:eastAsia="zh-CN"/>
              </w:rPr>
              <w:t>）建设单位应根据《固定污染源排污许可分类管理名录（</w:t>
            </w:r>
            <w:r>
              <w:rPr>
                <w:rFonts w:hint="default"/>
                <w:sz w:val="21"/>
                <w:szCs w:val="21"/>
                <w:lang w:val="en-US" w:eastAsia="zh-CN"/>
              </w:rPr>
              <w:t>2019</w:t>
            </w:r>
            <w:r>
              <w:rPr>
                <w:rFonts w:hint="eastAsia"/>
                <w:sz w:val="21"/>
                <w:szCs w:val="21"/>
                <w:lang w:val="en-US" w:eastAsia="zh-CN"/>
              </w:rPr>
              <w:t>年版）》在产生实际排污行为之前依法申领排污许可手续，必须按批准的排放总量和浓度进行排放。</w:t>
            </w:r>
          </w:p>
          <w:p w14:paraId="294EEDDD">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val="en-US" w:eastAsia="zh-CN"/>
              </w:rPr>
            </w:pPr>
            <w:r>
              <w:rPr>
                <w:rFonts w:hint="eastAsia"/>
                <w:sz w:val="21"/>
                <w:szCs w:val="21"/>
                <w:lang w:val="en-US" w:eastAsia="zh-CN"/>
              </w:rPr>
              <w:t>（</w:t>
            </w:r>
            <w:r>
              <w:rPr>
                <w:rFonts w:hint="default"/>
                <w:sz w:val="21"/>
                <w:szCs w:val="21"/>
                <w:lang w:val="en-US" w:eastAsia="zh-CN"/>
              </w:rPr>
              <w:t>2</w:t>
            </w:r>
            <w:r>
              <w:rPr>
                <w:rFonts w:hint="eastAsia"/>
                <w:sz w:val="21"/>
                <w:szCs w:val="21"/>
                <w:lang w:val="en-US" w:eastAsia="zh-CN"/>
              </w:rPr>
              <w:t>）排污单位在申请排污许可前，应当将主要申请内容，通过国家排污许可证管理信息平台或者其他规定途径等便于公众知晓的方式向社会公开。</w:t>
            </w:r>
          </w:p>
          <w:p w14:paraId="3FDBEB9E">
            <w:pPr>
              <w:pStyle w:val="54"/>
              <w:keepNext w:val="0"/>
              <w:keepLines w:val="0"/>
              <w:pageBreakBefore w:val="0"/>
              <w:widowControl w:val="0"/>
              <w:kinsoku/>
              <w:wordWrap/>
              <w:overflowPunct/>
              <w:topLinePunct w:val="0"/>
              <w:autoSpaceDE/>
              <w:autoSpaceDN/>
              <w:bidi w:val="0"/>
              <w:spacing w:line="480" w:lineRule="exact"/>
              <w:textAlignment w:val="auto"/>
              <w:rPr>
                <w:sz w:val="21"/>
                <w:szCs w:val="21"/>
                <w:lang w:val="en-US" w:eastAsia="zh-CN"/>
              </w:rPr>
            </w:pPr>
            <w:r>
              <w:rPr>
                <w:rFonts w:hint="eastAsia"/>
                <w:sz w:val="21"/>
                <w:szCs w:val="21"/>
                <w:lang w:val="en-US" w:eastAsia="zh-CN"/>
              </w:rPr>
              <w:t>（</w:t>
            </w:r>
            <w:r>
              <w:rPr>
                <w:rFonts w:hint="default"/>
                <w:sz w:val="21"/>
                <w:szCs w:val="21"/>
                <w:lang w:val="en-US" w:eastAsia="zh-CN"/>
              </w:rPr>
              <w:t>3</w:t>
            </w:r>
            <w:r>
              <w:rPr>
                <w:rFonts w:hint="eastAsia"/>
                <w:sz w:val="21"/>
                <w:szCs w:val="21"/>
                <w:lang w:val="en-US" w:eastAsia="zh-CN"/>
              </w:rPr>
              <w:t>）排污单位应当在国家排污许可证管理信息平台上填报并提交排污许可证申请。</w:t>
            </w:r>
          </w:p>
          <w:p w14:paraId="1B1521A4">
            <w:pPr>
              <w:pStyle w:val="54"/>
              <w:keepNext w:val="0"/>
              <w:keepLines w:val="0"/>
              <w:pageBreakBefore w:val="0"/>
              <w:widowControl w:val="0"/>
              <w:kinsoku/>
              <w:wordWrap/>
              <w:overflowPunct/>
              <w:topLinePunct w:val="0"/>
              <w:autoSpaceDE/>
              <w:autoSpaceDN/>
              <w:bidi w:val="0"/>
              <w:spacing w:line="480" w:lineRule="exact"/>
              <w:textAlignment w:val="auto"/>
              <w:rPr>
                <w:sz w:val="21"/>
                <w:szCs w:val="21"/>
                <w:lang w:val="en-US" w:eastAsia="zh-CN"/>
              </w:rPr>
            </w:pPr>
            <w:r>
              <w:rPr>
                <w:rFonts w:hint="eastAsia"/>
                <w:sz w:val="21"/>
                <w:szCs w:val="21"/>
                <w:lang w:val="en-US" w:eastAsia="zh-CN"/>
              </w:rPr>
              <w:t>（</w:t>
            </w:r>
            <w:r>
              <w:rPr>
                <w:rFonts w:hint="default"/>
                <w:sz w:val="21"/>
                <w:szCs w:val="21"/>
                <w:lang w:val="en-US" w:eastAsia="zh-CN"/>
              </w:rPr>
              <w:t>4</w:t>
            </w:r>
            <w:r>
              <w:rPr>
                <w:rFonts w:hint="eastAsia"/>
                <w:sz w:val="21"/>
                <w:szCs w:val="21"/>
                <w:lang w:val="en-US" w:eastAsia="zh-CN"/>
              </w:rPr>
              <w:t>）排污单位于每年年底申报下一年度正常作业条件下排放污染物种类、数量、浓度等情况，并提供与污染物排放有关的资料。</w:t>
            </w:r>
          </w:p>
          <w:p w14:paraId="5C1077B6">
            <w:pPr>
              <w:pStyle w:val="54"/>
              <w:keepNext w:val="0"/>
              <w:keepLines w:val="0"/>
              <w:pageBreakBefore w:val="0"/>
              <w:widowControl w:val="0"/>
              <w:kinsoku/>
              <w:wordWrap/>
              <w:overflowPunct/>
              <w:topLinePunct w:val="0"/>
              <w:autoSpaceDE/>
              <w:autoSpaceDN/>
              <w:bidi w:val="0"/>
              <w:spacing w:line="480" w:lineRule="exact"/>
              <w:textAlignment w:val="auto"/>
              <w:rPr>
                <w:b/>
                <w:bCs/>
                <w:sz w:val="21"/>
                <w:szCs w:val="21"/>
                <w:lang w:val="en-US" w:eastAsia="zh-CN"/>
              </w:rPr>
            </w:pPr>
            <w:r>
              <w:rPr>
                <w:rFonts w:hint="eastAsia"/>
                <w:b/>
                <w:bCs/>
                <w:sz w:val="21"/>
                <w:szCs w:val="21"/>
                <w:lang w:val="en-US" w:eastAsia="zh-CN"/>
              </w:rPr>
              <w:t>4.环境管理台账</w:t>
            </w:r>
          </w:p>
          <w:p w14:paraId="59011286">
            <w:pPr>
              <w:pStyle w:val="54"/>
              <w:keepNext w:val="0"/>
              <w:keepLines w:val="0"/>
              <w:pageBreakBefore w:val="0"/>
              <w:widowControl w:val="0"/>
              <w:kinsoku/>
              <w:wordWrap/>
              <w:overflowPunct/>
              <w:topLinePunct w:val="0"/>
              <w:autoSpaceDE/>
              <w:autoSpaceDN/>
              <w:bidi w:val="0"/>
              <w:spacing w:line="480" w:lineRule="exact"/>
              <w:textAlignment w:val="auto"/>
              <w:rPr>
                <w:sz w:val="21"/>
                <w:szCs w:val="21"/>
                <w:lang w:val="en-US" w:eastAsia="zh-CN"/>
              </w:rPr>
            </w:pPr>
            <w:r>
              <w:rPr>
                <w:rFonts w:hint="eastAsia"/>
                <w:sz w:val="21"/>
                <w:szCs w:val="21"/>
                <w:lang w:val="en-US" w:eastAsia="zh-CN"/>
              </w:rPr>
              <w:t>企业应按照行业排污许可管理要求制度管理台账，落实环境管理台账记录的责任部门和责任人，明确工作职责，包括台账的记录、整理、维护和管理等，并对台账记录结果的真实性、完整性和规范性负责，台账保存期限不得少于三年。</w:t>
            </w:r>
          </w:p>
          <w:p w14:paraId="25E4CE71">
            <w:pPr>
              <w:pStyle w:val="54"/>
              <w:keepNext w:val="0"/>
              <w:keepLines w:val="0"/>
              <w:pageBreakBefore w:val="0"/>
              <w:widowControl w:val="0"/>
              <w:kinsoku/>
              <w:wordWrap/>
              <w:overflowPunct/>
              <w:topLinePunct w:val="0"/>
              <w:autoSpaceDE/>
              <w:autoSpaceDN/>
              <w:bidi w:val="0"/>
              <w:spacing w:line="480" w:lineRule="exact"/>
              <w:textAlignment w:val="auto"/>
              <w:rPr>
                <w:rFonts w:hint="default"/>
                <w:b/>
                <w:bCs/>
                <w:sz w:val="21"/>
                <w:szCs w:val="21"/>
                <w:lang w:val="en-US" w:eastAsia="zh-CN"/>
              </w:rPr>
            </w:pPr>
            <w:r>
              <w:rPr>
                <w:rFonts w:hint="eastAsia"/>
                <w:b/>
                <w:bCs/>
                <w:sz w:val="21"/>
                <w:szCs w:val="21"/>
                <w:lang w:val="en-US" w:eastAsia="zh-CN"/>
              </w:rPr>
              <w:t>5.环保信息公开</w:t>
            </w:r>
          </w:p>
          <w:p w14:paraId="0E728F40">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val="en-US" w:eastAsia="zh-CN"/>
              </w:rPr>
            </w:pPr>
            <w:r>
              <w:rPr>
                <w:rFonts w:hint="eastAsia"/>
                <w:sz w:val="21"/>
                <w:szCs w:val="21"/>
                <w:lang w:val="en-US" w:eastAsia="zh-CN"/>
              </w:rPr>
              <w:t>要求根据《企业事业单位环境信息公开办法》（环境保护部令第31号），企业事业单位应当按照强制公开和自愿公开相结合的原则，及时、如实地公开其环境信息。企业事业单位应当建立健全本单位环境信息公开制度，指定机构负责本单位环境信息公开日常工作，排污单位应当公开以下信息：</w:t>
            </w:r>
          </w:p>
          <w:p w14:paraId="46DAE5F6">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val="en-US" w:eastAsia="zh-CN"/>
              </w:rPr>
            </w:pPr>
            <w:r>
              <w:rPr>
                <w:rFonts w:hint="eastAsia"/>
                <w:sz w:val="21"/>
                <w:szCs w:val="21"/>
                <w:lang w:val="en-US" w:eastAsia="zh-CN"/>
              </w:rPr>
              <w:t>（1）基础信息，包括单位名称、组织机构代码、法定代表人、生产地址、联系方式，以及生产经营和管理服务的主要内容、产品及规模。</w:t>
            </w:r>
          </w:p>
          <w:p w14:paraId="60D07F73">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val="en-US" w:eastAsia="zh-CN"/>
              </w:rPr>
            </w:pPr>
            <w:r>
              <w:rPr>
                <w:rFonts w:hint="eastAsia"/>
                <w:sz w:val="21"/>
                <w:szCs w:val="21"/>
                <w:lang w:val="en-US" w:eastAsia="zh-CN"/>
              </w:rPr>
              <w:t>（2）排污信息，包括主要污染物及其他污染物的名称、排放方式、排放口数量和分布情况、排放浓度和总量、超标情况，以及执行的污染物排放标准、核定的排放总量。</w:t>
            </w:r>
          </w:p>
          <w:p w14:paraId="7F184A99">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val="en-US" w:eastAsia="zh-CN"/>
              </w:rPr>
            </w:pPr>
            <w:r>
              <w:rPr>
                <w:rFonts w:hint="eastAsia"/>
                <w:sz w:val="21"/>
                <w:szCs w:val="21"/>
                <w:lang w:val="en-US" w:eastAsia="zh-CN"/>
              </w:rPr>
              <w:t>（3）防治污染设施的建设和运行情况。</w:t>
            </w:r>
          </w:p>
          <w:p w14:paraId="04501439">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val="en-US" w:eastAsia="zh-CN"/>
              </w:rPr>
            </w:pPr>
            <w:r>
              <w:rPr>
                <w:rFonts w:hint="eastAsia"/>
                <w:sz w:val="21"/>
                <w:szCs w:val="21"/>
                <w:lang w:val="en-US" w:eastAsia="zh-CN"/>
              </w:rPr>
              <w:t>（4）建设项目环境影响评价及其他环境保护行政许可情况。</w:t>
            </w:r>
          </w:p>
          <w:p w14:paraId="035A62FB">
            <w:pPr>
              <w:pStyle w:val="54"/>
              <w:keepNext w:val="0"/>
              <w:keepLines w:val="0"/>
              <w:pageBreakBefore w:val="0"/>
              <w:widowControl w:val="0"/>
              <w:kinsoku/>
              <w:wordWrap/>
              <w:overflowPunct/>
              <w:topLinePunct w:val="0"/>
              <w:autoSpaceDE/>
              <w:autoSpaceDN/>
              <w:bidi w:val="0"/>
              <w:spacing w:line="480" w:lineRule="exact"/>
              <w:textAlignment w:val="auto"/>
              <w:rPr>
                <w:rFonts w:hint="eastAsia"/>
                <w:sz w:val="21"/>
                <w:szCs w:val="21"/>
                <w:lang w:val="en-US" w:eastAsia="zh-CN"/>
              </w:rPr>
            </w:pPr>
            <w:r>
              <w:rPr>
                <w:rFonts w:hint="eastAsia"/>
                <w:sz w:val="21"/>
                <w:szCs w:val="21"/>
                <w:lang w:val="en-US" w:eastAsia="zh-CN"/>
              </w:rPr>
              <w:t>（5）其他应当公开的环境信息。</w:t>
            </w:r>
          </w:p>
          <w:p w14:paraId="43ACE436">
            <w:pPr>
              <w:pStyle w:val="54"/>
              <w:keepNext w:val="0"/>
              <w:keepLines w:val="0"/>
              <w:pageBreakBefore w:val="0"/>
              <w:widowControl w:val="0"/>
              <w:kinsoku/>
              <w:wordWrap/>
              <w:overflowPunct/>
              <w:topLinePunct w:val="0"/>
              <w:autoSpaceDE/>
              <w:autoSpaceDN/>
              <w:bidi w:val="0"/>
              <w:spacing w:line="480" w:lineRule="exact"/>
              <w:textAlignment w:val="auto"/>
              <w:rPr>
                <w:b/>
                <w:bCs/>
                <w:sz w:val="21"/>
                <w:szCs w:val="21"/>
                <w:lang w:val="en-US" w:eastAsia="zh-CN"/>
              </w:rPr>
            </w:pPr>
            <w:r>
              <w:rPr>
                <w:rFonts w:hint="eastAsia"/>
                <w:b/>
                <w:bCs/>
                <w:sz w:val="21"/>
                <w:szCs w:val="21"/>
                <w:lang w:val="en-US" w:eastAsia="zh-CN"/>
              </w:rPr>
              <w:t>6.竣工环境保护验收要求</w:t>
            </w:r>
          </w:p>
          <w:p w14:paraId="75A3D0A0">
            <w:pPr>
              <w:pStyle w:val="54"/>
              <w:keepNext w:val="0"/>
              <w:keepLines w:val="0"/>
              <w:pageBreakBefore w:val="0"/>
              <w:widowControl w:val="0"/>
              <w:kinsoku/>
              <w:overflowPunct/>
              <w:topLinePunct w:val="0"/>
              <w:autoSpaceDE/>
              <w:autoSpaceDN/>
              <w:bidi w:val="0"/>
              <w:spacing w:line="480" w:lineRule="exact"/>
              <w:ind w:left="0" w:leftChars="0" w:firstLine="420" w:firstLineChars="200"/>
              <w:textAlignment w:val="auto"/>
              <w:rPr>
                <w:rFonts w:hint="eastAsia"/>
                <w:lang w:val="en-US" w:eastAsia="zh-CN"/>
              </w:rPr>
            </w:pPr>
            <w:r>
              <w:rPr>
                <w:rFonts w:hint="eastAsia"/>
                <w:sz w:val="21"/>
                <w:szCs w:val="21"/>
                <w:lang w:val="en-US" w:eastAsia="zh-CN"/>
              </w:rPr>
              <w:t>根据《建设项目竣工环境保护验收暂行办法》，本项目竣工后，建设单位应及时组织竣工环境保护验收，经验收合格后，本项目方可投入正式运行。</w:t>
            </w:r>
          </w:p>
        </w:tc>
      </w:tr>
    </w:tbl>
    <w:p w14:paraId="5771E570">
      <w:pPr>
        <w:pStyle w:val="19"/>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16944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20C68CBF">
            <w:pPr>
              <w:pStyle w:val="54"/>
              <w:bidi w:val="0"/>
              <w:jc w:val="both"/>
              <w:rPr>
                <w:rFonts w:ascii="宋体" w:cs="宋体"/>
              </w:rPr>
            </w:pPr>
            <w:r>
              <w:rPr>
                <w:rFonts w:hint="eastAsia"/>
              </w:rPr>
              <w:t>根据上述分析，本项目建成后对周围环境造成废水、废气、噪声污染较小，建设单位若能在建成后切实落实本环评提出的各项环境污染防治措施，落实“三同时”制度，加强环境管理，确保污染物达标排放，则本项目投入使用后，对环境的影响是可以接受的。建设单位须严格遵守环保“三同时”制度，各项治理措施需自主验收合格后方可正式投入使用，在此前提下，本项目是可行的。</w:t>
            </w:r>
          </w:p>
        </w:tc>
      </w:tr>
    </w:tbl>
    <w:p w14:paraId="6EE655BC">
      <w:pPr>
        <w:rPr>
          <w:rFonts w:ascii="宋体"/>
        </w:rPr>
        <w:sectPr>
          <w:pgSz w:w="11906" w:h="16838"/>
          <w:pgMar w:top="1701" w:right="1531" w:bottom="1701" w:left="1531" w:header="851" w:footer="851" w:gutter="0"/>
          <w:pgNumType w:fmt="decimal"/>
          <w:cols w:space="720" w:num="1"/>
          <w:docGrid w:linePitch="312" w:charSpace="0"/>
        </w:sectPr>
      </w:pPr>
    </w:p>
    <w:p w14:paraId="3BC50C59">
      <w:pPr>
        <w:pStyle w:val="19"/>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14:paraId="030EE474">
      <w:pPr>
        <w:pStyle w:val="1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523"/>
        <w:gridCol w:w="1667"/>
        <w:gridCol w:w="1356"/>
      </w:tblGrid>
      <w:tr w14:paraId="7F7BF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14:paraId="6407EDED">
            <w:pPr>
              <w:pStyle w:val="42"/>
              <w:spacing w:beforeLines="0" w:afterLines="0" w:line="240" w:lineRule="auto"/>
              <w:jc w:val="righ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14:paraId="2D0C45CE">
            <w:pPr>
              <w:pStyle w:val="42"/>
              <w:spacing w:beforeLines="0" w:afterLines="0" w:line="240" w:lineRule="auto"/>
              <w:jc w:val="lef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417" w:type="dxa"/>
            <w:noWrap w:val="0"/>
            <w:tcMar>
              <w:left w:w="28" w:type="dxa"/>
              <w:right w:w="28" w:type="dxa"/>
            </w:tcMar>
            <w:vAlign w:val="center"/>
          </w:tcPr>
          <w:p w14:paraId="0CDE4003">
            <w:pPr>
              <w:pStyle w:val="42"/>
              <w:spacing w:beforeLines="0" w:afterLines="0" w:line="240" w:lineRule="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701" w:type="dxa"/>
            <w:noWrap w:val="0"/>
            <w:tcMar>
              <w:left w:w="28" w:type="dxa"/>
              <w:right w:w="28" w:type="dxa"/>
            </w:tcMar>
            <w:vAlign w:val="center"/>
          </w:tcPr>
          <w:p w14:paraId="333934AB">
            <w:pPr>
              <w:pStyle w:val="42"/>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1F86449E">
            <w:pPr>
              <w:pStyle w:val="42"/>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color w:val="000000"/>
                <w:spacing w:val="-6"/>
                <w:kern w:val="21"/>
                <w:szCs w:val="21"/>
              </w:rPr>
              <w:fldChar w:fldCharType="end"/>
            </w:r>
          </w:p>
        </w:tc>
        <w:tc>
          <w:tcPr>
            <w:tcW w:w="1276" w:type="dxa"/>
            <w:noWrap w:val="0"/>
            <w:tcMar>
              <w:left w:w="28" w:type="dxa"/>
              <w:right w:w="28" w:type="dxa"/>
            </w:tcMar>
            <w:vAlign w:val="center"/>
          </w:tcPr>
          <w:p w14:paraId="6C13C5DD">
            <w:pPr>
              <w:pStyle w:val="42"/>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0F8714CB">
            <w:pPr>
              <w:pStyle w:val="42"/>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14:paraId="621879F0">
            <w:pPr>
              <w:pStyle w:val="42"/>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noWrap w:val="0"/>
            <w:tcMar>
              <w:left w:w="28" w:type="dxa"/>
              <w:right w:w="28" w:type="dxa"/>
            </w:tcMar>
            <w:vAlign w:val="center"/>
          </w:tcPr>
          <w:p w14:paraId="0945E93C">
            <w:pPr>
              <w:pStyle w:val="42"/>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14:paraId="0DB37968">
            <w:pPr>
              <w:pStyle w:val="42"/>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color w:val="000000"/>
                <w:spacing w:val="-6"/>
                <w:kern w:val="21"/>
                <w:szCs w:val="21"/>
              </w:rPr>
              <w:fldChar w:fldCharType="end"/>
            </w:r>
          </w:p>
        </w:tc>
        <w:tc>
          <w:tcPr>
            <w:tcW w:w="1559" w:type="dxa"/>
            <w:noWrap w:val="0"/>
            <w:tcMar>
              <w:left w:w="28" w:type="dxa"/>
              <w:right w:w="28" w:type="dxa"/>
            </w:tcMar>
            <w:vAlign w:val="center"/>
          </w:tcPr>
          <w:p w14:paraId="591EF46D">
            <w:pPr>
              <w:pStyle w:val="42"/>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14:paraId="55F451C4">
            <w:pPr>
              <w:pStyle w:val="42"/>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color w:val="000000"/>
                <w:spacing w:val="-6"/>
                <w:kern w:val="21"/>
                <w:szCs w:val="21"/>
              </w:rPr>
              <w:fldChar w:fldCharType="end"/>
            </w:r>
          </w:p>
        </w:tc>
        <w:tc>
          <w:tcPr>
            <w:tcW w:w="1523" w:type="dxa"/>
            <w:noWrap w:val="0"/>
            <w:tcMar>
              <w:left w:w="28" w:type="dxa"/>
              <w:right w:w="28" w:type="dxa"/>
            </w:tcMar>
            <w:vAlign w:val="center"/>
          </w:tcPr>
          <w:p w14:paraId="022C9B25">
            <w:pPr>
              <w:pStyle w:val="42"/>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14:paraId="68B5382F">
            <w:pPr>
              <w:pStyle w:val="42"/>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color w:val="000000"/>
                <w:spacing w:val="-16"/>
                <w:kern w:val="21"/>
                <w:szCs w:val="21"/>
              </w:rPr>
              <w:fldChar w:fldCharType="end"/>
            </w:r>
          </w:p>
        </w:tc>
        <w:tc>
          <w:tcPr>
            <w:tcW w:w="1667" w:type="dxa"/>
            <w:noWrap w:val="0"/>
            <w:tcMar>
              <w:left w:w="28" w:type="dxa"/>
              <w:right w:w="28" w:type="dxa"/>
            </w:tcMar>
            <w:vAlign w:val="center"/>
          </w:tcPr>
          <w:p w14:paraId="00FC03DA">
            <w:pPr>
              <w:pStyle w:val="42"/>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14:paraId="1CE6144B">
            <w:pPr>
              <w:pStyle w:val="42"/>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color w:val="000000"/>
                <w:spacing w:val="-16"/>
                <w:kern w:val="21"/>
                <w:szCs w:val="21"/>
              </w:rPr>
              <w:fldChar w:fldCharType="end"/>
            </w:r>
          </w:p>
        </w:tc>
        <w:tc>
          <w:tcPr>
            <w:tcW w:w="1356" w:type="dxa"/>
            <w:noWrap w:val="0"/>
            <w:tcMar>
              <w:left w:w="28" w:type="dxa"/>
              <w:right w:w="28" w:type="dxa"/>
            </w:tcMar>
            <w:vAlign w:val="center"/>
          </w:tcPr>
          <w:p w14:paraId="34100466">
            <w:pPr>
              <w:pStyle w:val="42"/>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14:paraId="2F13E937">
            <w:pPr>
              <w:pStyle w:val="42"/>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color w:val="000000"/>
                <w:spacing w:val="-6"/>
                <w:kern w:val="21"/>
                <w:szCs w:val="21"/>
              </w:rPr>
              <w:fldChar w:fldCharType="end"/>
            </w:r>
          </w:p>
        </w:tc>
      </w:tr>
      <w:tr w14:paraId="5C6C7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602231C8">
            <w:pPr>
              <w:pStyle w:val="42"/>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417" w:type="dxa"/>
            <w:noWrap w:val="0"/>
            <w:vAlign w:val="center"/>
          </w:tcPr>
          <w:p w14:paraId="687D41FF">
            <w:pPr>
              <w:pStyle w:val="42"/>
              <w:spacing w:beforeLines="0" w:afterLines="0" w:line="240" w:lineRule="auto"/>
              <w:rPr>
                <w:rFonts w:hAnsi="宋体" w:cs="宋体"/>
                <w:snapToGrid w:val="0"/>
                <w:color w:val="000000"/>
                <w:kern w:val="21"/>
                <w:szCs w:val="21"/>
              </w:rPr>
            </w:pPr>
            <w:r>
              <w:rPr>
                <w:rFonts w:hint="eastAsia"/>
                <w:lang w:val="en-US" w:eastAsia="zh-CN"/>
              </w:rPr>
              <w:t>非甲烷总烃</w:t>
            </w:r>
          </w:p>
        </w:tc>
        <w:tc>
          <w:tcPr>
            <w:tcW w:w="1701" w:type="dxa"/>
            <w:noWrap w:val="0"/>
            <w:vAlign w:val="center"/>
          </w:tcPr>
          <w:p w14:paraId="1D00B2AD">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7B310AA5">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5A8DB36D">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02A451F1">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1.015</w:t>
            </w:r>
            <w:r>
              <w:rPr>
                <w:rFonts w:hint="default" w:ascii="Times New Roman" w:hAnsi="Times New Roman" w:cs="Times New Roman"/>
                <w:snapToGrid w:val="0"/>
                <w:color w:val="000000"/>
                <w:kern w:val="21"/>
                <w:sz w:val="21"/>
                <w:szCs w:val="21"/>
                <w:lang w:val="en-US" w:eastAsia="zh-CN"/>
              </w:rPr>
              <w:t>t/a</w:t>
            </w:r>
          </w:p>
        </w:tc>
        <w:tc>
          <w:tcPr>
            <w:tcW w:w="1523" w:type="dxa"/>
            <w:noWrap w:val="0"/>
            <w:vAlign w:val="center"/>
          </w:tcPr>
          <w:p w14:paraId="6EB8E046">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10A24AAB">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 w:val="21"/>
                <w:szCs w:val="21"/>
                <w:lang w:val="en-US" w:eastAsia="zh-CN"/>
              </w:rPr>
              <w:t>1.015</w:t>
            </w:r>
            <w:r>
              <w:rPr>
                <w:rFonts w:hint="default" w:ascii="Times New Roman" w:hAnsi="Times New Roman" w:cs="Times New Roman"/>
                <w:snapToGrid w:val="0"/>
                <w:color w:val="000000"/>
                <w:kern w:val="21"/>
                <w:sz w:val="21"/>
                <w:szCs w:val="21"/>
                <w:lang w:val="en-US" w:eastAsia="zh-CN"/>
              </w:rPr>
              <w:t>t/a</w:t>
            </w:r>
          </w:p>
        </w:tc>
        <w:tc>
          <w:tcPr>
            <w:tcW w:w="1356" w:type="dxa"/>
            <w:noWrap w:val="0"/>
            <w:vAlign w:val="center"/>
          </w:tcPr>
          <w:p w14:paraId="798B6039">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 w:val="21"/>
                <w:szCs w:val="21"/>
                <w:lang w:val="en-US" w:eastAsia="zh-CN"/>
              </w:rPr>
              <w:t>1.015</w:t>
            </w:r>
            <w:r>
              <w:rPr>
                <w:rFonts w:hint="default" w:ascii="Times New Roman" w:hAnsi="Times New Roman" w:cs="Times New Roman"/>
                <w:snapToGrid w:val="0"/>
                <w:color w:val="000000"/>
                <w:kern w:val="21"/>
                <w:sz w:val="21"/>
                <w:szCs w:val="21"/>
                <w:lang w:val="en-US" w:eastAsia="zh-CN"/>
              </w:rPr>
              <w:t>t/a</w:t>
            </w:r>
          </w:p>
        </w:tc>
      </w:tr>
      <w:tr w14:paraId="3C01F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3DF2A3B">
            <w:pPr>
              <w:pStyle w:val="42"/>
              <w:spacing w:beforeLines="0" w:afterLines="0" w:line="240" w:lineRule="auto"/>
              <w:rPr>
                <w:rFonts w:hint="eastAsia" w:hAnsi="宋体" w:cs="宋体"/>
                <w:snapToGrid w:val="0"/>
                <w:color w:val="000000"/>
                <w:kern w:val="21"/>
                <w:szCs w:val="21"/>
              </w:rPr>
            </w:pPr>
          </w:p>
        </w:tc>
        <w:tc>
          <w:tcPr>
            <w:tcW w:w="1417" w:type="dxa"/>
            <w:noWrap w:val="0"/>
            <w:vAlign w:val="center"/>
          </w:tcPr>
          <w:p w14:paraId="0572449D">
            <w:pPr>
              <w:pStyle w:val="42"/>
              <w:spacing w:beforeLines="0" w:afterLines="0" w:line="240" w:lineRule="auto"/>
              <w:rPr>
                <w:rFonts w:hAnsi="宋体" w:cs="宋体"/>
                <w:snapToGrid w:val="0"/>
                <w:color w:val="000000"/>
                <w:kern w:val="21"/>
                <w:szCs w:val="21"/>
              </w:rPr>
            </w:pPr>
            <w:r>
              <w:rPr>
                <w:rFonts w:hint="default" w:ascii="Times New Roman" w:hAnsi="Times New Roman" w:cs="Times New Roman"/>
                <w:lang w:val="en-US" w:eastAsia="zh-CN"/>
              </w:rPr>
              <w:t>NO</w:t>
            </w:r>
            <w:r>
              <w:rPr>
                <w:rFonts w:hint="default" w:ascii="Times New Roman" w:hAnsi="Times New Roman" w:cs="Times New Roman"/>
                <w:vertAlign w:val="subscript"/>
                <w:lang w:val="en-US" w:eastAsia="zh-CN"/>
              </w:rPr>
              <w:t>X</w:t>
            </w:r>
          </w:p>
        </w:tc>
        <w:tc>
          <w:tcPr>
            <w:tcW w:w="1701" w:type="dxa"/>
            <w:noWrap w:val="0"/>
            <w:vAlign w:val="center"/>
          </w:tcPr>
          <w:p w14:paraId="455D6484">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371CA7EC">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2F66D3B7">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5C67AC44">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rPr>
            </w:pPr>
            <w:r>
              <w:rPr>
                <w:rFonts w:hint="eastAsia" w:ascii="Times New Roman" w:cs="Times New Roman"/>
                <w:snapToGrid w:val="0"/>
                <w:color w:val="000000"/>
                <w:kern w:val="21"/>
                <w:sz w:val="21"/>
                <w:szCs w:val="21"/>
                <w:lang w:val="en-US" w:eastAsia="zh-CN"/>
              </w:rPr>
              <w:t>0.0935</w:t>
            </w:r>
            <w:r>
              <w:rPr>
                <w:rFonts w:hint="default" w:ascii="Times New Roman" w:hAnsi="Times New Roman" w:cs="Times New Roman"/>
                <w:snapToGrid w:val="0"/>
                <w:color w:val="000000"/>
                <w:kern w:val="21"/>
                <w:sz w:val="21"/>
                <w:szCs w:val="21"/>
                <w:lang w:val="en-US" w:eastAsia="zh-CN"/>
              </w:rPr>
              <w:t>t/a</w:t>
            </w:r>
          </w:p>
        </w:tc>
        <w:tc>
          <w:tcPr>
            <w:tcW w:w="1523" w:type="dxa"/>
            <w:noWrap w:val="0"/>
            <w:vAlign w:val="center"/>
          </w:tcPr>
          <w:p w14:paraId="10E7BB55">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423C4D0C">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 w:val="21"/>
                <w:szCs w:val="21"/>
                <w:lang w:val="en-US" w:eastAsia="zh-CN"/>
              </w:rPr>
              <w:t>0.</w:t>
            </w:r>
            <w:r>
              <w:rPr>
                <w:rFonts w:hint="eastAsia" w:cs="Times New Roman"/>
                <w:snapToGrid w:val="0"/>
                <w:color w:val="000000"/>
                <w:kern w:val="21"/>
                <w:sz w:val="21"/>
                <w:szCs w:val="21"/>
                <w:lang w:val="en-US" w:eastAsia="zh-CN"/>
              </w:rPr>
              <w:t>0935</w:t>
            </w:r>
            <w:r>
              <w:rPr>
                <w:rFonts w:hint="default" w:ascii="Times New Roman" w:hAnsi="Times New Roman" w:cs="Times New Roman"/>
                <w:snapToGrid w:val="0"/>
                <w:color w:val="000000"/>
                <w:kern w:val="21"/>
                <w:sz w:val="21"/>
                <w:szCs w:val="21"/>
                <w:lang w:val="en-US" w:eastAsia="zh-CN"/>
              </w:rPr>
              <w:t>t/a</w:t>
            </w:r>
          </w:p>
        </w:tc>
        <w:tc>
          <w:tcPr>
            <w:tcW w:w="1356" w:type="dxa"/>
            <w:noWrap w:val="0"/>
            <w:vAlign w:val="center"/>
          </w:tcPr>
          <w:p w14:paraId="7061D101">
            <w:pPr>
              <w:spacing w:beforeLines="0" w:afterLines="0" w:line="240" w:lineRule="auto"/>
              <w:jc w:val="center"/>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napToGrid w:val="0"/>
                <w:color w:val="000000"/>
                <w:kern w:val="21"/>
                <w:sz w:val="21"/>
                <w:szCs w:val="21"/>
                <w:lang w:val="en-US" w:eastAsia="zh-CN"/>
              </w:rPr>
              <w:t>0.</w:t>
            </w:r>
            <w:r>
              <w:rPr>
                <w:rFonts w:hint="eastAsia" w:cs="Times New Roman"/>
                <w:snapToGrid w:val="0"/>
                <w:color w:val="000000"/>
                <w:kern w:val="21"/>
                <w:sz w:val="21"/>
                <w:szCs w:val="21"/>
                <w:lang w:val="en-US" w:eastAsia="zh-CN"/>
              </w:rPr>
              <w:t>0935</w:t>
            </w:r>
            <w:r>
              <w:rPr>
                <w:rFonts w:hint="default" w:ascii="Times New Roman" w:hAnsi="Times New Roman" w:cs="Times New Roman"/>
                <w:snapToGrid w:val="0"/>
                <w:color w:val="000000"/>
                <w:kern w:val="21"/>
                <w:sz w:val="21"/>
                <w:szCs w:val="21"/>
                <w:lang w:val="en-US" w:eastAsia="zh-CN"/>
              </w:rPr>
              <w:t>t/a</w:t>
            </w:r>
          </w:p>
        </w:tc>
      </w:tr>
      <w:tr w14:paraId="5223F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161F361">
            <w:pPr>
              <w:pStyle w:val="42"/>
              <w:spacing w:beforeLines="0" w:afterLines="0" w:line="240" w:lineRule="auto"/>
              <w:rPr>
                <w:rFonts w:hint="eastAsia" w:hAnsi="宋体" w:cs="宋体"/>
                <w:snapToGrid w:val="0"/>
                <w:color w:val="000000"/>
                <w:kern w:val="21"/>
                <w:szCs w:val="21"/>
              </w:rPr>
            </w:pPr>
          </w:p>
        </w:tc>
        <w:tc>
          <w:tcPr>
            <w:tcW w:w="1417" w:type="dxa"/>
            <w:noWrap w:val="0"/>
            <w:vAlign w:val="center"/>
          </w:tcPr>
          <w:p w14:paraId="48C2CA2E">
            <w:pPr>
              <w:pStyle w:val="42"/>
              <w:spacing w:beforeLines="0" w:afterLines="0" w:line="240" w:lineRule="auto"/>
              <w:rPr>
                <w:rFonts w:hAnsi="宋体" w:cs="宋体"/>
                <w:snapToGrid w:val="0"/>
                <w:color w:val="000000"/>
                <w:kern w:val="21"/>
                <w:szCs w:val="21"/>
              </w:rPr>
            </w:pPr>
            <w:r>
              <w:rPr>
                <w:rFonts w:hint="eastAsia"/>
                <w:lang w:val="en-US" w:eastAsia="zh-CN"/>
              </w:rPr>
              <w:t>颗粒物</w:t>
            </w:r>
          </w:p>
        </w:tc>
        <w:tc>
          <w:tcPr>
            <w:tcW w:w="1701" w:type="dxa"/>
            <w:noWrap w:val="0"/>
            <w:vAlign w:val="center"/>
          </w:tcPr>
          <w:p w14:paraId="5C146CF3">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5132E46E">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7A4FA068">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30713350">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rPr>
            </w:pPr>
            <w:r>
              <w:rPr>
                <w:rFonts w:hint="default" w:ascii="Times New Roman" w:hAnsi="Times New Roman" w:cs="Times New Roman"/>
                <w:snapToGrid w:val="0"/>
                <w:color w:val="000000"/>
                <w:kern w:val="21"/>
                <w:sz w:val="21"/>
                <w:szCs w:val="21"/>
                <w:lang w:val="en-US" w:eastAsia="zh-CN"/>
              </w:rPr>
              <w:t>0.</w:t>
            </w:r>
            <w:r>
              <w:rPr>
                <w:rFonts w:hint="eastAsia" w:ascii="Times New Roman" w:cs="Times New Roman"/>
                <w:snapToGrid w:val="0"/>
                <w:color w:val="000000"/>
                <w:kern w:val="21"/>
                <w:sz w:val="21"/>
                <w:szCs w:val="21"/>
                <w:lang w:val="en-US" w:eastAsia="zh-CN"/>
              </w:rPr>
              <w:t>205</w:t>
            </w:r>
            <w:r>
              <w:rPr>
                <w:rFonts w:hint="default" w:ascii="Times New Roman" w:hAnsi="Times New Roman" w:cs="Times New Roman"/>
                <w:snapToGrid w:val="0"/>
                <w:color w:val="000000"/>
                <w:kern w:val="21"/>
                <w:sz w:val="21"/>
                <w:szCs w:val="21"/>
                <w:lang w:val="en-US" w:eastAsia="zh-CN"/>
              </w:rPr>
              <w:t>t/a</w:t>
            </w:r>
          </w:p>
        </w:tc>
        <w:tc>
          <w:tcPr>
            <w:tcW w:w="1523" w:type="dxa"/>
            <w:noWrap w:val="0"/>
            <w:vAlign w:val="center"/>
          </w:tcPr>
          <w:p w14:paraId="2341F44E">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227CC20C">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 w:val="21"/>
                <w:szCs w:val="21"/>
                <w:lang w:val="en-US" w:eastAsia="zh-CN"/>
              </w:rPr>
              <w:t>0.</w:t>
            </w:r>
            <w:r>
              <w:rPr>
                <w:rFonts w:hint="eastAsia" w:ascii="Times New Roman" w:cs="Times New Roman"/>
                <w:snapToGrid w:val="0"/>
                <w:color w:val="000000"/>
                <w:kern w:val="21"/>
                <w:sz w:val="21"/>
                <w:szCs w:val="21"/>
                <w:lang w:val="en-US" w:eastAsia="zh-CN"/>
              </w:rPr>
              <w:t>205</w:t>
            </w:r>
            <w:r>
              <w:rPr>
                <w:rFonts w:hint="default" w:ascii="Times New Roman" w:hAnsi="Times New Roman" w:cs="Times New Roman"/>
                <w:snapToGrid w:val="0"/>
                <w:color w:val="000000"/>
                <w:kern w:val="21"/>
                <w:sz w:val="21"/>
                <w:szCs w:val="21"/>
                <w:lang w:val="en-US" w:eastAsia="zh-CN"/>
              </w:rPr>
              <w:t>t/a</w:t>
            </w:r>
          </w:p>
        </w:tc>
        <w:tc>
          <w:tcPr>
            <w:tcW w:w="1356" w:type="dxa"/>
            <w:noWrap w:val="0"/>
            <w:vAlign w:val="center"/>
          </w:tcPr>
          <w:p w14:paraId="0B30B69D">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default" w:ascii="Times New Roman" w:hAnsi="Times New Roman" w:cs="Times New Roman"/>
                <w:snapToGrid w:val="0"/>
                <w:color w:val="000000"/>
                <w:kern w:val="21"/>
                <w:sz w:val="21"/>
                <w:szCs w:val="21"/>
                <w:lang w:val="en-US" w:eastAsia="zh-CN"/>
              </w:rPr>
              <w:t>0.</w:t>
            </w:r>
            <w:r>
              <w:rPr>
                <w:rFonts w:hint="eastAsia" w:ascii="Times New Roman" w:cs="Times New Roman"/>
                <w:snapToGrid w:val="0"/>
                <w:color w:val="000000"/>
                <w:kern w:val="21"/>
                <w:sz w:val="21"/>
                <w:szCs w:val="21"/>
                <w:lang w:val="en-US" w:eastAsia="zh-CN"/>
              </w:rPr>
              <w:t>205</w:t>
            </w:r>
            <w:r>
              <w:rPr>
                <w:rFonts w:hint="default" w:ascii="Times New Roman" w:hAnsi="Times New Roman" w:cs="Times New Roman"/>
                <w:snapToGrid w:val="0"/>
                <w:color w:val="000000"/>
                <w:kern w:val="21"/>
                <w:sz w:val="21"/>
                <w:szCs w:val="21"/>
                <w:lang w:val="en-US" w:eastAsia="zh-CN"/>
              </w:rPr>
              <w:t>t/a</w:t>
            </w:r>
          </w:p>
        </w:tc>
      </w:tr>
      <w:tr w14:paraId="0C013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4903E606">
            <w:pPr>
              <w:pStyle w:val="42"/>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废水</w:t>
            </w:r>
          </w:p>
        </w:tc>
        <w:tc>
          <w:tcPr>
            <w:tcW w:w="1417" w:type="dxa"/>
            <w:noWrap w:val="0"/>
            <w:vAlign w:val="center"/>
          </w:tcPr>
          <w:p w14:paraId="7991ECA4">
            <w:pPr>
              <w:jc w:val="center"/>
              <w:rPr>
                <w:rFonts w:ascii="Times New Roman" w:hAnsi="Times New Roman" w:eastAsia="宋体" w:cs="Times New Roman"/>
                <w:snapToGrid w:val="0"/>
                <w:color w:val="000000"/>
                <w:kern w:val="21"/>
                <w:sz w:val="21"/>
                <w:szCs w:val="21"/>
                <w:highlight w:val="none"/>
                <w:lang w:val="en-US" w:eastAsia="zh-CN" w:bidi="ar-SA"/>
              </w:rPr>
            </w:pPr>
            <w:r>
              <w:rPr>
                <w:szCs w:val="21"/>
                <w:highlight w:val="none"/>
              </w:rPr>
              <w:t>COD</w:t>
            </w:r>
          </w:p>
        </w:tc>
        <w:tc>
          <w:tcPr>
            <w:tcW w:w="1701" w:type="dxa"/>
            <w:noWrap w:val="0"/>
            <w:vAlign w:val="center"/>
          </w:tcPr>
          <w:p w14:paraId="4ABDFA4F">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07A16C52">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50E8FCFD">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667F3112">
            <w:pPr>
              <w:pStyle w:val="61"/>
              <w:bidi w:val="0"/>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0.0756</w:t>
            </w:r>
            <w:r>
              <w:rPr>
                <w:rFonts w:hint="default" w:ascii="Times New Roman" w:hAnsi="Times New Roman" w:cs="Times New Roman"/>
                <w:snapToGrid w:val="0"/>
                <w:color w:val="000000"/>
                <w:kern w:val="21"/>
                <w:sz w:val="21"/>
                <w:szCs w:val="21"/>
                <w:lang w:val="en-US" w:eastAsia="zh-CN"/>
              </w:rPr>
              <w:t>t/a</w:t>
            </w:r>
          </w:p>
        </w:tc>
        <w:tc>
          <w:tcPr>
            <w:tcW w:w="1523" w:type="dxa"/>
            <w:noWrap w:val="0"/>
            <w:vAlign w:val="center"/>
          </w:tcPr>
          <w:p w14:paraId="237EC58F">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68626BA7">
            <w:pPr>
              <w:bidi w:val="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0.0756</w:t>
            </w:r>
            <w:r>
              <w:rPr>
                <w:rFonts w:hint="default" w:ascii="Times New Roman" w:hAnsi="Times New Roman" w:cs="Times New Roman"/>
                <w:snapToGrid w:val="0"/>
                <w:color w:val="000000"/>
                <w:kern w:val="21"/>
                <w:sz w:val="21"/>
                <w:szCs w:val="21"/>
                <w:lang w:val="en-US" w:eastAsia="zh-CN"/>
              </w:rPr>
              <w:t>t/a</w:t>
            </w:r>
          </w:p>
        </w:tc>
        <w:tc>
          <w:tcPr>
            <w:tcW w:w="1356" w:type="dxa"/>
            <w:noWrap w:val="0"/>
            <w:vAlign w:val="center"/>
          </w:tcPr>
          <w:p w14:paraId="2B4FF569">
            <w:pPr>
              <w:bidi w:val="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0.0756</w:t>
            </w:r>
            <w:r>
              <w:rPr>
                <w:rFonts w:hint="default" w:ascii="Times New Roman" w:hAnsi="Times New Roman" w:cs="Times New Roman"/>
                <w:snapToGrid w:val="0"/>
                <w:color w:val="000000"/>
                <w:kern w:val="21"/>
                <w:sz w:val="21"/>
                <w:szCs w:val="21"/>
                <w:lang w:val="en-US" w:eastAsia="zh-CN"/>
              </w:rPr>
              <w:t>t/a</w:t>
            </w:r>
          </w:p>
        </w:tc>
      </w:tr>
      <w:tr w14:paraId="6F459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128FBC1F">
            <w:pPr>
              <w:pStyle w:val="42"/>
              <w:spacing w:beforeLines="0" w:afterLines="0" w:line="240" w:lineRule="auto"/>
              <w:rPr>
                <w:rFonts w:hint="eastAsia" w:hAnsi="宋体" w:cs="宋体"/>
                <w:snapToGrid w:val="0"/>
                <w:color w:val="000000"/>
                <w:kern w:val="21"/>
                <w:szCs w:val="21"/>
              </w:rPr>
            </w:pPr>
          </w:p>
        </w:tc>
        <w:tc>
          <w:tcPr>
            <w:tcW w:w="1417" w:type="dxa"/>
            <w:noWrap w:val="0"/>
            <w:vAlign w:val="center"/>
          </w:tcPr>
          <w:p w14:paraId="3D1AC299">
            <w:pPr>
              <w:jc w:val="center"/>
              <w:rPr>
                <w:rFonts w:hint="eastAsia" w:ascii="Times New Roman" w:hAnsi="Times New Roman" w:eastAsia="宋体" w:cs="Times New Roman"/>
                <w:snapToGrid w:val="0"/>
                <w:color w:val="000000"/>
                <w:kern w:val="21"/>
                <w:sz w:val="21"/>
                <w:szCs w:val="21"/>
                <w:highlight w:val="none"/>
                <w:lang w:val="en-US" w:eastAsia="zh-CN" w:bidi="ar-SA"/>
              </w:rPr>
            </w:pPr>
            <w:r>
              <w:rPr>
                <w:szCs w:val="21"/>
                <w:highlight w:val="none"/>
              </w:rPr>
              <w:t>BOD</w:t>
            </w:r>
            <w:r>
              <w:rPr>
                <w:rFonts w:hint="eastAsia"/>
                <w:szCs w:val="21"/>
                <w:highlight w:val="none"/>
                <w:vertAlign w:val="subscript"/>
                <w:lang w:val="en-US" w:eastAsia="zh-CN"/>
              </w:rPr>
              <w:t>5</w:t>
            </w:r>
          </w:p>
        </w:tc>
        <w:tc>
          <w:tcPr>
            <w:tcW w:w="1701" w:type="dxa"/>
            <w:noWrap w:val="0"/>
            <w:vAlign w:val="center"/>
          </w:tcPr>
          <w:p w14:paraId="26B918FF">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753813A6">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2D68270E">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1C0B2A84">
            <w:pPr>
              <w:pStyle w:val="61"/>
              <w:bidi w:val="0"/>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0.054</w:t>
            </w:r>
            <w:r>
              <w:rPr>
                <w:rFonts w:hint="default" w:ascii="Times New Roman" w:hAnsi="Times New Roman" w:cs="Times New Roman"/>
                <w:snapToGrid w:val="0"/>
                <w:color w:val="000000"/>
                <w:kern w:val="21"/>
                <w:sz w:val="21"/>
                <w:szCs w:val="21"/>
                <w:lang w:val="en-US" w:eastAsia="zh-CN"/>
              </w:rPr>
              <w:t>t/a</w:t>
            </w:r>
          </w:p>
        </w:tc>
        <w:tc>
          <w:tcPr>
            <w:tcW w:w="1523" w:type="dxa"/>
            <w:noWrap w:val="0"/>
            <w:vAlign w:val="center"/>
          </w:tcPr>
          <w:p w14:paraId="7868ED12">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2E24CB30">
            <w:pPr>
              <w:bidi w:val="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0.054</w:t>
            </w:r>
            <w:r>
              <w:rPr>
                <w:rFonts w:hint="default" w:ascii="Times New Roman" w:hAnsi="Times New Roman" w:cs="Times New Roman"/>
                <w:snapToGrid w:val="0"/>
                <w:color w:val="000000"/>
                <w:kern w:val="21"/>
                <w:sz w:val="21"/>
                <w:szCs w:val="21"/>
                <w:lang w:val="en-US" w:eastAsia="zh-CN"/>
              </w:rPr>
              <w:t>t/a</w:t>
            </w:r>
          </w:p>
        </w:tc>
        <w:tc>
          <w:tcPr>
            <w:tcW w:w="1356" w:type="dxa"/>
            <w:noWrap w:val="0"/>
            <w:vAlign w:val="center"/>
          </w:tcPr>
          <w:p w14:paraId="10E34AA2">
            <w:pPr>
              <w:bidi w:val="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0.054</w:t>
            </w:r>
            <w:r>
              <w:rPr>
                <w:rFonts w:hint="default" w:ascii="Times New Roman" w:hAnsi="Times New Roman" w:cs="Times New Roman"/>
                <w:snapToGrid w:val="0"/>
                <w:color w:val="000000"/>
                <w:kern w:val="21"/>
                <w:sz w:val="21"/>
                <w:szCs w:val="21"/>
                <w:lang w:val="en-US" w:eastAsia="zh-CN"/>
              </w:rPr>
              <w:t>t/a</w:t>
            </w:r>
          </w:p>
        </w:tc>
      </w:tr>
      <w:tr w14:paraId="30095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79FF18C">
            <w:pPr>
              <w:pStyle w:val="42"/>
              <w:spacing w:beforeLines="0" w:afterLines="0" w:line="240" w:lineRule="auto"/>
              <w:rPr>
                <w:rFonts w:hint="eastAsia" w:hAnsi="宋体" w:cs="宋体"/>
                <w:snapToGrid w:val="0"/>
                <w:color w:val="000000"/>
                <w:kern w:val="21"/>
                <w:szCs w:val="21"/>
              </w:rPr>
            </w:pPr>
          </w:p>
        </w:tc>
        <w:tc>
          <w:tcPr>
            <w:tcW w:w="1417" w:type="dxa"/>
            <w:noWrap w:val="0"/>
            <w:vAlign w:val="center"/>
          </w:tcPr>
          <w:p w14:paraId="26F71484">
            <w:pPr>
              <w:jc w:val="center"/>
              <w:rPr>
                <w:rFonts w:hint="eastAsia" w:ascii="Times New Roman" w:hAnsi="Times New Roman" w:eastAsia="宋体" w:cs="Times New Roman"/>
                <w:snapToGrid w:val="0"/>
                <w:color w:val="000000"/>
                <w:kern w:val="21"/>
                <w:sz w:val="21"/>
                <w:szCs w:val="21"/>
                <w:highlight w:val="none"/>
                <w:lang w:val="en-US" w:eastAsia="zh-CN" w:bidi="ar-SA"/>
              </w:rPr>
            </w:pPr>
            <w:r>
              <w:rPr>
                <w:szCs w:val="21"/>
                <w:highlight w:val="none"/>
              </w:rPr>
              <w:t>SS</w:t>
            </w:r>
          </w:p>
        </w:tc>
        <w:tc>
          <w:tcPr>
            <w:tcW w:w="1701" w:type="dxa"/>
            <w:noWrap w:val="0"/>
            <w:vAlign w:val="center"/>
          </w:tcPr>
          <w:p w14:paraId="323F7DBD">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1EAACD38">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6A2097D1">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022E1370">
            <w:pPr>
              <w:pStyle w:val="61"/>
              <w:bidi w:val="0"/>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0.043</w:t>
            </w:r>
            <w:r>
              <w:rPr>
                <w:rFonts w:hint="default" w:ascii="Times New Roman" w:hAnsi="Times New Roman" w:cs="Times New Roman"/>
                <w:snapToGrid w:val="0"/>
                <w:color w:val="000000"/>
                <w:kern w:val="21"/>
                <w:sz w:val="21"/>
                <w:szCs w:val="21"/>
                <w:lang w:val="en-US" w:eastAsia="zh-CN"/>
              </w:rPr>
              <w:t>t/a</w:t>
            </w:r>
          </w:p>
        </w:tc>
        <w:tc>
          <w:tcPr>
            <w:tcW w:w="1523" w:type="dxa"/>
            <w:noWrap w:val="0"/>
            <w:vAlign w:val="center"/>
          </w:tcPr>
          <w:p w14:paraId="4277326A">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57CEF52A">
            <w:pPr>
              <w:bidi w:val="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0.043</w:t>
            </w:r>
            <w:r>
              <w:rPr>
                <w:rFonts w:hint="default" w:ascii="Times New Roman" w:hAnsi="Times New Roman" w:cs="Times New Roman"/>
                <w:snapToGrid w:val="0"/>
                <w:color w:val="000000"/>
                <w:kern w:val="21"/>
                <w:sz w:val="21"/>
                <w:szCs w:val="21"/>
                <w:lang w:val="en-US" w:eastAsia="zh-CN"/>
              </w:rPr>
              <w:t>t/a</w:t>
            </w:r>
          </w:p>
        </w:tc>
        <w:tc>
          <w:tcPr>
            <w:tcW w:w="1356" w:type="dxa"/>
            <w:noWrap w:val="0"/>
            <w:vAlign w:val="center"/>
          </w:tcPr>
          <w:p w14:paraId="1D24ECB7">
            <w:pPr>
              <w:bidi w:val="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0.043</w:t>
            </w:r>
            <w:r>
              <w:rPr>
                <w:rFonts w:hint="default" w:ascii="Times New Roman" w:hAnsi="Times New Roman" w:cs="Times New Roman"/>
                <w:snapToGrid w:val="0"/>
                <w:color w:val="000000"/>
                <w:kern w:val="21"/>
                <w:sz w:val="21"/>
                <w:szCs w:val="21"/>
                <w:lang w:val="en-US" w:eastAsia="zh-CN"/>
              </w:rPr>
              <w:t>t/a</w:t>
            </w:r>
          </w:p>
        </w:tc>
      </w:tr>
      <w:tr w14:paraId="48AD2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7BF36D5">
            <w:pPr>
              <w:pStyle w:val="42"/>
              <w:spacing w:beforeLines="0" w:afterLines="0" w:line="240" w:lineRule="auto"/>
              <w:rPr>
                <w:rFonts w:hint="eastAsia" w:hAnsi="宋体" w:cs="宋体"/>
                <w:snapToGrid w:val="0"/>
                <w:color w:val="000000"/>
                <w:kern w:val="21"/>
                <w:szCs w:val="21"/>
              </w:rPr>
            </w:pPr>
          </w:p>
        </w:tc>
        <w:tc>
          <w:tcPr>
            <w:tcW w:w="1417" w:type="dxa"/>
            <w:noWrap w:val="0"/>
            <w:vAlign w:val="center"/>
          </w:tcPr>
          <w:p w14:paraId="13D849B0">
            <w:pPr>
              <w:jc w:val="center"/>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szCs w:val="21"/>
                <w:highlight w:val="none"/>
                <w:lang w:val="en-US" w:eastAsia="zh-CN"/>
              </w:rPr>
              <w:t>氨氮</w:t>
            </w:r>
          </w:p>
        </w:tc>
        <w:tc>
          <w:tcPr>
            <w:tcW w:w="1701" w:type="dxa"/>
            <w:noWrap w:val="0"/>
            <w:vAlign w:val="center"/>
          </w:tcPr>
          <w:p w14:paraId="1DDF44A5">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18323AA4">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54BC7BE3">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170F0A1A">
            <w:pPr>
              <w:pStyle w:val="61"/>
              <w:bidi w:val="0"/>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0.006</w:t>
            </w:r>
            <w:r>
              <w:rPr>
                <w:rFonts w:hint="default" w:ascii="Times New Roman" w:hAnsi="Times New Roman" w:cs="Times New Roman"/>
                <w:snapToGrid w:val="0"/>
                <w:color w:val="000000"/>
                <w:kern w:val="21"/>
                <w:sz w:val="21"/>
                <w:szCs w:val="21"/>
                <w:lang w:val="en-US" w:eastAsia="zh-CN"/>
              </w:rPr>
              <w:t>t/a</w:t>
            </w:r>
          </w:p>
        </w:tc>
        <w:tc>
          <w:tcPr>
            <w:tcW w:w="1523" w:type="dxa"/>
            <w:noWrap w:val="0"/>
            <w:vAlign w:val="center"/>
          </w:tcPr>
          <w:p w14:paraId="7D5A5899">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2ED22B0F">
            <w:pPr>
              <w:bidi w:val="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0.006</w:t>
            </w:r>
            <w:r>
              <w:rPr>
                <w:rFonts w:hint="default" w:ascii="Times New Roman" w:hAnsi="Times New Roman" w:cs="Times New Roman"/>
                <w:snapToGrid w:val="0"/>
                <w:color w:val="000000"/>
                <w:kern w:val="21"/>
                <w:sz w:val="21"/>
                <w:szCs w:val="21"/>
                <w:lang w:val="en-US" w:eastAsia="zh-CN"/>
              </w:rPr>
              <w:t>t/a</w:t>
            </w:r>
          </w:p>
        </w:tc>
        <w:tc>
          <w:tcPr>
            <w:tcW w:w="1356" w:type="dxa"/>
            <w:noWrap w:val="0"/>
            <w:vAlign w:val="center"/>
          </w:tcPr>
          <w:p w14:paraId="44B061A9">
            <w:pPr>
              <w:bidi w:val="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0.006</w:t>
            </w:r>
            <w:r>
              <w:rPr>
                <w:rFonts w:hint="default" w:ascii="Times New Roman" w:hAnsi="Times New Roman" w:cs="Times New Roman"/>
                <w:snapToGrid w:val="0"/>
                <w:color w:val="000000"/>
                <w:kern w:val="21"/>
                <w:sz w:val="21"/>
                <w:szCs w:val="21"/>
                <w:lang w:val="en-US" w:eastAsia="zh-CN"/>
              </w:rPr>
              <w:t>t/a</w:t>
            </w:r>
          </w:p>
        </w:tc>
      </w:tr>
      <w:tr w14:paraId="09C44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1CF6AC29">
            <w:pPr>
              <w:pStyle w:val="42"/>
              <w:spacing w:beforeLines="0" w:afterLines="0" w:line="240" w:lineRule="auto"/>
              <w:rPr>
                <w:rFonts w:hint="eastAsia" w:hAnsi="宋体" w:cs="宋体"/>
                <w:snapToGrid w:val="0"/>
                <w:color w:val="000000"/>
                <w:kern w:val="21"/>
                <w:szCs w:val="21"/>
              </w:rPr>
            </w:pPr>
          </w:p>
        </w:tc>
        <w:tc>
          <w:tcPr>
            <w:tcW w:w="1417" w:type="dxa"/>
            <w:noWrap w:val="0"/>
            <w:vAlign w:val="center"/>
          </w:tcPr>
          <w:p w14:paraId="7886A381">
            <w:pPr>
              <w:pStyle w:val="42"/>
              <w:spacing w:beforeLines="0" w:afterLines="0" w:line="240" w:lineRule="auto"/>
              <w:rPr>
                <w:rFonts w:hint="eastAsia"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动植物油</w:t>
            </w:r>
          </w:p>
        </w:tc>
        <w:tc>
          <w:tcPr>
            <w:tcW w:w="1701" w:type="dxa"/>
            <w:noWrap w:val="0"/>
            <w:vAlign w:val="center"/>
          </w:tcPr>
          <w:p w14:paraId="372C8A45">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141EF378">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646EE81E">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569BA91D">
            <w:pPr>
              <w:pStyle w:val="61"/>
              <w:bidi w:val="0"/>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0.022</w:t>
            </w:r>
            <w:r>
              <w:rPr>
                <w:rFonts w:hint="default" w:ascii="Times New Roman" w:hAnsi="Times New Roman" w:cs="Times New Roman"/>
                <w:snapToGrid w:val="0"/>
                <w:color w:val="000000"/>
                <w:kern w:val="21"/>
                <w:sz w:val="21"/>
                <w:szCs w:val="21"/>
                <w:lang w:val="en-US" w:eastAsia="zh-CN"/>
              </w:rPr>
              <w:t>t/a</w:t>
            </w:r>
          </w:p>
        </w:tc>
        <w:tc>
          <w:tcPr>
            <w:tcW w:w="1523" w:type="dxa"/>
            <w:noWrap w:val="0"/>
            <w:vAlign w:val="center"/>
          </w:tcPr>
          <w:p w14:paraId="662C9FE6">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0D142200">
            <w:pPr>
              <w:bidi w:val="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0.022</w:t>
            </w:r>
            <w:r>
              <w:rPr>
                <w:rFonts w:hint="default" w:ascii="Times New Roman" w:hAnsi="Times New Roman" w:cs="Times New Roman"/>
                <w:snapToGrid w:val="0"/>
                <w:color w:val="000000"/>
                <w:kern w:val="21"/>
                <w:sz w:val="21"/>
                <w:szCs w:val="21"/>
                <w:lang w:val="en-US" w:eastAsia="zh-CN"/>
              </w:rPr>
              <w:t>t/a</w:t>
            </w:r>
          </w:p>
        </w:tc>
        <w:tc>
          <w:tcPr>
            <w:tcW w:w="1356" w:type="dxa"/>
            <w:noWrap w:val="0"/>
            <w:vAlign w:val="center"/>
          </w:tcPr>
          <w:p w14:paraId="52CA3EE2">
            <w:pPr>
              <w:bidi w:val="0"/>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0.022</w:t>
            </w:r>
            <w:r>
              <w:rPr>
                <w:rFonts w:hint="default" w:ascii="Times New Roman" w:hAnsi="Times New Roman" w:cs="Times New Roman"/>
                <w:snapToGrid w:val="0"/>
                <w:color w:val="000000"/>
                <w:kern w:val="21"/>
                <w:sz w:val="21"/>
                <w:szCs w:val="21"/>
                <w:lang w:val="en-US" w:eastAsia="zh-CN"/>
              </w:rPr>
              <w:t>t/a</w:t>
            </w:r>
          </w:p>
        </w:tc>
      </w:tr>
      <w:tr w14:paraId="4D30F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0EF504EF">
            <w:pPr>
              <w:pStyle w:val="42"/>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一般工业</w:t>
            </w:r>
          </w:p>
          <w:p w14:paraId="4D572F14">
            <w:pPr>
              <w:pStyle w:val="42"/>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固体废物</w:t>
            </w:r>
          </w:p>
        </w:tc>
        <w:tc>
          <w:tcPr>
            <w:tcW w:w="1417" w:type="dxa"/>
            <w:noWrap w:val="0"/>
            <w:vAlign w:val="center"/>
          </w:tcPr>
          <w:p w14:paraId="5C7E4632">
            <w:pPr>
              <w:jc w:val="center"/>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废包装材料</w:t>
            </w:r>
          </w:p>
        </w:tc>
        <w:tc>
          <w:tcPr>
            <w:tcW w:w="1701" w:type="dxa"/>
            <w:noWrap w:val="0"/>
            <w:vAlign w:val="center"/>
          </w:tcPr>
          <w:p w14:paraId="6D2D2FE6">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332F104E">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73649781">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4BB59F01">
            <w:pPr>
              <w:pStyle w:val="42"/>
              <w:spacing w:beforeLines="0" w:afterLines="0" w:line="240" w:lineRule="auto"/>
              <w:rPr>
                <w:rFonts w:hint="default" w:ascii="Times New Roman" w:hAnsi="Times New Roman" w:cs="Times New Roman"/>
                <w:snapToGrid w:val="0"/>
                <w:color w:val="000000"/>
                <w:kern w:val="21"/>
                <w:sz w:val="21"/>
                <w:szCs w:val="21"/>
              </w:rPr>
            </w:pPr>
            <w:r>
              <w:rPr>
                <w:rFonts w:hint="eastAsia" w:ascii="Times New Roman" w:cs="Times New Roman"/>
                <w:sz w:val="21"/>
                <w:szCs w:val="21"/>
                <w:lang w:val="en-US" w:eastAsia="zh-CN"/>
              </w:rPr>
              <w:t>0.5</w:t>
            </w:r>
            <w:r>
              <w:rPr>
                <w:rFonts w:hint="default" w:ascii="Times New Roman" w:hAnsi="Times New Roman" w:cs="Times New Roman"/>
                <w:sz w:val="21"/>
                <w:szCs w:val="21"/>
                <w:lang w:val="en-US" w:eastAsia="zh-CN"/>
              </w:rPr>
              <w:t>t/a</w:t>
            </w:r>
          </w:p>
        </w:tc>
        <w:tc>
          <w:tcPr>
            <w:tcW w:w="1523" w:type="dxa"/>
            <w:noWrap w:val="0"/>
            <w:vAlign w:val="center"/>
          </w:tcPr>
          <w:p w14:paraId="060502D0">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12965027">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z w:val="21"/>
                <w:szCs w:val="21"/>
                <w:lang w:val="en-US" w:eastAsia="zh-CN"/>
              </w:rPr>
              <w:t>0.5</w:t>
            </w:r>
            <w:r>
              <w:rPr>
                <w:rFonts w:hint="default" w:ascii="Times New Roman" w:hAnsi="Times New Roman" w:cs="Times New Roman"/>
                <w:sz w:val="21"/>
                <w:szCs w:val="21"/>
                <w:lang w:val="en-US" w:eastAsia="zh-CN"/>
              </w:rPr>
              <w:t>t/a</w:t>
            </w:r>
          </w:p>
        </w:tc>
        <w:tc>
          <w:tcPr>
            <w:tcW w:w="1356" w:type="dxa"/>
            <w:noWrap w:val="0"/>
            <w:vAlign w:val="center"/>
          </w:tcPr>
          <w:p w14:paraId="232219DC">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sz w:val="21"/>
                <w:szCs w:val="21"/>
                <w:lang w:val="en-US" w:eastAsia="zh-CN"/>
              </w:rPr>
              <w:t>0.5</w:t>
            </w:r>
            <w:r>
              <w:rPr>
                <w:rFonts w:hint="default" w:ascii="Times New Roman" w:hAnsi="Times New Roman" w:cs="Times New Roman"/>
                <w:sz w:val="21"/>
                <w:szCs w:val="21"/>
                <w:lang w:val="en-US" w:eastAsia="zh-CN"/>
              </w:rPr>
              <w:t>t/a</w:t>
            </w:r>
          </w:p>
        </w:tc>
      </w:tr>
      <w:tr w14:paraId="3BC4B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7BBF44E7">
            <w:pPr>
              <w:pStyle w:val="42"/>
              <w:spacing w:beforeLines="0" w:afterLines="0" w:line="240" w:lineRule="auto"/>
              <w:rPr>
                <w:rFonts w:hAnsi="宋体" w:cs="宋体"/>
                <w:snapToGrid w:val="0"/>
                <w:color w:val="000000"/>
                <w:kern w:val="21"/>
                <w:szCs w:val="21"/>
              </w:rPr>
            </w:pPr>
          </w:p>
        </w:tc>
        <w:tc>
          <w:tcPr>
            <w:tcW w:w="1417" w:type="dxa"/>
            <w:noWrap w:val="0"/>
            <w:vAlign w:val="center"/>
          </w:tcPr>
          <w:p w14:paraId="207F54B7">
            <w:pPr>
              <w:jc w:val="center"/>
              <w:rPr>
                <w:rFonts w:hint="eastAsia" w:ascii="Times New Roman" w:hAnsi="Times New Roman" w:eastAsia="宋体" w:cs="Times New Roman"/>
                <w:snapToGrid w:val="0"/>
                <w:color w:val="000000"/>
                <w:kern w:val="21"/>
                <w:sz w:val="21"/>
                <w:szCs w:val="21"/>
                <w:highlight w:val="none"/>
                <w:lang w:val="en-US" w:eastAsia="zh-CN" w:bidi="ar-SA"/>
              </w:rPr>
            </w:pPr>
            <w:r>
              <w:rPr>
                <w:rFonts w:hint="eastAsia" w:ascii="Times New Roman" w:hAnsi="Times New Roman" w:eastAsia="宋体" w:cs="Times New Roman"/>
                <w:snapToGrid w:val="0"/>
                <w:color w:val="000000"/>
                <w:kern w:val="21"/>
                <w:sz w:val="21"/>
                <w:szCs w:val="21"/>
                <w:highlight w:val="none"/>
                <w:lang w:val="en-US" w:eastAsia="zh-CN" w:bidi="ar-SA"/>
              </w:rPr>
              <w:t>废边角料</w:t>
            </w:r>
          </w:p>
        </w:tc>
        <w:tc>
          <w:tcPr>
            <w:tcW w:w="1701" w:type="dxa"/>
            <w:noWrap w:val="0"/>
            <w:vAlign w:val="center"/>
          </w:tcPr>
          <w:p w14:paraId="03F43D21">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1D1F7EA4">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5E39AF13">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7442FC2A">
            <w:pPr>
              <w:pStyle w:val="42"/>
              <w:spacing w:beforeLines="0" w:afterLines="0" w:line="240" w:lineRule="auto"/>
              <w:rPr>
                <w:rFonts w:hint="default" w:ascii="Times New Roman" w:hAnsi="Times New Roman" w:cs="Times New Roman"/>
                <w:snapToGrid w:val="0"/>
                <w:color w:val="000000"/>
                <w:kern w:val="21"/>
                <w:sz w:val="21"/>
                <w:szCs w:val="21"/>
              </w:rPr>
            </w:pPr>
            <w:r>
              <w:rPr>
                <w:rFonts w:hint="eastAsia" w:ascii="Times New Roman"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t/a</w:t>
            </w:r>
          </w:p>
        </w:tc>
        <w:tc>
          <w:tcPr>
            <w:tcW w:w="1523" w:type="dxa"/>
            <w:noWrap w:val="0"/>
            <w:vAlign w:val="center"/>
          </w:tcPr>
          <w:p w14:paraId="75CB6D8E">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5D9296A5">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t/a</w:t>
            </w:r>
          </w:p>
        </w:tc>
        <w:tc>
          <w:tcPr>
            <w:tcW w:w="1356" w:type="dxa"/>
            <w:noWrap w:val="0"/>
            <w:vAlign w:val="center"/>
          </w:tcPr>
          <w:p w14:paraId="6C0E2777">
            <w:pPr>
              <w:pStyle w:val="42"/>
              <w:spacing w:beforeLines="0" w:afterLines="0" w:line="240" w:lineRule="auto"/>
              <w:rPr>
                <w:rFonts w:hint="default" w:ascii="Times New Roman" w:hAnsi="Times New Roman" w:eastAsia="宋体" w:cs="Times New Roman"/>
                <w:snapToGrid w:val="0"/>
                <w:color w:val="000000"/>
                <w:kern w:val="21"/>
                <w:sz w:val="21"/>
                <w:szCs w:val="21"/>
                <w:lang w:val="en-US" w:eastAsia="zh-CN" w:bidi="ar-SA"/>
              </w:rPr>
            </w:pPr>
            <w:r>
              <w:rPr>
                <w:rFonts w:hint="eastAsia" w:ascii="Times New Roman"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t/a</w:t>
            </w:r>
          </w:p>
        </w:tc>
      </w:tr>
      <w:tr w14:paraId="4F352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0819EEC2">
            <w:pPr>
              <w:pStyle w:val="42"/>
              <w:spacing w:beforeLines="0" w:afterLines="0" w:line="240" w:lineRule="auto"/>
              <w:rPr>
                <w:rFonts w:hAnsi="宋体" w:cs="宋体"/>
                <w:snapToGrid w:val="0"/>
                <w:color w:val="000000"/>
                <w:kern w:val="21"/>
                <w:szCs w:val="21"/>
              </w:rPr>
            </w:pPr>
          </w:p>
        </w:tc>
        <w:tc>
          <w:tcPr>
            <w:tcW w:w="1417" w:type="dxa"/>
            <w:shd w:val="clear" w:color="auto" w:fill="auto"/>
            <w:noWrap w:val="0"/>
            <w:vAlign w:val="center"/>
          </w:tcPr>
          <w:p w14:paraId="3291F13C">
            <w:pPr>
              <w:pStyle w:val="42"/>
              <w:spacing w:beforeLines="0" w:afterLines="0" w:line="240" w:lineRule="auto"/>
              <w:rPr>
                <w:rFonts w:hint="eastAsia" w:ascii="宋体" w:hAnsi="宋体" w:eastAsia="宋体" w:cs="宋体"/>
                <w:snapToGrid w:val="0"/>
                <w:color w:val="000000"/>
                <w:kern w:val="21"/>
                <w:sz w:val="21"/>
                <w:szCs w:val="21"/>
                <w:lang w:val="en-US" w:eastAsia="zh-CN" w:bidi="ar-SA"/>
              </w:rPr>
            </w:pPr>
            <w:r>
              <w:rPr>
                <w:rFonts w:hint="eastAsia"/>
                <w:lang w:val="en-US" w:eastAsia="zh-CN"/>
              </w:rPr>
              <w:t>废水性涂料桶</w:t>
            </w:r>
          </w:p>
        </w:tc>
        <w:tc>
          <w:tcPr>
            <w:tcW w:w="1701" w:type="dxa"/>
            <w:shd w:val="clear" w:color="auto" w:fill="auto"/>
            <w:noWrap w:val="0"/>
            <w:vAlign w:val="center"/>
          </w:tcPr>
          <w:p w14:paraId="11E34DE7">
            <w:pPr>
              <w:spacing w:beforeLines="0" w:afterLines="0" w:line="240" w:lineRule="auto"/>
              <w:jc w:val="center"/>
              <w:rPr>
                <w:rFonts w:hint="eastAsia" w:ascii="Times New Roman"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276" w:type="dxa"/>
            <w:shd w:val="clear" w:color="auto" w:fill="auto"/>
            <w:noWrap w:val="0"/>
            <w:vAlign w:val="center"/>
          </w:tcPr>
          <w:p w14:paraId="19B24EF3">
            <w:pPr>
              <w:spacing w:beforeLines="0" w:afterLines="0" w:line="240" w:lineRule="auto"/>
              <w:jc w:val="center"/>
              <w:rPr>
                <w:rFonts w:hint="eastAsia" w:ascii="Times New Roman"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701" w:type="dxa"/>
            <w:shd w:val="clear" w:color="auto" w:fill="auto"/>
            <w:noWrap w:val="0"/>
            <w:vAlign w:val="center"/>
          </w:tcPr>
          <w:p w14:paraId="2254BAE8">
            <w:pPr>
              <w:spacing w:beforeLines="0" w:afterLines="0" w:line="240" w:lineRule="auto"/>
              <w:jc w:val="center"/>
              <w:rPr>
                <w:rFonts w:hint="eastAsia" w:ascii="Times New Roman"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559" w:type="dxa"/>
            <w:shd w:val="clear" w:color="auto" w:fill="auto"/>
            <w:noWrap w:val="0"/>
            <w:vAlign w:val="center"/>
          </w:tcPr>
          <w:p w14:paraId="5921345B">
            <w:pPr>
              <w:pStyle w:val="50"/>
              <w:bidi w:val="0"/>
              <w:rPr>
                <w:rFonts w:hint="eastAsia" w:ascii="Times New Roman" w:hAnsi="Times New Roman" w:cs="Times New Roman" w:eastAsiaTheme="minorEastAsia"/>
                <w:color w:val="auto"/>
                <w:kern w:val="2"/>
                <w:sz w:val="21"/>
                <w:szCs w:val="21"/>
                <w:lang w:val="en-US" w:eastAsia="zh-CN" w:bidi="ar-SA"/>
              </w:rPr>
            </w:pPr>
            <w:r>
              <w:rPr>
                <w:rFonts w:hint="eastAsia" w:cs="Times New Roman"/>
                <w:sz w:val="21"/>
                <w:szCs w:val="21"/>
                <w:lang w:val="en-US" w:eastAsia="zh-CN"/>
              </w:rPr>
              <w:t>0.5t</w:t>
            </w:r>
            <w:r>
              <w:rPr>
                <w:rFonts w:hint="default" w:ascii="Times New Roman" w:hAnsi="Times New Roman" w:cs="Times New Roman"/>
                <w:snapToGrid w:val="0"/>
                <w:color w:val="000000"/>
                <w:kern w:val="21"/>
                <w:sz w:val="21"/>
                <w:szCs w:val="21"/>
                <w:lang w:val="en-US" w:eastAsia="zh-CN"/>
              </w:rPr>
              <w:t>/a</w:t>
            </w:r>
          </w:p>
        </w:tc>
        <w:tc>
          <w:tcPr>
            <w:tcW w:w="1523" w:type="dxa"/>
            <w:shd w:val="clear" w:color="auto" w:fill="auto"/>
            <w:noWrap w:val="0"/>
            <w:vAlign w:val="center"/>
          </w:tcPr>
          <w:p w14:paraId="5711D66E">
            <w:pPr>
              <w:spacing w:beforeLines="0" w:afterLines="0" w:line="240" w:lineRule="auto"/>
              <w:jc w:val="center"/>
              <w:rPr>
                <w:rFonts w:hint="eastAsia" w:ascii="Times New Roman"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w:t>
            </w:r>
          </w:p>
        </w:tc>
        <w:tc>
          <w:tcPr>
            <w:tcW w:w="1667" w:type="dxa"/>
            <w:shd w:val="clear" w:color="auto" w:fill="auto"/>
            <w:noWrap w:val="0"/>
            <w:vAlign w:val="center"/>
          </w:tcPr>
          <w:p w14:paraId="209D48A3">
            <w:pPr>
              <w:pStyle w:val="50"/>
              <w:bidi w:val="0"/>
              <w:rPr>
                <w:rFonts w:hint="eastAsia" w:ascii="Times New Roman" w:hAnsi="Times New Roman" w:cs="Times New Roman" w:eastAsiaTheme="minorEastAsia"/>
                <w:color w:val="auto"/>
                <w:kern w:val="2"/>
                <w:sz w:val="21"/>
                <w:szCs w:val="21"/>
                <w:lang w:val="en-US" w:eastAsia="zh-CN" w:bidi="ar-SA"/>
              </w:rPr>
            </w:pPr>
            <w:r>
              <w:rPr>
                <w:rFonts w:hint="eastAsia" w:cs="Times New Roman"/>
                <w:sz w:val="21"/>
                <w:szCs w:val="21"/>
                <w:lang w:val="en-US" w:eastAsia="zh-CN"/>
              </w:rPr>
              <w:t>0.5</w:t>
            </w:r>
            <w:r>
              <w:rPr>
                <w:rFonts w:hint="default" w:ascii="Times New Roman" w:hAnsi="Times New Roman" w:cs="Times New Roman"/>
                <w:snapToGrid w:val="0"/>
                <w:color w:val="000000"/>
                <w:kern w:val="21"/>
                <w:sz w:val="21"/>
                <w:szCs w:val="21"/>
                <w:lang w:val="en-US" w:eastAsia="zh-CN"/>
              </w:rPr>
              <w:t>t/a</w:t>
            </w:r>
          </w:p>
        </w:tc>
        <w:tc>
          <w:tcPr>
            <w:tcW w:w="1356" w:type="dxa"/>
            <w:shd w:val="clear" w:color="auto" w:fill="auto"/>
            <w:noWrap w:val="0"/>
            <w:vAlign w:val="center"/>
          </w:tcPr>
          <w:p w14:paraId="7F357AAC">
            <w:pPr>
              <w:pStyle w:val="50"/>
              <w:bidi w:val="0"/>
              <w:rPr>
                <w:rFonts w:hint="eastAsia" w:ascii="Times New Roman" w:hAnsi="Times New Roman" w:cs="Times New Roman" w:eastAsiaTheme="minorEastAsia"/>
                <w:color w:val="auto"/>
                <w:kern w:val="2"/>
                <w:sz w:val="21"/>
                <w:szCs w:val="21"/>
                <w:lang w:val="en-US" w:eastAsia="zh-CN" w:bidi="ar-SA"/>
              </w:rPr>
            </w:pPr>
            <w:r>
              <w:rPr>
                <w:rFonts w:hint="eastAsia" w:cs="Times New Roman"/>
                <w:snapToGrid w:val="0"/>
                <w:color w:val="000000"/>
                <w:kern w:val="21"/>
                <w:sz w:val="21"/>
                <w:szCs w:val="21"/>
                <w:lang w:val="en-US" w:eastAsia="zh-CN"/>
              </w:rPr>
              <w:t>0.5</w:t>
            </w:r>
            <w:r>
              <w:rPr>
                <w:rFonts w:hint="default" w:ascii="Times New Roman" w:hAnsi="Times New Roman" w:cs="Times New Roman"/>
                <w:snapToGrid w:val="0"/>
                <w:color w:val="000000"/>
                <w:kern w:val="21"/>
                <w:sz w:val="21"/>
                <w:szCs w:val="21"/>
                <w:lang w:val="en-US" w:eastAsia="zh-CN"/>
              </w:rPr>
              <w:t>t/a</w:t>
            </w:r>
          </w:p>
        </w:tc>
      </w:tr>
      <w:tr w14:paraId="296AF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588" w:type="dxa"/>
            <w:vMerge w:val="restart"/>
            <w:noWrap w:val="0"/>
            <w:vAlign w:val="center"/>
          </w:tcPr>
          <w:p w14:paraId="43FBAA4C">
            <w:pPr>
              <w:pStyle w:val="42"/>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危险废物</w:t>
            </w:r>
          </w:p>
        </w:tc>
        <w:tc>
          <w:tcPr>
            <w:tcW w:w="1417" w:type="dxa"/>
            <w:noWrap w:val="0"/>
            <w:vAlign w:val="center"/>
          </w:tcPr>
          <w:p w14:paraId="58CE9D48">
            <w:pPr>
              <w:pStyle w:val="42"/>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废弃活性炭</w:t>
            </w:r>
          </w:p>
        </w:tc>
        <w:tc>
          <w:tcPr>
            <w:tcW w:w="1701" w:type="dxa"/>
            <w:noWrap w:val="0"/>
            <w:vAlign w:val="center"/>
          </w:tcPr>
          <w:p w14:paraId="57808AA6">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0F51A051">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5E06833C">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62B12B95">
            <w:pPr>
              <w:pStyle w:val="50"/>
              <w:bidi w:val="0"/>
              <w:rPr>
                <w:rFonts w:hint="default" w:ascii="Times New Roman" w:hAnsi="Times New Roman" w:cs="Times New Roman" w:eastAsiaTheme="minorEastAsia"/>
                <w:color w:val="auto"/>
                <w:kern w:val="2"/>
                <w:sz w:val="21"/>
                <w:szCs w:val="21"/>
                <w:lang w:val="en-US" w:eastAsia="zh-CN" w:bidi="ar-SA"/>
              </w:rPr>
            </w:pPr>
            <w:r>
              <w:rPr>
                <w:rFonts w:hint="eastAsia" w:cs="Times New Roman"/>
                <w:sz w:val="21"/>
                <w:szCs w:val="21"/>
                <w:lang w:val="en-US" w:eastAsia="zh-CN"/>
              </w:rPr>
              <w:t>3.42</w:t>
            </w:r>
            <w:r>
              <w:rPr>
                <w:rFonts w:hint="default" w:ascii="Times New Roman" w:hAnsi="Times New Roman" w:cs="Times New Roman"/>
                <w:snapToGrid w:val="0"/>
                <w:color w:val="000000"/>
                <w:kern w:val="21"/>
                <w:sz w:val="21"/>
                <w:szCs w:val="21"/>
                <w:lang w:val="en-US" w:eastAsia="zh-CN"/>
              </w:rPr>
              <w:t>t/a</w:t>
            </w:r>
          </w:p>
        </w:tc>
        <w:tc>
          <w:tcPr>
            <w:tcW w:w="1523" w:type="dxa"/>
            <w:noWrap w:val="0"/>
            <w:vAlign w:val="center"/>
          </w:tcPr>
          <w:p w14:paraId="6BCD47B4">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0B5A8D03">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sz w:val="21"/>
                <w:szCs w:val="21"/>
                <w:lang w:val="en-US" w:eastAsia="zh-CN"/>
              </w:rPr>
              <w:t>3.42</w:t>
            </w:r>
            <w:r>
              <w:rPr>
                <w:rFonts w:hint="default" w:ascii="Times New Roman" w:hAnsi="Times New Roman" w:cs="Times New Roman"/>
                <w:snapToGrid w:val="0"/>
                <w:color w:val="000000"/>
                <w:kern w:val="21"/>
                <w:sz w:val="21"/>
                <w:szCs w:val="21"/>
                <w:lang w:val="en-US" w:eastAsia="zh-CN"/>
              </w:rPr>
              <w:t>t/a</w:t>
            </w:r>
          </w:p>
        </w:tc>
        <w:tc>
          <w:tcPr>
            <w:tcW w:w="1356" w:type="dxa"/>
            <w:noWrap w:val="0"/>
            <w:vAlign w:val="center"/>
          </w:tcPr>
          <w:p w14:paraId="37ACE235">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sz w:val="21"/>
                <w:szCs w:val="21"/>
                <w:lang w:val="en-US" w:eastAsia="zh-CN"/>
              </w:rPr>
              <w:t>3.42</w:t>
            </w:r>
            <w:r>
              <w:rPr>
                <w:rFonts w:hint="default" w:ascii="Times New Roman" w:hAnsi="Times New Roman" w:cs="Times New Roman"/>
                <w:snapToGrid w:val="0"/>
                <w:color w:val="000000"/>
                <w:kern w:val="21"/>
                <w:sz w:val="21"/>
                <w:szCs w:val="21"/>
                <w:lang w:val="en-US" w:eastAsia="zh-CN"/>
              </w:rPr>
              <w:t>t/a</w:t>
            </w:r>
          </w:p>
        </w:tc>
      </w:tr>
      <w:tr w14:paraId="590EB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15AF8618">
            <w:pPr>
              <w:pStyle w:val="42"/>
              <w:spacing w:beforeLines="0" w:afterLines="0" w:line="240" w:lineRule="auto"/>
              <w:rPr>
                <w:rFonts w:hAnsi="宋体" w:cs="宋体"/>
                <w:snapToGrid w:val="0"/>
                <w:color w:val="000000"/>
                <w:kern w:val="21"/>
                <w:szCs w:val="21"/>
              </w:rPr>
            </w:pPr>
          </w:p>
        </w:tc>
        <w:tc>
          <w:tcPr>
            <w:tcW w:w="1417" w:type="dxa"/>
            <w:noWrap w:val="0"/>
            <w:vAlign w:val="center"/>
          </w:tcPr>
          <w:p w14:paraId="049A1DA6">
            <w:pPr>
              <w:pStyle w:val="42"/>
              <w:spacing w:beforeLines="0" w:afterLines="0" w:line="240" w:lineRule="auto"/>
              <w:rPr>
                <w:rFonts w:hint="eastAsia" w:hAnsi="宋体" w:cs="宋体"/>
                <w:snapToGrid w:val="0"/>
                <w:color w:val="000000"/>
                <w:kern w:val="21"/>
                <w:szCs w:val="21"/>
              </w:rPr>
            </w:pPr>
            <w:r>
              <w:rPr>
                <w:rFonts w:hint="eastAsia"/>
                <w:lang w:val="en-US" w:eastAsia="zh-CN"/>
              </w:rPr>
              <w:t>废润滑油</w:t>
            </w:r>
          </w:p>
        </w:tc>
        <w:tc>
          <w:tcPr>
            <w:tcW w:w="1701" w:type="dxa"/>
            <w:noWrap w:val="0"/>
            <w:vAlign w:val="center"/>
          </w:tcPr>
          <w:p w14:paraId="677C6BEC">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2556BCFD">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18110250">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2D8A8DFC">
            <w:pPr>
              <w:pStyle w:val="50"/>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sz w:val="21"/>
                <w:szCs w:val="21"/>
                <w:lang w:val="en-US" w:eastAsia="zh-CN"/>
              </w:rPr>
              <w:t>0.0</w:t>
            </w:r>
            <w:r>
              <w:rPr>
                <w:rFonts w:hint="eastAsia" w:cs="Times New Roman"/>
                <w:sz w:val="21"/>
                <w:szCs w:val="21"/>
                <w:lang w:val="en-US" w:eastAsia="zh-CN"/>
              </w:rPr>
              <w:t>5</w:t>
            </w:r>
            <w:r>
              <w:rPr>
                <w:rFonts w:hint="default" w:ascii="Times New Roman" w:hAnsi="Times New Roman" w:cs="Times New Roman"/>
                <w:snapToGrid w:val="0"/>
                <w:color w:val="000000"/>
                <w:kern w:val="21"/>
                <w:sz w:val="21"/>
                <w:szCs w:val="21"/>
                <w:lang w:val="en-US" w:eastAsia="zh-CN"/>
              </w:rPr>
              <w:t>t/a</w:t>
            </w:r>
          </w:p>
        </w:tc>
        <w:tc>
          <w:tcPr>
            <w:tcW w:w="1523" w:type="dxa"/>
            <w:noWrap w:val="0"/>
            <w:vAlign w:val="center"/>
          </w:tcPr>
          <w:p w14:paraId="78F0B94C">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2C704B93">
            <w:pPr>
              <w:pStyle w:val="50"/>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sz w:val="21"/>
                <w:szCs w:val="21"/>
                <w:lang w:val="en-US" w:eastAsia="zh-CN"/>
              </w:rPr>
              <w:t>0.0</w:t>
            </w:r>
            <w:r>
              <w:rPr>
                <w:rFonts w:hint="eastAsia" w:cs="Times New Roman"/>
                <w:sz w:val="21"/>
                <w:szCs w:val="21"/>
                <w:lang w:val="en-US" w:eastAsia="zh-CN"/>
              </w:rPr>
              <w:t>5</w:t>
            </w:r>
            <w:r>
              <w:rPr>
                <w:rFonts w:hint="default" w:ascii="Times New Roman" w:hAnsi="Times New Roman" w:cs="Times New Roman"/>
                <w:snapToGrid w:val="0"/>
                <w:color w:val="000000"/>
                <w:kern w:val="21"/>
                <w:sz w:val="21"/>
                <w:szCs w:val="21"/>
                <w:lang w:val="en-US" w:eastAsia="zh-CN"/>
              </w:rPr>
              <w:t>t/a</w:t>
            </w:r>
          </w:p>
        </w:tc>
        <w:tc>
          <w:tcPr>
            <w:tcW w:w="1356" w:type="dxa"/>
            <w:noWrap w:val="0"/>
            <w:vAlign w:val="center"/>
          </w:tcPr>
          <w:p w14:paraId="31171872">
            <w:pPr>
              <w:pStyle w:val="50"/>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sz w:val="21"/>
                <w:szCs w:val="21"/>
                <w:lang w:val="en-US" w:eastAsia="zh-CN"/>
              </w:rPr>
              <w:t>0.0</w:t>
            </w:r>
            <w:r>
              <w:rPr>
                <w:rFonts w:hint="eastAsia" w:cs="Times New Roman"/>
                <w:sz w:val="21"/>
                <w:szCs w:val="21"/>
                <w:lang w:val="en-US" w:eastAsia="zh-CN"/>
              </w:rPr>
              <w:t>5</w:t>
            </w:r>
            <w:r>
              <w:rPr>
                <w:rFonts w:hint="default" w:ascii="Times New Roman" w:hAnsi="Times New Roman" w:cs="Times New Roman"/>
                <w:snapToGrid w:val="0"/>
                <w:color w:val="000000"/>
                <w:kern w:val="21"/>
                <w:sz w:val="21"/>
                <w:szCs w:val="21"/>
                <w:lang w:val="en-US" w:eastAsia="zh-CN"/>
              </w:rPr>
              <w:t>t/a</w:t>
            </w:r>
          </w:p>
        </w:tc>
      </w:tr>
      <w:tr w14:paraId="41D28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0938FDAE">
            <w:pPr>
              <w:pStyle w:val="42"/>
              <w:spacing w:beforeLines="0" w:afterLines="0" w:line="240" w:lineRule="auto"/>
              <w:rPr>
                <w:rFonts w:hAnsi="宋体" w:cs="宋体"/>
                <w:snapToGrid w:val="0"/>
                <w:color w:val="000000"/>
                <w:kern w:val="21"/>
                <w:szCs w:val="21"/>
              </w:rPr>
            </w:pPr>
          </w:p>
        </w:tc>
        <w:tc>
          <w:tcPr>
            <w:tcW w:w="1417" w:type="dxa"/>
            <w:noWrap w:val="0"/>
            <w:vAlign w:val="center"/>
          </w:tcPr>
          <w:p w14:paraId="2539D02C">
            <w:pPr>
              <w:pStyle w:val="42"/>
              <w:spacing w:beforeLines="0" w:afterLines="0" w:line="240" w:lineRule="auto"/>
              <w:rPr>
                <w:rFonts w:hint="eastAsia" w:hAnsi="宋体" w:cs="宋体"/>
                <w:snapToGrid w:val="0"/>
                <w:color w:val="000000"/>
                <w:kern w:val="21"/>
                <w:szCs w:val="21"/>
              </w:rPr>
            </w:pPr>
            <w:r>
              <w:rPr>
                <w:rFonts w:hint="eastAsia"/>
                <w:lang w:val="en-US" w:eastAsia="zh-CN"/>
              </w:rPr>
              <w:t>废润滑油桶</w:t>
            </w:r>
          </w:p>
        </w:tc>
        <w:tc>
          <w:tcPr>
            <w:tcW w:w="1701" w:type="dxa"/>
            <w:noWrap w:val="0"/>
            <w:vAlign w:val="center"/>
          </w:tcPr>
          <w:p w14:paraId="118DA104">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276" w:type="dxa"/>
            <w:noWrap w:val="0"/>
            <w:vAlign w:val="center"/>
          </w:tcPr>
          <w:p w14:paraId="2A02AD28">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701" w:type="dxa"/>
            <w:noWrap w:val="0"/>
            <w:vAlign w:val="center"/>
          </w:tcPr>
          <w:p w14:paraId="382A40DE">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559" w:type="dxa"/>
            <w:noWrap w:val="0"/>
            <w:vAlign w:val="center"/>
          </w:tcPr>
          <w:p w14:paraId="4ADA9C7D">
            <w:pPr>
              <w:pStyle w:val="50"/>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sz w:val="21"/>
                <w:szCs w:val="21"/>
                <w:lang w:val="en-US" w:eastAsia="zh-CN"/>
              </w:rPr>
              <w:t>0.0</w:t>
            </w:r>
            <w:r>
              <w:rPr>
                <w:rFonts w:hint="eastAsia" w:cs="Times New Roman"/>
                <w:sz w:val="21"/>
                <w:szCs w:val="21"/>
                <w:lang w:val="en-US" w:eastAsia="zh-CN"/>
              </w:rPr>
              <w:t>05</w:t>
            </w:r>
            <w:r>
              <w:rPr>
                <w:rFonts w:hint="default" w:ascii="Times New Roman" w:hAnsi="Times New Roman" w:cs="Times New Roman"/>
                <w:snapToGrid w:val="0"/>
                <w:color w:val="000000"/>
                <w:kern w:val="21"/>
                <w:sz w:val="21"/>
                <w:szCs w:val="21"/>
                <w:lang w:val="en-US" w:eastAsia="zh-CN"/>
              </w:rPr>
              <w:t>t/a</w:t>
            </w:r>
          </w:p>
        </w:tc>
        <w:tc>
          <w:tcPr>
            <w:tcW w:w="1523" w:type="dxa"/>
            <w:noWrap w:val="0"/>
            <w:vAlign w:val="center"/>
          </w:tcPr>
          <w:p w14:paraId="11B74077">
            <w:pPr>
              <w:spacing w:beforeLines="0" w:afterLines="0" w:line="240" w:lineRule="auto"/>
              <w:jc w:val="center"/>
              <w:rPr>
                <w:rFonts w:hAnsi="宋体" w:cs="宋体"/>
                <w:snapToGrid w:val="0"/>
                <w:color w:val="000000"/>
                <w:kern w:val="21"/>
                <w:szCs w:val="21"/>
              </w:rPr>
            </w:pPr>
            <w:r>
              <w:rPr>
                <w:rFonts w:hint="eastAsia" w:hAnsi="宋体" w:cs="宋体"/>
                <w:snapToGrid w:val="0"/>
                <w:color w:val="000000"/>
                <w:kern w:val="21"/>
                <w:szCs w:val="21"/>
                <w:lang w:val="en-US" w:eastAsia="zh-CN"/>
              </w:rPr>
              <w:t>/</w:t>
            </w:r>
          </w:p>
        </w:tc>
        <w:tc>
          <w:tcPr>
            <w:tcW w:w="1667" w:type="dxa"/>
            <w:noWrap w:val="0"/>
            <w:vAlign w:val="center"/>
          </w:tcPr>
          <w:p w14:paraId="2004D1BD">
            <w:pPr>
              <w:pStyle w:val="50"/>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sz w:val="21"/>
                <w:szCs w:val="21"/>
                <w:lang w:val="en-US" w:eastAsia="zh-CN"/>
              </w:rPr>
              <w:t>0.0</w:t>
            </w:r>
            <w:r>
              <w:rPr>
                <w:rFonts w:hint="eastAsia" w:cs="Times New Roman"/>
                <w:sz w:val="21"/>
                <w:szCs w:val="21"/>
                <w:lang w:val="en-US" w:eastAsia="zh-CN"/>
              </w:rPr>
              <w:t>05</w:t>
            </w:r>
            <w:r>
              <w:rPr>
                <w:rFonts w:hint="default" w:ascii="Times New Roman" w:hAnsi="Times New Roman" w:cs="Times New Roman"/>
                <w:snapToGrid w:val="0"/>
                <w:color w:val="000000"/>
                <w:kern w:val="21"/>
                <w:sz w:val="21"/>
                <w:szCs w:val="21"/>
                <w:lang w:val="en-US" w:eastAsia="zh-CN"/>
              </w:rPr>
              <w:t>t/a</w:t>
            </w:r>
          </w:p>
        </w:tc>
        <w:tc>
          <w:tcPr>
            <w:tcW w:w="1356" w:type="dxa"/>
            <w:noWrap w:val="0"/>
            <w:vAlign w:val="center"/>
          </w:tcPr>
          <w:p w14:paraId="461120C1">
            <w:pPr>
              <w:pStyle w:val="50"/>
              <w:bidi w:val="0"/>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sz w:val="21"/>
                <w:szCs w:val="21"/>
                <w:lang w:val="en-US" w:eastAsia="zh-CN"/>
              </w:rPr>
              <w:t>0.0</w:t>
            </w:r>
            <w:r>
              <w:rPr>
                <w:rFonts w:hint="eastAsia" w:cs="Times New Roman"/>
                <w:sz w:val="21"/>
                <w:szCs w:val="21"/>
                <w:lang w:val="en-US" w:eastAsia="zh-CN"/>
              </w:rPr>
              <w:t>05</w:t>
            </w:r>
            <w:r>
              <w:rPr>
                <w:rFonts w:hint="default" w:ascii="Times New Roman" w:hAnsi="Times New Roman" w:cs="Times New Roman"/>
                <w:snapToGrid w:val="0"/>
                <w:color w:val="000000"/>
                <w:kern w:val="21"/>
                <w:sz w:val="21"/>
                <w:szCs w:val="21"/>
                <w:lang w:val="en-US" w:eastAsia="zh-CN"/>
              </w:rPr>
              <w:t>t/a</w:t>
            </w:r>
          </w:p>
        </w:tc>
      </w:tr>
      <w:tr w14:paraId="6A286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5EE0FBD">
            <w:pPr>
              <w:pStyle w:val="42"/>
              <w:spacing w:beforeLines="0" w:afterLines="0" w:line="240" w:lineRule="auto"/>
              <w:rPr>
                <w:rFonts w:hAnsi="宋体" w:cs="宋体"/>
                <w:snapToGrid w:val="0"/>
                <w:color w:val="000000"/>
                <w:kern w:val="21"/>
                <w:szCs w:val="21"/>
              </w:rPr>
            </w:pPr>
          </w:p>
        </w:tc>
        <w:tc>
          <w:tcPr>
            <w:tcW w:w="1417" w:type="dxa"/>
            <w:noWrap w:val="0"/>
            <w:vAlign w:val="center"/>
          </w:tcPr>
          <w:p w14:paraId="41582895">
            <w:pPr>
              <w:pStyle w:val="42"/>
              <w:spacing w:beforeLines="0" w:afterLines="0" w:line="240" w:lineRule="auto"/>
              <w:rPr>
                <w:rFonts w:hint="default"/>
                <w:lang w:val="en-US" w:eastAsia="zh-CN"/>
              </w:rPr>
            </w:pPr>
            <w:r>
              <w:rPr>
                <w:rFonts w:hint="eastAsia"/>
                <w:lang w:val="en-US" w:eastAsia="zh-CN"/>
              </w:rPr>
              <w:t>清洗废渣</w:t>
            </w:r>
          </w:p>
        </w:tc>
        <w:tc>
          <w:tcPr>
            <w:tcW w:w="1701" w:type="dxa"/>
            <w:noWrap w:val="0"/>
            <w:vAlign w:val="center"/>
          </w:tcPr>
          <w:p w14:paraId="4BD0C859">
            <w:pPr>
              <w:spacing w:beforeLines="0" w:afterLines="0" w:line="240" w:lineRule="auto"/>
              <w:jc w:val="center"/>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276" w:type="dxa"/>
            <w:noWrap w:val="0"/>
            <w:vAlign w:val="center"/>
          </w:tcPr>
          <w:p w14:paraId="0BFEEA9D">
            <w:pPr>
              <w:spacing w:beforeLines="0" w:afterLines="0" w:line="240" w:lineRule="auto"/>
              <w:jc w:val="center"/>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noWrap w:val="0"/>
            <w:vAlign w:val="center"/>
          </w:tcPr>
          <w:p w14:paraId="1B6A7FB3">
            <w:pPr>
              <w:spacing w:beforeLines="0" w:afterLines="0" w:line="240" w:lineRule="auto"/>
              <w:jc w:val="center"/>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noWrap w:val="0"/>
            <w:vAlign w:val="center"/>
          </w:tcPr>
          <w:p w14:paraId="16E305FA">
            <w:pPr>
              <w:pStyle w:val="50"/>
              <w:bidi w:val="0"/>
              <w:rPr>
                <w:rFonts w:hint="default" w:ascii="Times New Roman" w:hAnsi="Times New Roman" w:cs="Times New Roman"/>
                <w:sz w:val="21"/>
                <w:szCs w:val="21"/>
                <w:lang w:val="en-US" w:eastAsia="zh-CN"/>
              </w:rPr>
            </w:pPr>
            <w:r>
              <w:rPr>
                <w:rFonts w:hint="eastAsia" w:cs="Times New Roman"/>
                <w:sz w:val="21"/>
                <w:szCs w:val="21"/>
                <w:lang w:val="en-US" w:eastAsia="zh-CN"/>
              </w:rPr>
              <w:t>0.06t/a</w:t>
            </w:r>
          </w:p>
        </w:tc>
        <w:tc>
          <w:tcPr>
            <w:tcW w:w="1523" w:type="dxa"/>
            <w:noWrap w:val="0"/>
            <w:vAlign w:val="center"/>
          </w:tcPr>
          <w:p w14:paraId="2965FDB8">
            <w:pPr>
              <w:spacing w:beforeLines="0" w:afterLines="0" w:line="240" w:lineRule="auto"/>
              <w:jc w:val="center"/>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667" w:type="dxa"/>
            <w:noWrap w:val="0"/>
            <w:vAlign w:val="center"/>
          </w:tcPr>
          <w:p w14:paraId="6C79C97B">
            <w:pPr>
              <w:pStyle w:val="50"/>
              <w:bidi w:val="0"/>
              <w:rPr>
                <w:rFonts w:hint="default" w:ascii="Times New Roman" w:hAnsi="Times New Roman" w:cs="Times New Roman"/>
                <w:sz w:val="21"/>
                <w:szCs w:val="21"/>
                <w:lang w:val="en-US" w:eastAsia="zh-CN"/>
              </w:rPr>
            </w:pPr>
            <w:r>
              <w:rPr>
                <w:rFonts w:hint="eastAsia" w:cs="Times New Roman"/>
                <w:sz w:val="21"/>
                <w:szCs w:val="21"/>
                <w:lang w:val="en-US" w:eastAsia="zh-CN"/>
              </w:rPr>
              <w:t>0.06t/a</w:t>
            </w:r>
          </w:p>
        </w:tc>
        <w:tc>
          <w:tcPr>
            <w:tcW w:w="1356" w:type="dxa"/>
            <w:noWrap w:val="0"/>
            <w:vAlign w:val="center"/>
          </w:tcPr>
          <w:p w14:paraId="7ED14A1F">
            <w:pPr>
              <w:pStyle w:val="50"/>
              <w:bidi w:val="0"/>
              <w:rPr>
                <w:rFonts w:hint="default" w:ascii="Times New Roman" w:hAnsi="Times New Roman" w:cs="Times New Roman"/>
                <w:sz w:val="21"/>
                <w:szCs w:val="21"/>
                <w:lang w:val="en-US" w:eastAsia="zh-CN"/>
              </w:rPr>
            </w:pPr>
            <w:r>
              <w:rPr>
                <w:rFonts w:hint="eastAsia" w:cs="Times New Roman"/>
                <w:sz w:val="21"/>
                <w:szCs w:val="21"/>
                <w:lang w:val="en-US" w:eastAsia="zh-CN"/>
              </w:rPr>
              <w:t>0.06t/a</w:t>
            </w:r>
          </w:p>
        </w:tc>
      </w:tr>
    </w:tbl>
    <w:p w14:paraId="3C9E00FC">
      <w:pPr>
        <w:pStyle w:val="42"/>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sectPr>
      <w:footerReference r:id="rId8" w:type="default"/>
      <w:pgSz w:w="16838" w:h="11906" w:orient="landscape"/>
      <w:pgMar w:top="1531" w:right="1701" w:bottom="1531" w:left="170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D347FA-41A3-4F91-B199-111BBB18AA3C}"/>
  </w:font>
  <w:font w:name="黑体">
    <w:panose1 w:val="02010609060101010101"/>
    <w:charset w:val="86"/>
    <w:family w:val="auto"/>
    <w:pitch w:val="default"/>
    <w:sig w:usb0="800002BF" w:usb1="38CF7CFA" w:usb2="00000016" w:usb3="00000000" w:csb0="00040001" w:csb1="00000000"/>
    <w:embedRegular r:id="rId2" w:fontKey="{A5911AFC-B8E7-4618-818D-F9C7135CA8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embedRegular r:id="rId3" w:fontKey="{1606A2A4-6900-4B25-B61E-D771E9B565C7}"/>
  </w:font>
  <w:font w:name="仿宋_GB2312">
    <w:panose1 w:val="02010609030101010101"/>
    <w:charset w:val="86"/>
    <w:family w:val="modern"/>
    <w:pitch w:val="default"/>
    <w:sig w:usb0="00000001" w:usb1="080E0000" w:usb2="00000000" w:usb3="00000000" w:csb0="00040000" w:csb1="00000000"/>
    <w:embedRegular r:id="rId4" w:fontKey="{D3A25E81-8D9B-44C6-8C60-C1A1E3CCA658}"/>
  </w:font>
  <w:font w:name="方正小标宋_GBK">
    <w:panose1 w:val="02000000000000000000"/>
    <w:charset w:val="86"/>
    <w:family w:val="script"/>
    <w:pitch w:val="default"/>
    <w:sig w:usb0="00000001" w:usb1="080E0000" w:usb2="00000000" w:usb3="00000000" w:csb0="00040000" w:csb1="00000000"/>
    <w:embedRegular r:id="rId5" w:fontKey="{68257DE5-90CA-4D81-B3D6-24E9F120B2C6}"/>
  </w:font>
  <w:font w:name="楷体_GB2312">
    <w:altName w:val="楷体"/>
    <w:panose1 w:val="02010609030101010101"/>
    <w:charset w:val="86"/>
    <w:family w:val="modern"/>
    <w:pitch w:val="default"/>
    <w:sig w:usb0="00000000" w:usb1="00000000" w:usb2="00000000" w:usb3="00000000" w:csb0="00040000" w:csb1="00000000"/>
    <w:embedRegular r:id="rId6" w:fontKey="{7B10983C-D887-4256-9FF6-A3805DBD513B}"/>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embedRegular r:id="rId7" w:fontKey="{FC093596-82C6-4A84-A213-E9FD7D78FC4B}"/>
  </w:font>
  <w:font w:name="Wingdings 2">
    <w:altName w:val="Wingdings"/>
    <w:panose1 w:val="05020102010507070707"/>
    <w:charset w:val="02"/>
    <w:family w:val="roman"/>
    <w:pitch w:val="default"/>
    <w:sig w:usb0="00000000" w:usb1="00000000" w:usb2="00000000" w:usb3="00000000" w:csb0="80000000" w:csb1="00000000"/>
    <w:embedRegular r:id="rId8" w:fontKey="{F01CEDFF-5B16-4551-AB7A-7AC3F5A9AB64}"/>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AF31">
    <w:pPr>
      <w:pStyle w:val="15"/>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19E35">
    <w:pPr>
      <w:pStyle w:val="15"/>
      <w:framePr w:wrap="around" w:vAnchor="text" w:hAnchor="margin" w:xAlign="center" w:y="1"/>
      <w:rPr>
        <w:rStyle w:val="27"/>
      </w:rPr>
    </w:pPr>
    <w:r>
      <w:fldChar w:fldCharType="begin"/>
    </w:r>
    <w:r>
      <w:rPr>
        <w:rStyle w:val="27"/>
      </w:rPr>
      <w:instrText xml:space="preserve">PAGE  </w:instrText>
    </w:r>
    <w:r>
      <w:fldChar w:fldCharType="end"/>
    </w:r>
  </w:p>
  <w:p w14:paraId="01767E98">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5AC9D">
    <w:pPr>
      <w:pStyle w:val="15"/>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36CED">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3UTeABAADBAwAADgAAAGRycy9lMm9Eb2MueG1srVNLjhMxEN0jcQfL&#10;e+JOk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nq+y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Mhd1E3gAQAAwQMAAA4AAAAA&#10;AAAAAQAgAAAAHgEAAGRycy9lMm9Eb2MueG1sUEsFBgAAAAAGAAYAWQEAAHAFAAAAAA==&#10;">
              <v:fill on="f" focussize="0,0"/>
              <v:stroke on="f"/>
              <v:imagedata o:title=""/>
              <o:lock v:ext="edit" aspectratio="f"/>
              <v:textbox inset="0mm,0mm,0mm,0mm" style="mso-fit-shape-to-text:t;">
                <w:txbxContent>
                  <w:p w14:paraId="7D836CED">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2BF91">
    <w:pPr>
      <w:pStyle w:val="15"/>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C66D53">
                          <w:pPr>
                            <w:pStyle w:val="15"/>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UaF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ovOHPC0sDPP76ff/4+//rG&#10;5uXVV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jBRoV4QEAAMEDAAAOAAAA&#10;AAAAAAEAIAAAAB4BAABkcnMvZTJvRG9jLnhtbFBLBQYAAAAABgAGAFkBAABxBQAAAAA=&#10;">
              <v:fill on="f" focussize="0,0"/>
              <v:stroke on="f"/>
              <v:imagedata o:title=""/>
              <o:lock v:ext="edit" aspectratio="f"/>
              <v:textbox inset="0mm,0mm,0mm,0mm" style="mso-fit-shape-to-text:t;">
                <w:txbxContent>
                  <w:p w14:paraId="42C66D53">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335C8">
    <w:pPr>
      <w:pStyle w:val="15"/>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1632B9">
                          <w:pPr>
                            <w:pStyle w:val="15"/>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W5UHu4QEAAMEDAAAOAAAA&#10;AAAAAAEAIAAAAB4BAABkcnMvZTJvRG9jLnhtbFBLBQYAAAAABgAGAFkBAABxBQAAAAA=&#10;">
              <v:fill on="f" focussize="0,0"/>
              <v:stroke on="f"/>
              <v:imagedata o:title=""/>
              <o:lock v:ext="edit" aspectratio="f"/>
              <v:textbox inset="0mm,0mm,0mm,0mm" style="mso-fit-shape-to-text:t;">
                <w:txbxContent>
                  <w:p w14:paraId="101632B9">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7B526">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2FB78"/>
    <w:multiLevelType w:val="singleLevel"/>
    <w:tmpl w:val="91E2FB78"/>
    <w:lvl w:ilvl="0" w:tentative="0">
      <w:start w:val="1"/>
      <w:numFmt w:val="decimal"/>
      <w:suff w:val="nothing"/>
      <w:lvlText w:val="%1、"/>
      <w:lvlJc w:val="left"/>
    </w:lvl>
  </w:abstractNum>
  <w:abstractNum w:abstractNumId="1">
    <w:nsid w:val="B6BA8DC1"/>
    <w:multiLevelType w:val="singleLevel"/>
    <w:tmpl w:val="B6BA8DC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Y2JmYzgyZjk2NGIyN2ZlYWM1NDcxZjYxMGNmMGIifQ=="/>
  </w:docVars>
  <w:rsids>
    <w:rsidRoot w:val="00A14947"/>
    <w:rsid w:val="000060B3"/>
    <w:rsid w:val="0004364B"/>
    <w:rsid w:val="00061B1F"/>
    <w:rsid w:val="000733C4"/>
    <w:rsid w:val="00074783"/>
    <w:rsid w:val="0008070B"/>
    <w:rsid w:val="000810AC"/>
    <w:rsid w:val="00081A02"/>
    <w:rsid w:val="00082231"/>
    <w:rsid w:val="00092D38"/>
    <w:rsid w:val="0009377B"/>
    <w:rsid w:val="00094175"/>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4F67"/>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8B26DF"/>
    <w:rsid w:val="02697903"/>
    <w:rsid w:val="02BC7DEE"/>
    <w:rsid w:val="02F96569"/>
    <w:rsid w:val="03D251BA"/>
    <w:rsid w:val="03EA7B21"/>
    <w:rsid w:val="04F7068F"/>
    <w:rsid w:val="05F83EAE"/>
    <w:rsid w:val="063E7D85"/>
    <w:rsid w:val="07293586"/>
    <w:rsid w:val="07295285"/>
    <w:rsid w:val="07636392"/>
    <w:rsid w:val="076E3F95"/>
    <w:rsid w:val="07770C56"/>
    <w:rsid w:val="077F73E9"/>
    <w:rsid w:val="07AB4678"/>
    <w:rsid w:val="092217DD"/>
    <w:rsid w:val="093A7294"/>
    <w:rsid w:val="097950BE"/>
    <w:rsid w:val="09AF601C"/>
    <w:rsid w:val="0A263993"/>
    <w:rsid w:val="0A2D3AC2"/>
    <w:rsid w:val="0AA755DF"/>
    <w:rsid w:val="0B120D44"/>
    <w:rsid w:val="0BD27BF6"/>
    <w:rsid w:val="0C3B3C7D"/>
    <w:rsid w:val="0CAB2EAE"/>
    <w:rsid w:val="0D621C7D"/>
    <w:rsid w:val="0E56100F"/>
    <w:rsid w:val="0E73034D"/>
    <w:rsid w:val="0E872614"/>
    <w:rsid w:val="0EB714B0"/>
    <w:rsid w:val="0EBB11A0"/>
    <w:rsid w:val="0F13775A"/>
    <w:rsid w:val="0F5F45FE"/>
    <w:rsid w:val="0F9A112B"/>
    <w:rsid w:val="0F9F6DE7"/>
    <w:rsid w:val="0FDC470E"/>
    <w:rsid w:val="0FF7237E"/>
    <w:rsid w:val="105C4D32"/>
    <w:rsid w:val="106D2F64"/>
    <w:rsid w:val="10B63710"/>
    <w:rsid w:val="10F10820"/>
    <w:rsid w:val="111C2F7A"/>
    <w:rsid w:val="11665CA1"/>
    <w:rsid w:val="11D53FD6"/>
    <w:rsid w:val="13951726"/>
    <w:rsid w:val="14396509"/>
    <w:rsid w:val="14DD2C3C"/>
    <w:rsid w:val="14FD1510"/>
    <w:rsid w:val="15001CD4"/>
    <w:rsid w:val="15161AC5"/>
    <w:rsid w:val="16087E1D"/>
    <w:rsid w:val="167F2A55"/>
    <w:rsid w:val="16913315"/>
    <w:rsid w:val="17701D14"/>
    <w:rsid w:val="17735226"/>
    <w:rsid w:val="189F624C"/>
    <w:rsid w:val="19F25F17"/>
    <w:rsid w:val="1A1C66C0"/>
    <w:rsid w:val="1A42393B"/>
    <w:rsid w:val="1AAD45DE"/>
    <w:rsid w:val="1B046F80"/>
    <w:rsid w:val="1B3267B5"/>
    <w:rsid w:val="1B40161D"/>
    <w:rsid w:val="1B441859"/>
    <w:rsid w:val="1B6606B1"/>
    <w:rsid w:val="1BA84030"/>
    <w:rsid w:val="1C5E7925"/>
    <w:rsid w:val="1CFD070F"/>
    <w:rsid w:val="1D377652"/>
    <w:rsid w:val="1D5020A4"/>
    <w:rsid w:val="1D5F6196"/>
    <w:rsid w:val="1D6132A5"/>
    <w:rsid w:val="1D8E56D5"/>
    <w:rsid w:val="1E186433"/>
    <w:rsid w:val="1E73352B"/>
    <w:rsid w:val="1E7A43DA"/>
    <w:rsid w:val="1EA04D12"/>
    <w:rsid w:val="1FB32403"/>
    <w:rsid w:val="1FE7539E"/>
    <w:rsid w:val="200450D6"/>
    <w:rsid w:val="20671BE0"/>
    <w:rsid w:val="20963CB8"/>
    <w:rsid w:val="20A81A1B"/>
    <w:rsid w:val="20B07FB6"/>
    <w:rsid w:val="20B646FB"/>
    <w:rsid w:val="213B74B1"/>
    <w:rsid w:val="215A2310"/>
    <w:rsid w:val="21DE318A"/>
    <w:rsid w:val="21EF5B80"/>
    <w:rsid w:val="22265430"/>
    <w:rsid w:val="22576990"/>
    <w:rsid w:val="22F47480"/>
    <w:rsid w:val="2350182B"/>
    <w:rsid w:val="23DE1C48"/>
    <w:rsid w:val="240210CD"/>
    <w:rsid w:val="2449259F"/>
    <w:rsid w:val="24932AF4"/>
    <w:rsid w:val="24BF09F7"/>
    <w:rsid w:val="24D33BE4"/>
    <w:rsid w:val="25190CB2"/>
    <w:rsid w:val="252D53FE"/>
    <w:rsid w:val="256D5CB7"/>
    <w:rsid w:val="25EC2D81"/>
    <w:rsid w:val="262725B4"/>
    <w:rsid w:val="2634394D"/>
    <w:rsid w:val="276C301B"/>
    <w:rsid w:val="277057A2"/>
    <w:rsid w:val="28E026ED"/>
    <w:rsid w:val="28EC600C"/>
    <w:rsid w:val="29206EB8"/>
    <w:rsid w:val="29595666"/>
    <w:rsid w:val="29874881"/>
    <w:rsid w:val="29E325E0"/>
    <w:rsid w:val="2A452503"/>
    <w:rsid w:val="2AA41D6D"/>
    <w:rsid w:val="2BA936A8"/>
    <w:rsid w:val="2C315A5A"/>
    <w:rsid w:val="2C4B1C25"/>
    <w:rsid w:val="2CC66E03"/>
    <w:rsid w:val="2D9E56F5"/>
    <w:rsid w:val="2DAB0A1B"/>
    <w:rsid w:val="2E667F96"/>
    <w:rsid w:val="2E8226AB"/>
    <w:rsid w:val="2E9A6456"/>
    <w:rsid w:val="2FD065E6"/>
    <w:rsid w:val="2FD96870"/>
    <w:rsid w:val="30580BC9"/>
    <w:rsid w:val="311E2ED7"/>
    <w:rsid w:val="315619EE"/>
    <w:rsid w:val="315C449C"/>
    <w:rsid w:val="31B82709"/>
    <w:rsid w:val="31D05482"/>
    <w:rsid w:val="31F23518"/>
    <w:rsid w:val="32400B34"/>
    <w:rsid w:val="329E6876"/>
    <w:rsid w:val="333015F2"/>
    <w:rsid w:val="334B6320"/>
    <w:rsid w:val="33D934D4"/>
    <w:rsid w:val="33F344AD"/>
    <w:rsid w:val="33FE2F6A"/>
    <w:rsid w:val="340E07E5"/>
    <w:rsid w:val="34235BF7"/>
    <w:rsid w:val="358C5FA8"/>
    <w:rsid w:val="3598340C"/>
    <w:rsid w:val="35C15DF1"/>
    <w:rsid w:val="36074A7F"/>
    <w:rsid w:val="36511F38"/>
    <w:rsid w:val="367009BD"/>
    <w:rsid w:val="36923549"/>
    <w:rsid w:val="36A47473"/>
    <w:rsid w:val="36B75FBF"/>
    <w:rsid w:val="36BD0C45"/>
    <w:rsid w:val="36FF03C7"/>
    <w:rsid w:val="37E00298"/>
    <w:rsid w:val="3827480A"/>
    <w:rsid w:val="385775AE"/>
    <w:rsid w:val="38B302F9"/>
    <w:rsid w:val="38D00E95"/>
    <w:rsid w:val="38F12CD3"/>
    <w:rsid w:val="38F94775"/>
    <w:rsid w:val="390B4B5C"/>
    <w:rsid w:val="392971ED"/>
    <w:rsid w:val="39325651"/>
    <w:rsid w:val="39B349D5"/>
    <w:rsid w:val="39EF52FD"/>
    <w:rsid w:val="3A872856"/>
    <w:rsid w:val="3AB96D7A"/>
    <w:rsid w:val="3B3763D1"/>
    <w:rsid w:val="3C2F6E1E"/>
    <w:rsid w:val="3C4F64BA"/>
    <w:rsid w:val="3C784013"/>
    <w:rsid w:val="3C9520A7"/>
    <w:rsid w:val="3CDA245A"/>
    <w:rsid w:val="3D1E06B7"/>
    <w:rsid w:val="3DBA62BA"/>
    <w:rsid w:val="3EDA0523"/>
    <w:rsid w:val="3F2C7CCD"/>
    <w:rsid w:val="40073668"/>
    <w:rsid w:val="407A6407"/>
    <w:rsid w:val="40B670C8"/>
    <w:rsid w:val="41DF1EF0"/>
    <w:rsid w:val="41FD6376"/>
    <w:rsid w:val="4200449D"/>
    <w:rsid w:val="423A3BCC"/>
    <w:rsid w:val="424E57D2"/>
    <w:rsid w:val="42967195"/>
    <w:rsid w:val="42B26C49"/>
    <w:rsid w:val="433A6FE6"/>
    <w:rsid w:val="43480868"/>
    <w:rsid w:val="4350713C"/>
    <w:rsid w:val="436653E0"/>
    <w:rsid w:val="43C4431A"/>
    <w:rsid w:val="4401095D"/>
    <w:rsid w:val="44B951CC"/>
    <w:rsid w:val="44C50C4C"/>
    <w:rsid w:val="44CD14E0"/>
    <w:rsid w:val="44F20B0B"/>
    <w:rsid w:val="452E5F4C"/>
    <w:rsid w:val="45473F93"/>
    <w:rsid w:val="45612018"/>
    <w:rsid w:val="45637592"/>
    <w:rsid w:val="458946E9"/>
    <w:rsid w:val="45A47C0E"/>
    <w:rsid w:val="46577FD6"/>
    <w:rsid w:val="46C03BD8"/>
    <w:rsid w:val="46D955A7"/>
    <w:rsid w:val="46DC23DE"/>
    <w:rsid w:val="47133957"/>
    <w:rsid w:val="47143233"/>
    <w:rsid w:val="47A07E0C"/>
    <w:rsid w:val="482128AE"/>
    <w:rsid w:val="483A6045"/>
    <w:rsid w:val="4870272E"/>
    <w:rsid w:val="48B46976"/>
    <w:rsid w:val="499275C2"/>
    <w:rsid w:val="49936559"/>
    <w:rsid w:val="49B332AB"/>
    <w:rsid w:val="49DC7715"/>
    <w:rsid w:val="4A023139"/>
    <w:rsid w:val="4A7B576F"/>
    <w:rsid w:val="4AE575A4"/>
    <w:rsid w:val="4AF561A9"/>
    <w:rsid w:val="4C4A0649"/>
    <w:rsid w:val="4C7E5ECA"/>
    <w:rsid w:val="4C876AA5"/>
    <w:rsid w:val="4D0E00FB"/>
    <w:rsid w:val="4D176606"/>
    <w:rsid w:val="4D6129F8"/>
    <w:rsid w:val="4DEC4FB0"/>
    <w:rsid w:val="4E075D8A"/>
    <w:rsid w:val="4E095AD6"/>
    <w:rsid w:val="4E47696B"/>
    <w:rsid w:val="4E5534E8"/>
    <w:rsid w:val="4EC00FAD"/>
    <w:rsid w:val="4EC15329"/>
    <w:rsid w:val="4F0B21CE"/>
    <w:rsid w:val="4F2C27CD"/>
    <w:rsid w:val="4F9843DC"/>
    <w:rsid w:val="4FC62A8C"/>
    <w:rsid w:val="4FE20F0D"/>
    <w:rsid w:val="4FE51552"/>
    <w:rsid w:val="50504C4B"/>
    <w:rsid w:val="509C6E7C"/>
    <w:rsid w:val="50B035B0"/>
    <w:rsid w:val="5114685F"/>
    <w:rsid w:val="5162104E"/>
    <w:rsid w:val="538B7CEC"/>
    <w:rsid w:val="53A039CC"/>
    <w:rsid w:val="53A1505A"/>
    <w:rsid w:val="54063E08"/>
    <w:rsid w:val="543437E8"/>
    <w:rsid w:val="548F6FE5"/>
    <w:rsid w:val="54F73313"/>
    <w:rsid w:val="54F80955"/>
    <w:rsid w:val="55152E04"/>
    <w:rsid w:val="555170A7"/>
    <w:rsid w:val="55540400"/>
    <w:rsid w:val="556F4CF5"/>
    <w:rsid w:val="5587536D"/>
    <w:rsid w:val="559B174B"/>
    <w:rsid w:val="55C90CA8"/>
    <w:rsid w:val="55CE0CF4"/>
    <w:rsid w:val="561C36B8"/>
    <w:rsid w:val="5676735F"/>
    <w:rsid w:val="56B22A9C"/>
    <w:rsid w:val="57194E75"/>
    <w:rsid w:val="576A60BB"/>
    <w:rsid w:val="57B72A76"/>
    <w:rsid w:val="57C3426C"/>
    <w:rsid w:val="57CE1F93"/>
    <w:rsid w:val="583F70AF"/>
    <w:rsid w:val="58661294"/>
    <w:rsid w:val="58814CA1"/>
    <w:rsid w:val="588743D1"/>
    <w:rsid w:val="5887701A"/>
    <w:rsid w:val="59C0439F"/>
    <w:rsid w:val="59D40607"/>
    <w:rsid w:val="5A5F25C6"/>
    <w:rsid w:val="5ABE2233"/>
    <w:rsid w:val="5BDF5D95"/>
    <w:rsid w:val="5BFE7528"/>
    <w:rsid w:val="5CD54DC2"/>
    <w:rsid w:val="5DA96134"/>
    <w:rsid w:val="5E2467F1"/>
    <w:rsid w:val="5E8561FE"/>
    <w:rsid w:val="5F1A2B43"/>
    <w:rsid w:val="5F2671A6"/>
    <w:rsid w:val="5F5C5FB8"/>
    <w:rsid w:val="5FB837BB"/>
    <w:rsid w:val="5FE1582B"/>
    <w:rsid w:val="60314BA6"/>
    <w:rsid w:val="60CC405A"/>
    <w:rsid w:val="60F978C8"/>
    <w:rsid w:val="6158073A"/>
    <w:rsid w:val="61E215D8"/>
    <w:rsid w:val="621B3775"/>
    <w:rsid w:val="62364782"/>
    <w:rsid w:val="6394356A"/>
    <w:rsid w:val="63C61B2C"/>
    <w:rsid w:val="63D40BE9"/>
    <w:rsid w:val="64102431"/>
    <w:rsid w:val="64A5243A"/>
    <w:rsid w:val="64F531DE"/>
    <w:rsid w:val="652D1197"/>
    <w:rsid w:val="65373578"/>
    <w:rsid w:val="6575149C"/>
    <w:rsid w:val="663A2F15"/>
    <w:rsid w:val="664D43AC"/>
    <w:rsid w:val="671F124A"/>
    <w:rsid w:val="677A33C6"/>
    <w:rsid w:val="681F6961"/>
    <w:rsid w:val="682D78B2"/>
    <w:rsid w:val="68610A2F"/>
    <w:rsid w:val="68805514"/>
    <w:rsid w:val="69300EC8"/>
    <w:rsid w:val="69316E2F"/>
    <w:rsid w:val="694E2071"/>
    <w:rsid w:val="69766163"/>
    <w:rsid w:val="697A3B33"/>
    <w:rsid w:val="69C503C2"/>
    <w:rsid w:val="69D44760"/>
    <w:rsid w:val="6A520EC7"/>
    <w:rsid w:val="6AF87E20"/>
    <w:rsid w:val="6B322639"/>
    <w:rsid w:val="6B4D10AC"/>
    <w:rsid w:val="6B6C063A"/>
    <w:rsid w:val="6C636C38"/>
    <w:rsid w:val="6DB34098"/>
    <w:rsid w:val="6DB545B6"/>
    <w:rsid w:val="6DE02FB4"/>
    <w:rsid w:val="6E042CEC"/>
    <w:rsid w:val="6E094477"/>
    <w:rsid w:val="6E514CED"/>
    <w:rsid w:val="6E7662F1"/>
    <w:rsid w:val="6EB563D5"/>
    <w:rsid w:val="6ED92677"/>
    <w:rsid w:val="6EF966EE"/>
    <w:rsid w:val="6EFC61DE"/>
    <w:rsid w:val="6F225983"/>
    <w:rsid w:val="6F3B52A3"/>
    <w:rsid w:val="6FFC5590"/>
    <w:rsid w:val="706D1DD0"/>
    <w:rsid w:val="70856B87"/>
    <w:rsid w:val="70B013D7"/>
    <w:rsid w:val="70D527EE"/>
    <w:rsid w:val="715B5300"/>
    <w:rsid w:val="71D27F8A"/>
    <w:rsid w:val="72553024"/>
    <w:rsid w:val="73122968"/>
    <w:rsid w:val="731F5D5E"/>
    <w:rsid w:val="73C51AD5"/>
    <w:rsid w:val="741E793C"/>
    <w:rsid w:val="745E3944"/>
    <w:rsid w:val="75067985"/>
    <w:rsid w:val="751D2E9F"/>
    <w:rsid w:val="758D21BC"/>
    <w:rsid w:val="762B7A6C"/>
    <w:rsid w:val="7635099D"/>
    <w:rsid w:val="766A7ED1"/>
    <w:rsid w:val="767B13B2"/>
    <w:rsid w:val="76E1211F"/>
    <w:rsid w:val="76F4399F"/>
    <w:rsid w:val="77762421"/>
    <w:rsid w:val="77B56B1F"/>
    <w:rsid w:val="780F09F4"/>
    <w:rsid w:val="78A90480"/>
    <w:rsid w:val="78F32400"/>
    <w:rsid w:val="7A364017"/>
    <w:rsid w:val="7A4D1FE3"/>
    <w:rsid w:val="7A8265E1"/>
    <w:rsid w:val="7AAC50DB"/>
    <w:rsid w:val="7AAC6D0A"/>
    <w:rsid w:val="7ACD134A"/>
    <w:rsid w:val="7B5F68DA"/>
    <w:rsid w:val="7B686D42"/>
    <w:rsid w:val="7B7B79F6"/>
    <w:rsid w:val="7B841746"/>
    <w:rsid w:val="7BCC6F38"/>
    <w:rsid w:val="7C6C5AC7"/>
    <w:rsid w:val="7CC6544B"/>
    <w:rsid w:val="7D0239FF"/>
    <w:rsid w:val="7D5E40CD"/>
    <w:rsid w:val="7D931C9F"/>
    <w:rsid w:val="7DCD56F2"/>
    <w:rsid w:val="7E191251"/>
    <w:rsid w:val="7E613C35"/>
    <w:rsid w:val="7E655EE3"/>
    <w:rsid w:val="7F001CE7"/>
    <w:rsid w:val="7F4C091A"/>
    <w:rsid w:val="7F566EBD"/>
    <w:rsid w:val="7F5B653D"/>
    <w:rsid w:val="7FE47E50"/>
    <w:rsid w:val="7FFC6E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iPriority="99"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qFormat="1"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autoRedefine/>
    <w:qFormat/>
    <w:locked/>
    <w:uiPriority w:val="0"/>
    <w:pPr>
      <w:keepNext/>
      <w:keepLines/>
      <w:spacing w:line="490" w:lineRule="exact"/>
      <w:ind w:firstLine="643" w:firstLineChars="200"/>
      <w:outlineLvl w:val="2"/>
    </w:pPr>
    <w:rPr>
      <w:rFonts w:ascii="Times" w:hAnsi="Times" w:eastAsia="仿宋"/>
      <w:b/>
      <w:kern w:val="0"/>
      <w:sz w:val="28"/>
    </w:rPr>
  </w:style>
  <w:style w:type="paragraph" w:styleId="4">
    <w:name w:val="heading 4"/>
    <w:basedOn w:val="1"/>
    <w:next w:val="1"/>
    <w:autoRedefine/>
    <w:unhideWhenUsed/>
    <w:qFormat/>
    <w:locked/>
    <w:uiPriority w:val="0"/>
    <w:pPr>
      <w:spacing w:line="240" w:lineRule="auto"/>
      <w:ind w:firstLine="0" w:firstLineChars="0"/>
      <w:outlineLvl w:val="3"/>
    </w:pPr>
    <w:rPr>
      <w:rFonts w:ascii="Times New Roman" w:hAnsi="Times New Roman" w:eastAsia="宋体"/>
      <w:bCs/>
      <w:sz w:val="21"/>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locked/>
    <w:uiPriority w:val="0"/>
    <w:pPr>
      <w:ind w:firstLine="420" w:firstLineChars="200"/>
    </w:pPr>
    <w:rPr>
      <w:rFonts w:ascii="Times New Roman"/>
      <w:spacing w:val="0"/>
      <w:sz w:val="28"/>
      <w:szCs w:val="24"/>
    </w:rPr>
  </w:style>
  <w:style w:type="paragraph" w:customStyle="1" w:styleId="6">
    <w:name w:val="Char Char Char Char Char Char Char Char Char1 Char"/>
    <w:basedOn w:val="1"/>
    <w:next w:val="7"/>
    <w:autoRedefine/>
    <w:qFormat/>
    <w:uiPriority w:val="0"/>
    <w:pPr>
      <w:spacing w:line="360" w:lineRule="auto"/>
      <w:ind w:firstLine="200" w:firstLineChars="200"/>
    </w:pPr>
    <w:rPr>
      <w:rFonts w:hAnsi="宋体" w:cs="宋体"/>
      <w:spacing w:val="5"/>
      <w:sz w:val="24"/>
    </w:rPr>
  </w:style>
  <w:style w:type="paragraph" w:customStyle="1" w:styleId="7">
    <w:name w:val="Body Text First Indent1"/>
    <w:next w:val="1"/>
    <w:autoRedefine/>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styleId="8">
    <w:name w:val="annotation text"/>
    <w:basedOn w:val="1"/>
    <w:link w:val="30"/>
    <w:autoRedefine/>
    <w:semiHidden/>
    <w:qFormat/>
    <w:uiPriority w:val="0"/>
    <w:pPr>
      <w:jc w:val="left"/>
    </w:pPr>
    <w:rPr>
      <w:kern w:val="0"/>
      <w:sz w:val="24"/>
      <w:szCs w:val="20"/>
    </w:rPr>
  </w:style>
  <w:style w:type="paragraph" w:styleId="9">
    <w:name w:val="Body Text"/>
    <w:basedOn w:val="1"/>
    <w:next w:val="1"/>
    <w:link w:val="31"/>
    <w:autoRedefine/>
    <w:qFormat/>
    <w:uiPriority w:val="0"/>
    <w:pPr>
      <w:widowControl/>
      <w:snapToGrid w:val="0"/>
      <w:spacing w:before="60" w:after="160" w:line="259" w:lineRule="auto"/>
      <w:ind w:right="113"/>
    </w:pPr>
    <w:rPr>
      <w:kern w:val="0"/>
      <w:sz w:val="18"/>
      <w:szCs w:val="20"/>
    </w:rPr>
  </w:style>
  <w:style w:type="paragraph" w:styleId="10">
    <w:name w:val="Body Text Indent"/>
    <w:basedOn w:val="1"/>
    <w:next w:val="1"/>
    <w:link w:val="32"/>
    <w:autoRedefine/>
    <w:qFormat/>
    <w:uiPriority w:val="0"/>
    <w:pPr>
      <w:spacing w:after="120"/>
      <w:ind w:left="420" w:leftChars="200"/>
    </w:pPr>
    <w:rPr>
      <w:kern w:val="0"/>
      <w:sz w:val="24"/>
      <w:szCs w:val="20"/>
    </w:rPr>
  </w:style>
  <w:style w:type="paragraph" w:styleId="11">
    <w:name w:val="Block Text"/>
    <w:basedOn w:val="1"/>
    <w:next w:val="1"/>
    <w:unhideWhenUsed/>
    <w:qFormat/>
    <w:locked/>
    <w:uiPriority w:val="0"/>
    <w:pPr>
      <w:ind w:left="100" w:right="100" w:firstLine="425"/>
    </w:pPr>
    <w:rPr>
      <w:sz w:val="28"/>
      <w:szCs w:val="20"/>
    </w:rPr>
  </w:style>
  <w:style w:type="paragraph" w:styleId="12">
    <w:name w:val="Plain Text"/>
    <w:basedOn w:val="1"/>
    <w:autoRedefine/>
    <w:qFormat/>
    <w:locked/>
    <w:uiPriority w:val="0"/>
    <w:pPr>
      <w:spacing w:line="240" w:lineRule="auto"/>
      <w:ind w:firstLine="0" w:firstLineChars="0"/>
    </w:pPr>
    <w:rPr>
      <w:rFonts w:ascii="宋体" w:hAnsi="Courier New" w:eastAsia="宋体"/>
      <w:kern w:val="0"/>
      <w:sz w:val="20"/>
      <w:szCs w:val="20"/>
    </w:rPr>
  </w:style>
  <w:style w:type="paragraph" w:styleId="13">
    <w:name w:val="Date"/>
    <w:basedOn w:val="1"/>
    <w:next w:val="1"/>
    <w:link w:val="33"/>
    <w:autoRedefine/>
    <w:qFormat/>
    <w:uiPriority w:val="0"/>
    <w:pPr>
      <w:ind w:left="100" w:leftChars="2500"/>
    </w:pPr>
    <w:rPr>
      <w:kern w:val="0"/>
      <w:sz w:val="24"/>
      <w:szCs w:val="20"/>
    </w:rPr>
  </w:style>
  <w:style w:type="paragraph" w:styleId="14">
    <w:name w:val="Balloon Text"/>
    <w:basedOn w:val="1"/>
    <w:link w:val="34"/>
    <w:autoRedefine/>
    <w:semiHidden/>
    <w:qFormat/>
    <w:uiPriority w:val="0"/>
    <w:rPr>
      <w:kern w:val="0"/>
      <w:sz w:val="18"/>
      <w:szCs w:val="20"/>
    </w:rPr>
  </w:style>
  <w:style w:type="paragraph" w:styleId="15">
    <w:name w:val="footer"/>
    <w:basedOn w:val="1"/>
    <w:link w:val="35"/>
    <w:autoRedefine/>
    <w:qFormat/>
    <w:uiPriority w:val="99"/>
    <w:pPr>
      <w:tabs>
        <w:tab w:val="center" w:pos="4153"/>
        <w:tab w:val="right" w:pos="8306"/>
      </w:tabs>
      <w:snapToGrid w:val="0"/>
      <w:jc w:val="left"/>
    </w:pPr>
    <w:rPr>
      <w:kern w:val="0"/>
      <w:sz w:val="18"/>
      <w:szCs w:val="20"/>
    </w:rPr>
  </w:style>
  <w:style w:type="paragraph" w:styleId="16">
    <w:name w:val="header"/>
    <w:basedOn w:val="1"/>
    <w:link w:val="36"/>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toc 1"/>
    <w:basedOn w:val="1"/>
    <w:next w:val="1"/>
    <w:autoRedefine/>
    <w:qFormat/>
    <w:locked/>
    <w:uiPriority w:val="39"/>
  </w:style>
  <w:style w:type="paragraph" w:styleId="18">
    <w:name w:val="Body Text 2"/>
    <w:basedOn w:val="1"/>
    <w:autoRedefine/>
    <w:unhideWhenUsed/>
    <w:qFormat/>
    <w:locked/>
    <w:uiPriority w:val="99"/>
    <w:pPr>
      <w:spacing w:after="120" w:line="480" w:lineRule="auto"/>
    </w:pPr>
  </w:style>
  <w:style w:type="paragraph" w:styleId="19">
    <w:name w:val="Normal (Web)"/>
    <w:basedOn w:val="1"/>
    <w:link w:val="37"/>
    <w:autoRedefine/>
    <w:qFormat/>
    <w:uiPriority w:val="0"/>
    <w:pPr>
      <w:widowControl/>
      <w:spacing w:before="100" w:beforeAutospacing="1" w:after="100" w:afterAutospacing="1"/>
      <w:jc w:val="left"/>
    </w:pPr>
    <w:rPr>
      <w:rFonts w:ascii="宋体" w:hAnsi="宋体"/>
      <w:kern w:val="0"/>
      <w:sz w:val="24"/>
      <w:szCs w:val="20"/>
    </w:rPr>
  </w:style>
  <w:style w:type="paragraph" w:styleId="20">
    <w:name w:val="annotation subject"/>
    <w:basedOn w:val="8"/>
    <w:next w:val="8"/>
    <w:link w:val="38"/>
    <w:autoRedefine/>
    <w:semiHidden/>
    <w:qFormat/>
    <w:uiPriority w:val="0"/>
    <w:rPr>
      <w:b/>
      <w:sz w:val="24"/>
      <w:szCs w:val="20"/>
    </w:rPr>
  </w:style>
  <w:style w:type="paragraph" w:styleId="21">
    <w:name w:val="Body Text First Indent"/>
    <w:basedOn w:val="9"/>
    <w:next w:val="1"/>
    <w:autoRedefine/>
    <w:qFormat/>
    <w:locked/>
    <w:uiPriority w:val="0"/>
    <w:pPr>
      <w:adjustRightInd w:val="0"/>
      <w:spacing w:before="50" w:beforeLines="50" w:after="0" w:line="360" w:lineRule="auto"/>
      <w:ind w:firstLine="200" w:firstLineChars="200"/>
    </w:pPr>
    <w:rPr>
      <w:sz w:val="24"/>
    </w:rPr>
  </w:style>
  <w:style w:type="paragraph" w:styleId="22">
    <w:name w:val="Body Text First Indent 2"/>
    <w:basedOn w:val="10"/>
    <w:next w:val="1"/>
    <w:autoRedefine/>
    <w:qFormat/>
    <w:locked/>
    <w:uiPriority w:val="0"/>
    <w:pPr>
      <w:ind w:firstLine="420" w:firstLineChars="200"/>
    </w:pPr>
  </w:style>
  <w:style w:type="table" w:styleId="24">
    <w:name w:val="Table Grid"/>
    <w:basedOn w:val="23"/>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locked/>
    <w:uiPriority w:val="0"/>
    <w:rPr>
      <w:b/>
    </w:rPr>
  </w:style>
  <w:style w:type="character" w:styleId="27">
    <w:name w:val="page number"/>
    <w:basedOn w:val="25"/>
    <w:autoRedefine/>
    <w:qFormat/>
    <w:locked/>
    <w:uiPriority w:val="0"/>
  </w:style>
  <w:style w:type="character" w:styleId="28">
    <w:name w:val="annotation reference"/>
    <w:autoRedefine/>
    <w:semiHidden/>
    <w:qFormat/>
    <w:uiPriority w:val="0"/>
    <w:rPr>
      <w:sz w:val="21"/>
    </w:rPr>
  </w:style>
  <w:style w:type="paragraph" w:customStyle="1" w:styleId="29">
    <w:name w:val="表格内"/>
    <w:basedOn w:val="1"/>
    <w:autoRedefine/>
    <w:qFormat/>
    <w:uiPriority w:val="0"/>
    <w:pPr>
      <w:widowControl/>
      <w:spacing w:line="360" w:lineRule="exact"/>
      <w:jc w:val="center"/>
    </w:pPr>
    <w:rPr>
      <w:snapToGrid w:val="0"/>
      <w:kern w:val="0"/>
      <w:sz w:val="24"/>
      <w:szCs w:val="21"/>
    </w:rPr>
  </w:style>
  <w:style w:type="character" w:customStyle="1" w:styleId="30">
    <w:name w:val="批注文字 Char"/>
    <w:link w:val="8"/>
    <w:autoRedefine/>
    <w:qFormat/>
    <w:locked/>
    <w:uiPriority w:val="0"/>
    <w:rPr>
      <w:rFonts w:ascii="Times New Roman" w:hAnsi="Times New Roman" w:eastAsia="宋体"/>
      <w:sz w:val="24"/>
    </w:rPr>
  </w:style>
  <w:style w:type="character" w:customStyle="1" w:styleId="31">
    <w:name w:val="正文文本 Char"/>
    <w:link w:val="9"/>
    <w:autoRedefine/>
    <w:qFormat/>
    <w:locked/>
    <w:uiPriority w:val="0"/>
    <w:rPr>
      <w:sz w:val="18"/>
    </w:rPr>
  </w:style>
  <w:style w:type="character" w:customStyle="1" w:styleId="32">
    <w:name w:val="正文文本缩进 Char"/>
    <w:link w:val="10"/>
    <w:autoRedefine/>
    <w:semiHidden/>
    <w:qFormat/>
    <w:locked/>
    <w:uiPriority w:val="0"/>
    <w:rPr>
      <w:rFonts w:ascii="Times New Roman" w:hAnsi="Times New Roman" w:eastAsia="宋体"/>
      <w:sz w:val="24"/>
    </w:rPr>
  </w:style>
  <w:style w:type="character" w:customStyle="1" w:styleId="33">
    <w:name w:val="日期 Char"/>
    <w:link w:val="13"/>
    <w:autoRedefine/>
    <w:qFormat/>
    <w:locked/>
    <w:uiPriority w:val="0"/>
    <w:rPr>
      <w:rFonts w:ascii="Times New Roman" w:hAnsi="Times New Roman" w:eastAsia="宋体"/>
      <w:sz w:val="24"/>
    </w:rPr>
  </w:style>
  <w:style w:type="character" w:customStyle="1" w:styleId="34">
    <w:name w:val="批注框文本 Char"/>
    <w:link w:val="14"/>
    <w:autoRedefine/>
    <w:semiHidden/>
    <w:qFormat/>
    <w:locked/>
    <w:uiPriority w:val="0"/>
    <w:rPr>
      <w:rFonts w:ascii="Times New Roman" w:hAnsi="Times New Roman" w:eastAsia="宋体"/>
      <w:sz w:val="18"/>
    </w:rPr>
  </w:style>
  <w:style w:type="character" w:customStyle="1" w:styleId="35">
    <w:name w:val="页脚 Char"/>
    <w:link w:val="15"/>
    <w:autoRedefine/>
    <w:qFormat/>
    <w:locked/>
    <w:uiPriority w:val="99"/>
    <w:rPr>
      <w:sz w:val="18"/>
    </w:rPr>
  </w:style>
  <w:style w:type="character" w:customStyle="1" w:styleId="36">
    <w:name w:val="页眉 Char"/>
    <w:link w:val="16"/>
    <w:autoRedefine/>
    <w:qFormat/>
    <w:locked/>
    <w:uiPriority w:val="0"/>
    <w:rPr>
      <w:sz w:val="18"/>
    </w:rPr>
  </w:style>
  <w:style w:type="character" w:customStyle="1" w:styleId="37">
    <w:name w:val="普通(网站) Char"/>
    <w:link w:val="19"/>
    <w:autoRedefine/>
    <w:qFormat/>
    <w:locked/>
    <w:uiPriority w:val="0"/>
    <w:rPr>
      <w:rFonts w:ascii="宋体" w:hAnsi="宋体" w:eastAsia="宋体"/>
      <w:sz w:val="24"/>
    </w:rPr>
  </w:style>
  <w:style w:type="character" w:customStyle="1" w:styleId="38">
    <w:name w:val="批注主题 Char"/>
    <w:link w:val="20"/>
    <w:autoRedefine/>
    <w:semiHidden/>
    <w:qFormat/>
    <w:locked/>
    <w:uiPriority w:val="0"/>
    <w:rPr>
      <w:rFonts w:ascii="Times New Roman" w:hAnsi="Times New Roman" w:eastAsia="宋体"/>
      <w:b/>
      <w:kern w:val="2"/>
      <w:sz w:val="24"/>
    </w:rPr>
  </w:style>
  <w:style w:type="character" w:customStyle="1" w:styleId="39">
    <w:name w:val="页脚 字符"/>
    <w:basedOn w:val="25"/>
    <w:autoRedefine/>
    <w:qFormat/>
    <w:uiPriority w:val="99"/>
  </w:style>
  <w:style w:type="character" w:customStyle="1" w:styleId="40">
    <w:name w:val="正文文本 字符1"/>
    <w:autoRedefine/>
    <w:semiHidden/>
    <w:qFormat/>
    <w:uiPriority w:val="0"/>
    <w:rPr>
      <w:rFonts w:ascii="Times New Roman" w:hAnsi="Times New Roman" w:eastAsia="宋体"/>
      <w:sz w:val="24"/>
    </w:rPr>
  </w:style>
  <w:style w:type="character" w:customStyle="1" w:styleId="41">
    <w:name w:val="表格 Char"/>
    <w:link w:val="42"/>
    <w:autoRedefine/>
    <w:qFormat/>
    <w:locked/>
    <w:uiPriority w:val="0"/>
    <w:rPr>
      <w:rFonts w:ascii="宋体"/>
      <w:sz w:val="21"/>
    </w:rPr>
  </w:style>
  <w:style w:type="paragraph" w:customStyle="1" w:styleId="42">
    <w:name w:val="表格"/>
    <w:basedOn w:val="1"/>
    <w:next w:val="1"/>
    <w:link w:val="41"/>
    <w:autoRedefine/>
    <w:qFormat/>
    <w:uiPriority w:val="0"/>
    <w:pPr>
      <w:adjustRightInd w:val="0"/>
      <w:snapToGrid w:val="0"/>
      <w:spacing w:beforeLines="10" w:afterLines="10" w:line="259" w:lineRule="auto"/>
      <w:jc w:val="center"/>
    </w:pPr>
    <w:rPr>
      <w:rFonts w:ascii="宋体"/>
      <w:kern w:val="0"/>
      <w:szCs w:val="20"/>
    </w:rPr>
  </w:style>
  <w:style w:type="character" w:customStyle="1" w:styleId="43">
    <w:name w:val="日期 字符"/>
    <w:autoRedefine/>
    <w:semiHidden/>
    <w:qFormat/>
    <w:uiPriority w:val="0"/>
    <w:rPr>
      <w:rFonts w:ascii="Times New Roman" w:hAnsi="Times New Roman" w:eastAsia="宋体"/>
      <w:sz w:val="24"/>
    </w:rPr>
  </w:style>
  <w:style w:type="character" w:customStyle="1" w:styleId="44">
    <w:name w:val="批注文字 字符1"/>
    <w:autoRedefine/>
    <w:semiHidden/>
    <w:qFormat/>
    <w:uiPriority w:val="0"/>
    <w:rPr>
      <w:rFonts w:ascii="Times New Roman" w:hAnsi="Times New Roman" w:eastAsia="宋体"/>
      <w:sz w:val="24"/>
    </w:rPr>
  </w:style>
  <w:style w:type="paragraph" w:customStyle="1" w:styleId="45">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7">
    <w:name w:val="正文啊啊啊"/>
    <w:basedOn w:val="1"/>
    <w:link w:val="65"/>
    <w:autoRedefine/>
    <w:qFormat/>
    <w:uiPriority w:val="0"/>
    <w:pPr>
      <w:wordWrap w:val="0"/>
      <w:adjustRightInd w:val="0"/>
      <w:snapToGrid w:val="0"/>
      <w:spacing w:line="520" w:lineRule="exact"/>
      <w:ind w:firstLine="720" w:firstLineChars="200"/>
      <w:jc w:val="left"/>
    </w:pPr>
    <w:rPr>
      <w:rFonts w:hint="eastAsia" w:ascii="Times New Roman" w:hAnsi="Times New Roman" w:eastAsia="宋体" w:cs="宋体"/>
      <w:bCs/>
      <w:sz w:val="24"/>
    </w:rPr>
  </w:style>
  <w:style w:type="paragraph" w:customStyle="1" w:styleId="48">
    <w:name w:val="小标题啊啊啊"/>
    <w:basedOn w:val="1"/>
    <w:autoRedefine/>
    <w:qFormat/>
    <w:uiPriority w:val="0"/>
    <w:pPr>
      <w:adjustRightInd w:val="0"/>
      <w:snapToGrid w:val="0"/>
      <w:spacing w:line="520" w:lineRule="exact"/>
      <w:jc w:val="left"/>
    </w:pPr>
    <w:rPr>
      <w:rFonts w:ascii="Times New Roman" w:hAnsi="Times New Roman" w:eastAsia="宋体" w:cstheme="minorEastAsia"/>
      <w:b/>
      <w:bCs/>
      <w:color w:val="auto"/>
      <w:sz w:val="24"/>
    </w:rPr>
  </w:style>
  <w:style w:type="paragraph" w:customStyle="1" w:styleId="49">
    <w:name w:val="表头啊啊啊啊"/>
    <w:basedOn w:val="1"/>
    <w:autoRedefine/>
    <w:qFormat/>
    <w:uiPriority w:val="0"/>
    <w:pPr>
      <w:adjustRightInd w:val="0"/>
      <w:snapToGrid w:val="0"/>
      <w:spacing w:line="240" w:lineRule="auto"/>
      <w:jc w:val="center"/>
    </w:pPr>
    <w:rPr>
      <w:rFonts w:hint="eastAsia" w:ascii="Times New Roman" w:hAnsi="Times New Roman" w:eastAsiaTheme="minorEastAsia" w:cstheme="minorEastAsia"/>
      <w:b/>
      <w:bCs/>
      <w:color w:val="auto"/>
      <w:szCs w:val="21"/>
    </w:rPr>
  </w:style>
  <w:style w:type="paragraph" w:customStyle="1" w:styleId="50">
    <w:name w:val="表内文字啊啊啊"/>
    <w:basedOn w:val="1"/>
    <w:autoRedefine/>
    <w:qFormat/>
    <w:uiPriority w:val="0"/>
    <w:pPr>
      <w:adjustRightInd w:val="0"/>
      <w:snapToGrid w:val="0"/>
      <w:spacing w:line="240" w:lineRule="auto"/>
      <w:jc w:val="center"/>
    </w:pPr>
    <w:rPr>
      <w:rFonts w:hint="eastAsia" w:ascii="Times New Roman" w:hAnsi="Times New Roman" w:eastAsiaTheme="minorEastAsia" w:cstheme="minorEastAsia"/>
      <w:color w:val="auto"/>
      <w:szCs w:val="21"/>
    </w:rPr>
  </w:style>
  <w:style w:type="paragraph" w:customStyle="1" w:styleId="51">
    <w:name w:val="正文格式"/>
    <w:basedOn w:val="1"/>
    <w:autoRedefine/>
    <w:qFormat/>
    <w:uiPriority w:val="0"/>
    <w:pPr>
      <w:wordWrap w:val="0"/>
      <w:spacing w:line="520" w:lineRule="exact"/>
      <w:ind w:firstLine="720" w:firstLineChars="200"/>
    </w:pPr>
    <w:rPr>
      <w:rFonts w:hint="eastAsia" w:ascii="Times New Roman" w:hAnsi="Times New Roman" w:eastAsia="宋体"/>
      <w:sz w:val="24"/>
    </w:rPr>
  </w:style>
  <w:style w:type="paragraph" w:customStyle="1" w:styleId="52">
    <w:name w:val="小标题呗"/>
    <w:basedOn w:val="1"/>
    <w:autoRedefine/>
    <w:qFormat/>
    <w:uiPriority w:val="0"/>
    <w:pPr>
      <w:widowControl/>
      <w:wordWrap w:val="0"/>
      <w:snapToGrid w:val="0"/>
      <w:spacing w:line="520" w:lineRule="exact"/>
      <w:jc w:val="left"/>
    </w:pPr>
    <w:rPr>
      <w:rFonts w:hint="eastAsia" w:ascii="Times New Roman" w:hAnsi="Times New Roman" w:eastAsia="宋体"/>
      <w:b/>
      <w:kern w:val="0"/>
      <w:sz w:val="24"/>
      <w:szCs w:val="24"/>
    </w:rPr>
  </w:style>
  <w:style w:type="paragraph" w:customStyle="1" w:styleId="53">
    <w:name w:val="表头"/>
    <w:basedOn w:val="1"/>
    <w:autoRedefine/>
    <w:qFormat/>
    <w:uiPriority w:val="0"/>
    <w:pPr>
      <w:widowControl/>
      <w:autoSpaceDE/>
      <w:autoSpaceDN/>
      <w:snapToGrid w:val="0"/>
      <w:spacing w:line="240" w:lineRule="auto"/>
      <w:ind w:firstLine="0" w:firstLineChars="0"/>
      <w:jc w:val="center"/>
    </w:pPr>
    <w:rPr>
      <w:rFonts w:hint="eastAsia" w:ascii="Times New Roman" w:hAnsi="Times New Roman" w:eastAsia="宋体"/>
      <w:b/>
      <w:kern w:val="0"/>
      <w:szCs w:val="21"/>
    </w:rPr>
  </w:style>
  <w:style w:type="paragraph" w:customStyle="1" w:styleId="54">
    <w:name w:val="正文啊啊"/>
    <w:link w:val="67"/>
    <w:autoRedefine/>
    <w:qFormat/>
    <w:uiPriority w:val="0"/>
    <w:pPr>
      <w:widowControl w:val="0"/>
      <w:spacing w:line="520" w:lineRule="exact"/>
      <w:ind w:firstLine="720" w:firstLineChars="200"/>
      <w:jc w:val="both"/>
    </w:pPr>
    <w:rPr>
      <w:rFonts w:ascii="Times New Roman" w:hAnsi="Times New Roman" w:eastAsia="宋体" w:cs="宋体"/>
      <w:kern w:val="2"/>
      <w:sz w:val="24"/>
      <w:szCs w:val="24"/>
      <w:lang w:val="en-US" w:eastAsia="zh-CN" w:bidi="ar-SA"/>
    </w:rPr>
  </w:style>
  <w:style w:type="paragraph" w:customStyle="1" w:styleId="55">
    <w:name w:val="Default"/>
    <w:basedOn w:val="56"/>
    <w:next w:val="57"/>
    <w:autoRedefine/>
    <w:qFormat/>
    <w:uiPriority w:val="99"/>
    <w:pPr>
      <w:autoSpaceDE w:val="0"/>
      <w:autoSpaceDN w:val="0"/>
    </w:pPr>
    <w:rPr>
      <w:rFonts w:ascii="宋体" w:hAnsi="Calibri" w:cs="宋体"/>
      <w:kern w:val="0"/>
      <w:sz w:val="24"/>
      <w:szCs w:val="24"/>
    </w:rPr>
  </w:style>
  <w:style w:type="paragraph" w:customStyle="1" w:styleId="56">
    <w:name w:val="标题2"/>
    <w:basedOn w:val="1"/>
    <w:qFormat/>
    <w:uiPriority w:val="0"/>
    <w:rPr>
      <w:rFonts w:ascii="宋体" w:hAnsi="宋体"/>
      <w:b/>
      <w:kern w:val="0"/>
      <w:sz w:val="24"/>
    </w:rPr>
  </w:style>
  <w:style w:type="paragraph" w:customStyle="1" w:styleId="57">
    <w:name w:val="样式35"/>
    <w:basedOn w:val="1"/>
    <w:next w:val="1"/>
    <w:qFormat/>
    <w:uiPriority w:val="0"/>
    <w:pPr>
      <w:spacing w:line="312" w:lineRule="auto"/>
      <w:ind w:firstLine="567"/>
    </w:pPr>
    <w:rPr>
      <w:rFonts w:ascii="宋体"/>
      <w:sz w:val="28"/>
    </w:rPr>
  </w:style>
  <w:style w:type="paragraph" w:customStyle="1" w:styleId="58">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59">
    <w:name w:val="1 表头"/>
    <w:basedOn w:val="1"/>
    <w:autoRedefine/>
    <w:qFormat/>
    <w:uiPriority w:val="0"/>
    <w:pPr>
      <w:spacing w:line="240" w:lineRule="auto"/>
      <w:ind w:firstLine="0" w:firstLineChars="0"/>
      <w:jc w:val="center"/>
    </w:pPr>
    <w:rPr>
      <w:b/>
      <w:color w:val="000000"/>
      <w:sz w:val="21"/>
      <w:szCs w:val="21"/>
    </w:rPr>
  </w:style>
  <w:style w:type="paragraph" w:customStyle="1" w:styleId="60">
    <w:name w:val="小标题啊啊"/>
    <w:basedOn w:val="1"/>
    <w:autoRedefine/>
    <w:qFormat/>
    <w:uiPriority w:val="0"/>
    <w:pPr>
      <w:spacing w:line="520" w:lineRule="exact"/>
      <w:jc w:val="both"/>
    </w:pPr>
    <w:rPr>
      <w:rFonts w:ascii="Times New Roman" w:hAnsi="Times New Roman" w:eastAsia="宋体" w:cs="宋体"/>
      <w:b/>
      <w:sz w:val="24"/>
    </w:rPr>
  </w:style>
  <w:style w:type="paragraph" w:customStyle="1" w:styleId="61">
    <w:name w:val="表格里面啊啊啊啊"/>
    <w:basedOn w:val="1"/>
    <w:autoRedefine/>
    <w:qFormat/>
    <w:uiPriority w:val="0"/>
    <w:pPr>
      <w:jc w:val="center"/>
    </w:pPr>
    <w:rPr>
      <w:rFonts w:ascii="Times New Roman" w:hAnsi="Times New Roman" w:eastAsia="宋体" w:cs="Times New Roman"/>
      <w:szCs w:val="21"/>
    </w:rPr>
  </w:style>
  <w:style w:type="paragraph" w:customStyle="1" w:styleId="62">
    <w:name w:val="表头啊啊啊啊啊"/>
    <w:basedOn w:val="1"/>
    <w:autoRedefine/>
    <w:qFormat/>
    <w:uiPriority w:val="0"/>
    <w:pPr>
      <w:jc w:val="center"/>
    </w:pPr>
    <w:rPr>
      <w:rFonts w:ascii="Times New Roman" w:hAnsi="Times New Roman" w:eastAsia="宋体" w:cs="Times New Roman"/>
      <w:b/>
      <w:bCs/>
      <w:szCs w:val="21"/>
    </w:rPr>
  </w:style>
  <w:style w:type="paragraph" w:customStyle="1" w:styleId="63">
    <w:name w:val="正文丽娜"/>
    <w:basedOn w:val="1"/>
    <w:autoRedefine/>
    <w:qFormat/>
    <w:uiPriority w:val="0"/>
    <w:pPr>
      <w:spacing w:line="520" w:lineRule="exact"/>
      <w:ind w:firstLine="578" w:firstLineChars="200"/>
    </w:pPr>
    <w:rPr>
      <w:kern w:val="0"/>
      <w:sz w:val="28"/>
      <w:szCs w:val="20"/>
    </w:rPr>
  </w:style>
  <w:style w:type="paragraph" w:customStyle="1" w:styleId="64">
    <w:name w:val="xl27"/>
    <w:basedOn w:val="1"/>
    <w:next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character" w:customStyle="1" w:styleId="65">
    <w:name w:val="正文啊啊啊 Char"/>
    <w:link w:val="47"/>
    <w:autoRedefine/>
    <w:qFormat/>
    <w:uiPriority w:val="0"/>
    <w:rPr>
      <w:rFonts w:hint="eastAsia" w:ascii="Times New Roman" w:hAnsi="Times New Roman" w:eastAsia="宋体" w:cs="宋体"/>
      <w:bCs/>
      <w:sz w:val="24"/>
    </w:rPr>
  </w:style>
  <w:style w:type="paragraph" w:customStyle="1" w:styleId="66">
    <w:name w:val="1"/>
    <w:basedOn w:val="17"/>
    <w:next w:val="18"/>
    <w:autoRedefine/>
    <w:semiHidden/>
    <w:qFormat/>
    <w:uiPriority w:val="0"/>
    <w:pPr>
      <w:tabs>
        <w:tab w:val="right" w:leader="dot" w:pos="8296"/>
      </w:tabs>
    </w:pPr>
  </w:style>
  <w:style w:type="character" w:customStyle="1" w:styleId="67">
    <w:name w:val="正文啊啊 Char"/>
    <w:link w:val="54"/>
    <w:qFormat/>
    <w:uiPriority w:val="0"/>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63</Pages>
  <Words>33609</Words>
  <Characters>38628</Characters>
  <Lines>13</Lines>
  <Paragraphs>3</Paragraphs>
  <TotalTime>229</TotalTime>
  <ScaleCrop>false</ScaleCrop>
  <LinksUpToDate>false</LinksUpToDate>
  <CharactersWithSpaces>38873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白歇</cp:lastModifiedBy>
  <cp:lastPrinted>2024-07-29T06:29:00Z</cp:lastPrinted>
  <dcterms:modified xsi:type="dcterms:W3CDTF">2025-03-24T08:28:22Z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AFFFCD48D369424D9B988FAAE7043C05_13</vt:lpwstr>
  </property>
  <property fmtid="{D5CDD505-2E9C-101B-9397-08002B2CF9AE}" pid="4" name="KSOTemplateDocerSaveRecord">
    <vt:lpwstr>eyJoZGlkIjoiY2EyY2JmYzgyZjk2NGIyN2ZlYWM1NDcxZjYxMGNmMGIiLCJ1c2VySWQiOiI5NzUxNzYyNjQifQ==</vt:lpwstr>
  </property>
</Properties>
</file>