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377552">
      <w:pPr>
        <w:rPr>
          <w:rFonts w:hint="default" w:ascii="仿宋_GB2312" w:hAnsi="仿宋_GB2312" w:eastAsia="仿宋_GB2312" w:cs="仿宋_GB2312"/>
          <w:sz w:val="36"/>
          <w:szCs w:val="36"/>
          <w:lang w:val="en-US" w:eastAsia="zh-CN"/>
        </w:rPr>
      </w:pPr>
    </w:p>
    <w:p w14:paraId="10C56373">
      <w:pPr>
        <w:rPr>
          <w:rFonts w:ascii="仿宋_GB2312" w:hAnsi="仿宋_GB2312" w:eastAsia="仿宋_GB2312" w:cs="仿宋_GB2312"/>
          <w:sz w:val="36"/>
          <w:szCs w:val="36"/>
        </w:rPr>
      </w:pPr>
    </w:p>
    <w:p w14:paraId="1BB7B9A0">
      <w:pPr>
        <w:rPr>
          <w:rFonts w:ascii="仿宋_GB2312" w:hAnsi="仿宋_GB2312" w:eastAsia="仿宋_GB2312" w:cs="仿宋_GB2312"/>
          <w:sz w:val="36"/>
          <w:szCs w:val="36"/>
        </w:rPr>
      </w:pPr>
    </w:p>
    <w:p w14:paraId="5C861C1B">
      <w:pPr>
        <w:rPr>
          <w:rFonts w:ascii="仿宋_GB2312" w:hAnsi="仿宋_GB2312" w:eastAsia="仿宋_GB2312" w:cs="仿宋_GB2312"/>
          <w:sz w:val="36"/>
          <w:szCs w:val="36"/>
        </w:rPr>
      </w:pPr>
    </w:p>
    <w:p w14:paraId="50CB5013">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539ECEBB">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14:paraId="2E24A807">
      <w:pPr>
        <w:tabs>
          <w:tab w:val="left" w:pos="7126"/>
        </w:tabs>
        <w:adjustRightInd w:val="0"/>
        <w:snapToGrid w:val="0"/>
        <w:spacing w:line="288" w:lineRule="auto"/>
        <w:jc w:val="left"/>
        <w:outlineLvl w:val="0"/>
        <w:rPr>
          <w:rFonts w:hint="eastAsia" w:ascii="华文仿宋" w:hAnsi="华文仿宋" w:eastAsia="华文仿宋" w:cs="华文仿宋"/>
          <w:color w:val="000000"/>
          <w:kern w:val="44"/>
          <w:sz w:val="44"/>
          <w:szCs w:val="44"/>
          <w:lang w:eastAsia="zh-CN"/>
        </w:rPr>
      </w:pPr>
    </w:p>
    <w:p w14:paraId="30D77BB9">
      <w:pPr>
        <w:jc w:val="both"/>
        <w:rPr>
          <w:rFonts w:eastAsia="仿宋"/>
          <w:sz w:val="52"/>
          <w:szCs w:val="52"/>
        </w:rPr>
      </w:pPr>
    </w:p>
    <w:p w14:paraId="3B076A94">
      <w:pPr>
        <w:ind w:firstLine="1040"/>
        <w:rPr>
          <w:rFonts w:eastAsia="仿宋"/>
          <w:sz w:val="44"/>
          <w:szCs w:val="44"/>
        </w:rPr>
      </w:pPr>
    </w:p>
    <w:p w14:paraId="4C8E00E8">
      <w:pPr>
        <w:ind w:firstLine="1040"/>
        <w:rPr>
          <w:rFonts w:eastAsia="仿宋"/>
          <w:sz w:val="44"/>
          <w:szCs w:val="44"/>
        </w:rPr>
      </w:pPr>
    </w:p>
    <w:p w14:paraId="2D9F03F4">
      <w:pPr>
        <w:ind w:firstLine="1040"/>
        <w:rPr>
          <w:rFonts w:eastAsia="仿宋"/>
          <w:sz w:val="44"/>
          <w:szCs w:val="44"/>
        </w:rPr>
      </w:pPr>
    </w:p>
    <w:p w14:paraId="31FEBCBF">
      <w:pPr>
        <w:ind w:firstLine="1040"/>
        <w:rPr>
          <w:rFonts w:hint="default" w:ascii="Times New Roman" w:hAnsi="Times New Roman" w:eastAsia="仿宋" w:cs="Times New Roman"/>
          <w:sz w:val="44"/>
          <w:szCs w:val="44"/>
        </w:rPr>
      </w:pPr>
    </w:p>
    <w:p w14:paraId="1884EC3B">
      <w:pPr>
        <w:keepNext w:val="0"/>
        <w:keepLines w:val="0"/>
        <w:pageBreakBefore w:val="0"/>
        <w:widowControl w:val="0"/>
        <w:kinsoku/>
        <w:wordWrap/>
        <w:overflowPunct/>
        <w:topLinePunct w:val="0"/>
        <w:autoSpaceDE/>
        <w:autoSpaceDN/>
        <w:bidi w:val="0"/>
        <w:adjustRightInd w:val="0"/>
        <w:snapToGrid w:val="0"/>
        <w:spacing w:line="288" w:lineRule="auto"/>
        <w:ind w:left="2640" w:leftChars="400" w:hanging="1800" w:hangingChars="500"/>
        <w:jc w:val="both"/>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项目名称：</w:t>
      </w:r>
      <w:r>
        <w:rPr>
          <w:rFonts w:hint="eastAsia" w:eastAsia="仿宋_GB2312" w:cs="Times New Roman"/>
          <w:sz w:val="36"/>
          <w:szCs w:val="36"/>
          <w:highlight w:val="none"/>
          <w:u w:val="single"/>
          <w:lang w:val="en-US" w:eastAsia="zh-CN"/>
        </w:rPr>
        <w:t>新疆和静县夏翁沟口水泥用石灰岩矿建设项目</w:t>
      </w:r>
    </w:p>
    <w:p w14:paraId="6D1EF79B">
      <w:pPr>
        <w:keepNext w:val="0"/>
        <w:keepLines w:val="0"/>
        <w:pageBreakBefore w:val="0"/>
        <w:widowControl w:val="0"/>
        <w:kinsoku/>
        <w:wordWrap/>
        <w:overflowPunct/>
        <w:topLinePunct w:val="0"/>
        <w:autoSpaceDE/>
        <w:autoSpaceDN/>
        <w:bidi w:val="0"/>
        <w:adjustRightInd w:val="0"/>
        <w:snapToGrid w:val="0"/>
        <w:spacing w:line="288" w:lineRule="auto"/>
        <w:ind w:left="840" w:leftChars="400" w:firstLine="0"/>
        <w:jc w:val="both"/>
        <w:textAlignment w:val="auto"/>
        <w:rPr>
          <w:rFonts w:hint="eastAsia"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建设单位（盖章）：</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巴州泽丰矿业有限责任公司</w:t>
      </w:r>
      <w:r>
        <w:rPr>
          <w:rFonts w:hint="eastAsia" w:eastAsia="仿宋_GB2312" w:cs="Times New Roman"/>
          <w:sz w:val="36"/>
          <w:szCs w:val="36"/>
          <w:u w:val="single"/>
          <w:lang w:val="en-US" w:eastAsia="zh-CN"/>
        </w:rPr>
        <w:t xml:space="preserve"> </w:t>
      </w:r>
    </w:p>
    <w:p w14:paraId="682C0DBE">
      <w:pPr>
        <w:keepNext w:val="0"/>
        <w:keepLines w:val="0"/>
        <w:pageBreakBefore w:val="0"/>
        <w:widowControl w:val="0"/>
        <w:kinsoku/>
        <w:wordWrap/>
        <w:overflowPunct/>
        <w:topLinePunct w:val="0"/>
        <w:autoSpaceDE/>
        <w:autoSpaceDN/>
        <w:bidi w:val="0"/>
        <w:adjustRightInd w:val="0"/>
        <w:snapToGrid w:val="0"/>
        <w:spacing w:line="288" w:lineRule="auto"/>
        <w:ind w:left="840" w:leftChars="400" w:firstLine="0"/>
        <w:jc w:val="both"/>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编制日期：</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202</w:t>
      </w:r>
      <w:r>
        <w:rPr>
          <w:rFonts w:hint="eastAsia" w:eastAsia="仿宋_GB2312" w:cs="Times New Roman"/>
          <w:sz w:val="36"/>
          <w:szCs w:val="36"/>
          <w:u w:val="single"/>
          <w:lang w:val="en-US" w:eastAsia="zh-CN"/>
        </w:rPr>
        <w:t>5</w:t>
      </w:r>
      <w:r>
        <w:rPr>
          <w:rFonts w:hint="default" w:ascii="Times New Roman" w:hAnsi="Times New Roman" w:eastAsia="仿宋_GB2312" w:cs="Times New Roman"/>
          <w:sz w:val="36"/>
          <w:szCs w:val="36"/>
          <w:u w:val="single"/>
        </w:rPr>
        <w:t>年</w:t>
      </w:r>
      <w:r>
        <w:rPr>
          <w:rFonts w:hint="eastAsia" w:eastAsia="仿宋_GB2312" w:cs="Times New Roman"/>
          <w:color w:val="000000" w:themeColor="text1"/>
          <w:sz w:val="36"/>
          <w:szCs w:val="36"/>
          <w:u w:val="single"/>
          <w:lang w:val="en-US" w:eastAsia="zh-CN"/>
          <w14:textFill>
            <w14:solidFill>
              <w14:schemeClr w14:val="tx1"/>
            </w14:solidFill>
          </w14:textFill>
        </w:rPr>
        <w:t>3</w:t>
      </w:r>
      <w:r>
        <w:rPr>
          <w:rFonts w:hint="default" w:ascii="Times New Roman" w:hAnsi="Times New Roman" w:eastAsia="仿宋_GB2312" w:cs="Times New Roman"/>
          <w:color w:val="000000" w:themeColor="text1"/>
          <w:sz w:val="36"/>
          <w:szCs w:val="36"/>
          <w:u w:val="single"/>
          <w14:textFill>
            <w14:solidFill>
              <w14:schemeClr w14:val="tx1"/>
            </w14:solidFill>
          </w14:textFill>
        </w:rPr>
        <w:t>月</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p>
    <w:p w14:paraId="3B28652F">
      <w:pPr>
        <w:pStyle w:val="19"/>
        <w:ind w:left="480" w:hanging="480"/>
        <w:rPr>
          <w:rFonts w:hint="default" w:ascii="Times New Roman" w:hAnsi="Times New Roman" w:cs="Times New Roman"/>
        </w:rPr>
      </w:pPr>
    </w:p>
    <w:p w14:paraId="6874EADB">
      <w:pPr>
        <w:adjustRightInd w:val="0"/>
        <w:snapToGrid w:val="0"/>
        <w:spacing w:line="288" w:lineRule="auto"/>
        <w:ind w:firstLine="1040"/>
        <w:rPr>
          <w:rFonts w:ascii="仿宋_GB2312" w:eastAsia="仿宋_GB2312"/>
          <w:sz w:val="36"/>
          <w:szCs w:val="36"/>
        </w:rPr>
      </w:pPr>
    </w:p>
    <w:p w14:paraId="095ABC4E">
      <w:pPr>
        <w:adjustRightInd w:val="0"/>
        <w:snapToGrid w:val="0"/>
        <w:spacing w:line="288" w:lineRule="auto"/>
        <w:ind w:firstLine="1040"/>
        <w:rPr>
          <w:rFonts w:ascii="仿宋_GB2312" w:eastAsia="仿宋_GB2312"/>
          <w:sz w:val="36"/>
          <w:szCs w:val="36"/>
        </w:rPr>
      </w:pPr>
    </w:p>
    <w:p w14:paraId="227F0D47">
      <w:pPr>
        <w:adjustRightInd w:val="0"/>
        <w:snapToGrid w:val="0"/>
        <w:spacing w:line="288" w:lineRule="auto"/>
        <w:ind w:firstLine="1040"/>
        <w:rPr>
          <w:rFonts w:ascii="仿宋_GB2312" w:eastAsia="仿宋_GB2312"/>
          <w:sz w:val="36"/>
          <w:szCs w:val="36"/>
        </w:rPr>
      </w:pPr>
    </w:p>
    <w:p w14:paraId="478821BC">
      <w:pPr>
        <w:adjustRightInd w:val="0"/>
        <w:snapToGrid w:val="0"/>
        <w:spacing w:line="288" w:lineRule="auto"/>
        <w:ind w:firstLine="1040"/>
        <w:rPr>
          <w:rFonts w:ascii="仿宋_GB2312" w:eastAsia="仿宋_GB2312"/>
          <w:sz w:val="36"/>
          <w:szCs w:val="36"/>
        </w:rPr>
      </w:pPr>
    </w:p>
    <w:p w14:paraId="463002DC">
      <w:pPr>
        <w:adjustRightInd w:val="0"/>
        <w:snapToGrid w:val="0"/>
        <w:spacing w:line="288" w:lineRule="auto"/>
        <w:rPr>
          <w:rFonts w:ascii="仿宋_GB2312" w:eastAsia="仿宋_GB2312"/>
          <w:sz w:val="36"/>
          <w:szCs w:val="36"/>
        </w:rPr>
      </w:pPr>
    </w:p>
    <w:p w14:paraId="1EC111C9">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0C766273">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fmt="decimal"/>
          <w:cols w:space="720" w:num="1"/>
          <w:docGrid w:linePitch="312" w:charSpace="0"/>
        </w:sectPr>
      </w:pPr>
    </w:p>
    <w:p w14:paraId="462ADF1A">
      <w:pPr>
        <w:spacing w:line="360" w:lineRule="auto"/>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3"/>
        <w:tblW w:w="49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7"/>
        <w:gridCol w:w="704"/>
        <w:gridCol w:w="2600"/>
        <w:gridCol w:w="2108"/>
        <w:gridCol w:w="2544"/>
      </w:tblGrid>
      <w:tr w14:paraId="55376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603" w:type="dxa"/>
            <w:gridSpan w:val="2"/>
            <w:tcMar>
              <w:top w:w="16" w:type="dxa"/>
              <w:left w:w="16" w:type="dxa"/>
              <w:right w:w="16" w:type="dxa"/>
            </w:tcMar>
            <w:vAlign w:val="center"/>
          </w:tcPr>
          <w:p w14:paraId="13529924">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建设项目名称</w:t>
            </w:r>
          </w:p>
        </w:tc>
        <w:tc>
          <w:tcPr>
            <w:tcW w:w="7258" w:type="dxa"/>
            <w:gridSpan w:val="3"/>
            <w:vAlign w:val="center"/>
          </w:tcPr>
          <w:p w14:paraId="2E1DA478">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lang w:val="en-US" w:eastAsia="zh-CN"/>
              </w:rPr>
            </w:pPr>
            <w:r>
              <w:rPr>
                <w:rFonts w:hint="default" w:ascii="宋体" w:hAnsi="宋体" w:eastAsia="宋体" w:cs="宋体"/>
                <w:szCs w:val="21"/>
                <w:lang w:val="en-US" w:eastAsia="zh-CN"/>
              </w:rPr>
              <w:t>新疆和静县夏翁沟口水泥用石灰岩矿建设项目</w:t>
            </w:r>
          </w:p>
        </w:tc>
      </w:tr>
      <w:tr w14:paraId="2F3D9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3" w:type="dxa"/>
            <w:gridSpan w:val="2"/>
            <w:tcMar>
              <w:top w:w="16" w:type="dxa"/>
              <w:left w:w="16" w:type="dxa"/>
              <w:right w:w="16" w:type="dxa"/>
            </w:tcMar>
            <w:vAlign w:val="center"/>
          </w:tcPr>
          <w:p w14:paraId="6790CE1C">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项目代码</w:t>
            </w:r>
          </w:p>
        </w:tc>
        <w:tc>
          <w:tcPr>
            <w:tcW w:w="7258" w:type="dxa"/>
            <w:gridSpan w:val="3"/>
            <w:vAlign w:val="center"/>
          </w:tcPr>
          <w:p w14:paraId="0055646F">
            <w:pPr>
              <w:keepNext w:val="0"/>
              <w:keepLines w:val="0"/>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2501-652827-04-01-744481</w:t>
            </w:r>
          </w:p>
        </w:tc>
      </w:tr>
      <w:tr w14:paraId="0FC75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3" w:type="dxa"/>
            <w:gridSpan w:val="2"/>
            <w:tcMar>
              <w:top w:w="16" w:type="dxa"/>
              <w:left w:w="16" w:type="dxa"/>
              <w:right w:w="16" w:type="dxa"/>
            </w:tcMar>
            <w:vAlign w:val="center"/>
          </w:tcPr>
          <w:p w14:paraId="538D4DF0">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建设单位联系人</w:t>
            </w:r>
          </w:p>
        </w:tc>
        <w:tc>
          <w:tcPr>
            <w:tcW w:w="2602" w:type="dxa"/>
            <w:vAlign w:val="center"/>
          </w:tcPr>
          <w:p w14:paraId="4BE93FA6">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lang w:val="en-US" w:eastAsia="zh-CN"/>
              </w:rPr>
              <w:t>金泽浩</w:t>
            </w:r>
          </w:p>
        </w:tc>
        <w:tc>
          <w:tcPr>
            <w:tcW w:w="2110" w:type="dxa"/>
            <w:vAlign w:val="center"/>
          </w:tcPr>
          <w:p w14:paraId="3727623C">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联系方式</w:t>
            </w:r>
          </w:p>
        </w:tc>
        <w:tc>
          <w:tcPr>
            <w:tcW w:w="2546" w:type="dxa"/>
            <w:vAlign w:val="center"/>
          </w:tcPr>
          <w:p w14:paraId="62DCA242">
            <w:pPr>
              <w:keepNext w:val="0"/>
              <w:keepLines w:val="0"/>
              <w:suppressLineNumbers w:val="0"/>
              <w:bidi w:val="0"/>
              <w:spacing w:before="0" w:beforeAutospacing="0" w:after="0" w:afterAutospacing="0"/>
              <w:ind w:left="0" w:right="0"/>
              <w:jc w:val="center"/>
              <w:rPr>
                <w:rFonts w:hint="default"/>
                <w:szCs w:val="21"/>
              </w:rPr>
            </w:pPr>
            <w:r>
              <w:rPr>
                <w:rFonts w:hint="eastAsia"/>
                <w:lang w:val="en-US" w:eastAsia="zh-CN"/>
              </w:rPr>
              <w:t>18160628829</w:t>
            </w:r>
          </w:p>
        </w:tc>
      </w:tr>
      <w:tr w14:paraId="02C41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3" w:type="dxa"/>
            <w:gridSpan w:val="2"/>
            <w:tcMar>
              <w:top w:w="16" w:type="dxa"/>
              <w:left w:w="16" w:type="dxa"/>
              <w:right w:w="16" w:type="dxa"/>
            </w:tcMar>
            <w:vAlign w:val="center"/>
          </w:tcPr>
          <w:p w14:paraId="2079FBCC">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建设地点</w:t>
            </w:r>
          </w:p>
        </w:tc>
        <w:tc>
          <w:tcPr>
            <w:tcW w:w="7258" w:type="dxa"/>
            <w:gridSpan w:val="3"/>
            <w:vAlign w:val="center"/>
          </w:tcPr>
          <w:p w14:paraId="7FFBE89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Cs w:val="21"/>
                <w:lang w:val="en-US" w:eastAsia="zh-CN"/>
              </w:rPr>
            </w:pPr>
            <w:r>
              <w:rPr>
                <w:rFonts w:hint="eastAsia" w:ascii="Times New Roman" w:hAnsi="Times New Roman" w:cs="宋体"/>
                <w:color w:val="000000" w:themeColor="text1"/>
                <w:sz w:val="21"/>
                <w:szCs w:val="21"/>
                <w14:textFill>
                  <w14:solidFill>
                    <w14:schemeClr w14:val="tx1"/>
                  </w14:solidFill>
                </w14:textFill>
              </w:rPr>
              <w:t>巴音郭楞蒙古自治州和静县</w:t>
            </w:r>
            <w:r>
              <w:rPr>
                <w:rFonts w:hint="eastAsia" w:cs="宋体"/>
                <w:color w:val="000000" w:themeColor="text1"/>
                <w:sz w:val="21"/>
                <w:szCs w:val="21"/>
                <w:lang w:val="en-US" w:eastAsia="zh-CN"/>
                <w14:textFill>
                  <w14:solidFill>
                    <w14:schemeClr w14:val="tx1"/>
                  </w14:solidFill>
                </w14:textFill>
              </w:rPr>
              <w:t>和静镇，</w:t>
            </w:r>
            <w:r>
              <w:rPr>
                <w:rFonts w:hint="eastAsia" w:ascii="Times New Roman" w:hAnsi="Times New Roman" w:cs="宋体"/>
                <w:color w:val="000000" w:themeColor="text1"/>
                <w:sz w:val="21"/>
                <w:szCs w:val="21"/>
                <w14:textFill>
                  <w14:solidFill>
                    <w14:schemeClr w14:val="tx1"/>
                  </w14:solidFill>
                </w14:textFill>
              </w:rPr>
              <w:t>城北西352°方位、直距约19.1km处</w:t>
            </w:r>
          </w:p>
        </w:tc>
      </w:tr>
      <w:tr w14:paraId="24527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3" w:type="dxa"/>
            <w:gridSpan w:val="2"/>
            <w:tcMar>
              <w:top w:w="16" w:type="dxa"/>
              <w:left w:w="16" w:type="dxa"/>
              <w:right w:w="16" w:type="dxa"/>
            </w:tcMar>
            <w:vAlign w:val="center"/>
          </w:tcPr>
          <w:p w14:paraId="36E02948">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地理坐标</w:t>
            </w:r>
          </w:p>
        </w:tc>
        <w:tc>
          <w:tcPr>
            <w:tcW w:w="7258" w:type="dxa"/>
            <w:gridSpan w:val="3"/>
            <w:vAlign w:val="center"/>
          </w:tcPr>
          <w:p w14:paraId="3D412340">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Times New Roman" w:hAnsi="Times New Roman" w:cs="宋体"/>
                <w:sz w:val="21"/>
                <w:szCs w:val="21"/>
              </w:rPr>
              <w:t>东经86°20′47</w:t>
            </w:r>
            <w:r>
              <w:rPr>
                <w:rFonts w:hint="eastAsia" w:cs="宋体"/>
                <w:sz w:val="21"/>
                <w:szCs w:val="21"/>
                <w:lang w:val="en-US" w:eastAsia="zh-CN"/>
              </w:rPr>
              <w:t>.000</w:t>
            </w:r>
            <w:r>
              <w:rPr>
                <w:rFonts w:hint="eastAsia" w:ascii="Times New Roman" w:hAnsi="Times New Roman" w:cs="宋体"/>
                <w:sz w:val="21"/>
                <w:szCs w:val="21"/>
              </w:rPr>
              <w:t>″；北纬42°29′37</w:t>
            </w:r>
            <w:r>
              <w:rPr>
                <w:rFonts w:hint="eastAsia" w:cs="宋体"/>
                <w:sz w:val="21"/>
                <w:szCs w:val="21"/>
                <w:lang w:val="en-US" w:eastAsia="zh-CN"/>
              </w:rPr>
              <w:t>.000</w:t>
            </w:r>
            <w:r>
              <w:rPr>
                <w:rFonts w:hint="eastAsia" w:ascii="Times New Roman" w:hAnsi="Times New Roman" w:cs="宋体"/>
                <w:sz w:val="21"/>
                <w:szCs w:val="21"/>
              </w:rPr>
              <w:t>″</w:t>
            </w:r>
          </w:p>
        </w:tc>
      </w:tr>
      <w:tr w14:paraId="0FBB1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0" w:hRule="atLeast"/>
          <w:jc w:val="center"/>
        </w:trPr>
        <w:tc>
          <w:tcPr>
            <w:tcW w:w="1603" w:type="dxa"/>
            <w:gridSpan w:val="2"/>
            <w:tcMar>
              <w:top w:w="16" w:type="dxa"/>
              <w:left w:w="16" w:type="dxa"/>
              <w:right w:w="16" w:type="dxa"/>
            </w:tcMar>
            <w:vAlign w:val="center"/>
          </w:tcPr>
          <w:p w14:paraId="18A8CC02">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建设项目</w:t>
            </w:r>
          </w:p>
          <w:p w14:paraId="2309C357">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行业类别</w:t>
            </w:r>
          </w:p>
        </w:tc>
        <w:tc>
          <w:tcPr>
            <w:tcW w:w="2602" w:type="dxa"/>
            <w:vAlign w:val="center"/>
          </w:tcPr>
          <w:p w14:paraId="61448947">
            <w:pPr>
              <w:keepNext w:val="0"/>
              <w:keepLines w:val="0"/>
              <w:widowControl/>
              <w:suppressLineNumbers w:val="0"/>
              <w:spacing w:before="0" w:beforeAutospacing="0" w:after="0" w:afterAutospacing="0"/>
              <w:ind w:left="0" w:right="0"/>
              <w:jc w:val="center"/>
              <w:rPr>
                <w:rFonts w:hint="default"/>
                <w:szCs w:val="21"/>
              </w:rPr>
            </w:pPr>
            <w:r>
              <w:rPr>
                <w:rFonts w:hint="default"/>
                <w:szCs w:val="21"/>
              </w:rPr>
              <w:t xml:space="preserve">八、非金属矿采选业 </w:t>
            </w:r>
            <w:r>
              <w:rPr>
                <w:rFonts w:hint="default"/>
                <w:color w:val="000000"/>
                <w:kern w:val="0"/>
                <w:szCs w:val="21"/>
                <w:lang w:bidi="ar"/>
              </w:rPr>
              <w:t>11土砂石开采 101（不含河道采砂项目）</w:t>
            </w:r>
            <w:r>
              <w:rPr>
                <w:rFonts w:hint="eastAsia"/>
                <w:color w:val="000000"/>
                <w:kern w:val="0"/>
                <w:szCs w:val="21"/>
                <w:lang w:eastAsia="zh-CN" w:bidi="ar"/>
              </w:rPr>
              <w:t>－</w:t>
            </w:r>
            <w:r>
              <w:rPr>
                <w:rFonts w:hint="default"/>
                <w:color w:val="000000"/>
                <w:kern w:val="0"/>
                <w:szCs w:val="21"/>
                <w:lang w:bidi="ar"/>
              </w:rPr>
              <w:t>其他</w:t>
            </w:r>
          </w:p>
        </w:tc>
        <w:tc>
          <w:tcPr>
            <w:tcW w:w="2110" w:type="dxa"/>
            <w:vAlign w:val="center"/>
          </w:tcPr>
          <w:p w14:paraId="405DC2BC">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用地（用海）面积（</w:t>
            </w:r>
            <w:r>
              <w:rPr>
                <w:rFonts w:hint="eastAsia"/>
                <w:szCs w:val="21"/>
                <w:lang w:val="en-US" w:eastAsia="zh-CN"/>
              </w:rPr>
              <w:t>k</w:t>
            </w:r>
            <w:r>
              <w:rPr>
                <w:rFonts w:hint="default"/>
                <w:szCs w:val="21"/>
              </w:rPr>
              <w:t>m</w:t>
            </w:r>
            <w:r>
              <w:rPr>
                <w:rFonts w:hint="default"/>
                <w:szCs w:val="21"/>
                <w:vertAlign w:val="superscript"/>
              </w:rPr>
              <w:t>2</w:t>
            </w:r>
            <w:r>
              <w:rPr>
                <w:rFonts w:hint="default"/>
                <w:szCs w:val="21"/>
              </w:rPr>
              <w:t>）/长度（km）</w:t>
            </w:r>
          </w:p>
        </w:tc>
        <w:tc>
          <w:tcPr>
            <w:tcW w:w="2546" w:type="dxa"/>
            <w:vAlign w:val="center"/>
          </w:tcPr>
          <w:p w14:paraId="124A44A6">
            <w:pPr>
              <w:keepNext w:val="0"/>
              <w:keepLines w:val="0"/>
              <w:suppressLineNumbers w:val="0"/>
              <w:adjustRightInd w:val="0"/>
              <w:snapToGrid w:val="0"/>
              <w:spacing w:before="0" w:beforeAutospacing="0" w:after="0" w:afterAutospacing="0"/>
              <w:ind w:left="0" w:right="0"/>
              <w:jc w:val="center"/>
              <w:rPr>
                <w:rFonts w:hint="default"/>
                <w:szCs w:val="21"/>
                <w:lang w:val="en-US"/>
              </w:rPr>
            </w:pPr>
            <w:r>
              <w:rPr>
                <w:rFonts w:hint="eastAsia"/>
                <w:lang w:val="en-US" w:eastAsia="zh-CN"/>
              </w:rPr>
              <w:t>永久占地0.31327k</w:t>
            </w:r>
            <w:r>
              <w:rPr>
                <w:rFonts w:hint="eastAsia"/>
              </w:rPr>
              <w:t>m</w:t>
            </w:r>
            <w:r>
              <w:rPr>
                <w:rFonts w:hint="eastAsia"/>
                <w:vertAlign w:val="superscript"/>
              </w:rPr>
              <w:t>2</w:t>
            </w:r>
          </w:p>
        </w:tc>
      </w:tr>
      <w:tr w14:paraId="58A9F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31" w:hRule="atLeast"/>
          <w:jc w:val="center"/>
        </w:trPr>
        <w:tc>
          <w:tcPr>
            <w:tcW w:w="1603" w:type="dxa"/>
            <w:gridSpan w:val="2"/>
            <w:tcMar>
              <w:top w:w="16" w:type="dxa"/>
              <w:left w:w="16" w:type="dxa"/>
              <w:right w:w="16" w:type="dxa"/>
            </w:tcMar>
            <w:vAlign w:val="center"/>
          </w:tcPr>
          <w:p w14:paraId="3A698B57">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建设性质</w:t>
            </w:r>
          </w:p>
        </w:tc>
        <w:tc>
          <w:tcPr>
            <w:tcW w:w="2602" w:type="dxa"/>
            <w:vAlign w:val="center"/>
          </w:tcPr>
          <w:p w14:paraId="4379A414">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szCs w:val="21"/>
              </w:rPr>
              <w:t>☑新建（迁建）</w:t>
            </w:r>
          </w:p>
          <w:p w14:paraId="01B7F8E1">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szCs w:val="21"/>
              </w:rPr>
              <w:t>□改建</w:t>
            </w:r>
          </w:p>
          <w:p w14:paraId="153A2374">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szCs w:val="21"/>
              </w:rPr>
              <w:t>□扩建</w:t>
            </w:r>
          </w:p>
          <w:p w14:paraId="3DE0EA01">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szCs w:val="21"/>
              </w:rPr>
              <w:t>□技术改造</w:t>
            </w:r>
          </w:p>
        </w:tc>
        <w:tc>
          <w:tcPr>
            <w:tcW w:w="2110" w:type="dxa"/>
            <w:vAlign w:val="center"/>
          </w:tcPr>
          <w:p w14:paraId="020BBA13">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建设项目</w:t>
            </w:r>
          </w:p>
          <w:p w14:paraId="0DB39EC3">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申报情形</w:t>
            </w:r>
          </w:p>
        </w:tc>
        <w:tc>
          <w:tcPr>
            <w:tcW w:w="2546" w:type="dxa"/>
            <w:vAlign w:val="center"/>
          </w:tcPr>
          <w:p w14:paraId="44A6529A">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szCs w:val="21"/>
              </w:rPr>
              <w:t>☑首次申报项目</w:t>
            </w:r>
          </w:p>
          <w:p w14:paraId="6BE2492F">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szCs w:val="21"/>
                <w:lang w:eastAsia="zh-CN"/>
              </w:rPr>
              <w:t>□</w:t>
            </w:r>
            <w:r>
              <w:rPr>
                <w:rFonts w:hint="eastAsia" w:ascii="宋体" w:hAnsi="宋体" w:cs="宋体"/>
                <w:szCs w:val="21"/>
              </w:rPr>
              <w:t>不予批准后再次申报项目</w:t>
            </w:r>
          </w:p>
          <w:p w14:paraId="61BBA997">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szCs w:val="21"/>
              </w:rPr>
              <w:t>□超五年重新审核项目</w:t>
            </w:r>
          </w:p>
          <w:p w14:paraId="0EC360E3">
            <w:pPr>
              <w:keepNext w:val="0"/>
              <w:keepLines w:val="0"/>
              <w:suppressLineNumbers w:val="0"/>
              <w:adjustRightInd w:val="0"/>
              <w:snapToGrid w:val="0"/>
              <w:spacing w:before="0" w:beforeAutospacing="0" w:after="0" w:afterAutospacing="0"/>
              <w:ind w:left="0" w:right="0"/>
              <w:rPr>
                <w:rFonts w:hint="default" w:ascii="宋体" w:hAnsi="宋体" w:cs="宋体"/>
                <w:szCs w:val="21"/>
              </w:rPr>
            </w:pPr>
            <w:r>
              <w:rPr>
                <w:rFonts w:hint="eastAsia" w:ascii="宋体" w:hAnsi="宋体" w:cs="宋体"/>
                <w:szCs w:val="21"/>
              </w:rPr>
              <w:t>□重大变动重新报批项目</w:t>
            </w:r>
          </w:p>
        </w:tc>
      </w:tr>
      <w:tr w14:paraId="628B0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603" w:type="dxa"/>
            <w:gridSpan w:val="2"/>
            <w:tcMar>
              <w:top w:w="16" w:type="dxa"/>
              <w:left w:w="16" w:type="dxa"/>
              <w:right w:w="16" w:type="dxa"/>
            </w:tcMar>
            <w:vAlign w:val="center"/>
          </w:tcPr>
          <w:p w14:paraId="0886CA17">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项目审批（核准</w:t>
            </w:r>
            <w:r>
              <w:rPr>
                <w:rFonts w:hint="default" w:ascii="宋体" w:hAnsi="宋体" w:cs="宋体"/>
                <w:szCs w:val="21"/>
              </w:rPr>
              <w:t>/</w:t>
            </w:r>
          </w:p>
          <w:p w14:paraId="2C944B47">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备案）部门（选填）</w:t>
            </w:r>
          </w:p>
        </w:tc>
        <w:tc>
          <w:tcPr>
            <w:tcW w:w="2602" w:type="dxa"/>
            <w:vAlign w:val="center"/>
          </w:tcPr>
          <w:p w14:paraId="7A49231D">
            <w:pPr>
              <w:keepNext w:val="0"/>
              <w:keepLines w:val="0"/>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和静县发展和改革委员会</w:t>
            </w:r>
          </w:p>
        </w:tc>
        <w:tc>
          <w:tcPr>
            <w:tcW w:w="2110" w:type="dxa"/>
            <w:vAlign w:val="center"/>
          </w:tcPr>
          <w:p w14:paraId="5FF20F70">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项目审批（核准/备案）文号（选填）</w:t>
            </w:r>
          </w:p>
        </w:tc>
        <w:tc>
          <w:tcPr>
            <w:tcW w:w="2546" w:type="dxa"/>
            <w:vAlign w:val="center"/>
          </w:tcPr>
          <w:p w14:paraId="17A1C34B">
            <w:pPr>
              <w:keepNext w:val="0"/>
              <w:keepLines w:val="0"/>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2501101282652800000147</w:t>
            </w:r>
          </w:p>
        </w:tc>
      </w:tr>
      <w:tr w14:paraId="4EC51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3" w:type="dxa"/>
            <w:gridSpan w:val="2"/>
            <w:tcMar>
              <w:top w:w="16" w:type="dxa"/>
              <w:left w:w="16" w:type="dxa"/>
              <w:right w:w="16" w:type="dxa"/>
            </w:tcMar>
            <w:vAlign w:val="center"/>
          </w:tcPr>
          <w:p w14:paraId="551BBAD6">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总投资（万元）</w:t>
            </w:r>
          </w:p>
        </w:tc>
        <w:tc>
          <w:tcPr>
            <w:tcW w:w="2602" w:type="dxa"/>
            <w:vAlign w:val="center"/>
          </w:tcPr>
          <w:p w14:paraId="7A15A9B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1143.99</w:t>
            </w:r>
          </w:p>
        </w:tc>
        <w:tc>
          <w:tcPr>
            <w:tcW w:w="2110" w:type="dxa"/>
            <w:tcMar>
              <w:top w:w="16" w:type="dxa"/>
              <w:left w:w="16" w:type="dxa"/>
              <w:right w:w="16" w:type="dxa"/>
            </w:tcMar>
            <w:vAlign w:val="center"/>
          </w:tcPr>
          <w:p w14:paraId="766B3E5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环保投资（</w:t>
            </w:r>
            <w:bookmarkStart w:id="0" w:name="环保投资"/>
            <w:bookmarkEnd w:id="0"/>
            <w:r>
              <w:rPr>
                <w:rFonts w:hint="default"/>
                <w:color w:val="000000" w:themeColor="text1"/>
                <w:szCs w:val="21"/>
                <w14:textFill>
                  <w14:solidFill>
                    <w14:schemeClr w14:val="tx1"/>
                  </w14:solidFill>
                </w14:textFill>
              </w:rPr>
              <w:t>万元）</w:t>
            </w:r>
          </w:p>
        </w:tc>
        <w:tc>
          <w:tcPr>
            <w:tcW w:w="2546" w:type="dxa"/>
            <w:vAlign w:val="center"/>
          </w:tcPr>
          <w:p w14:paraId="7F11A8F5">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149</w:t>
            </w:r>
          </w:p>
        </w:tc>
      </w:tr>
      <w:tr w14:paraId="5F2C3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603" w:type="dxa"/>
            <w:gridSpan w:val="2"/>
            <w:tcMar>
              <w:top w:w="16" w:type="dxa"/>
              <w:left w:w="16" w:type="dxa"/>
              <w:right w:w="16" w:type="dxa"/>
            </w:tcMar>
            <w:vAlign w:val="center"/>
          </w:tcPr>
          <w:p w14:paraId="103F11D4">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环保投资占比（</w:t>
            </w:r>
            <w:r>
              <w:rPr>
                <w:rFonts w:hint="default" w:ascii="宋体" w:hAnsi="宋体" w:cs="宋体"/>
                <w:szCs w:val="21"/>
              </w:rPr>
              <w:t>%</w:t>
            </w:r>
            <w:r>
              <w:rPr>
                <w:rFonts w:hint="eastAsia" w:ascii="宋体" w:hAnsi="宋体" w:cs="宋体"/>
                <w:szCs w:val="21"/>
              </w:rPr>
              <w:t>）</w:t>
            </w:r>
          </w:p>
        </w:tc>
        <w:tc>
          <w:tcPr>
            <w:tcW w:w="2602" w:type="dxa"/>
            <w:vAlign w:val="center"/>
          </w:tcPr>
          <w:p w14:paraId="4430879D">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13.02</w:t>
            </w:r>
          </w:p>
        </w:tc>
        <w:tc>
          <w:tcPr>
            <w:tcW w:w="2110" w:type="dxa"/>
            <w:tcMar>
              <w:top w:w="16" w:type="dxa"/>
              <w:left w:w="16" w:type="dxa"/>
              <w:right w:w="16" w:type="dxa"/>
            </w:tcMar>
            <w:vAlign w:val="center"/>
          </w:tcPr>
          <w:p w14:paraId="68A2940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施工工期</w:t>
            </w:r>
          </w:p>
        </w:tc>
        <w:tc>
          <w:tcPr>
            <w:tcW w:w="2546" w:type="dxa"/>
            <w:vAlign w:val="center"/>
          </w:tcPr>
          <w:p w14:paraId="66510A9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default"/>
                <w:color w:val="000000" w:themeColor="text1"/>
                <w:szCs w:val="21"/>
                <w14:textFill>
                  <w14:solidFill>
                    <w14:schemeClr w14:val="tx1"/>
                  </w14:solidFill>
                </w14:textFill>
              </w:rPr>
              <w:t>个月</w:t>
            </w:r>
          </w:p>
        </w:tc>
      </w:tr>
      <w:tr w14:paraId="35F76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0" w:hRule="atLeast"/>
          <w:jc w:val="center"/>
        </w:trPr>
        <w:tc>
          <w:tcPr>
            <w:tcW w:w="1603" w:type="dxa"/>
            <w:gridSpan w:val="2"/>
            <w:tcMar>
              <w:top w:w="16" w:type="dxa"/>
              <w:left w:w="16" w:type="dxa"/>
              <w:right w:w="16" w:type="dxa"/>
            </w:tcMar>
            <w:vAlign w:val="center"/>
          </w:tcPr>
          <w:p w14:paraId="09DC222E">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是否开工建设</w:t>
            </w:r>
          </w:p>
        </w:tc>
        <w:tc>
          <w:tcPr>
            <w:tcW w:w="7258" w:type="dxa"/>
            <w:gridSpan w:val="3"/>
            <w:vAlign w:val="center"/>
          </w:tcPr>
          <w:p w14:paraId="5C135544">
            <w:pPr>
              <w:keepNext w:val="0"/>
              <w:keepLines w:val="0"/>
              <w:suppressLineNumbers w:val="0"/>
              <w:adjustRightInd w:val="0"/>
              <w:snapToGrid w:val="0"/>
              <w:spacing w:before="0" w:beforeAutospacing="0" w:after="0" w:afterAutospacing="0"/>
              <w:ind w:left="0" w:right="0"/>
              <w:jc w:val="left"/>
              <w:rPr>
                <w:rFonts w:hint="default"/>
                <w:szCs w:val="21"/>
              </w:rPr>
            </w:pPr>
            <w:r>
              <w:rPr>
                <w:rFonts w:hint="eastAsia"/>
                <w:szCs w:val="21"/>
                <w:lang w:eastAsia="zh-CN"/>
              </w:rPr>
              <w:t>☑</w:t>
            </w:r>
            <w:r>
              <w:rPr>
                <w:rFonts w:hint="default"/>
                <w:szCs w:val="21"/>
              </w:rPr>
              <w:t>否</w:t>
            </w:r>
          </w:p>
          <w:p w14:paraId="523153DF">
            <w:pPr>
              <w:keepNext w:val="0"/>
              <w:keepLines w:val="0"/>
              <w:suppressLineNumbers w:val="0"/>
              <w:adjustRightInd w:val="0"/>
              <w:snapToGrid w:val="0"/>
              <w:spacing w:before="0" w:beforeAutospacing="0" w:after="0" w:afterAutospacing="0"/>
              <w:ind w:left="0" w:right="0"/>
              <w:jc w:val="left"/>
              <w:rPr>
                <w:rFonts w:hint="default"/>
                <w:szCs w:val="21"/>
              </w:rPr>
            </w:pPr>
            <w:r>
              <w:rPr>
                <w:rFonts w:hint="eastAsia"/>
                <w:szCs w:val="21"/>
                <w:lang w:eastAsia="zh-CN"/>
              </w:rPr>
              <w:t>□</w:t>
            </w:r>
            <w:r>
              <w:rPr>
                <w:rFonts w:hint="default"/>
                <w:szCs w:val="21"/>
              </w:rPr>
              <w:t>是</w:t>
            </w:r>
          </w:p>
        </w:tc>
      </w:tr>
      <w:tr w14:paraId="7B0DD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603" w:type="dxa"/>
            <w:gridSpan w:val="2"/>
            <w:tcMar>
              <w:top w:w="16" w:type="dxa"/>
              <w:left w:w="16" w:type="dxa"/>
              <w:right w:w="16" w:type="dxa"/>
            </w:tcMar>
            <w:vAlign w:val="center"/>
          </w:tcPr>
          <w:p w14:paraId="766962B4">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专项评价设置情况</w:t>
            </w:r>
          </w:p>
        </w:tc>
        <w:tc>
          <w:tcPr>
            <w:tcW w:w="7258" w:type="dxa"/>
            <w:gridSpan w:val="3"/>
            <w:tcMar>
              <w:top w:w="16" w:type="dxa"/>
              <w:left w:w="16" w:type="dxa"/>
              <w:right w:w="16" w:type="dxa"/>
            </w:tcMar>
            <w:vAlign w:val="center"/>
          </w:tcPr>
          <w:p w14:paraId="6D562360">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eastAsia="宋体" w:cs="宋体"/>
                <w:kern w:val="0"/>
                <w:szCs w:val="21"/>
                <w:lang w:val="en-US" w:eastAsia="zh-CN"/>
              </w:rPr>
            </w:pPr>
            <w:r>
              <w:rPr>
                <w:rFonts w:hint="eastAsia" w:ascii="宋体" w:hAnsi="宋体" w:cs="宋体"/>
                <w:kern w:val="0"/>
                <w:szCs w:val="21"/>
              </w:rPr>
              <w:t>无</w:t>
            </w:r>
          </w:p>
        </w:tc>
      </w:tr>
      <w:tr w14:paraId="6B016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8" w:hRule="atLeast"/>
          <w:jc w:val="center"/>
        </w:trPr>
        <w:tc>
          <w:tcPr>
            <w:tcW w:w="1603" w:type="dxa"/>
            <w:gridSpan w:val="2"/>
            <w:tcMar>
              <w:top w:w="16" w:type="dxa"/>
              <w:left w:w="16" w:type="dxa"/>
              <w:right w:w="16" w:type="dxa"/>
            </w:tcMar>
            <w:vAlign w:val="center"/>
          </w:tcPr>
          <w:p w14:paraId="1553F525">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szCs w:val="21"/>
              </w:rPr>
              <w:t>规划情况</w:t>
            </w:r>
          </w:p>
        </w:tc>
        <w:tc>
          <w:tcPr>
            <w:tcW w:w="7258" w:type="dxa"/>
            <w:gridSpan w:val="3"/>
            <w:tcMar>
              <w:top w:w="16" w:type="dxa"/>
              <w:left w:w="16" w:type="dxa"/>
              <w:right w:w="16" w:type="dxa"/>
            </w:tcMar>
            <w:vAlign w:val="center"/>
          </w:tcPr>
          <w:p w14:paraId="7A133F79">
            <w:pPr>
              <w:keepNext w:val="0"/>
              <w:keepLines w:val="0"/>
              <w:suppressLineNumbers w:val="0"/>
              <w:autoSpaceDE w:val="0"/>
              <w:autoSpaceDN w:val="0"/>
              <w:adjustRightInd w:val="0"/>
              <w:snapToGrid w:val="0"/>
              <w:spacing w:before="0" w:beforeAutospacing="0" w:after="0" w:afterAutospacing="0"/>
              <w:ind w:left="0" w:right="0"/>
              <w:jc w:val="left"/>
              <w:rPr>
                <w:rFonts w:hint="default"/>
                <w:szCs w:val="21"/>
              </w:rPr>
            </w:pPr>
            <w:r>
              <w:rPr>
                <w:rFonts w:hint="eastAsia"/>
                <w:szCs w:val="21"/>
                <w:lang w:val="en-US" w:eastAsia="zh-CN"/>
              </w:rPr>
              <w:t>规划文件名称：</w:t>
            </w:r>
            <w:r>
              <w:rPr>
                <w:rFonts w:hint="default"/>
                <w:szCs w:val="21"/>
              </w:rPr>
              <w:t>《新疆维吾尔自治区矿产资源总体规划（2021</w:t>
            </w:r>
            <w:r>
              <w:rPr>
                <w:rFonts w:hint="eastAsia"/>
                <w:szCs w:val="21"/>
                <w:lang w:eastAsia="zh-CN"/>
              </w:rPr>
              <w:t>—</w:t>
            </w:r>
            <w:r>
              <w:rPr>
                <w:rFonts w:hint="default"/>
                <w:szCs w:val="21"/>
              </w:rPr>
              <w:t>2025年）》；</w:t>
            </w:r>
          </w:p>
          <w:p w14:paraId="77B7453E">
            <w:pPr>
              <w:keepNext w:val="0"/>
              <w:keepLines w:val="0"/>
              <w:suppressLineNumbers w:val="0"/>
              <w:autoSpaceDE w:val="0"/>
              <w:autoSpaceDN w:val="0"/>
              <w:adjustRightInd w:val="0"/>
              <w:snapToGrid w:val="0"/>
              <w:spacing w:before="0" w:beforeAutospacing="0" w:after="0" w:afterAutospacing="0"/>
              <w:ind w:left="0" w:right="0"/>
              <w:jc w:val="left"/>
              <w:rPr>
                <w:rFonts w:hint="default"/>
                <w:szCs w:val="21"/>
              </w:rPr>
            </w:pPr>
            <w:r>
              <w:rPr>
                <w:rFonts w:hint="default"/>
                <w:szCs w:val="21"/>
              </w:rPr>
              <w:t>审批机关：自然资源部；</w:t>
            </w:r>
          </w:p>
          <w:p w14:paraId="3FBE0D0C">
            <w:pPr>
              <w:keepNext w:val="0"/>
              <w:keepLines w:val="0"/>
              <w:suppressLineNumbers w:val="0"/>
              <w:autoSpaceDE w:val="0"/>
              <w:autoSpaceDN w:val="0"/>
              <w:adjustRightInd w:val="0"/>
              <w:snapToGrid w:val="0"/>
              <w:spacing w:before="0" w:beforeAutospacing="0" w:after="0" w:afterAutospacing="0"/>
              <w:ind w:left="0" w:right="0"/>
              <w:jc w:val="left"/>
              <w:rPr>
                <w:rFonts w:hint="eastAsia"/>
                <w:szCs w:val="21"/>
                <w:lang w:eastAsia="zh-CN"/>
              </w:rPr>
            </w:pPr>
            <w:r>
              <w:rPr>
                <w:rFonts w:hint="default"/>
                <w:szCs w:val="21"/>
              </w:rPr>
              <w:t>审批文件名称及文号：《关于〈新疆维吾尔自治区矿产资源总体规划（2021</w:t>
            </w:r>
            <w:r>
              <w:rPr>
                <w:rFonts w:hint="eastAsia"/>
                <w:szCs w:val="21"/>
                <w:lang w:eastAsia="zh-CN"/>
              </w:rPr>
              <w:t>—</w:t>
            </w:r>
            <w:r>
              <w:rPr>
                <w:rFonts w:hint="default"/>
                <w:szCs w:val="21"/>
              </w:rPr>
              <w:t>2025年）〉的审查意见》（自然资函〔2022〕1092号）</w:t>
            </w:r>
            <w:r>
              <w:rPr>
                <w:rFonts w:hint="eastAsia"/>
                <w:szCs w:val="21"/>
                <w:lang w:eastAsia="zh-CN"/>
              </w:rPr>
              <w:t>；</w:t>
            </w:r>
          </w:p>
          <w:p w14:paraId="6DCBE3BA">
            <w:pPr>
              <w:pStyle w:val="30"/>
              <w:keepNext w:val="0"/>
              <w:keepLines w:val="0"/>
              <w:suppressLineNumbers w:val="0"/>
              <w:spacing w:before="0" w:beforeAutospacing="0" w:after="0" w:afterAutospacing="0"/>
              <w:ind w:left="0" w:right="0"/>
              <w:jc w:val="left"/>
              <w:rPr>
                <w:rFonts w:hint="eastAsia" w:ascii="Times New Roman"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规划文件名称：《巴音郭楞蒙古自治州矿产资源总体规划（2021</w:t>
            </w:r>
            <w:r>
              <w:rPr>
                <w:rFonts w:hint="eastAsia" w:ascii="Times New Roman" w:cs="Times New Roman"/>
                <w:b w:val="0"/>
                <w:bCs/>
                <w:kern w:val="2"/>
                <w:sz w:val="21"/>
                <w:szCs w:val="21"/>
                <w:lang w:val="en-US" w:eastAsia="zh-CN" w:bidi="ar-SA"/>
              </w:rPr>
              <w:t>—</w:t>
            </w:r>
            <w:r>
              <w:rPr>
                <w:rFonts w:hint="eastAsia" w:ascii="Times New Roman" w:hAnsi="Times New Roman" w:eastAsia="宋体" w:cs="Times New Roman"/>
                <w:b w:val="0"/>
                <w:bCs/>
                <w:kern w:val="2"/>
                <w:sz w:val="21"/>
                <w:szCs w:val="21"/>
                <w:lang w:val="en-US" w:eastAsia="zh-CN" w:bidi="ar-SA"/>
              </w:rPr>
              <w:t>2025年）》</w:t>
            </w:r>
            <w:r>
              <w:rPr>
                <w:rFonts w:hint="eastAsia" w:ascii="Times New Roman" w:cs="Times New Roman"/>
                <w:b w:val="0"/>
                <w:bCs/>
                <w:kern w:val="2"/>
                <w:sz w:val="21"/>
                <w:szCs w:val="21"/>
                <w:lang w:val="en-US" w:eastAsia="zh-CN" w:bidi="ar-SA"/>
              </w:rPr>
              <w:t>；</w:t>
            </w:r>
          </w:p>
          <w:p w14:paraId="1034ED90">
            <w:pPr>
              <w:keepNext w:val="0"/>
              <w:keepLines w:val="0"/>
              <w:suppressLineNumbers w:val="0"/>
              <w:autoSpaceDE w:val="0"/>
              <w:autoSpaceDN w:val="0"/>
              <w:adjustRightInd w:val="0"/>
              <w:snapToGrid w:val="0"/>
              <w:spacing w:before="0" w:beforeAutospacing="0" w:after="0" w:afterAutospacing="0"/>
              <w:ind w:left="0" w:right="0"/>
              <w:jc w:val="left"/>
              <w:rPr>
                <w:rFonts w:hint="default"/>
                <w:szCs w:val="21"/>
              </w:rPr>
            </w:pPr>
            <w:r>
              <w:rPr>
                <w:rFonts w:hint="default"/>
                <w:szCs w:val="21"/>
              </w:rPr>
              <w:t>审批机关：</w:t>
            </w:r>
            <w:r>
              <w:rPr>
                <w:rFonts w:hint="eastAsia"/>
                <w:szCs w:val="21"/>
                <w:lang w:val="en-US" w:eastAsia="zh-CN"/>
              </w:rPr>
              <w:t>--</w:t>
            </w:r>
            <w:r>
              <w:rPr>
                <w:rFonts w:hint="default"/>
                <w:szCs w:val="21"/>
              </w:rPr>
              <w:t>；</w:t>
            </w:r>
          </w:p>
          <w:p w14:paraId="1A91B6E5">
            <w:pPr>
              <w:keepNext w:val="0"/>
              <w:keepLines w:val="0"/>
              <w:suppressLineNumbers w:val="0"/>
              <w:spacing w:before="0" w:beforeAutospacing="0" w:after="0" w:afterAutospacing="0"/>
              <w:ind w:left="0" w:right="0"/>
              <w:jc w:val="left"/>
              <w:rPr>
                <w:rFonts w:hint="eastAsia"/>
                <w:szCs w:val="21"/>
                <w:lang w:val="en-US" w:eastAsia="zh-CN"/>
              </w:rPr>
            </w:pPr>
            <w:r>
              <w:rPr>
                <w:rFonts w:hint="default"/>
                <w:szCs w:val="21"/>
              </w:rPr>
              <w:t>审批文件名称及文号：</w:t>
            </w:r>
            <w:r>
              <w:rPr>
                <w:rFonts w:hint="eastAsia"/>
                <w:szCs w:val="21"/>
                <w:lang w:val="en-US" w:eastAsia="zh-CN"/>
              </w:rPr>
              <w:t>--；</w:t>
            </w:r>
          </w:p>
          <w:p w14:paraId="0357DB3E">
            <w:pPr>
              <w:pStyle w:val="30"/>
              <w:keepNext w:val="0"/>
              <w:keepLines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规划文件名称：《新疆维吾尔自治区和静县矿产资源总体规划（2021</w:t>
            </w:r>
            <w:r>
              <w:rPr>
                <w:rFonts w:hint="eastAsia" w:ascii="Times New Roman" w:cs="Times New Roman"/>
                <w:b w:val="0"/>
                <w:bCs/>
                <w:kern w:val="2"/>
                <w:sz w:val="21"/>
                <w:szCs w:val="21"/>
                <w:lang w:val="en-US" w:eastAsia="zh-CN" w:bidi="ar-SA"/>
              </w:rPr>
              <w:t>—</w:t>
            </w:r>
            <w:r>
              <w:rPr>
                <w:rFonts w:hint="eastAsia" w:ascii="Times New Roman" w:hAnsi="Times New Roman" w:eastAsia="宋体" w:cs="Times New Roman"/>
                <w:b w:val="0"/>
                <w:bCs/>
                <w:kern w:val="2"/>
                <w:sz w:val="21"/>
                <w:szCs w:val="21"/>
                <w:lang w:val="en-US" w:eastAsia="zh-CN" w:bidi="ar-SA"/>
              </w:rPr>
              <w:t>2025年）》</w:t>
            </w:r>
          </w:p>
          <w:p w14:paraId="06A5F873">
            <w:pPr>
              <w:keepNext w:val="0"/>
              <w:keepLines w:val="0"/>
              <w:suppressLineNumbers w:val="0"/>
              <w:autoSpaceDE w:val="0"/>
              <w:autoSpaceDN w:val="0"/>
              <w:adjustRightInd w:val="0"/>
              <w:snapToGrid w:val="0"/>
              <w:spacing w:before="0" w:beforeAutospacing="0" w:after="0" w:afterAutospacing="0"/>
              <w:ind w:left="0" w:right="0"/>
              <w:jc w:val="left"/>
              <w:rPr>
                <w:rFonts w:hint="default"/>
                <w:szCs w:val="21"/>
              </w:rPr>
            </w:pPr>
            <w:r>
              <w:rPr>
                <w:rFonts w:hint="default"/>
                <w:szCs w:val="21"/>
              </w:rPr>
              <w:t>审批机关：</w:t>
            </w:r>
            <w:r>
              <w:rPr>
                <w:rFonts w:hint="eastAsia"/>
                <w:szCs w:val="21"/>
                <w:lang w:val="en-US" w:eastAsia="zh-CN"/>
              </w:rPr>
              <w:t>--</w:t>
            </w:r>
            <w:r>
              <w:rPr>
                <w:rFonts w:hint="default"/>
                <w:szCs w:val="21"/>
              </w:rPr>
              <w:t>；</w:t>
            </w:r>
          </w:p>
          <w:p w14:paraId="1A275A79">
            <w:pPr>
              <w:keepNext w:val="0"/>
              <w:keepLines w:val="0"/>
              <w:suppressLineNumbers w:val="0"/>
              <w:spacing w:before="0" w:beforeAutospacing="0" w:after="0" w:afterAutospacing="0"/>
              <w:ind w:left="0" w:right="0"/>
              <w:jc w:val="left"/>
              <w:rPr>
                <w:rFonts w:hint="eastAsia"/>
                <w:lang w:eastAsia="zh-CN"/>
              </w:rPr>
            </w:pPr>
            <w:r>
              <w:rPr>
                <w:rFonts w:hint="default"/>
                <w:szCs w:val="21"/>
              </w:rPr>
              <w:t>审批文件名称及文号：</w:t>
            </w:r>
            <w:r>
              <w:rPr>
                <w:rFonts w:hint="eastAsia"/>
                <w:szCs w:val="21"/>
                <w:lang w:val="en-US" w:eastAsia="zh-CN"/>
              </w:rPr>
              <w:t>--。</w:t>
            </w:r>
          </w:p>
        </w:tc>
      </w:tr>
      <w:tr w14:paraId="20B16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31" w:hRule="atLeast"/>
          <w:jc w:val="center"/>
        </w:trPr>
        <w:tc>
          <w:tcPr>
            <w:tcW w:w="1603" w:type="dxa"/>
            <w:gridSpan w:val="2"/>
            <w:tcMar>
              <w:top w:w="16" w:type="dxa"/>
              <w:left w:w="16" w:type="dxa"/>
              <w:right w:w="16" w:type="dxa"/>
            </w:tcMar>
            <w:vAlign w:val="center"/>
          </w:tcPr>
          <w:p w14:paraId="5D57182B">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规划环境影响</w:t>
            </w:r>
          </w:p>
          <w:p w14:paraId="4C183177">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szCs w:val="21"/>
              </w:rPr>
              <w:t>评价情况</w:t>
            </w:r>
          </w:p>
        </w:tc>
        <w:tc>
          <w:tcPr>
            <w:tcW w:w="7258" w:type="dxa"/>
            <w:gridSpan w:val="3"/>
            <w:tcMar>
              <w:top w:w="16" w:type="dxa"/>
              <w:left w:w="16" w:type="dxa"/>
              <w:right w:w="16" w:type="dxa"/>
            </w:tcMar>
            <w:vAlign w:val="center"/>
          </w:tcPr>
          <w:p w14:paraId="79D82087">
            <w:pPr>
              <w:pStyle w:val="72"/>
              <w:keepNext w:val="0"/>
              <w:keepLines w:val="0"/>
              <w:suppressLineNumbers w:val="0"/>
              <w:spacing w:before="0" w:beforeAutospacing="0" w:after="0" w:afterAutospacing="0"/>
              <w:ind w:left="0" w:right="0"/>
              <w:rPr>
                <w:rFonts w:hint="eastAsia" w:eastAsia="宋体"/>
                <w:lang w:eastAsia="zh-CN"/>
              </w:rPr>
            </w:pPr>
            <w:r>
              <w:rPr>
                <w:rFonts w:hint="eastAsia"/>
              </w:rPr>
              <w:t>规划环评文件名称：《新疆维吾尔自治区矿产资源总体规划（2021</w:t>
            </w:r>
            <w:r>
              <w:rPr>
                <w:rFonts w:hint="eastAsia"/>
                <w:lang w:eastAsia="zh-CN"/>
              </w:rPr>
              <w:t>—</w:t>
            </w:r>
            <w:r>
              <w:rPr>
                <w:rFonts w:hint="eastAsia"/>
              </w:rPr>
              <w:t>2025年）环境影响报告书》</w:t>
            </w:r>
            <w:r>
              <w:rPr>
                <w:rFonts w:hint="eastAsia"/>
                <w:lang w:eastAsia="zh-CN"/>
              </w:rPr>
              <w:t>；</w:t>
            </w:r>
          </w:p>
          <w:p w14:paraId="05F3C40A">
            <w:pPr>
              <w:pStyle w:val="72"/>
              <w:keepNext w:val="0"/>
              <w:keepLines w:val="0"/>
              <w:suppressLineNumbers w:val="0"/>
              <w:spacing w:before="0" w:beforeAutospacing="0" w:after="0" w:afterAutospacing="0"/>
              <w:ind w:left="0" w:right="0"/>
              <w:rPr>
                <w:rFonts w:hint="eastAsia" w:eastAsia="宋体"/>
                <w:lang w:eastAsia="zh-CN"/>
              </w:rPr>
            </w:pPr>
            <w:r>
              <w:rPr>
                <w:rFonts w:hint="eastAsia"/>
              </w:rPr>
              <w:t>审查机关：中华人民共和国生态环境部</w:t>
            </w:r>
            <w:r>
              <w:rPr>
                <w:rFonts w:hint="eastAsia"/>
                <w:lang w:eastAsia="zh-CN"/>
              </w:rPr>
              <w:t>；</w:t>
            </w:r>
          </w:p>
          <w:p w14:paraId="55ED1155">
            <w:pPr>
              <w:pStyle w:val="72"/>
              <w:keepNext w:val="0"/>
              <w:keepLines w:val="0"/>
              <w:suppressLineNumbers w:val="0"/>
              <w:spacing w:before="0" w:beforeAutospacing="0" w:after="0" w:afterAutospacing="0"/>
              <w:ind w:left="0" w:right="0"/>
              <w:rPr>
                <w:rFonts w:hint="eastAsia"/>
                <w:lang w:eastAsia="zh-CN"/>
              </w:rPr>
            </w:pPr>
            <w:r>
              <w:rPr>
                <w:rFonts w:hint="eastAsia"/>
              </w:rPr>
              <w:t>审查文件名称及文号：《关于〈新疆维吾尔自治区矿产资源总体规划（2021—2025年）环境影响报告书〉的审查意见》</w:t>
            </w:r>
            <w:r>
              <w:rPr>
                <w:rFonts w:hint="eastAsia"/>
                <w:lang w:eastAsia="zh-CN"/>
              </w:rPr>
              <w:t>（</w:t>
            </w:r>
            <w:r>
              <w:rPr>
                <w:rFonts w:hint="eastAsia"/>
              </w:rPr>
              <w:t>环审〔2022〕124号</w:t>
            </w:r>
            <w:r>
              <w:rPr>
                <w:rFonts w:hint="eastAsia"/>
                <w:lang w:eastAsia="zh-CN"/>
              </w:rPr>
              <w:t>）；</w:t>
            </w:r>
          </w:p>
        </w:tc>
      </w:tr>
      <w:tr w14:paraId="7B3C7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898" w:type="dxa"/>
            <w:tcMar>
              <w:top w:w="16" w:type="dxa"/>
              <w:left w:w="16" w:type="dxa"/>
              <w:right w:w="16" w:type="dxa"/>
            </w:tcMar>
            <w:vAlign w:val="center"/>
          </w:tcPr>
          <w:p w14:paraId="0B5C2667">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规划及</w:t>
            </w:r>
            <w:r>
              <w:rPr>
                <w:rFonts w:hint="eastAsia" w:ascii="宋体" w:hAnsi="宋体" w:cs="宋体"/>
                <w:szCs w:val="21"/>
              </w:rPr>
              <w:t>规划环境影响评价</w:t>
            </w:r>
            <w:r>
              <w:rPr>
                <w:rFonts w:hint="eastAsia" w:ascii="宋体" w:hAnsi="宋体" w:cs="宋体"/>
                <w:kern w:val="0"/>
                <w:szCs w:val="21"/>
              </w:rPr>
              <w:t>符合性分析</w:t>
            </w:r>
          </w:p>
        </w:tc>
        <w:tc>
          <w:tcPr>
            <w:tcW w:w="7963" w:type="dxa"/>
            <w:gridSpan w:val="4"/>
            <w:tcMar>
              <w:top w:w="16" w:type="dxa"/>
              <w:left w:w="16" w:type="dxa"/>
              <w:right w:w="16" w:type="dxa"/>
            </w:tcMar>
            <w:vAlign w:val="center"/>
          </w:tcPr>
          <w:p w14:paraId="5123E2C5">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与</w:t>
            </w:r>
            <w:r>
              <w:rPr>
                <w:rFonts w:hint="eastAsia"/>
                <w:sz w:val="24"/>
              </w:rPr>
              <w:t>《</w:t>
            </w:r>
            <w:r>
              <w:rPr>
                <w:rFonts w:hint="default"/>
                <w:sz w:val="24"/>
              </w:rPr>
              <w:t>新疆维吾尔自治区矿产资源总体规划</w:t>
            </w:r>
            <w:r>
              <w:rPr>
                <w:rFonts w:hint="eastAsia"/>
                <w:sz w:val="24"/>
              </w:rPr>
              <w:t>（</w:t>
            </w:r>
            <w:r>
              <w:rPr>
                <w:rFonts w:hint="default"/>
                <w:sz w:val="24"/>
              </w:rPr>
              <w:t>2021</w:t>
            </w:r>
            <w:r>
              <w:rPr>
                <w:rFonts w:hint="eastAsia"/>
                <w:sz w:val="24"/>
                <w:lang w:eastAsia="zh-CN"/>
              </w:rPr>
              <w:t>—</w:t>
            </w:r>
            <w:r>
              <w:rPr>
                <w:rFonts w:hint="default"/>
                <w:sz w:val="24"/>
              </w:rPr>
              <w:t>2025年）</w:t>
            </w:r>
            <w:r>
              <w:rPr>
                <w:rFonts w:hint="eastAsia"/>
                <w:sz w:val="24"/>
                <w:lang w:eastAsia="zh-CN"/>
              </w:rPr>
              <w:t>》</w:t>
            </w:r>
            <w:r>
              <w:rPr>
                <w:rFonts w:hint="eastAsia"/>
                <w:sz w:val="24"/>
                <w:lang w:val="en-US" w:eastAsia="zh-CN"/>
              </w:rPr>
              <w:t>《巴音郭楞蒙古自治州矿产资源总体规划（2021—2025年）》《新疆维吾尔自治区和静县矿产资源总体规划（2021—2025年）》</w:t>
            </w:r>
            <w:r>
              <w:rPr>
                <w:rFonts w:hint="eastAsia"/>
                <w:sz w:val="24"/>
                <w:lang w:eastAsia="zh-CN"/>
              </w:rPr>
              <w:t>《</w:t>
            </w:r>
            <w:r>
              <w:rPr>
                <w:rFonts w:hint="default"/>
                <w:sz w:val="24"/>
              </w:rPr>
              <w:t>新疆维吾尔自治区矿产资源总体规划</w:t>
            </w:r>
            <w:r>
              <w:rPr>
                <w:rFonts w:hint="eastAsia"/>
                <w:sz w:val="24"/>
              </w:rPr>
              <w:t>（</w:t>
            </w:r>
            <w:r>
              <w:rPr>
                <w:rFonts w:hint="default"/>
                <w:sz w:val="24"/>
              </w:rPr>
              <w:t>2021</w:t>
            </w:r>
            <w:r>
              <w:rPr>
                <w:rFonts w:hint="eastAsia"/>
                <w:sz w:val="24"/>
                <w:lang w:eastAsia="zh-CN"/>
              </w:rPr>
              <w:t>—</w:t>
            </w:r>
            <w:r>
              <w:rPr>
                <w:rFonts w:hint="default"/>
                <w:sz w:val="24"/>
              </w:rPr>
              <w:t>2025年）</w:t>
            </w:r>
            <w:r>
              <w:rPr>
                <w:rFonts w:hint="eastAsia"/>
                <w:sz w:val="24"/>
              </w:rPr>
              <w:t>环境影响报告书</w:t>
            </w:r>
            <w:r>
              <w:rPr>
                <w:rFonts w:hint="default"/>
                <w:sz w:val="24"/>
              </w:rPr>
              <w:t>》</w:t>
            </w:r>
            <w:r>
              <w:rPr>
                <w:rFonts w:hint="eastAsia"/>
                <w:color w:val="000000" w:themeColor="text1"/>
                <w:sz w:val="24"/>
                <w:lang w:val="en-US" w:eastAsia="zh-CN"/>
                <w14:textFill>
                  <w14:solidFill>
                    <w14:schemeClr w14:val="tx1"/>
                  </w14:solidFill>
                </w14:textFill>
              </w:rPr>
              <w:t>及《关于〈新疆维吾尔自治区矿产资源总体规划（2021—2025年）环境影响报告书〉的审查意见》（环审〔2022〕124号）</w:t>
            </w:r>
            <w:r>
              <w:rPr>
                <w:rFonts w:hint="default"/>
                <w:color w:val="000000" w:themeColor="text1"/>
                <w:sz w:val="24"/>
                <w14:textFill>
                  <w14:solidFill>
                    <w14:schemeClr w14:val="tx1"/>
                  </w14:solidFill>
                </w14:textFill>
              </w:rPr>
              <w:t>符</w:t>
            </w:r>
            <w:r>
              <w:rPr>
                <w:rFonts w:hint="default"/>
                <w:sz w:val="24"/>
              </w:rPr>
              <w:t>合性分析</w:t>
            </w:r>
            <w:r>
              <w:rPr>
                <w:rFonts w:hint="eastAsia"/>
                <w:sz w:val="24"/>
              </w:rPr>
              <w:t>见下表。</w:t>
            </w:r>
          </w:p>
          <w:p w14:paraId="4917DE3B">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rPr>
            </w:pPr>
            <w:r>
              <w:rPr>
                <w:rFonts w:hint="eastAsia"/>
                <w:b/>
                <w:bCs/>
                <w:sz w:val="24"/>
              </w:rPr>
              <w:t>《新疆维吾尔自治区矿产资源总体规划（2021</w:t>
            </w:r>
            <w:r>
              <w:rPr>
                <w:rFonts w:hint="eastAsia"/>
                <w:b/>
                <w:bCs/>
                <w:sz w:val="24"/>
                <w:lang w:eastAsia="zh-CN"/>
              </w:rPr>
              <w:t>—</w:t>
            </w:r>
            <w:r>
              <w:rPr>
                <w:rFonts w:hint="eastAsia"/>
                <w:b/>
                <w:bCs/>
                <w:sz w:val="24"/>
              </w:rPr>
              <w:t>2025年</w:t>
            </w:r>
            <w:r>
              <w:rPr>
                <w:rFonts w:hint="eastAsia"/>
                <w:b/>
                <w:bCs/>
                <w:sz w:val="24"/>
                <w:lang w:eastAsia="zh-CN"/>
              </w:rPr>
              <w:t>）</w:t>
            </w:r>
            <w:r>
              <w:rPr>
                <w:rFonts w:hint="eastAsia"/>
                <w:b/>
                <w:bCs/>
                <w:sz w:val="24"/>
              </w:rPr>
              <w:t>》</w:t>
            </w:r>
            <w:r>
              <w:rPr>
                <w:rFonts w:hint="default"/>
                <w:b/>
                <w:bCs/>
                <w:sz w:val="24"/>
              </w:rPr>
              <w:t>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0"/>
              <w:gridCol w:w="2633"/>
              <w:gridCol w:w="708"/>
            </w:tblGrid>
            <w:tr w14:paraId="2835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888" w:type="pct"/>
                  <w:vAlign w:val="center"/>
                </w:tcPr>
                <w:p w14:paraId="5373BB7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规划要求</w:t>
                  </w:r>
                </w:p>
              </w:tc>
              <w:tc>
                <w:tcPr>
                  <w:tcW w:w="1663" w:type="pct"/>
                  <w:vAlign w:val="center"/>
                </w:tcPr>
                <w:p w14:paraId="6CCE159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本项目情况</w:t>
                  </w:r>
                </w:p>
              </w:tc>
              <w:tc>
                <w:tcPr>
                  <w:tcW w:w="447" w:type="pct"/>
                  <w:vAlign w:val="center"/>
                </w:tcPr>
                <w:p w14:paraId="16D2D05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lang w:val="en-US" w:eastAsia="zh-CN"/>
                    </w:rPr>
                  </w:pPr>
                  <w:r>
                    <w:rPr>
                      <w:rFonts w:hint="default" w:ascii="Times New Roman" w:hAnsi="Times New Roman" w:eastAsia="宋体"/>
                    </w:rPr>
                    <w:t>符合性</w:t>
                  </w:r>
                  <w:r>
                    <w:rPr>
                      <w:rFonts w:hint="eastAsia"/>
                      <w:lang w:val="en-US" w:eastAsia="zh-CN"/>
                    </w:rPr>
                    <w:t>分析</w:t>
                  </w:r>
                </w:p>
              </w:tc>
            </w:tr>
            <w:tr w14:paraId="6B53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8" w:type="pct"/>
                  <w:vAlign w:val="center"/>
                </w:tcPr>
                <w:p w14:paraId="725706D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重点勘察开采矿种：石油、天然气、页岩气、煤层气、煤、地热等能源矿产，铁、铬、锰、铜、镍、钴、铅锌、金、锂、铍、钒、钛等金属矿产，以及钾盐、萤石、硅质原料等非金属矿产。</w:t>
                  </w:r>
                </w:p>
                <w:p w14:paraId="71E4993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限制开采矿种：砖瓦用粘土等矿产，严格控制钨、稀土等特定保护性开采矿产。“限粘”县市禁止新设砖瓦用粘土采矿权。限制开采矿种，除严格矿业权人准入条件外，应论证资源供需形势，对开采总量进行调控，同时严格资源环境承载力论证，保护环境。合理控制国家规定实行保护性开采的特定矿种开采强度。</w:t>
                  </w:r>
                </w:p>
                <w:p w14:paraId="71BAF9F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禁止开采矿种：禁止开采砷和放射性等有毒有害物质超过规定标准的煤炭项目，砂铁、汞、可耕地砖瓦用粘土等矿产。除和田地区外其他地区禁止新设砂金开采项目，严格砂金开发项目环境影响评价。</w:t>
                  </w:r>
                </w:p>
              </w:tc>
              <w:tc>
                <w:tcPr>
                  <w:tcW w:w="1663" w:type="pct"/>
                  <w:vAlign w:val="center"/>
                </w:tcPr>
                <w:p w14:paraId="601AFD2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color w:val="000000" w:themeColor="text1"/>
                      <w14:textFill>
                        <w14:solidFill>
                          <w14:schemeClr w14:val="tx1"/>
                        </w14:solidFill>
                      </w14:textFill>
                    </w:rPr>
                    <w:t>本项目开采矿种为</w:t>
                  </w:r>
                  <w:r>
                    <w:rPr>
                      <w:rFonts w:hint="eastAsia" w:ascii="Times New Roman" w:hAnsi="Times New Roman" w:eastAsia="宋体"/>
                      <w:color w:val="000000" w:themeColor="text1"/>
                      <w:lang w:val="en-US" w:eastAsia="zh-CN"/>
                      <w14:textFill>
                        <w14:solidFill>
                          <w14:schemeClr w14:val="tx1"/>
                        </w14:solidFill>
                      </w14:textFill>
                    </w:rPr>
                    <w:t>水泥用石灰</w:t>
                  </w:r>
                  <w:r>
                    <w:rPr>
                      <w:rFonts w:hint="eastAsia"/>
                      <w:color w:val="000000" w:themeColor="text1"/>
                      <w:lang w:val="en-US" w:eastAsia="zh-CN"/>
                      <w14:textFill>
                        <w14:solidFill>
                          <w14:schemeClr w14:val="tx1"/>
                        </w14:solidFill>
                      </w14:textFill>
                    </w:rPr>
                    <w:t>岩</w:t>
                  </w:r>
                  <w:r>
                    <w:rPr>
                      <w:rFonts w:hint="default" w:ascii="Times New Roman" w:hAnsi="Times New Roman" w:eastAsia="宋体"/>
                      <w:color w:val="000000" w:themeColor="text1"/>
                      <w14:textFill>
                        <w14:solidFill>
                          <w14:schemeClr w14:val="tx1"/>
                        </w14:solidFill>
                      </w14:textFill>
                    </w:rPr>
                    <w:t>，不属于规划中的</w:t>
                  </w:r>
                  <w:r>
                    <w:rPr>
                      <w:rFonts w:hint="eastAsia"/>
                      <w:color w:val="000000" w:themeColor="text1"/>
                      <w:lang w:val="en-US" w:eastAsia="zh-CN"/>
                      <w14:textFill>
                        <w14:solidFill>
                          <w14:schemeClr w14:val="tx1"/>
                        </w14:solidFill>
                      </w14:textFill>
                    </w:rPr>
                    <w:t>重点、</w:t>
                  </w:r>
                  <w:r>
                    <w:rPr>
                      <w:rFonts w:hint="default" w:ascii="Times New Roman" w:hAnsi="Times New Roman" w:eastAsia="宋体"/>
                      <w:color w:val="000000" w:themeColor="text1"/>
                      <w14:textFill>
                        <w14:solidFill>
                          <w14:schemeClr w14:val="tx1"/>
                        </w14:solidFill>
                      </w14:textFill>
                    </w:rPr>
                    <w:t>限制和禁止开采矿种</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属于允许类，</w:t>
                  </w:r>
                  <w:r>
                    <w:rPr>
                      <w:rFonts w:hint="eastAsia"/>
                      <w:color w:val="000000" w:themeColor="text1"/>
                      <w:lang w:eastAsia="zh-CN"/>
                      <w14:textFill>
                        <w14:solidFill>
                          <w14:schemeClr w14:val="tx1"/>
                        </w14:solidFill>
                      </w14:textFill>
                    </w:rPr>
                    <w:t>于</w:t>
                  </w:r>
                  <w:r>
                    <w:rPr>
                      <w:rFonts w:hint="eastAsia" w:ascii="Times New Roman" w:hAnsi="Times New Roman" w:eastAsia="宋体"/>
                      <w:color w:val="000000" w:themeColor="text1"/>
                      <w14:textFill>
                        <w14:solidFill>
                          <w14:schemeClr w14:val="tx1"/>
                        </w14:solidFill>
                      </w14:textFill>
                    </w:rPr>
                    <w:t>202</w:t>
                  </w:r>
                  <w:r>
                    <w:rPr>
                      <w:rFonts w:hint="eastAsia" w:ascii="Times New Roman" w:hAnsi="Times New Roman" w:eastAsia="宋体"/>
                      <w:color w:val="000000" w:themeColor="text1"/>
                      <w:lang w:val="en-US" w:eastAsia="zh-CN"/>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年</w:t>
                  </w:r>
                  <w:r>
                    <w:rPr>
                      <w:rFonts w:hint="eastAsia" w:ascii="Times New Roman" w:hAnsi="Times New Roman" w:eastAsia="宋体"/>
                      <w:color w:val="000000" w:themeColor="text1"/>
                      <w:lang w:val="en-US" w:eastAsia="zh-CN"/>
                      <w14:textFill>
                        <w14:solidFill>
                          <w14:schemeClr w14:val="tx1"/>
                        </w14:solidFill>
                      </w14:textFill>
                    </w:rPr>
                    <w:t>9</w:t>
                  </w:r>
                  <w:r>
                    <w:rPr>
                      <w:rFonts w:hint="eastAsia" w:ascii="Times New Roman" w:hAnsi="Times New Roman" w:eastAsia="宋体"/>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13日</w:t>
                  </w:r>
                  <w:r>
                    <w:rPr>
                      <w:rFonts w:hint="eastAsia" w:ascii="Times New Roman" w:hAnsi="Times New Roman" w:eastAsia="宋体"/>
                      <w:color w:val="000000" w:themeColor="text1"/>
                      <w14:textFill>
                        <w14:solidFill>
                          <w14:schemeClr w14:val="tx1"/>
                        </w14:solidFill>
                      </w14:textFill>
                    </w:rPr>
                    <w:t>取得夏翁沟口水泥用石灰岩矿采矿证（</w:t>
                  </w:r>
                  <w:bookmarkStart w:id="1" w:name="采矿证"/>
                  <w:r>
                    <w:rPr>
                      <w:rFonts w:hint="eastAsia" w:ascii="Times New Roman" w:hAnsi="Times New Roman" w:eastAsia="宋体"/>
                      <w:color w:val="000000" w:themeColor="text1"/>
                      <w14:textFill>
                        <w14:solidFill>
                          <w14:schemeClr w14:val="tx1"/>
                        </w14:solidFill>
                      </w14:textFill>
                    </w:rPr>
                    <w:t>采矿证</w:t>
                  </w:r>
                  <w:bookmarkEnd w:id="1"/>
                  <w:r>
                    <w:rPr>
                      <w:rFonts w:hint="eastAsia" w:ascii="Times New Roman" w:hAnsi="Times New Roman" w:eastAsia="宋体"/>
                      <w:color w:val="000000" w:themeColor="text1"/>
                      <w14:textFill>
                        <w14:solidFill>
                          <w14:schemeClr w14:val="tx1"/>
                        </w14:solidFill>
                      </w14:textFill>
                    </w:rPr>
                    <w:t>编号C6528</w:t>
                  </w:r>
                  <w:r>
                    <w:rPr>
                      <w:rFonts w:hint="eastAsia" w:ascii="Times New Roman" w:hAnsi="Times New Roman" w:eastAsia="宋体"/>
                      <w:color w:val="000000" w:themeColor="text1"/>
                      <w:lang w:val="en-US" w:eastAsia="zh-CN"/>
                      <w14:textFill>
                        <w14:solidFill>
                          <w14:schemeClr w14:val="tx1"/>
                        </w14:solidFill>
                      </w14:textFill>
                    </w:rPr>
                    <w:t>002024097110157392</w:t>
                  </w:r>
                  <w:r>
                    <w:rPr>
                      <w:rFonts w:hint="eastAsia" w:ascii="Times New Roman" w:hAnsi="Times New Roman" w:eastAsia="宋体"/>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有效期2024年9月13日～2029年9月13日</w:t>
                  </w:r>
                  <w:r>
                    <w:rPr>
                      <w:rFonts w:hint="eastAsia"/>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w:t>
                  </w:r>
                  <w:r>
                    <w:rPr>
                      <w:rFonts w:hint="default" w:ascii="Times New Roman" w:hAnsi="Times New Roman" w:eastAsia="宋体"/>
                      <w:color w:val="000000" w:themeColor="text1"/>
                      <w14:textFill>
                        <w14:solidFill>
                          <w14:schemeClr w14:val="tx1"/>
                        </w14:solidFill>
                      </w14:textFill>
                    </w:rPr>
                    <w:t>设计生产规模为</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万</w:t>
                  </w:r>
                  <w:r>
                    <w:rPr>
                      <w:rFonts w:hint="eastAsia" w:ascii="Times New Roman" w:hAnsi="Times New Roman" w:eastAsia="宋体"/>
                      <w:color w:val="000000" w:themeColor="text1"/>
                      <w:lang w:eastAsia="zh-CN"/>
                      <w14:textFill>
                        <w14:solidFill>
                          <w14:schemeClr w14:val="tx1"/>
                        </w14:solidFill>
                      </w14:textFill>
                    </w:rPr>
                    <w:t>t/a</w:t>
                  </w:r>
                  <w:r>
                    <w:rPr>
                      <w:rFonts w:hint="eastAsia" w:ascii="Times New Roman" w:hAnsi="Times New Roman" w:eastAsia="宋体"/>
                      <w:color w:val="000000" w:themeColor="text1"/>
                      <w14:textFill>
                        <w14:solidFill>
                          <w14:schemeClr w14:val="tx1"/>
                        </w14:solidFill>
                      </w14:textFill>
                    </w:rPr>
                    <w:t>。</w:t>
                  </w:r>
                </w:p>
              </w:tc>
              <w:tc>
                <w:tcPr>
                  <w:tcW w:w="447" w:type="pct"/>
                  <w:vAlign w:val="center"/>
                </w:tcPr>
                <w:p w14:paraId="7BC0451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460E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8" w:type="pct"/>
                  <w:vAlign w:val="center"/>
                </w:tcPr>
                <w:p w14:paraId="67EC744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highlight w:val="none"/>
                    </w:rPr>
                    <w:t>控制改扩建及新建矿山最低开采规模。</w:t>
                  </w:r>
                  <w:r>
                    <w:rPr>
                      <w:rFonts w:hint="eastAsia" w:ascii="Times New Roman" w:hAnsi="Times New Roman" w:eastAsia="宋体"/>
                      <w:color w:val="000000" w:themeColor="text1"/>
                      <w:highlight w:val="none"/>
                      <w:shd w:val="clear"/>
                      <w:lang w:val="en-US" w:eastAsia="zh-CN"/>
                      <w14:textFill>
                        <w14:solidFill>
                          <w14:schemeClr w14:val="tx1"/>
                        </w14:solidFill>
                      </w14:textFill>
                    </w:rPr>
                    <w:t>中型石灰岩（水泥用/其他）</w:t>
                  </w:r>
                  <w:r>
                    <w:rPr>
                      <w:rFonts w:hint="default" w:ascii="Times New Roman" w:hAnsi="Times New Roman" w:eastAsia="宋体"/>
                      <w:highlight w:val="none"/>
                      <w:shd w:val="clear"/>
                    </w:rPr>
                    <w:t>规划期内</w:t>
                  </w:r>
                  <w:r>
                    <w:rPr>
                      <w:rFonts w:hint="eastAsia" w:ascii="Times New Roman" w:hAnsi="Times New Roman" w:eastAsia="宋体"/>
                      <w:highlight w:val="none"/>
                      <w:shd w:val="clear"/>
                      <w:lang w:val="en-US" w:eastAsia="zh-CN"/>
                    </w:rPr>
                    <w:t>最低开采规模为50</w:t>
                  </w:r>
                  <w:r>
                    <w:rPr>
                      <w:rFonts w:hint="default" w:ascii="Times New Roman" w:hAnsi="Times New Roman" w:eastAsia="宋体"/>
                      <w:highlight w:val="none"/>
                      <w:shd w:val="clear"/>
                    </w:rPr>
                    <w:t>万吨/年</w:t>
                  </w:r>
                  <w:r>
                    <w:rPr>
                      <w:rFonts w:hint="eastAsia" w:ascii="Times New Roman" w:hAnsi="Times New Roman" w:eastAsia="宋体"/>
                      <w:highlight w:val="none"/>
                      <w:shd w:val="clear"/>
                      <w:lang w:eastAsia="zh-CN"/>
                    </w:rPr>
                    <w:t>，</w:t>
                  </w:r>
                  <w:r>
                    <w:rPr>
                      <w:rFonts w:hint="eastAsia" w:ascii="Times New Roman" w:hAnsi="Times New Roman" w:eastAsia="宋体"/>
                      <w:highlight w:val="none"/>
                      <w:shd w:val="clear"/>
                      <w:lang w:val="en-US" w:eastAsia="zh-CN"/>
                    </w:rPr>
                    <w:t>最低服务年限为10年。</w:t>
                  </w:r>
                </w:p>
              </w:tc>
              <w:tc>
                <w:tcPr>
                  <w:tcW w:w="1663" w:type="pct"/>
                  <w:vAlign w:val="center"/>
                </w:tcPr>
                <w:p w14:paraId="7DDCA7A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本项目设计生产规模为</w:t>
                  </w:r>
                  <w:r>
                    <w:rPr>
                      <w:rFonts w:hint="eastAsia" w:ascii="Times New Roman" w:hAnsi="Times New Roman" w:eastAsia="宋体"/>
                      <w:lang w:val="en-US" w:eastAsia="zh-CN"/>
                    </w:rPr>
                    <w:t>50</w:t>
                  </w:r>
                  <w:r>
                    <w:rPr>
                      <w:rFonts w:hint="eastAsia"/>
                      <w:lang w:val="en-US" w:eastAsia="zh-CN"/>
                    </w:rPr>
                    <w:t>万</w:t>
                  </w:r>
                  <w:r>
                    <w:rPr>
                      <w:rFonts w:hint="eastAsia" w:ascii="Times New Roman" w:hAnsi="Times New Roman" w:eastAsia="宋体"/>
                      <w:lang w:eastAsia="zh-CN"/>
                    </w:rPr>
                    <w:t>t/a</w:t>
                  </w:r>
                  <w:r>
                    <w:rPr>
                      <w:rFonts w:hint="default" w:ascii="Times New Roman" w:hAnsi="Times New Roman" w:eastAsia="宋体"/>
                    </w:rPr>
                    <w:t>，回采率</w:t>
                  </w:r>
                  <w:r>
                    <w:rPr>
                      <w:rFonts w:hint="eastAsia" w:ascii="Times New Roman" w:hAnsi="Times New Roman" w:eastAsia="宋体"/>
                    </w:rPr>
                    <w:t>为</w:t>
                  </w:r>
                  <w:r>
                    <w:rPr>
                      <w:rFonts w:hint="default" w:ascii="Times New Roman" w:hAnsi="Times New Roman" w:eastAsia="宋体"/>
                    </w:rPr>
                    <w:t>95%</w:t>
                  </w:r>
                  <w:r>
                    <w:rPr>
                      <w:rFonts w:hint="eastAsia" w:ascii="Times New Roman" w:hAnsi="Times New Roman" w:eastAsia="宋体"/>
                    </w:rPr>
                    <w:t>，</w:t>
                  </w:r>
                  <w:r>
                    <w:rPr>
                      <w:rFonts w:hint="default" w:ascii="Times New Roman" w:hAnsi="Times New Roman" w:eastAsia="宋体"/>
                    </w:rPr>
                    <w:t>设计范围内矿山服务年限约为</w:t>
                  </w:r>
                  <w:r>
                    <w:rPr>
                      <w:rFonts w:hint="eastAsia" w:ascii="Times New Roman" w:hAnsi="Times New Roman" w:eastAsia="宋体" w:cs="Times New Roman"/>
                      <w:color w:val="auto"/>
                      <w:lang w:val="en-US" w:eastAsia="zh-CN"/>
                    </w:rPr>
                    <w:t>19.79</w:t>
                  </w:r>
                  <w:r>
                    <w:rPr>
                      <w:rFonts w:hint="default" w:ascii="Times New Roman" w:hAnsi="Times New Roman" w:eastAsia="宋体"/>
                    </w:rPr>
                    <w:t>年，</w:t>
                  </w:r>
                  <w:r>
                    <w:rPr>
                      <w:rFonts w:hint="eastAsia" w:ascii="Times New Roman" w:hAnsi="Times New Roman" w:eastAsia="宋体"/>
                      <w:color w:val="auto"/>
                    </w:rPr>
                    <w:t>满足</w:t>
                  </w:r>
                  <w:r>
                    <w:rPr>
                      <w:rFonts w:hint="eastAsia" w:ascii="Times New Roman" w:hAnsi="Times New Roman" w:eastAsia="宋体"/>
                      <w:color w:val="auto"/>
                      <w:lang w:val="en-US" w:eastAsia="zh-CN"/>
                    </w:rPr>
                    <w:t>石灰岩（水泥用/其他）中</w:t>
                  </w:r>
                  <w:r>
                    <w:rPr>
                      <w:rFonts w:hint="eastAsia" w:ascii="Times New Roman" w:hAnsi="Times New Roman" w:eastAsia="宋体"/>
                      <w:color w:val="auto"/>
                    </w:rPr>
                    <w:t>型规模</w:t>
                  </w:r>
                  <w:r>
                    <w:rPr>
                      <w:rFonts w:hint="eastAsia" w:ascii="Times New Roman" w:hAnsi="Times New Roman" w:eastAsia="宋体"/>
                      <w:color w:val="auto"/>
                      <w:lang w:val="en-US" w:eastAsia="zh-CN"/>
                    </w:rPr>
                    <w:t>开采规模</w:t>
                  </w:r>
                  <w:r>
                    <w:rPr>
                      <w:rFonts w:hint="eastAsia" w:ascii="Times New Roman" w:hAnsi="Times New Roman" w:eastAsia="宋体"/>
                      <w:color w:val="auto"/>
                    </w:rPr>
                    <w:t>不低于</w:t>
                  </w:r>
                  <w:r>
                    <w:rPr>
                      <w:rFonts w:hint="eastAsia" w:ascii="Times New Roman" w:hAnsi="Times New Roman" w:eastAsia="宋体"/>
                      <w:color w:val="auto"/>
                      <w:lang w:val="en-US" w:eastAsia="zh-CN"/>
                    </w:rPr>
                    <w:t>50</w:t>
                  </w:r>
                  <w:r>
                    <w:rPr>
                      <w:rFonts w:hint="eastAsia" w:ascii="Times New Roman" w:hAnsi="Times New Roman" w:eastAsia="宋体"/>
                      <w:color w:val="auto"/>
                    </w:rPr>
                    <w:t>万吨/年</w:t>
                  </w:r>
                  <w:r>
                    <w:rPr>
                      <w:rFonts w:hint="eastAsia"/>
                      <w:lang w:eastAsia="zh-CN"/>
                    </w:rPr>
                    <w:t>、</w:t>
                  </w:r>
                  <w:r>
                    <w:rPr>
                      <w:rFonts w:hint="eastAsia"/>
                      <w:lang w:val="en-US" w:eastAsia="zh-CN"/>
                    </w:rPr>
                    <w:t>最低服务年限为10年的要求</w:t>
                  </w:r>
                  <w:r>
                    <w:rPr>
                      <w:rFonts w:hint="default" w:ascii="Times New Roman" w:hAnsi="Times New Roman" w:eastAsia="宋体"/>
                      <w:color w:val="auto"/>
                    </w:rPr>
                    <w:t>。</w:t>
                  </w:r>
                </w:p>
              </w:tc>
              <w:tc>
                <w:tcPr>
                  <w:tcW w:w="447" w:type="pct"/>
                  <w:vAlign w:val="center"/>
                </w:tcPr>
                <w:p w14:paraId="3E1DE80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eastAsia" w:ascii="Times New Roman" w:hAnsi="Times New Roman" w:eastAsia="宋体"/>
                    </w:rPr>
                    <w:t>符合</w:t>
                  </w:r>
                </w:p>
              </w:tc>
            </w:tr>
          </w:tbl>
          <w:p w14:paraId="1B307D5E">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425" w:leftChars="0" w:right="0" w:hanging="425" w:firstLineChars="0"/>
              <w:jc w:val="center"/>
              <w:textAlignment w:val="auto"/>
              <w:rPr>
                <w:rFonts w:hint="default"/>
                <w:b/>
                <w:bCs/>
                <w:sz w:val="24"/>
              </w:rPr>
            </w:pPr>
            <w:r>
              <w:rPr>
                <w:rFonts w:hint="eastAsia"/>
                <w:b/>
                <w:bCs/>
                <w:sz w:val="24"/>
              </w:rPr>
              <w:t>《</w:t>
            </w:r>
            <w:r>
              <w:rPr>
                <w:rFonts w:hint="eastAsia"/>
                <w:b/>
                <w:bCs/>
                <w:sz w:val="24"/>
                <w:lang w:val="en-US" w:eastAsia="zh-CN"/>
              </w:rPr>
              <w:t>巴音郭楞蒙古自治州矿产资源总体规划（2021-2025）</w:t>
            </w:r>
            <w:r>
              <w:rPr>
                <w:rFonts w:hint="eastAsia"/>
                <w:b/>
                <w:bCs/>
                <w:sz w:val="24"/>
              </w:rPr>
              <w:t>》</w:t>
            </w:r>
            <w:r>
              <w:rPr>
                <w:rFonts w:hint="default"/>
                <w:b/>
                <w:bCs/>
                <w:sz w:val="24"/>
              </w:rPr>
              <w:t>符合性分析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1"/>
              <w:gridCol w:w="2652"/>
              <w:gridCol w:w="708"/>
            </w:tblGrid>
            <w:tr w14:paraId="6D23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pct"/>
                  <w:vAlign w:val="center"/>
                </w:tcPr>
                <w:p w14:paraId="0A462EA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sz w:val="24"/>
                      <w:vertAlign w:val="baseline"/>
                    </w:rPr>
                  </w:pPr>
                  <w:r>
                    <w:rPr>
                      <w:rFonts w:hint="default" w:ascii="Times New Roman" w:hAnsi="Times New Roman" w:eastAsia="宋体"/>
                    </w:rPr>
                    <w:t>规划要求</w:t>
                  </w:r>
                </w:p>
              </w:tc>
              <w:tc>
                <w:tcPr>
                  <w:tcW w:w="1675" w:type="pct"/>
                  <w:vAlign w:val="center"/>
                </w:tcPr>
                <w:p w14:paraId="2D1E95D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sz w:val="24"/>
                      <w:vertAlign w:val="baseline"/>
                    </w:rPr>
                  </w:pPr>
                  <w:r>
                    <w:rPr>
                      <w:rFonts w:hint="default" w:ascii="Times New Roman" w:hAnsi="Times New Roman" w:eastAsia="宋体"/>
                    </w:rPr>
                    <w:t>本项目情况</w:t>
                  </w:r>
                </w:p>
              </w:tc>
              <w:tc>
                <w:tcPr>
                  <w:tcW w:w="447" w:type="pct"/>
                  <w:vAlign w:val="center"/>
                </w:tcPr>
                <w:p w14:paraId="0334BBC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eastAsia="宋体"/>
                      <w:sz w:val="24"/>
                      <w:vertAlign w:val="baseline"/>
                      <w:lang w:val="en-US" w:eastAsia="zh-CN"/>
                    </w:rPr>
                  </w:pPr>
                  <w:r>
                    <w:rPr>
                      <w:rFonts w:hint="default" w:ascii="Times New Roman" w:hAnsi="Times New Roman" w:eastAsia="宋体"/>
                    </w:rPr>
                    <w:t>符合性</w:t>
                  </w:r>
                  <w:r>
                    <w:rPr>
                      <w:rFonts w:hint="eastAsia"/>
                      <w:lang w:val="en-US" w:eastAsia="zh-CN"/>
                    </w:rPr>
                    <w:t>分析</w:t>
                  </w:r>
                </w:p>
              </w:tc>
            </w:tr>
            <w:tr w14:paraId="3FC3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pct"/>
                  <w:vAlign w:val="center"/>
                </w:tcPr>
                <w:p w14:paraId="6595F08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ascii="Times New Roman" w:hAnsi="Times New Roman" w:eastAsia="宋体"/>
                    </w:rPr>
                  </w:pPr>
                  <w:r>
                    <w:rPr>
                      <w:rFonts w:hint="default" w:ascii="Times New Roman" w:hAnsi="Times New Roman" w:eastAsia="宋体"/>
                    </w:rPr>
                    <w:t>落实自治区规划，根据《巴音郭楞蒙古自治州国民经济和社会发展第十四个五年规划和2035年远景目标纲要》，结合巴州矿产资源分布特点、开发利用现状及区域经济发展要求，划分塔北</w:t>
                  </w:r>
                  <w:r>
                    <w:rPr>
                      <w:rFonts w:hint="eastAsia"/>
                      <w:lang w:eastAsia="zh-CN"/>
                    </w:rPr>
                    <w:t>－</w:t>
                  </w:r>
                  <w:r>
                    <w:rPr>
                      <w:rFonts w:hint="default" w:ascii="Times New Roman" w:hAnsi="Times New Roman" w:eastAsia="宋体"/>
                    </w:rPr>
                    <w:t>塔中</w:t>
                  </w:r>
                  <w:r>
                    <w:rPr>
                      <w:rFonts w:hint="eastAsia"/>
                      <w:lang w:eastAsia="zh-CN"/>
                    </w:rPr>
                    <w:t>－</w:t>
                  </w:r>
                  <w:r>
                    <w:rPr>
                      <w:rFonts w:hint="default" w:ascii="Times New Roman" w:hAnsi="Times New Roman" w:eastAsia="宋体"/>
                    </w:rPr>
                    <w:t>罗布泊、焉耆盆地、西天山、东天山、阿尔金、东昆仑</w:t>
                  </w:r>
                  <w:r>
                    <w:rPr>
                      <w:rFonts w:hint="eastAsia"/>
                      <w:lang w:eastAsia="zh-CN"/>
                    </w:rPr>
                    <w:t>（</w:t>
                  </w:r>
                  <w:r>
                    <w:rPr>
                      <w:rFonts w:hint="default" w:ascii="Times New Roman" w:hAnsi="Times New Roman" w:eastAsia="宋体"/>
                    </w:rPr>
                    <w:t>祁曼塔格</w:t>
                  </w:r>
                  <w:r>
                    <w:rPr>
                      <w:rFonts w:hint="eastAsia"/>
                      <w:lang w:eastAsia="zh-CN"/>
                    </w:rPr>
                    <w:t>）</w:t>
                  </w:r>
                  <w:r>
                    <w:rPr>
                      <w:rFonts w:hint="default" w:ascii="Times New Roman" w:hAnsi="Times New Roman" w:eastAsia="宋体"/>
                    </w:rPr>
                    <w:t>等“二带四区”六个勘查开发区，提出矿产资源开发及相关产业重点发展区域布局。</w:t>
                  </w:r>
                </w:p>
              </w:tc>
              <w:tc>
                <w:tcPr>
                  <w:tcW w:w="1675" w:type="pct"/>
                  <w:vAlign w:val="center"/>
                </w:tcPr>
                <w:p w14:paraId="319DBC2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lang w:val="en-US" w:eastAsia="zh-CN"/>
                    </w:rPr>
                  </w:pPr>
                  <w:r>
                    <w:rPr>
                      <w:rFonts w:hint="eastAsia"/>
                      <w:lang w:val="en-US" w:eastAsia="zh-CN"/>
                    </w:rPr>
                    <w:t>本项目位于和静县和静镇范围内，属于“二带四区”六个勘查开发区中的西天山能源黑色贵金属勘查开发区。</w:t>
                  </w:r>
                </w:p>
              </w:tc>
              <w:tc>
                <w:tcPr>
                  <w:tcW w:w="447" w:type="pct"/>
                  <w:vAlign w:val="center"/>
                </w:tcPr>
                <w:p w14:paraId="7A7A21E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lang w:val="en-US" w:eastAsia="zh-CN"/>
                    </w:rPr>
                  </w:pPr>
                  <w:r>
                    <w:rPr>
                      <w:rFonts w:hint="default" w:ascii="Times New Roman" w:hAnsi="Times New Roman" w:eastAsia="宋体"/>
                    </w:rPr>
                    <w:t>符合</w:t>
                  </w:r>
                </w:p>
              </w:tc>
            </w:tr>
            <w:tr w14:paraId="7E9C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pct"/>
                  <w:vAlign w:val="center"/>
                </w:tcPr>
                <w:p w14:paraId="1ECCDF4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ascii="Times New Roman" w:hAnsi="Times New Roman" w:eastAsia="宋体"/>
                    </w:rPr>
                  </w:pPr>
                  <w:r>
                    <w:rPr>
                      <w:rFonts w:hint="eastAsia"/>
                      <w:lang w:eastAsia="zh-CN"/>
                    </w:rPr>
                    <w:t>（</w:t>
                  </w:r>
                  <w:r>
                    <w:rPr>
                      <w:rFonts w:hint="default" w:ascii="Times New Roman" w:hAnsi="Times New Roman" w:eastAsia="宋体"/>
                    </w:rPr>
                    <w:t>3</w:t>
                  </w:r>
                  <w:r>
                    <w:rPr>
                      <w:rFonts w:hint="eastAsia"/>
                      <w:lang w:eastAsia="zh-CN"/>
                    </w:rPr>
                    <w:t>）</w:t>
                  </w:r>
                  <w:r>
                    <w:rPr>
                      <w:rFonts w:hint="default" w:ascii="Times New Roman" w:hAnsi="Times New Roman" w:eastAsia="宋体"/>
                    </w:rPr>
                    <w:t>西天山能源黑色贵金属勘查开发区。</w:t>
                  </w:r>
                </w:p>
                <w:p w14:paraId="29E7AE1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firstLine="420" w:firstLineChars="200"/>
                    <w:jc w:val="left"/>
                    <w:textAlignment w:val="auto"/>
                    <w:rPr>
                      <w:rFonts w:hint="default" w:ascii="Times New Roman" w:hAnsi="Times New Roman" w:eastAsia="宋体"/>
                    </w:rPr>
                  </w:pPr>
                  <w:r>
                    <w:rPr>
                      <w:rFonts w:hint="default" w:ascii="Times New Roman" w:hAnsi="Times New Roman" w:eastAsia="宋体"/>
                    </w:rPr>
                    <w:t>以煤炭、铁、金、菱镁矿等矿资源勘查开发为主，重点加强和静察汗乌苏铁矿带敦德、备战等矿山建设及1000米以浅深边部富铁矿勘查，新增铁资源量1亿吨，为八钢及和静钢铁产业提供资源保障。兼顾饰面石材、高品质石灰岩、石英岩等非金属矿产，延长产业链。加快绿色矿业发展建设，促进矿业绿色转型升级，发挥大企业龙头骨干作用，辐射带动当地钢铁、黄金、煤炭等产业发展。</w:t>
                  </w:r>
                </w:p>
              </w:tc>
              <w:tc>
                <w:tcPr>
                  <w:tcW w:w="1675" w:type="pct"/>
                  <w:vAlign w:val="center"/>
                </w:tcPr>
                <w:p w14:paraId="1E23FD5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eastAsia="宋体"/>
                      <w:lang w:val="en-US" w:eastAsia="zh-CN"/>
                    </w:rPr>
                  </w:pPr>
                  <w:r>
                    <w:rPr>
                      <w:rFonts w:hint="default" w:ascii="Times New Roman" w:hAnsi="Times New Roman" w:eastAsia="宋体"/>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勘查</w:t>
                  </w:r>
                  <w:r>
                    <w:rPr>
                      <w:rFonts w:hint="default" w:ascii="Times New Roman" w:hAnsi="Times New Roman" w:eastAsia="宋体"/>
                      <w:color w:val="000000" w:themeColor="text1"/>
                      <w14:textFill>
                        <w14:solidFill>
                          <w14:schemeClr w14:val="tx1"/>
                        </w14:solidFill>
                      </w14:textFill>
                    </w:rPr>
                    <w:t>开采矿种为</w:t>
                  </w:r>
                  <w:r>
                    <w:rPr>
                      <w:rFonts w:hint="eastAsia" w:ascii="Times New Roman" w:hAnsi="Times New Roman" w:eastAsia="宋体"/>
                      <w:color w:val="000000" w:themeColor="text1"/>
                      <w:lang w:val="en-US" w:eastAsia="zh-CN"/>
                      <w14:textFill>
                        <w14:solidFill>
                          <w14:schemeClr w14:val="tx1"/>
                        </w14:solidFill>
                      </w14:textFill>
                    </w:rPr>
                    <w:t>水泥用石灰</w:t>
                  </w:r>
                  <w:r>
                    <w:rPr>
                      <w:rFonts w:hint="eastAsia"/>
                      <w:color w:val="000000" w:themeColor="text1"/>
                      <w:lang w:val="en-US" w:eastAsia="zh-CN"/>
                      <w14:textFill>
                        <w14:solidFill>
                          <w14:schemeClr w14:val="tx1"/>
                        </w14:solidFill>
                      </w14:textFill>
                    </w:rPr>
                    <w:t>岩，属于重点发展矿产资源；</w:t>
                  </w:r>
                  <w:r>
                    <w:rPr>
                      <w:rFonts w:hint="eastAsia" w:ascii="Times New Roman" w:hAnsi="Times New Roman" w:eastAsia="宋体"/>
                      <w:color w:val="000000" w:themeColor="text1"/>
                      <w14:textFill>
                        <w14:solidFill>
                          <w14:schemeClr w14:val="tx1"/>
                        </w14:solidFill>
                      </w14:textFill>
                    </w:rPr>
                    <w:t>本项目</w:t>
                  </w:r>
                  <w:r>
                    <w:rPr>
                      <w:rFonts w:hint="default" w:ascii="Times New Roman" w:hAnsi="Times New Roman" w:eastAsia="宋体"/>
                      <w:color w:val="000000" w:themeColor="text1"/>
                      <w14:textFill>
                        <w14:solidFill>
                          <w14:schemeClr w14:val="tx1"/>
                        </w14:solidFill>
                      </w14:textFill>
                    </w:rPr>
                    <w:t>设计生产规模为</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万</w:t>
                  </w:r>
                  <w:r>
                    <w:rPr>
                      <w:rFonts w:hint="eastAsia" w:ascii="Times New Roman" w:hAnsi="Times New Roman" w:eastAsia="宋体"/>
                      <w:color w:val="000000" w:themeColor="text1"/>
                      <w:lang w:eastAsia="zh-CN"/>
                      <w14:textFill>
                        <w14:solidFill>
                          <w14:schemeClr w14:val="tx1"/>
                        </w14:solidFill>
                      </w14:textFill>
                    </w:rPr>
                    <w:t>t/a</w:t>
                  </w:r>
                  <w:r>
                    <w:rPr>
                      <w:rFonts w:hint="eastAsia" w:ascii="Times New Roman" w:hAnsi="Times New Roman" w:eastAsia="宋体"/>
                      <w:color w:val="000000" w:themeColor="text1"/>
                      <w14:textFill>
                        <w14:solidFill>
                          <w14:schemeClr w14:val="tx1"/>
                        </w14:solidFill>
                      </w14:textFill>
                    </w:rPr>
                    <w:t>，</w:t>
                  </w:r>
                  <w:r>
                    <w:rPr>
                      <w:rFonts w:hint="default" w:ascii="Times New Roman" w:hAnsi="Times New Roman" w:eastAsia="宋体"/>
                      <w:color w:val="000000" w:themeColor="text1"/>
                      <w14:textFill>
                        <w14:solidFill>
                          <w14:schemeClr w14:val="tx1"/>
                        </w14:solidFill>
                      </w14:textFill>
                    </w:rPr>
                    <w:t>回采率</w:t>
                  </w:r>
                  <w:r>
                    <w:rPr>
                      <w:rFonts w:hint="eastAsia" w:ascii="Times New Roman" w:hAnsi="Times New Roman" w:eastAsia="宋体"/>
                      <w:color w:val="000000" w:themeColor="text1"/>
                      <w14:textFill>
                        <w14:solidFill>
                          <w14:schemeClr w14:val="tx1"/>
                        </w14:solidFill>
                      </w14:textFill>
                    </w:rPr>
                    <w:t>为</w:t>
                  </w:r>
                  <w:r>
                    <w:rPr>
                      <w:rFonts w:hint="default" w:ascii="Times New Roman" w:hAnsi="Times New Roman" w:eastAsia="宋体"/>
                      <w:color w:val="000000" w:themeColor="text1"/>
                      <w14:textFill>
                        <w14:solidFill>
                          <w14:schemeClr w14:val="tx1"/>
                        </w14:solidFill>
                      </w14:textFill>
                    </w:rPr>
                    <w:t>95%</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综合利用率不低于85%，满足“三率”要求。</w:t>
                  </w:r>
                  <w:r>
                    <w:rPr>
                      <w:rFonts w:hint="eastAsia" w:ascii="Times New Roman" w:hAnsi="Times New Roman" w:eastAsia="宋体"/>
                      <w:color w:val="000000" w:themeColor="text1"/>
                      <w14:textFill>
                        <w14:solidFill>
                          <w14:schemeClr w14:val="tx1"/>
                        </w14:solidFill>
                      </w14:textFill>
                    </w:rPr>
                    <w:t>项目采取边</w:t>
                  </w:r>
                  <w:r>
                    <w:rPr>
                      <w:rFonts w:hint="eastAsia" w:ascii="Times New Roman" w:hAnsi="Times New Roman" w:eastAsia="宋体"/>
                      <w:color w:val="000000" w:themeColor="text1"/>
                      <w:lang w:val="en-US" w:eastAsia="zh-CN"/>
                      <w14:textFill>
                        <w14:solidFill>
                          <w14:schemeClr w14:val="tx1"/>
                        </w14:solidFill>
                      </w14:textFill>
                    </w:rPr>
                    <w:t>开采，边治理</w:t>
                  </w:r>
                  <w:r>
                    <w:rPr>
                      <w:rFonts w:hint="eastAsia" w:ascii="Times New Roman" w:hAnsi="Times New Roman" w:eastAsia="宋体"/>
                      <w:color w:val="000000" w:themeColor="text1"/>
                      <w14:textFill>
                        <w14:solidFill>
                          <w14:schemeClr w14:val="tx1"/>
                        </w14:solidFill>
                      </w14:textFill>
                    </w:rPr>
                    <w:t>的开采方式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人工恢复结合自然恢复，利用排土场内的废土、废石</w:t>
                  </w:r>
                  <w:r>
                    <w:rPr>
                      <w:rFonts w:hint="eastAsia" w:ascii="Times New Roman" w:hAnsi="Times New Roman" w:eastAsia="宋体"/>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开采过程中产生的采坑进行回填平整</w:t>
                  </w:r>
                  <w:r>
                    <w:rPr>
                      <w:rFonts w:hint="eastAsia" w:ascii="Times New Roman" w:hAnsi="Times New Roman" w:eastAsia="宋体"/>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土地</w:t>
                  </w:r>
                  <w:r>
                    <w:rPr>
                      <w:rFonts w:hint="default" w:ascii="Times New Roman" w:hAnsi="Times New Roman" w:eastAsia="宋体"/>
                      <w:color w:val="000000" w:themeColor="text1"/>
                      <w14:textFill>
                        <w14:solidFill>
                          <w14:schemeClr w14:val="tx1"/>
                        </w14:solidFill>
                      </w14:textFill>
                    </w:rPr>
                    <w:t>复垦率100.00％。矿山将按照土地复垦及环评要求逐步开展复垦工作并达到复垦要求</w:t>
                  </w:r>
                  <w:r>
                    <w:rPr>
                      <w:rFonts w:hint="eastAsia" w:ascii="Times New Roman" w:hAnsi="Times New Roman" w:eastAsia="宋体"/>
                      <w:color w:val="000000" w:themeColor="text1"/>
                      <w14:textFill>
                        <w14:solidFill>
                          <w14:schemeClr w14:val="tx1"/>
                        </w14:solidFill>
                      </w14:textFill>
                    </w:rPr>
                    <w:t>，符合绿色矿山建设要求</w:t>
                  </w:r>
                  <w:r>
                    <w:rPr>
                      <w:rFonts w:hint="eastAsia"/>
                      <w:color w:val="000000" w:themeColor="text1"/>
                      <w:lang w:eastAsia="zh-CN"/>
                      <w14:textFill>
                        <w14:solidFill>
                          <w14:schemeClr w14:val="tx1"/>
                        </w14:solidFill>
                      </w14:textFill>
                    </w:rPr>
                    <w:t>。</w:t>
                  </w:r>
                </w:p>
              </w:tc>
              <w:tc>
                <w:tcPr>
                  <w:tcW w:w="447" w:type="pct"/>
                  <w:vAlign w:val="center"/>
                </w:tcPr>
                <w:p w14:paraId="385C192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lang w:val="en-US" w:eastAsia="zh-CN"/>
                    </w:rPr>
                  </w:pPr>
                  <w:r>
                    <w:rPr>
                      <w:rFonts w:hint="default" w:ascii="Times New Roman" w:hAnsi="Times New Roman" w:eastAsia="宋体"/>
                    </w:rPr>
                    <w:t>符合</w:t>
                  </w:r>
                </w:p>
              </w:tc>
            </w:tr>
            <w:tr w14:paraId="699F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pct"/>
                  <w:vAlign w:val="center"/>
                </w:tcPr>
                <w:p w14:paraId="59E5A86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Times New Roman" w:eastAsia="宋体"/>
                    </w:rPr>
                  </w:pPr>
                  <w:r>
                    <w:rPr>
                      <w:rFonts w:hint="default" w:ascii="Times New Roman" w:hAnsi="Times New Roman" w:eastAsia="宋体"/>
                    </w:rPr>
                    <w:t>依据资源勘查程度、新发现矿产地数量、资源储量规模与矿山开采规模对应关系、市场需求状况、预期经济效益等，提高大、中型矿山数量或比例，减少小型矿山数量或比例，到2025年末采矿权总数控制在200个以内，其中大中型矿山比例达40%以上。</w:t>
                  </w:r>
                </w:p>
              </w:tc>
              <w:tc>
                <w:tcPr>
                  <w:tcW w:w="1675" w:type="pct"/>
                  <w:vAlign w:val="center"/>
                </w:tcPr>
                <w:p w14:paraId="67C3D9A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rPr>
                  </w:pPr>
                  <w:r>
                    <w:rPr>
                      <w:rFonts w:hint="eastAsia"/>
                      <w:lang w:val="en-US" w:eastAsia="zh-CN"/>
                    </w:rPr>
                    <w:t>本项目为新建矿山，</w:t>
                  </w:r>
                  <w:r>
                    <w:rPr>
                      <w:rFonts w:hint="default" w:ascii="Times New Roman" w:hAnsi="Times New Roman" w:eastAsia="宋体"/>
                    </w:rPr>
                    <w:t>矿区范围内</w:t>
                  </w:r>
                  <w:r>
                    <w:rPr>
                      <w:rFonts w:hint="eastAsia"/>
                      <w:lang w:eastAsia="zh-CN"/>
                    </w:rPr>
                    <w:t>矿产资源量</w:t>
                  </w:r>
                  <w:r>
                    <w:rPr>
                      <w:rFonts w:hint="default" w:ascii="Times New Roman" w:hAnsi="Times New Roman" w:eastAsia="宋体"/>
                    </w:rPr>
                    <w:t>总计</w:t>
                  </w:r>
                  <w:r>
                    <w:rPr>
                      <w:rFonts w:hint="eastAsia" w:ascii="Times New Roman" w:hAnsi="Times New Roman" w:eastAsia="宋体"/>
                      <w:lang w:val="en-US" w:eastAsia="zh-CN"/>
                    </w:rPr>
                    <w:t>1118.61</w:t>
                  </w:r>
                  <w:r>
                    <w:rPr>
                      <w:rFonts w:hint="default" w:ascii="Times New Roman" w:hAnsi="Times New Roman" w:eastAsia="宋体"/>
                    </w:rPr>
                    <w:t>万吨，</w:t>
                  </w:r>
                  <w:r>
                    <w:rPr>
                      <w:rFonts w:hint="eastAsia" w:ascii="Times New Roman" w:hAnsi="Times New Roman" w:eastAsia="宋体"/>
                    </w:rPr>
                    <w:t>属于</w:t>
                  </w:r>
                  <w:r>
                    <w:rPr>
                      <w:rFonts w:hint="eastAsia" w:ascii="Times New Roman" w:hAnsi="Times New Roman" w:eastAsia="宋体"/>
                      <w:lang w:val="en-US" w:eastAsia="zh-CN"/>
                    </w:rPr>
                    <w:t>中</w:t>
                  </w:r>
                  <w:r>
                    <w:rPr>
                      <w:rFonts w:hint="eastAsia" w:ascii="Times New Roman" w:hAnsi="Times New Roman" w:eastAsia="宋体"/>
                    </w:rPr>
                    <w:t>型规模</w:t>
                  </w:r>
                  <w:r>
                    <w:rPr>
                      <w:rFonts w:hint="eastAsia"/>
                      <w:lang w:eastAsia="zh-CN"/>
                    </w:rPr>
                    <w:t>，</w:t>
                  </w:r>
                  <w:r>
                    <w:rPr>
                      <w:rFonts w:hint="eastAsia"/>
                      <w:lang w:val="en-US" w:eastAsia="zh-CN"/>
                    </w:rPr>
                    <w:t>符合矿产资源总体规划。</w:t>
                  </w:r>
                </w:p>
              </w:tc>
              <w:tc>
                <w:tcPr>
                  <w:tcW w:w="447" w:type="pct"/>
                  <w:vAlign w:val="center"/>
                </w:tcPr>
                <w:p w14:paraId="032DE58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rPr>
                  </w:pPr>
                  <w:r>
                    <w:rPr>
                      <w:rFonts w:hint="eastAsia"/>
                      <w:lang w:val="en-US" w:eastAsia="zh-CN"/>
                    </w:rPr>
                    <w:t>符合</w:t>
                  </w:r>
                </w:p>
              </w:tc>
            </w:tr>
            <w:tr w14:paraId="75C1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pct"/>
                  <w:vAlign w:val="center"/>
                </w:tcPr>
                <w:p w14:paraId="3473CF3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Times New Roman" w:eastAsia="宋体"/>
                    </w:rPr>
                  </w:pPr>
                  <w:r>
                    <w:rPr>
                      <w:rFonts w:hint="default" w:ascii="Times New Roman" w:hAnsi="Times New Roman" w:eastAsia="宋体"/>
                    </w:rPr>
                    <w:t>1.新建矿山</w:t>
                  </w:r>
                </w:p>
                <w:p w14:paraId="6F6DACF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420" w:firstLineChars="200"/>
                    <w:jc w:val="left"/>
                    <w:textAlignment w:val="auto"/>
                    <w:rPr>
                      <w:rFonts w:hint="default" w:ascii="Times New Roman" w:hAnsi="Times New Roman" w:eastAsia="宋体"/>
                    </w:rPr>
                  </w:pPr>
                  <w:r>
                    <w:rPr>
                      <w:rFonts w:hint="default" w:ascii="Times New Roman" w:hAnsi="Times New Roman" w:eastAsia="宋体"/>
                    </w:rPr>
                    <w:t>严格矿山准入条件</w:t>
                  </w:r>
                  <w:r>
                    <w:rPr>
                      <w:rFonts w:hint="eastAsia"/>
                      <w:lang w:eastAsia="zh-CN"/>
                    </w:rPr>
                    <w:t>，</w:t>
                  </w:r>
                  <w:r>
                    <w:rPr>
                      <w:rFonts w:hint="default" w:ascii="Times New Roman" w:hAnsi="Times New Roman" w:eastAsia="宋体"/>
                    </w:rPr>
                    <w:t>坚持源头预防。科学编制并严格执行《矿产资源开发利用与生态保护修复方案》，建立单独的矿山地质环境治理恢复基金账号并及时缴纳，实现新建矿山开采、保护、治理一体化。加强对矿山地质环境保护与恢复治理的监督和管理。</w:t>
                  </w:r>
                </w:p>
              </w:tc>
              <w:tc>
                <w:tcPr>
                  <w:tcW w:w="1675" w:type="pct"/>
                  <w:vAlign w:val="center"/>
                </w:tcPr>
                <w:p w14:paraId="78C617A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rPr>
                  </w:pPr>
                  <w:r>
                    <w:rPr>
                      <w:rFonts w:hint="default" w:ascii="Times New Roman" w:hAnsi="Times New Roman" w:eastAsia="宋体"/>
                    </w:rPr>
                    <w:t>本项目已编制《</w:t>
                  </w:r>
                  <w:r>
                    <w:rPr>
                      <w:rFonts w:hint="default" w:ascii="Times New Roman" w:hAnsi="Times New Roman" w:eastAsia="宋体"/>
                      <w:lang w:val="en-US" w:eastAsia="zh-CN"/>
                    </w:rPr>
                    <w:t>巴州泽丰矿业有限责任公司新疆和静夏翁沟口水泥用石灰岩</w:t>
                  </w:r>
                  <w:r>
                    <w:rPr>
                      <w:rFonts w:hint="default" w:ascii="Times New Roman" w:hAnsi="Times New Roman" w:eastAsia="宋体"/>
                    </w:rPr>
                    <w:t>矿矿产资源开发利用与生态保护修复方案》</w:t>
                  </w:r>
                  <w:r>
                    <w:rPr>
                      <w:rFonts w:hint="eastAsia"/>
                      <w:lang w:eastAsia="zh-CN"/>
                    </w:rPr>
                    <w:t>，</w:t>
                  </w:r>
                  <w:r>
                    <w:rPr>
                      <w:rFonts w:hint="eastAsia"/>
                      <w:lang w:val="en-US" w:eastAsia="zh-CN"/>
                    </w:rPr>
                    <w:t>符合规划要求。</w:t>
                  </w:r>
                </w:p>
              </w:tc>
              <w:tc>
                <w:tcPr>
                  <w:tcW w:w="447" w:type="pct"/>
                  <w:vAlign w:val="center"/>
                </w:tcPr>
                <w:p w14:paraId="020B7CE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rPr>
                  </w:pPr>
                  <w:r>
                    <w:rPr>
                      <w:rFonts w:hint="eastAsia"/>
                      <w:lang w:val="en-US" w:eastAsia="zh-CN"/>
                    </w:rPr>
                    <w:t>符合</w:t>
                  </w:r>
                </w:p>
              </w:tc>
            </w:tr>
          </w:tbl>
          <w:p w14:paraId="28A3C5E0">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425" w:leftChars="0" w:right="0" w:hanging="425" w:firstLineChars="0"/>
              <w:jc w:val="center"/>
              <w:textAlignment w:val="auto"/>
              <w:rPr>
                <w:rFonts w:hint="default"/>
                <w:b/>
                <w:bCs/>
                <w:sz w:val="24"/>
              </w:rPr>
            </w:pPr>
            <w:r>
              <w:rPr>
                <w:rFonts w:hint="eastAsia"/>
                <w:b/>
                <w:bCs/>
                <w:sz w:val="24"/>
              </w:rPr>
              <w:t>《</w:t>
            </w:r>
            <w:r>
              <w:rPr>
                <w:rFonts w:hint="eastAsia"/>
                <w:b/>
                <w:bCs/>
                <w:sz w:val="24"/>
                <w:lang w:val="en-US" w:eastAsia="zh-CN"/>
              </w:rPr>
              <w:t>新疆维吾尔自治区和静县矿产资源总体规划（2021—2025年）</w:t>
            </w:r>
            <w:r>
              <w:rPr>
                <w:rFonts w:hint="eastAsia"/>
                <w:b/>
                <w:bCs/>
                <w:sz w:val="24"/>
              </w:rPr>
              <w:t>》</w:t>
            </w:r>
            <w:r>
              <w:rPr>
                <w:rFonts w:hint="default"/>
                <w:b/>
                <w:bCs/>
                <w:sz w:val="24"/>
              </w:rPr>
              <w:t>符合性分析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1"/>
              <w:gridCol w:w="2652"/>
              <w:gridCol w:w="708"/>
            </w:tblGrid>
            <w:tr w14:paraId="5C2D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pct"/>
                  <w:vAlign w:val="center"/>
                </w:tcPr>
                <w:p w14:paraId="1563AE5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sz w:val="24"/>
                      <w:vertAlign w:val="baseline"/>
                    </w:rPr>
                  </w:pPr>
                  <w:r>
                    <w:rPr>
                      <w:rFonts w:hint="default" w:ascii="Times New Roman" w:hAnsi="Times New Roman" w:eastAsia="宋体"/>
                    </w:rPr>
                    <w:t>规划要求</w:t>
                  </w:r>
                </w:p>
              </w:tc>
              <w:tc>
                <w:tcPr>
                  <w:tcW w:w="1675" w:type="pct"/>
                  <w:vAlign w:val="center"/>
                </w:tcPr>
                <w:p w14:paraId="34CF978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sz w:val="24"/>
                      <w:vertAlign w:val="baseline"/>
                    </w:rPr>
                  </w:pPr>
                  <w:r>
                    <w:rPr>
                      <w:rFonts w:hint="default" w:ascii="Times New Roman" w:hAnsi="Times New Roman" w:eastAsia="宋体"/>
                    </w:rPr>
                    <w:t>本项目情况</w:t>
                  </w:r>
                </w:p>
              </w:tc>
              <w:tc>
                <w:tcPr>
                  <w:tcW w:w="447" w:type="pct"/>
                  <w:vAlign w:val="center"/>
                </w:tcPr>
                <w:p w14:paraId="72C725A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eastAsia="宋体"/>
                      <w:sz w:val="24"/>
                      <w:vertAlign w:val="baseline"/>
                      <w:lang w:val="en-US" w:eastAsia="zh-CN"/>
                    </w:rPr>
                  </w:pPr>
                  <w:r>
                    <w:rPr>
                      <w:rFonts w:hint="default" w:ascii="Times New Roman" w:hAnsi="Times New Roman" w:eastAsia="宋体"/>
                    </w:rPr>
                    <w:t>符合性</w:t>
                  </w:r>
                  <w:r>
                    <w:rPr>
                      <w:rFonts w:hint="eastAsia"/>
                      <w:lang w:val="en-US" w:eastAsia="zh-CN"/>
                    </w:rPr>
                    <w:t>分析</w:t>
                  </w:r>
                </w:p>
              </w:tc>
            </w:tr>
            <w:tr w14:paraId="49AF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pct"/>
                  <w:vAlign w:val="center"/>
                </w:tcPr>
                <w:p w14:paraId="41EF053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Times New Roman" w:eastAsia="宋体"/>
                    </w:rPr>
                  </w:pPr>
                  <w:bookmarkStart w:id="2" w:name="_Toc9826"/>
                  <w:r>
                    <w:rPr>
                      <w:rFonts w:hint="default" w:ascii="Times New Roman" w:hAnsi="Times New Roman" w:eastAsia="宋体"/>
                    </w:rPr>
                    <w:t>2、重点、限制、禁止开采矿种</w:t>
                  </w:r>
                  <w:bookmarkEnd w:id="2"/>
                </w:p>
                <w:p w14:paraId="42A4852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Times New Roman" w:eastAsia="宋体"/>
                    </w:rPr>
                  </w:pPr>
                  <w:r>
                    <w:rPr>
                      <w:rFonts w:hint="default" w:ascii="Times New Roman" w:hAnsi="Times New Roman" w:eastAsia="宋体"/>
                    </w:rPr>
                    <w:t>重点开采矿种：能源矿产地热，铁、铜、铅锌、镍、锡、金、银、锂、铍、铌、钽等金属矿产，萤石、硅质原料、菱镁矿等非金属矿产。</w:t>
                  </w:r>
                </w:p>
                <w:p w14:paraId="76385AE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Times New Roman" w:eastAsia="宋体"/>
                    </w:rPr>
                  </w:pPr>
                  <w:r>
                    <w:rPr>
                      <w:rFonts w:hint="default" w:ascii="Times New Roman" w:hAnsi="Times New Roman" w:eastAsia="宋体"/>
                    </w:rPr>
                    <w:t>限制开采矿种：限制开采高硫、高灰、高砷、高氟煤炭，砖瓦用粘土、建筑用砂、石棉等矿产，严格控制钨、稀土等特定保护性开采矿产。严禁新设非共伴生硫铁矿开采项目，和静县限制新设小于30万立方采矿规模砂石料及砖瓦用粘土采矿权。</w:t>
                  </w:r>
                </w:p>
                <w:p w14:paraId="093B9A8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Times New Roman" w:eastAsia="宋体"/>
                    </w:rPr>
                  </w:pPr>
                  <w:r>
                    <w:rPr>
                      <w:rFonts w:hint="default" w:ascii="Times New Roman" w:hAnsi="Times New Roman" w:eastAsia="宋体"/>
                    </w:rPr>
                    <w:t>禁止开采矿种：禁止开采灰分大于40%或含硫大于3%、砷和放射性等有毒有害物质超过规定标准的煤炭项目，砂金、砂铁、汞、可耕地砖瓦用粘土等矿产。</w:t>
                  </w:r>
                </w:p>
              </w:tc>
              <w:tc>
                <w:tcPr>
                  <w:tcW w:w="1675" w:type="pct"/>
                  <w:vAlign w:val="center"/>
                </w:tcPr>
                <w:p w14:paraId="00C2036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rPr>
                  </w:pPr>
                  <w:r>
                    <w:rPr>
                      <w:rFonts w:hint="default" w:ascii="Times New Roman" w:hAnsi="Times New Roman" w:eastAsia="宋体"/>
                      <w:color w:val="000000" w:themeColor="text1"/>
                      <w14:textFill>
                        <w14:solidFill>
                          <w14:schemeClr w14:val="tx1"/>
                        </w14:solidFill>
                      </w14:textFill>
                    </w:rPr>
                    <w:t>本项目开采矿种为</w:t>
                  </w:r>
                  <w:r>
                    <w:rPr>
                      <w:rFonts w:hint="eastAsia" w:ascii="Times New Roman" w:hAnsi="Times New Roman" w:eastAsia="宋体"/>
                      <w:color w:val="000000" w:themeColor="text1"/>
                      <w:lang w:val="en-US" w:eastAsia="zh-CN"/>
                      <w14:textFill>
                        <w14:solidFill>
                          <w14:schemeClr w14:val="tx1"/>
                        </w14:solidFill>
                      </w14:textFill>
                    </w:rPr>
                    <w:t>水泥用石灰</w:t>
                  </w:r>
                  <w:r>
                    <w:rPr>
                      <w:rFonts w:hint="eastAsia"/>
                      <w:color w:val="000000" w:themeColor="text1"/>
                      <w:lang w:val="en-US" w:eastAsia="zh-CN"/>
                      <w14:textFill>
                        <w14:solidFill>
                          <w14:schemeClr w14:val="tx1"/>
                        </w14:solidFill>
                      </w14:textFill>
                    </w:rPr>
                    <w:t>岩</w:t>
                  </w:r>
                  <w:r>
                    <w:rPr>
                      <w:rFonts w:hint="default" w:ascii="Times New Roman" w:hAnsi="Times New Roman" w:eastAsia="宋体"/>
                      <w:color w:val="000000" w:themeColor="text1"/>
                      <w14:textFill>
                        <w14:solidFill>
                          <w14:schemeClr w14:val="tx1"/>
                        </w14:solidFill>
                      </w14:textFill>
                    </w:rPr>
                    <w:t>，不属于规划中的</w:t>
                  </w:r>
                  <w:r>
                    <w:rPr>
                      <w:rFonts w:hint="eastAsia"/>
                      <w:color w:val="000000" w:themeColor="text1"/>
                      <w:lang w:val="en-US" w:eastAsia="zh-CN"/>
                      <w14:textFill>
                        <w14:solidFill>
                          <w14:schemeClr w14:val="tx1"/>
                        </w14:solidFill>
                      </w14:textFill>
                    </w:rPr>
                    <w:t>重点、</w:t>
                  </w:r>
                  <w:r>
                    <w:rPr>
                      <w:rFonts w:hint="default" w:ascii="Times New Roman" w:hAnsi="Times New Roman" w:eastAsia="宋体"/>
                      <w:color w:val="000000" w:themeColor="text1"/>
                      <w14:textFill>
                        <w14:solidFill>
                          <w14:schemeClr w14:val="tx1"/>
                        </w14:solidFill>
                      </w14:textFill>
                    </w:rPr>
                    <w:t>限制和禁止开采矿种</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属于允许类，</w:t>
                  </w:r>
                  <w:r>
                    <w:rPr>
                      <w:rFonts w:hint="eastAsia"/>
                      <w:color w:val="000000" w:themeColor="text1"/>
                      <w:lang w:eastAsia="zh-CN"/>
                      <w14:textFill>
                        <w14:solidFill>
                          <w14:schemeClr w14:val="tx1"/>
                        </w14:solidFill>
                      </w14:textFill>
                    </w:rPr>
                    <w:t>于</w:t>
                  </w:r>
                  <w:r>
                    <w:rPr>
                      <w:rFonts w:hint="eastAsia" w:ascii="Times New Roman" w:hAnsi="Times New Roman" w:eastAsia="宋体"/>
                      <w:color w:val="000000" w:themeColor="text1"/>
                      <w14:textFill>
                        <w14:solidFill>
                          <w14:schemeClr w14:val="tx1"/>
                        </w14:solidFill>
                      </w14:textFill>
                    </w:rPr>
                    <w:t>202</w:t>
                  </w:r>
                  <w:r>
                    <w:rPr>
                      <w:rFonts w:hint="eastAsia" w:ascii="Times New Roman" w:hAnsi="Times New Roman" w:eastAsia="宋体"/>
                      <w:color w:val="000000" w:themeColor="text1"/>
                      <w:lang w:val="en-US" w:eastAsia="zh-CN"/>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年</w:t>
                  </w:r>
                  <w:r>
                    <w:rPr>
                      <w:rFonts w:hint="eastAsia" w:ascii="Times New Roman" w:hAnsi="Times New Roman" w:eastAsia="宋体"/>
                      <w:color w:val="000000" w:themeColor="text1"/>
                      <w:lang w:val="en-US" w:eastAsia="zh-CN"/>
                      <w14:textFill>
                        <w14:solidFill>
                          <w14:schemeClr w14:val="tx1"/>
                        </w14:solidFill>
                      </w14:textFill>
                    </w:rPr>
                    <w:t>9</w:t>
                  </w:r>
                  <w:r>
                    <w:rPr>
                      <w:rFonts w:hint="eastAsia" w:ascii="Times New Roman" w:hAnsi="Times New Roman" w:eastAsia="宋体"/>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13日</w:t>
                  </w:r>
                  <w:r>
                    <w:rPr>
                      <w:rFonts w:hint="eastAsia" w:ascii="Times New Roman" w:hAnsi="Times New Roman" w:eastAsia="宋体"/>
                      <w:color w:val="000000" w:themeColor="text1"/>
                      <w14:textFill>
                        <w14:solidFill>
                          <w14:schemeClr w14:val="tx1"/>
                        </w14:solidFill>
                      </w14:textFill>
                    </w:rPr>
                    <w:t>取得夏翁沟口水泥用石灰岩矿采矿证（采矿证编号C6528</w:t>
                  </w:r>
                  <w:r>
                    <w:rPr>
                      <w:rFonts w:hint="eastAsia" w:ascii="Times New Roman" w:hAnsi="Times New Roman" w:eastAsia="宋体"/>
                      <w:color w:val="000000" w:themeColor="text1"/>
                      <w:lang w:val="en-US" w:eastAsia="zh-CN"/>
                      <w14:textFill>
                        <w14:solidFill>
                          <w14:schemeClr w14:val="tx1"/>
                        </w14:solidFill>
                      </w14:textFill>
                    </w:rPr>
                    <w:t>002024097110157392</w:t>
                  </w:r>
                  <w:r>
                    <w:rPr>
                      <w:rFonts w:hint="eastAsia" w:ascii="Times New Roman" w:hAnsi="Times New Roman" w:eastAsia="宋体"/>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有效期2024年9月13日～2029年9月13日</w:t>
                  </w:r>
                  <w:r>
                    <w:rPr>
                      <w:rFonts w:hint="eastAsia"/>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w:t>
                  </w:r>
                  <w:r>
                    <w:rPr>
                      <w:rFonts w:hint="default" w:ascii="Times New Roman" w:hAnsi="Times New Roman" w:eastAsia="宋体"/>
                      <w:color w:val="000000" w:themeColor="text1"/>
                      <w14:textFill>
                        <w14:solidFill>
                          <w14:schemeClr w14:val="tx1"/>
                        </w14:solidFill>
                      </w14:textFill>
                    </w:rPr>
                    <w:t>设计生产规模为</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万</w:t>
                  </w:r>
                  <w:r>
                    <w:rPr>
                      <w:rFonts w:hint="eastAsia" w:ascii="Times New Roman" w:hAnsi="Times New Roman" w:eastAsia="宋体"/>
                      <w:color w:val="000000" w:themeColor="text1"/>
                      <w:lang w:eastAsia="zh-CN"/>
                      <w14:textFill>
                        <w14:solidFill>
                          <w14:schemeClr w14:val="tx1"/>
                        </w14:solidFill>
                      </w14:textFill>
                    </w:rPr>
                    <w:t>t/a</w:t>
                  </w:r>
                  <w:r>
                    <w:rPr>
                      <w:rFonts w:hint="eastAsia"/>
                      <w:color w:val="000000" w:themeColor="text1"/>
                      <w:lang w:eastAsia="zh-CN"/>
                      <w14:textFill>
                        <w14:solidFill>
                          <w14:schemeClr w14:val="tx1"/>
                        </w14:solidFill>
                      </w14:textFill>
                    </w:rPr>
                    <w:t>。</w:t>
                  </w:r>
                </w:p>
              </w:tc>
              <w:tc>
                <w:tcPr>
                  <w:tcW w:w="447" w:type="pct"/>
                  <w:vAlign w:val="center"/>
                </w:tcPr>
                <w:p w14:paraId="357B18C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127B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pct"/>
                  <w:vAlign w:val="center"/>
                </w:tcPr>
                <w:p w14:paraId="3DD8176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default" w:ascii="Times New Roman" w:hAnsi="Times New Roman" w:eastAsia="宋体"/>
                    </w:rPr>
                  </w:pPr>
                  <w:bookmarkStart w:id="3" w:name="_Toc65327682"/>
                  <w:r>
                    <w:rPr>
                      <w:rFonts w:hint="default" w:ascii="Times New Roman" w:hAnsi="Times New Roman" w:eastAsia="宋体"/>
                    </w:rPr>
                    <w:t>提升矿山规模化、集约化、信息化和智能化生产水平，构建开发有序、总量可控、布局合理、集约高效、安全绿色的现代矿业体系。推广矿产资源先进适用技术和科学管理模式，开展矿产资源节约与综合利用技术攻关，提高成果转化能力和普及率，淘汰落后采选工艺，降低资源浪费，提高资源利用效率，提高“三率”指标，2025年全县固体矿山“三率”达标率达到国家最低标准以上。提升铁、金等矿山企业共伴生矿产综合利用水平，加强对废石、尾矿等二次资源利用及有用矿物元素的再利用，推广无尾无废矿山建设。</w:t>
                  </w:r>
                  <w:bookmarkEnd w:id="3"/>
                </w:p>
              </w:tc>
              <w:tc>
                <w:tcPr>
                  <w:tcW w:w="1675" w:type="pct"/>
                  <w:vAlign w:val="center"/>
                </w:tcPr>
                <w:p w14:paraId="0020D56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lang w:val="en-US" w:eastAsia="zh-CN"/>
                    </w:rPr>
                  </w:pPr>
                  <w:r>
                    <w:rPr>
                      <w:rFonts w:hint="eastAsia"/>
                      <w:lang w:val="en-US" w:eastAsia="zh-CN"/>
                    </w:rPr>
                    <w:t>本项目</w:t>
                  </w:r>
                  <w:r>
                    <w:rPr>
                      <w:rFonts w:hint="eastAsia" w:ascii="Times New Roman" w:hAnsi="Times New Roman" w:eastAsia="宋体"/>
                    </w:rPr>
                    <w:t>属于</w:t>
                  </w:r>
                  <w:r>
                    <w:rPr>
                      <w:rFonts w:hint="eastAsia" w:ascii="Times New Roman" w:hAnsi="Times New Roman" w:eastAsia="宋体"/>
                      <w:lang w:val="en-US" w:eastAsia="zh-CN"/>
                    </w:rPr>
                    <w:t>中</w:t>
                  </w:r>
                  <w:r>
                    <w:rPr>
                      <w:rFonts w:hint="eastAsia" w:ascii="Times New Roman" w:hAnsi="Times New Roman" w:eastAsia="宋体"/>
                    </w:rPr>
                    <w:t>型规模</w:t>
                  </w:r>
                  <w:r>
                    <w:rPr>
                      <w:rFonts w:hint="eastAsia"/>
                      <w:lang w:eastAsia="zh-CN"/>
                    </w:rPr>
                    <w:t>，</w:t>
                  </w:r>
                  <w:r>
                    <w:rPr>
                      <w:rFonts w:hint="default" w:ascii="Times New Roman" w:hAnsi="Times New Roman" w:eastAsia="宋体"/>
                      <w:color w:val="000000" w:themeColor="text1"/>
                      <w14:textFill>
                        <w14:solidFill>
                          <w14:schemeClr w14:val="tx1"/>
                        </w14:solidFill>
                      </w14:textFill>
                    </w:rPr>
                    <w:t>设计生产规模为</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万</w:t>
                  </w:r>
                  <w:r>
                    <w:rPr>
                      <w:rFonts w:hint="eastAsia" w:ascii="Times New Roman" w:hAnsi="Times New Roman" w:eastAsia="宋体"/>
                      <w:color w:val="000000" w:themeColor="text1"/>
                      <w:lang w:eastAsia="zh-CN"/>
                      <w14:textFill>
                        <w14:solidFill>
                          <w14:schemeClr w14:val="tx1"/>
                        </w14:solidFill>
                      </w14:textFill>
                    </w:rPr>
                    <w:t>t/a</w:t>
                  </w:r>
                  <w:r>
                    <w:rPr>
                      <w:rFonts w:hint="eastAsia" w:ascii="Times New Roman" w:hAnsi="Times New Roman" w:eastAsia="宋体"/>
                      <w:color w:val="000000" w:themeColor="text1"/>
                      <w14:textFill>
                        <w14:solidFill>
                          <w14:schemeClr w14:val="tx1"/>
                        </w14:solidFill>
                      </w14:textFill>
                    </w:rPr>
                    <w:t>，项目采取边</w:t>
                  </w:r>
                  <w:r>
                    <w:rPr>
                      <w:rFonts w:hint="eastAsia" w:ascii="Times New Roman" w:hAnsi="Times New Roman" w:eastAsia="宋体"/>
                      <w:color w:val="000000" w:themeColor="text1"/>
                      <w:lang w:val="en-US" w:eastAsia="zh-CN"/>
                      <w14:textFill>
                        <w14:solidFill>
                          <w14:schemeClr w14:val="tx1"/>
                        </w14:solidFill>
                      </w14:textFill>
                    </w:rPr>
                    <w:t>开采，边治理</w:t>
                  </w:r>
                  <w:r>
                    <w:rPr>
                      <w:rFonts w:hint="eastAsia" w:ascii="Times New Roman" w:hAnsi="Times New Roman" w:eastAsia="宋体"/>
                      <w:color w:val="000000" w:themeColor="text1"/>
                      <w14:textFill>
                        <w14:solidFill>
                          <w14:schemeClr w14:val="tx1"/>
                        </w14:solidFill>
                      </w14:textFill>
                    </w:rPr>
                    <w:t>的开采方式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人工恢复结合自然恢复，利用排土场内的废土、废石</w:t>
                  </w:r>
                  <w:r>
                    <w:rPr>
                      <w:rFonts w:hint="eastAsia" w:ascii="Times New Roman" w:hAnsi="Times New Roman" w:eastAsia="宋体"/>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开采过程中产生的采坑进行回填平整</w:t>
                  </w:r>
                  <w:r>
                    <w:rPr>
                      <w:rFonts w:hint="eastAsia" w:ascii="Times New Roman" w:hAnsi="Times New Roman" w:eastAsia="宋体"/>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土地</w:t>
                  </w:r>
                  <w:r>
                    <w:rPr>
                      <w:rFonts w:hint="default" w:ascii="Times New Roman" w:hAnsi="Times New Roman" w:eastAsia="宋体"/>
                      <w:color w:val="000000" w:themeColor="text1"/>
                      <w14:textFill>
                        <w14:solidFill>
                          <w14:schemeClr w14:val="tx1"/>
                        </w14:solidFill>
                      </w14:textFill>
                    </w:rPr>
                    <w:t>复垦率100.00％</w:t>
                  </w:r>
                  <w:r>
                    <w:rPr>
                      <w:rFonts w:hint="eastAsia" w:ascii="Times New Roman" w:hAnsi="Times New Roman" w:eastAsia="宋体"/>
                      <w:color w:val="000000" w:themeColor="text1"/>
                      <w14:textFill>
                        <w14:solidFill>
                          <w14:schemeClr w14:val="tx1"/>
                        </w14:solidFill>
                      </w14:textFill>
                    </w:rPr>
                    <w:t>，符合绿色矿山建设</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本项目为新建矿山，回采率为95%，资源能源利用效率高，</w:t>
                  </w:r>
                  <w:r>
                    <w:rPr>
                      <w:rFonts w:hint="eastAsia" w:ascii="Times New Roman" w:hAnsi="Times New Roman" w:eastAsia="宋体"/>
                      <w:color w:val="000000" w:themeColor="text1"/>
                      <w:lang w:val="en-US" w:eastAsia="zh-CN"/>
                      <w14:textFill>
                        <w14:solidFill>
                          <w14:schemeClr w14:val="tx1"/>
                        </w14:solidFill>
                      </w14:textFill>
                    </w:rPr>
                    <w:t>综合利用率不低于85%，满足“三率”要求</w:t>
                  </w:r>
                  <w:r>
                    <w:rPr>
                      <w:rFonts w:hint="eastAsia"/>
                      <w:color w:val="000000" w:themeColor="text1"/>
                      <w:lang w:val="en-US" w:eastAsia="zh-CN"/>
                      <w14:textFill>
                        <w14:solidFill>
                          <w14:schemeClr w14:val="tx1"/>
                        </w14:solidFill>
                      </w14:textFill>
                    </w:rPr>
                    <w:t>；本项目不建设尾矿库。</w:t>
                  </w:r>
                </w:p>
              </w:tc>
              <w:tc>
                <w:tcPr>
                  <w:tcW w:w="447" w:type="pct"/>
                  <w:vAlign w:val="center"/>
                </w:tcPr>
                <w:p w14:paraId="1862EFA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bl>
          <w:p w14:paraId="4882B881">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rPr>
            </w:pPr>
            <w:r>
              <w:rPr>
                <w:rFonts w:hint="default"/>
                <w:b/>
                <w:bCs/>
                <w:sz w:val="24"/>
              </w:rPr>
              <w:t>《新疆维吾尔自治区矿产资源总体规划</w:t>
            </w:r>
            <w:r>
              <w:rPr>
                <w:rFonts w:hint="eastAsia"/>
                <w:b/>
                <w:bCs/>
                <w:sz w:val="24"/>
              </w:rPr>
              <w:t>（</w:t>
            </w:r>
            <w:r>
              <w:rPr>
                <w:rFonts w:hint="default"/>
                <w:b/>
                <w:bCs/>
                <w:sz w:val="24"/>
              </w:rPr>
              <w:t>2021</w:t>
            </w:r>
            <w:r>
              <w:rPr>
                <w:rFonts w:hint="eastAsia"/>
                <w:b/>
                <w:bCs/>
                <w:sz w:val="24"/>
                <w:lang w:eastAsia="zh-CN"/>
              </w:rPr>
              <w:t>—</w:t>
            </w:r>
            <w:r>
              <w:rPr>
                <w:rFonts w:hint="default"/>
                <w:b/>
                <w:bCs/>
                <w:sz w:val="24"/>
              </w:rPr>
              <w:t>2025年）</w:t>
            </w:r>
            <w:r>
              <w:rPr>
                <w:rFonts w:hint="eastAsia"/>
                <w:b/>
                <w:bCs/>
                <w:sz w:val="24"/>
              </w:rPr>
              <w:t>环境影响报告书</w:t>
            </w:r>
            <w:r>
              <w:rPr>
                <w:rFonts w:hint="default"/>
                <w:b/>
                <w:bCs/>
                <w:sz w:val="24"/>
              </w:rPr>
              <w:t>》</w:t>
            </w:r>
            <w:r>
              <w:rPr>
                <w:rFonts w:hint="default"/>
                <w:b/>
                <w:bCs/>
                <w:sz w:val="24"/>
                <w:lang w:val="en-US" w:eastAsia="zh-CN"/>
              </w:rPr>
              <w:t>及《关于〈新疆维吾尔自治区矿产资源总体规划（2021—2025年）环境影响报告书〉的审查意见》（环审〔2022〕124号）的</w:t>
            </w:r>
            <w:r>
              <w:rPr>
                <w:rFonts w:hint="default"/>
                <w:b/>
                <w:bCs/>
                <w:sz w:val="24"/>
              </w:rPr>
              <w:t>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2869"/>
              <w:gridCol w:w="2312"/>
              <w:gridCol w:w="708"/>
            </w:tblGrid>
            <w:tr w14:paraId="1671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277" w:type="pct"/>
                  <w:vAlign w:val="center"/>
                </w:tcPr>
                <w:p w14:paraId="0D4544E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文件名称</w:t>
                  </w:r>
                </w:p>
              </w:tc>
              <w:tc>
                <w:tcPr>
                  <w:tcW w:w="1813" w:type="pct"/>
                  <w:vAlign w:val="center"/>
                </w:tcPr>
                <w:p w14:paraId="39AA3ED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文件</w:t>
                  </w:r>
                  <w:r>
                    <w:rPr>
                      <w:rFonts w:hint="default" w:ascii="Times New Roman" w:hAnsi="Times New Roman" w:eastAsia="宋体"/>
                      <w:color w:val="000000" w:themeColor="text1"/>
                      <w14:textFill>
                        <w14:solidFill>
                          <w14:schemeClr w14:val="tx1"/>
                        </w14:solidFill>
                      </w14:textFill>
                    </w:rPr>
                    <w:t>要求</w:t>
                  </w:r>
                </w:p>
              </w:tc>
              <w:tc>
                <w:tcPr>
                  <w:tcW w:w="1461" w:type="pct"/>
                  <w:vAlign w:val="center"/>
                </w:tcPr>
                <w:p w14:paraId="51E8D67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本项目情况</w:t>
                  </w:r>
                </w:p>
              </w:tc>
              <w:tc>
                <w:tcPr>
                  <w:tcW w:w="447" w:type="pct"/>
                  <w:vAlign w:val="center"/>
                </w:tcPr>
                <w:p w14:paraId="4041FA4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lang w:val="en-US" w:eastAsia="zh-CN"/>
                    </w:rPr>
                  </w:pPr>
                  <w:r>
                    <w:rPr>
                      <w:rFonts w:hint="default" w:ascii="Times New Roman" w:hAnsi="Times New Roman" w:eastAsia="宋体"/>
                    </w:rPr>
                    <w:t>符合性</w:t>
                  </w:r>
                  <w:r>
                    <w:rPr>
                      <w:rFonts w:hint="eastAsia"/>
                      <w:lang w:val="en-US" w:eastAsia="zh-CN"/>
                    </w:rPr>
                    <w:t>分析</w:t>
                  </w:r>
                </w:p>
              </w:tc>
            </w:tr>
            <w:tr w14:paraId="740D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pct"/>
                  <w:vMerge w:val="restart"/>
                  <w:vAlign w:val="center"/>
                </w:tcPr>
                <w:p w14:paraId="2609B7F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《新疆维吾尔自治区矿产资源总体规划（2021</w:t>
                  </w:r>
                  <w:r>
                    <w:rPr>
                      <w:rFonts w:hint="eastAsia"/>
                      <w:lang w:eastAsia="zh-CN"/>
                    </w:rPr>
                    <w:t>—</w:t>
                  </w:r>
                  <w:r>
                    <w:rPr>
                      <w:rFonts w:hint="default" w:ascii="Times New Roman" w:hAnsi="Times New Roman" w:eastAsia="宋体"/>
                    </w:rPr>
                    <w:t>2025年）环境影响报告书》</w:t>
                  </w:r>
                </w:p>
              </w:tc>
              <w:tc>
                <w:tcPr>
                  <w:tcW w:w="1813" w:type="pct"/>
                  <w:vAlign w:val="center"/>
                </w:tcPr>
                <w:p w14:paraId="02E48B2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严格执行国家矿产资源合理开发利用“三率”</w:t>
                  </w:r>
                  <w:r>
                    <w:rPr>
                      <w:rFonts w:hint="eastAsia" w:ascii="Times New Roman" w:hAnsi="Times New Roman" w:eastAsia="宋体"/>
                    </w:rPr>
                    <w:t>（</w:t>
                  </w:r>
                  <w:r>
                    <w:rPr>
                      <w:rFonts w:hint="default" w:ascii="Times New Roman" w:hAnsi="Times New Roman" w:eastAsia="宋体"/>
                    </w:rPr>
                    <w:t>即开采回采率选矿回收率、综合利用率</w:t>
                  </w:r>
                  <w:r>
                    <w:rPr>
                      <w:rFonts w:hint="eastAsia" w:ascii="Times New Roman" w:hAnsi="Times New Roman" w:eastAsia="宋体"/>
                    </w:rPr>
                    <w:t>）</w:t>
                  </w:r>
                  <w:r>
                    <w:rPr>
                      <w:rFonts w:hint="default" w:ascii="Times New Roman" w:hAnsi="Times New Roman" w:eastAsia="宋体"/>
                    </w:rPr>
                    <w:t>相关要求，确保全区矿山整体“三率”水平达标率达到85%以上。优化并落实绿色矿山建设标准体系，到规划期末，全区大中型固体生产矿山基本达到绿色矿山建设水平。</w:t>
                  </w:r>
                </w:p>
              </w:tc>
              <w:tc>
                <w:tcPr>
                  <w:tcW w:w="1461" w:type="pct"/>
                  <w:vAlign w:val="center"/>
                </w:tcPr>
                <w:p w14:paraId="58A3A8A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eastAsia" w:ascii="Times New Roman" w:hAnsi="Times New Roman" w:eastAsia="宋体"/>
                      <w:color w:val="000000" w:themeColor="text1"/>
                      <w14:textFill>
                        <w14:solidFill>
                          <w14:schemeClr w14:val="tx1"/>
                        </w14:solidFill>
                      </w14:textFill>
                    </w:rPr>
                    <w:t>本项目为</w:t>
                  </w:r>
                  <w:r>
                    <w:rPr>
                      <w:rFonts w:hint="eastAsia" w:ascii="Times New Roman" w:hAnsi="Times New Roman" w:eastAsia="宋体"/>
                      <w:color w:val="000000" w:themeColor="text1"/>
                      <w:lang w:val="en-US" w:eastAsia="zh-CN"/>
                      <w14:textFill>
                        <w14:solidFill>
                          <w14:schemeClr w14:val="tx1"/>
                        </w14:solidFill>
                      </w14:textFill>
                    </w:rPr>
                    <w:t>水泥用石灰石开采项目</w:t>
                  </w:r>
                  <w:r>
                    <w:rPr>
                      <w:rFonts w:hint="eastAsia" w:ascii="Times New Roman" w:hAnsi="Times New Roman" w:eastAsia="宋体"/>
                      <w:color w:val="000000" w:themeColor="text1"/>
                      <w14:textFill>
                        <w14:solidFill>
                          <w14:schemeClr w14:val="tx1"/>
                        </w14:solidFill>
                      </w14:textFill>
                    </w:rPr>
                    <w:t>，</w:t>
                  </w:r>
                  <w:r>
                    <w:rPr>
                      <w:rFonts w:hint="default" w:ascii="Times New Roman" w:hAnsi="Times New Roman" w:eastAsia="宋体"/>
                      <w:color w:val="000000" w:themeColor="text1"/>
                      <w14:textFill>
                        <w14:solidFill>
                          <w14:schemeClr w14:val="tx1"/>
                        </w14:solidFill>
                      </w14:textFill>
                    </w:rPr>
                    <w:t>设计生产规模为</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万</w:t>
                  </w:r>
                  <w:r>
                    <w:rPr>
                      <w:rFonts w:hint="eastAsia" w:ascii="Times New Roman" w:hAnsi="Times New Roman" w:eastAsia="宋体"/>
                      <w:color w:val="000000" w:themeColor="text1"/>
                      <w:lang w:eastAsia="zh-CN"/>
                      <w14:textFill>
                        <w14:solidFill>
                          <w14:schemeClr w14:val="tx1"/>
                        </w14:solidFill>
                      </w14:textFill>
                    </w:rPr>
                    <w:t>t/a</w:t>
                  </w:r>
                  <w:r>
                    <w:rPr>
                      <w:rFonts w:hint="eastAsia" w:ascii="Times New Roman" w:hAnsi="Times New Roman" w:eastAsia="宋体"/>
                      <w:color w:val="000000" w:themeColor="text1"/>
                      <w14:textFill>
                        <w14:solidFill>
                          <w14:schemeClr w14:val="tx1"/>
                        </w14:solidFill>
                      </w14:textFill>
                    </w:rPr>
                    <w:t>，</w:t>
                  </w:r>
                  <w:r>
                    <w:rPr>
                      <w:rFonts w:hint="default" w:ascii="Times New Roman" w:hAnsi="Times New Roman" w:eastAsia="宋体"/>
                      <w:color w:val="000000" w:themeColor="text1"/>
                      <w14:textFill>
                        <w14:solidFill>
                          <w14:schemeClr w14:val="tx1"/>
                        </w14:solidFill>
                      </w14:textFill>
                    </w:rPr>
                    <w:t>回采率</w:t>
                  </w:r>
                  <w:r>
                    <w:rPr>
                      <w:rFonts w:hint="eastAsia" w:ascii="Times New Roman" w:hAnsi="Times New Roman" w:eastAsia="宋体"/>
                      <w:color w:val="000000" w:themeColor="text1"/>
                      <w14:textFill>
                        <w14:solidFill>
                          <w14:schemeClr w14:val="tx1"/>
                        </w14:solidFill>
                      </w14:textFill>
                    </w:rPr>
                    <w:t>为</w:t>
                  </w:r>
                  <w:r>
                    <w:rPr>
                      <w:rFonts w:hint="default" w:ascii="Times New Roman" w:hAnsi="Times New Roman" w:eastAsia="宋体"/>
                      <w:color w:val="000000" w:themeColor="text1"/>
                      <w14:textFill>
                        <w14:solidFill>
                          <w14:schemeClr w14:val="tx1"/>
                        </w14:solidFill>
                      </w14:textFill>
                    </w:rPr>
                    <w:t>95%</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不存在选矿过程，综合利用率不低于85%，满足“三率”要求。</w:t>
                  </w:r>
                  <w:r>
                    <w:rPr>
                      <w:rFonts w:hint="eastAsia" w:ascii="Times New Roman" w:hAnsi="Times New Roman" w:eastAsia="宋体"/>
                      <w:color w:val="000000" w:themeColor="text1"/>
                      <w14:textFill>
                        <w14:solidFill>
                          <w14:schemeClr w14:val="tx1"/>
                        </w14:solidFill>
                      </w14:textFill>
                    </w:rPr>
                    <w:t>项目采取边</w:t>
                  </w:r>
                  <w:r>
                    <w:rPr>
                      <w:rFonts w:hint="eastAsia" w:ascii="Times New Roman" w:hAnsi="Times New Roman" w:eastAsia="宋体"/>
                      <w:color w:val="000000" w:themeColor="text1"/>
                      <w:lang w:val="en-US" w:eastAsia="zh-CN"/>
                      <w14:textFill>
                        <w14:solidFill>
                          <w14:schemeClr w14:val="tx1"/>
                        </w14:solidFill>
                      </w14:textFill>
                    </w:rPr>
                    <w:t>开采，边治理</w:t>
                  </w:r>
                  <w:r>
                    <w:rPr>
                      <w:rFonts w:hint="eastAsia" w:ascii="Times New Roman" w:hAnsi="Times New Roman" w:eastAsia="宋体"/>
                      <w:color w:val="000000" w:themeColor="text1"/>
                      <w14:textFill>
                        <w14:solidFill>
                          <w14:schemeClr w14:val="tx1"/>
                        </w14:solidFill>
                      </w14:textFill>
                    </w:rPr>
                    <w:t>的开采方式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人工恢复结合自然恢复，利用排土场内的废土、废石</w:t>
                  </w:r>
                  <w:r>
                    <w:rPr>
                      <w:rFonts w:hint="eastAsia" w:ascii="Times New Roman" w:hAnsi="Times New Roman" w:eastAsia="宋体"/>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开采过程中产生的采坑进行回填平整</w:t>
                  </w:r>
                  <w:r>
                    <w:rPr>
                      <w:rFonts w:hint="eastAsia" w:ascii="Times New Roman" w:hAnsi="Times New Roman" w:eastAsia="宋体"/>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土地</w:t>
                  </w:r>
                  <w:r>
                    <w:rPr>
                      <w:rFonts w:hint="default" w:ascii="Times New Roman" w:hAnsi="Times New Roman" w:eastAsia="宋体"/>
                      <w:color w:val="000000" w:themeColor="text1"/>
                      <w14:textFill>
                        <w14:solidFill>
                          <w14:schemeClr w14:val="tx1"/>
                        </w14:solidFill>
                      </w14:textFill>
                    </w:rPr>
                    <w:t>复垦率100.00％。矿山将按照土地复垦及环评要求逐步开展复垦工作并达到复垦要求</w:t>
                  </w:r>
                  <w:r>
                    <w:rPr>
                      <w:rFonts w:hint="eastAsia" w:ascii="Times New Roman" w:hAnsi="Times New Roman" w:eastAsia="宋体"/>
                      <w:color w:val="000000" w:themeColor="text1"/>
                      <w14:textFill>
                        <w14:solidFill>
                          <w14:schemeClr w14:val="tx1"/>
                        </w14:solidFill>
                      </w14:textFill>
                    </w:rPr>
                    <w:t>，符合绿色矿山建设要求</w:t>
                  </w:r>
                  <w:r>
                    <w:rPr>
                      <w:rFonts w:hint="default" w:ascii="Times New Roman" w:hAnsi="Times New Roman" w:eastAsia="宋体"/>
                      <w:color w:val="000000" w:themeColor="text1"/>
                      <w14:textFill>
                        <w14:solidFill>
                          <w14:schemeClr w14:val="tx1"/>
                        </w14:solidFill>
                      </w14:textFill>
                    </w:rPr>
                    <w:t>。</w:t>
                  </w:r>
                </w:p>
              </w:tc>
              <w:tc>
                <w:tcPr>
                  <w:tcW w:w="447" w:type="pct"/>
                  <w:vAlign w:val="center"/>
                </w:tcPr>
                <w:p w14:paraId="098D2D7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eastAsia" w:ascii="Times New Roman" w:hAnsi="Times New Roman" w:eastAsia="宋体"/>
                    </w:rPr>
                    <w:t>符合</w:t>
                  </w:r>
                </w:p>
              </w:tc>
            </w:tr>
            <w:tr w14:paraId="0094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pct"/>
                  <w:vMerge w:val="continue"/>
                  <w:vAlign w:val="center"/>
                </w:tcPr>
                <w:p w14:paraId="46A0026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1813" w:type="pct"/>
                  <w:vAlign w:val="center"/>
                </w:tcPr>
                <w:p w14:paraId="69D5C38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严格落实《规划》提出的重点矿种矿山最低开采规模准入要求</w:t>
                  </w:r>
                  <w:r>
                    <w:rPr>
                      <w:rFonts w:hint="eastAsia" w:ascii="Times New Roman" w:hAnsi="Times New Roman" w:eastAsia="宋体"/>
                    </w:rPr>
                    <w:t>；</w:t>
                  </w:r>
                  <w:r>
                    <w:rPr>
                      <w:rFonts w:hint="default" w:ascii="Times New Roman" w:hAnsi="Times New Roman" w:eastAsia="宋体"/>
                    </w:rPr>
                    <w:t>进一步控制矿山总数，提高大中型矿山比例，加大低效产能压减、无效产能腾退力度，逐步关闭退出安全隐患突出、生态环境问题明显、违法违规问题多的“小弱散”矿山和未达到最低生产规模的矿山。禁止开采砷和放射性等有毒有害物质超过规定标准的煤炭，以及砂铁、汞、可耕地砖瓦用粘土等矿产</w:t>
                  </w:r>
                  <w:r>
                    <w:rPr>
                      <w:rFonts w:hint="eastAsia" w:ascii="Times New Roman" w:hAnsi="Times New Roman" w:eastAsia="宋体"/>
                    </w:rPr>
                    <w:t>；</w:t>
                  </w:r>
                  <w:r>
                    <w:rPr>
                      <w:rFonts w:hint="default" w:ascii="Times New Roman" w:hAnsi="Times New Roman" w:eastAsia="宋体"/>
                    </w:rPr>
                    <w:t>限制开采</w:t>
                  </w:r>
                  <w:r>
                    <w:rPr>
                      <w:rFonts w:hint="eastAsia" w:ascii="Times New Roman" w:hAnsi="Times New Roman" w:eastAsia="宋体"/>
                    </w:rPr>
                    <w:t>磁铁</w:t>
                  </w:r>
                  <w:r>
                    <w:rPr>
                      <w:rFonts w:hint="default" w:ascii="Times New Roman" w:hAnsi="Times New Roman" w:eastAsia="宋体"/>
                    </w:rPr>
                    <w:t>矿、砖瓦用粘土等矿产</w:t>
                  </w:r>
                  <w:r>
                    <w:rPr>
                      <w:rFonts w:hint="eastAsia" w:ascii="Times New Roman" w:hAnsi="Times New Roman" w:eastAsia="宋体"/>
                    </w:rPr>
                    <w:t>；</w:t>
                  </w:r>
                  <w:r>
                    <w:rPr>
                      <w:rFonts w:hint="default" w:ascii="Times New Roman" w:hAnsi="Times New Roman" w:eastAsia="宋体"/>
                    </w:rPr>
                    <w:t>严格控制开采钨、稀土等特定保护性矿产。严格尾矿库的新建和管理，确保符合相关要求。</w:t>
                  </w:r>
                </w:p>
              </w:tc>
              <w:tc>
                <w:tcPr>
                  <w:tcW w:w="1461" w:type="pct"/>
                  <w:vAlign w:val="center"/>
                </w:tcPr>
                <w:p w14:paraId="2D129F4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olor w:val="auto"/>
                      <w:lang w:val="en-US" w:eastAsia="zh-CN"/>
                    </w:rPr>
                  </w:pPr>
                  <w:r>
                    <w:rPr>
                      <w:rFonts w:hint="default" w:ascii="Times New Roman" w:hAnsi="Times New Roman" w:eastAsia="宋体"/>
                    </w:rPr>
                    <w:t>本项目为新建矿山，矿区范围内矿石资源量总计</w:t>
                  </w:r>
                  <w:r>
                    <w:rPr>
                      <w:rFonts w:hint="eastAsia" w:ascii="Times New Roman" w:hAnsi="Times New Roman" w:eastAsia="宋体"/>
                      <w:lang w:val="en-US" w:eastAsia="zh-CN"/>
                    </w:rPr>
                    <w:t>1118.61</w:t>
                  </w:r>
                  <w:r>
                    <w:rPr>
                      <w:rFonts w:hint="default" w:ascii="Times New Roman" w:hAnsi="Times New Roman" w:eastAsia="宋体"/>
                    </w:rPr>
                    <w:t>万吨，</w:t>
                  </w:r>
                  <w:r>
                    <w:rPr>
                      <w:rFonts w:hint="eastAsia" w:ascii="Times New Roman" w:hAnsi="Times New Roman" w:eastAsia="宋体"/>
                    </w:rPr>
                    <w:t>属于</w:t>
                  </w:r>
                  <w:r>
                    <w:rPr>
                      <w:rFonts w:hint="eastAsia" w:ascii="Times New Roman" w:hAnsi="Times New Roman" w:eastAsia="宋体"/>
                      <w:lang w:val="en-US" w:eastAsia="zh-CN"/>
                    </w:rPr>
                    <w:t>中</w:t>
                  </w:r>
                  <w:r>
                    <w:rPr>
                      <w:rFonts w:hint="eastAsia" w:ascii="Times New Roman" w:hAnsi="Times New Roman" w:eastAsia="宋体"/>
                    </w:rPr>
                    <w:t>型规模</w:t>
                  </w:r>
                  <w:r>
                    <w:rPr>
                      <w:rFonts w:hint="default" w:ascii="Times New Roman" w:hAnsi="Times New Roman" w:eastAsia="宋体"/>
                    </w:rPr>
                    <w:t>。设计生产规模为</w:t>
                  </w:r>
                  <w:r>
                    <w:rPr>
                      <w:rFonts w:hint="eastAsia" w:ascii="Times New Roman" w:hAnsi="Times New Roman" w:eastAsia="宋体"/>
                      <w:lang w:val="en-US" w:eastAsia="zh-CN"/>
                    </w:rPr>
                    <w:t>50</w:t>
                  </w:r>
                  <w:r>
                    <w:rPr>
                      <w:rFonts w:hint="eastAsia"/>
                      <w:lang w:val="en-US" w:eastAsia="zh-CN"/>
                    </w:rPr>
                    <w:t>万</w:t>
                  </w:r>
                  <w:r>
                    <w:rPr>
                      <w:rFonts w:hint="eastAsia" w:ascii="Times New Roman" w:hAnsi="Times New Roman" w:eastAsia="宋体"/>
                      <w:lang w:eastAsia="zh-CN"/>
                    </w:rPr>
                    <w:t>t/a</w:t>
                  </w:r>
                  <w:r>
                    <w:rPr>
                      <w:rFonts w:hint="default" w:ascii="Times New Roman" w:hAnsi="Times New Roman" w:eastAsia="宋体"/>
                    </w:rPr>
                    <w:t>，回采率</w:t>
                  </w:r>
                  <w:r>
                    <w:rPr>
                      <w:rFonts w:hint="eastAsia" w:ascii="Times New Roman" w:hAnsi="Times New Roman" w:eastAsia="宋体"/>
                    </w:rPr>
                    <w:t>为</w:t>
                  </w:r>
                  <w:r>
                    <w:rPr>
                      <w:rFonts w:hint="default" w:ascii="Times New Roman" w:hAnsi="Times New Roman" w:eastAsia="宋体"/>
                    </w:rPr>
                    <w:t>95%</w:t>
                  </w:r>
                  <w:r>
                    <w:rPr>
                      <w:rFonts w:hint="eastAsia" w:ascii="Times New Roman" w:hAnsi="Times New Roman" w:eastAsia="宋体"/>
                    </w:rPr>
                    <w:t>，</w:t>
                  </w:r>
                  <w:r>
                    <w:rPr>
                      <w:rFonts w:hint="default" w:ascii="Times New Roman" w:hAnsi="Times New Roman" w:eastAsia="宋体"/>
                    </w:rPr>
                    <w:t>设计范围内矿山服务年限约为</w:t>
                  </w:r>
                  <w:r>
                    <w:rPr>
                      <w:rFonts w:hint="eastAsia" w:ascii="Times New Roman" w:hAnsi="Times New Roman" w:eastAsia="宋体" w:cs="Times New Roman"/>
                      <w:color w:val="000000" w:themeColor="text1"/>
                      <w:lang w:val="en-US" w:eastAsia="zh-CN"/>
                      <w14:textFill>
                        <w14:solidFill>
                          <w14:schemeClr w14:val="tx1"/>
                        </w14:solidFill>
                      </w14:textFill>
                    </w:rPr>
                    <w:t>19.79</w:t>
                  </w:r>
                  <w:r>
                    <w:rPr>
                      <w:rFonts w:hint="default" w:ascii="Times New Roman" w:hAnsi="Times New Roman" w:eastAsia="宋体"/>
                      <w:color w:val="000000" w:themeColor="text1"/>
                      <w14:textFill>
                        <w14:solidFill>
                          <w14:schemeClr w14:val="tx1"/>
                        </w14:solidFill>
                      </w14:textFill>
                    </w:rPr>
                    <w:t>年，</w:t>
                  </w:r>
                  <w:r>
                    <w:rPr>
                      <w:rFonts w:hint="eastAsia" w:ascii="Times New Roman" w:hAnsi="Times New Roman" w:eastAsia="宋体"/>
                      <w:color w:val="000000" w:themeColor="text1"/>
                      <w14:textFill>
                        <w14:solidFill>
                          <w14:schemeClr w14:val="tx1"/>
                        </w14:solidFill>
                      </w14:textFill>
                    </w:rPr>
                    <w:t>满足</w:t>
                  </w:r>
                  <w:r>
                    <w:rPr>
                      <w:rFonts w:hint="eastAsia" w:ascii="Times New Roman" w:hAnsi="Times New Roman" w:eastAsia="宋体"/>
                      <w:color w:val="000000" w:themeColor="text1"/>
                      <w:lang w:val="en-US" w:eastAsia="zh-CN"/>
                      <w14:textFill>
                        <w14:solidFill>
                          <w14:schemeClr w14:val="tx1"/>
                        </w14:solidFill>
                      </w14:textFill>
                    </w:rPr>
                    <w:t>石灰岩（水泥用/其他）中</w:t>
                  </w:r>
                  <w:r>
                    <w:rPr>
                      <w:rFonts w:hint="eastAsia" w:ascii="Times New Roman" w:hAnsi="Times New Roman" w:eastAsia="宋体"/>
                      <w:color w:val="000000" w:themeColor="text1"/>
                      <w14:textFill>
                        <w14:solidFill>
                          <w14:schemeClr w14:val="tx1"/>
                        </w14:solidFill>
                      </w14:textFill>
                    </w:rPr>
                    <w:t>型规模</w:t>
                  </w:r>
                  <w:r>
                    <w:rPr>
                      <w:rFonts w:hint="eastAsia" w:ascii="Times New Roman" w:hAnsi="Times New Roman" w:eastAsia="宋体"/>
                      <w:color w:val="000000" w:themeColor="text1"/>
                      <w:lang w:val="en-US" w:eastAsia="zh-CN"/>
                      <w14:textFill>
                        <w14:solidFill>
                          <w14:schemeClr w14:val="tx1"/>
                        </w14:solidFill>
                      </w14:textFill>
                    </w:rPr>
                    <w:t>开采规模</w:t>
                  </w:r>
                  <w:r>
                    <w:rPr>
                      <w:rFonts w:hint="eastAsia" w:ascii="Times New Roman" w:hAnsi="Times New Roman" w:eastAsia="宋体"/>
                      <w:color w:val="000000" w:themeColor="text1"/>
                      <w14:textFill>
                        <w14:solidFill>
                          <w14:schemeClr w14:val="tx1"/>
                        </w14:solidFill>
                      </w14:textFill>
                    </w:rPr>
                    <w:t>不低于</w:t>
                  </w:r>
                  <w:r>
                    <w:rPr>
                      <w:rFonts w:hint="eastAsia" w:ascii="Times New Roman" w:hAnsi="Times New Roman" w:eastAsia="宋体"/>
                      <w:color w:val="000000" w:themeColor="text1"/>
                      <w:lang w:val="en-US" w:eastAsia="zh-CN"/>
                      <w14:textFill>
                        <w14:solidFill>
                          <w14:schemeClr w14:val="tx1"/>
                        </w14:solidFill>
                      </w14:textFill>
                    </w:rPr>
                    <w:t>50</w:t>
                  </w:r>
                  <w:r>
                    <w:rPr>
                      <w:rFonts w:hint="eastAsia" w:ascii="Times New Roman" w:hAnsi="Times New Roman" w:eastAsia="宋体"/>
                      <w:color w:val="000000" w:themeColor="text1"/>
                      <w14:textFill>
                        <w14:solidFill>
                          <w14:schemeClr w14:val="tx1"/>
                        </w14:solidFill>
                      </w14:textFill>
                    </w:rPr>
                    <w:t>万吨/年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最低服务年限为10年的要求</w:t>
                  </w:r>
                  <w:r>
                    <w:rPr>
                      <w:rFonts w:hint="default" w:ascii="Times New Roman" w:hAnsi="Times New Roman" w:eastAsia="宋体"/>
                      <w:color w:val="000000" w:themeColor="text1"/>
                      <w14:textFill>
                        <w14:solidFill>
                          <w14:schemeClr w14:val="tx1"/>
                        </w14:solidFill>
                      </w14:textFill>
                    </w:rPr>
                    <w:t>。本项目开采矿种为</w:t>
                  </w:r>
                  <w:r>
                    <w:rPr>
                      <w:rFonts w:hint="eastAsia" w:ascii="Times New Roman" w:hAnsi="Times New Roman" w:eastAsia="宋体"/>
                      <w:color w:val="000000" w:themeColor="text1"/>
                      <w:lang w:val="en-US" w:eastAsia="zh-CN"/>
                      <w14:textFill>
                        <w14:solidFill>
                          <w14:schemeClr w14:val="tx1"/>
                        </w14:solidFill>
                      </w14:textFill>
                    </w:rPr>
                    <w:t>水泥用石灰</w:t>
                  </w:r>
                  <w:r>
                    <w:rPr>
                      <w:rFonts w:hint="eastAsia"/>
                      <w:color w:val="000000" w:themeColor="text1"/>
                      <w:lang w:val="en-US" w:eastAsia="zh-CN"/>
                      <w14:textFill>
                        <w14:solidFill>
                          <w14:schemeClr w14:val="tx1"/>
                        </w14:solidFill>
                      </w14:textFill>
                    </w:rPr>
                    <w:t>岩</w:t>
                  </w:r>
                  <w:r>
                    <w:rPr>
                      <w:rFonts w:hint="default" w:ascii="Times New Roman" w:hAnsi="Times New Roman" w:eastAsia="宋体"/>
                      <w:color w:val="000000" w:themeColor="text1"/>
                      <w14:textFill>
                        <w14:solidFill>
                          <w14:schemeClr w14:val="tx1"/>
                        </w14:solidFill>
                      </w14:textFill>
                    </w:rPr>
                    <w:t>，不属于规划中的</w:t>
                  </w:r>
                  <w:r>
                    <w:rPr>
                      <w:rFonts w:hint="eastAsia"/>
                      <w:color w:val="000000" w:themeColor="text1"/>
                      <w:lang w:val="en-US" w:eastAsia="zh-CN"/>
                      <w14:textFill>
                        <w14:solidFill>
                          <w14:schemeClr w14:val="tx1"/>
                        </w14:solidFill>
                      </w14:textFill>
                    </w:rPr>
                    <w:t>重点、</w:t>
                  </w:r>
                  <w:r>
                    <w:rPr>
                      <w:rFonts w:hint="default" w:ascii="Times New Roman" w:hAnsi="Times New Roman" w:eastAsia="宋体"/>
                      <w:color w:val="000000" w:themeColor="text1"/>
                      <w14:textFill>
                        <w14:solidFill>
                          <w14:schemeClr w14:val="tx1"/>
                        </w14:solidFill>
                      </w14:textFill>
                    </w:rPr>
                    <w:t>限制和禁止开采矿种</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属于允许类，</w:t>
                  </w:r>
                  <w:r>
                    <w:rPr>
                      <w:rFonts w:hint="eastAsia"/>
                      <w:color w:val="000000" w:themeColor="text1"/>
                      <w:lang w:eastAsia="zh-CN"/>
                      <w14:textFill>
                        <w14:solidFill>
                          <w14:schemeClr w14:val="tx1"/>
                        </w14:solidFill>
                      </w14:textFill>
                    </w:rPr>
                    <w:t>于202</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年</w:t>
                  </w:r>
                  <w:r>
                    <w:rPr>
                      <w:rFonts w:hint="eastAsia"/>
                      <w:color w:val="000000" w:themeColor="text1"/>
                      <w:lang w:val="en-US" w:eastAsia="zh-CN"/>
                      <w14:textFill>
                        <w14:solidFill>
                          <w14:schemeClr w14:val="tx1"/>
                        </w14:solidFill>
                      </w14:textFill>
                    </w:rPr>
                    <w:t>9</w:t>
                  </w:r>
                  <w:r>
                    <w:rPr>
                      <w:rFonts w:hint="eastAsia"/>
                      <w:color w:val="000000" w:themeColor="text1"/>
                      <w:lang w:eastAsia="zh-CN"/>
                      <w14:textFill>
                        <w14:solidFill>
                          <w14:schemeClr w14:val="tx1"/>
                        </w14:solidFill>
                      </w14:textFill>
                    </w:rPr>
                    <w:t>月</w:t>
                  </w:r>
                  <w:r>
                    <w:rPr>
                      <w:rFonts w:hint="eastAsia"/>
                      <w:color w:val="000000" w:themeColor="text1"/>
                      <w:lang w:val="en-US" w:eastAsia="zh-CN"/>
                      <w14:textFill>
                        <w14:solidFill>
                          <w14:schemeClr w14:val="tx1"/>
                        </w14:solidFill>
                      </w14:textFill>
                    </w:rPr>
                    <w:t>13日</w:t>
                  </w:r>
                  <w:r>
                    <w:rPr>
                      <w:rFonts w:hint="eastAsia"/>
                      <w:color w:val="000000" w:themeColor="text1"/>
                      <w:lang w:eastAsia="zh-CN"/>
                      <w14:textFill>
                        <w14:solidFill>
                          <w14:schemeClr w14:val="tx1"/>
                        </w14:solidFill>
                      </w14:textFill>
                    </w:rPr>
                    <w:t>取得夏翁沟口水泥用石灰岩矿采矿证（采矿证编号C6528</w:t>
                  </w:r>
                  <w:r>
                    <w:rPr>
                      <w:rFonts w:hint="eastAsia"/>
                      <w:color w:val="000000" w:themeColor="text1"/>
                      <w:lang w:val="en-US" w:eastAsia="zh-CN"/>
                      <w14:textFill>
                        <w14:solidFill>
                          <w14:schemeClr w14:val="tx1"/>
                        </w14:solidFill>
                      </w14:textFill>
                    </w:rPr>
                    <w:t>002024097110157392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有效期2024年9月13日～2029年9月13日</w:t>
                  </w:r>
                  <w:r>
                    <w:rPr>
                      <w:rFonts w:hint="eastAsia"/>
                      <w:color w:val="000000" w:themeColor="text1"/>
                      <w:lang w:eastAsia="zh-CN"/>
                      <w14:textFill>
                        <w14:solidFill>
                          <w14:schemeClr w14:val="tx1"/>
                        </w14:solidFill>
                      </w14:textFill>
                    </w:rPr>
                    <w:t>），设计生产规模为</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0</w:t>
                  </w:r>
                  <w:r>
                    <w:rPr>
                      <w:rFonts w:hint="eastAsia"/>
                      <w:color w:val="000000" w:themeColor="text1"/>
                      <w:lang w:val="en-US" w:eastAsia="zh-CN"/>
                      <w14:textFill>
                        <w14:solidFill>
                          <w14:schemeClr w14:val="tx1"/>
                        </w14:solidFill>
                      </w14:textFill>
                    </w:rPr>
                    <w:t>万</w:t>
                  </w:r>
                  <w:r>
                    <w:rPr>
                      <w:rFonts w:hint="eastAsia"/>
                      <w:color w:val="000000" w:themeColor="text1"/>
                      <w:lang w:eastAsia="zh-CN"/>
                      <w14:textFill>
                        <w14:solidFill>
                          <w14:schemeClr w14:val="tx1"/>
                        </w14:solidFill>
                      </w14:textFill>
                    </w:rPr>
                    <w:t>t/a。</w:t>
                  </w:r>
                </w:p>
              </w:tc>
              <w:tc>
                <w:tcPr>
                  <w:tcW w:w="447" w:type="pct"/>
                  <w:vAlign w:val="center"/>
                </w:tcPr>
                <w:p w14:paraId="0E782B8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4941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pct"/>
                  <w:vAlign w:val="center"/>
                </w:tcPr>
                <w:p w14:paraId="6CF3670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lang w:val="en-US" w:eastAsia="zh-CN"/>
                    </w:rPr>
                    <w:t>关于《新疆维吾尔自治区矿产资源总体规划（2021</w:t>
                  </w:r>
                  <w:r>
                    <w:rPr>
                      <w:rFonts w:hint="eastAsia"/>
                      <w:lang w:val="en-US" w:eastAsia="zh-CN"/>
                    </w:rPr>
                    <w:t>—</w:t>
                  </w:r>
                  <w:r>
                    <w:rPr>
                      <w:rFonts w:hint="default" w:ascii="Times New Roman" w:hAnsi="Times New Roman" w:eastAsia="宋体"/>
                      <w:lang w:val="en-US" w:eastAsia="zh-CN"/>
                    </w:rPr>
                    <w:t>2025年）环境影响报告书》的审查意见，环审</w:t>
                  </w:r>
                  <w:r>
                    <w:rPr>
                      <w:rFonts w:hint="eastAsia"/>
                      <w:lang w:val="en-US" w:eastAsia="zh-CN"/>
                    </w:rPr>
                    <w:t>〔2022〕124号</w:t>
                  </w:r>
                </w:p>
              </w:tc>
              <w:tc>
                <w:tcPr>
                  <w:tcW w:w="1813" w:type="pct"/>
                  <w:vAlign w:val="center"/>
                </w:tcPr>
                <w:p w14:paraId="75C8191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sz w:val="21"/>
                    </w:rPr>
                  </w:pPr>
                  <w:r>
                    <w:rPr>
                      <w:rFonts w:hint="default" w:ascii="Times New Roman" w:hAnsi="Times New Roman" w:eastAsia="宋体"/>
                      <w:sz w:val="21"/>
                    </w:rPr>
                    <w:t>严格保护生态空间，优化《规划》布局。将生态保护红线作为保障和维护区域生态安全的底线，应进一步优化矿业权设置和空间布局，依法依规对生态空间实施严格保护。与生态保护红线存在空间重叠的6个能源资源基地，24个国家规划矿区</w:t>
                  </w:r>
                  <w:r>
                    <w:rPr>
                      <w:rFonts w:hint="eastAsia"/>
                      <w:sz w:val="21"/>
                      <w:lang w:eastAsia="zh-CN"/>
                    </w:rPr>
                    <w:t>、</w:t>
                  </w:r>
                  <w:r>
                    <w:rPr>
                      <w:rFonts w:hint="default" w:ascii="Times New Roman" w:hAnsi="Times New Roman" w:eastAsia="宋体"/>
                      <w:sz w:val="21"/>
                    </w:rPr>
                    <w:t>22个重点勘查区、32个重点开采区等，后续设置矿业权时，应进一步优化布局，确保满足生态保护红线管控要求。与大气环境优先保护区</w:t>
                  </w:r>
                  <w:r>
                    <w:rPr>
                      <w:rFonts w:hint="eastAsia"/>
                      <w:sz w:val="21"/>
                      <w:lang w:eastAsia="zh-CN"/>
                    </w:rPr>
                    <w:t>（</w:t>
                  </w:r>
                  <w:r>
                    <w:rPr>
                      <w:rFonts w:hint="default" w:ascii="Times New Roman" w:hAnsi="Times New Roman" w:eastAsia="宋体"/>
                      <w:sz w:val="21"/>
                    </w:rPr>
                    <w:t>自然保护区、森林公园、世界遗产地等</w:t>
                  </w:r>
                  <w:r>
                    <w:rPr>
                      <w:rFonts w:hint="eastAsia"/>
                      <w:sz w:val="21"/>
                      <w:lang w:eastAsia="zh-CN"/>
                    </w:rPr>
                    <w:t>）</w:t>
                  </w:r>
                  <w:r>
                    <w:rPr>
                      <w:rFonts w:hint="default" w:ascii="Times New Roman" w:hAnsi="Times New Roman" w:eastAsia="宋体"/>
                      <w:sz w:val="21"/>
                    </w:rPr>
                    <w:t>存在空间重叠的90个勘查规划区块、25个开采规划区块，以及与水环境优先保护区存在</w:t>
                  </w:r>
                  <w:r>
                    <w:rPr>
                      <w:rFonts w:hint="eastAsia"/>
                      <w:sz w:val="21"/>
                      <w:lang w:eastAsia="zh-CN"/>
                    </w:rPr>
                    <w:t>空间</w:t>
                  </w:r>
                  <w:r>
                    <w:rPr>
                      <w:rFonts w:hint="default" w:ascii="Times New Roman" w:hAnsi="Times New Roman" w:eastAsia="宋体"/>
                      <w:sz w:val="21"/>
                    </w:rPr>
                    <w:t>重叠的462个勘查规划区块、153个开采规划区块和与农用地优先保护区存在</w:t>
                  </w:r>
                  <w:r>
                    <w:rPr>
                      <w:rFonts w:hint="eastAsia"/>
                      <w:sz w:val="21"/>
                      <w:lang w:eastAsia="zh-CN"/>
                    </w:rPr>
                    <w:t>空间</w:t>
                  </w:r>
                  <w:r>
                    <w:rPr>
                      <w:rFonts w:hint="default" w:ascii="Times New Roman" w:hAnsi="Times New Roman" w:eastAsia="宋体"/>
                      <w:sz w:val="21"/>
                    </w:rPr>
                    <w:t>重叠的28个勘查规划区块、8个开采规划区块等，后续设置矿业权时，应进一步优化布局、强化管控措施，确保满足生态环境分区管控及相关环境保护要求。</w:t>
                  </w:r>
                </w:p>
              </w:tc>
              <w:tc>
                <w:tcPr>
                  <w:tcW w:w="1461" w:type="pct"/>
                  <w:vAlign w:val="center"/>
                </w:tcPr>
                <w:p w14:paraId="78ED109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lang w:eastAsia="zh-CN"/>
                    </w:rPr>
                  </w:pPr>
                  <w:r>
                    <w:rPr>
                      <w:rFonts w:hint="default" w:ascii="Times New Roman" w:hAnsi="Times New Roman" w:eastAsia="宋体"/>
                    </w:rPr>
                    <w:t>本项目不涉及生态保护红线</w:t>
                  </w:r>
                  <w:r>
                    <w:rPr>
                      <w:rFonts w:hint="eastAsia"/>
                      <w:lang w:eastAsia="zh-CN"/>
                    </w:rPr>
                    <w:t>、</w:t>
                  </w:r>
                  <w:r>
                    <w:rPr>
                      <w:rFonts w:hint="default" w:ascii="Times New Roman" w:hAnsi="Times New Roman" w:eastAsia="宋体"/>
                      <w:sz w:val="21"/>
                    </w:rPr>
                    <w:t>大气环境优先保护区</w:t>
                  </w:r>
                  <w:r>
                    <w:rPr>
                      <w:rFonts w:hint="eastAsia"/>
                      <w:sz w:val="21"/>
                      <w:lang w:eastAsia="zh-CN"/>
                    </w:rPr>
                    <w:t>、</w:t>
                  </w:r>
                  <w:r>
                    <w:rPr>
                      <w:rFonts w:hint="default" w:ascii="Times New Roman" w:hAnsi="Times New Roman" w:eastAsia="宋体"/>
                      <w:sz w:val="21"/>
                    </w:rPr>
                    <w:t>水环境优先保护区</w:t>
                  </w:r>
                  <w:r>
                    <w:rPr>
                      <w:rFonts w:hint="eastAsia"/>
                      <w:sz w:val="21"/>
                      <w:lang w:eastAsia="zh-CN"/>
                    </w:rPr>
                    <w:t>，</w:t>
                  </w:r>
                  <w:r>
                    <w:rPr>
                      <w:rFonts w:hint="default" w:ascii="Times New Roman" w:hAnsi="Times New Roman" w:eastAsia="宋体"/>
                    </w:rPr>
                    <w:t>属于一般管控单元</w:t>
                  </w:r>
                  <w:r>
                    <w:rPr>
                      <w:rFonts w:hint="eastAsia"/>
                      <w:lang w:eastAsia="zh-CN"/>
                    </w:rPr>
                    <w:t>，</w:t>
                  </w:r>
                  <w:r>
                    <w:rPr>
                      <w:rFonts w:hint="default" w:ascii="Times New Roman" w:hAnsi="Times New Roman" w:eastAsia="宋体"/>
                      <w:sz w:val="21"/>
                    </w:rPr>
                    <w:t>满足生态环境分区管控及相关环境保护要求</w:t>
                  </w:r>
                  <w:r>
                    <w:rPr>
                      <w:rFonts w:hint="eastAsia"/>
                      <w:sz w:val="21"/>
                      <w:lang w:eastAsia="zh-CN"/>
                    </w:rPr>
                    <w:t>。</w:t>
                  </w:r>
                </w:p>
              </w:tc>
              <w:tc>
                <w:tcPr>
                  <w:tcW w:w="447" w:type="pct"/>
                  <w:vAlign w:val="center"/>
                </w:tcPr>
                <w:p w14:paraId="70A06E7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lang w:val="en-US" w:eastAsia="zh-CN"/>
                    </w:rPr>
                  </w:pPr>
                  <w:r>
                    <w:rPr>
                      <w:rFonts w:hint="eastAsia"/>
                      <w:lang w:val="en-US" w:eastAsia="zh-CN"/>
                    </w:rPr>
                    <w:t>符合</w:t>
                  </w:r>
                </w:p>
              </w:tc>
            </w:tr>
          </w:tbl>
          <w:p w14:paraId="3C3FEAAE">
            <w:pPr>
              <w:keepNext w:val="0"/>
              <w:keepLines w:val="0"/>
              <w:suppressLineNumbers w:val="0"/>
              <w:autoSpaceDE w:val="0"/>
              <w:autoSpaceDN w:val="0"/>
              <w:adjustRightInd w:val="0"/>
              <w:snapToGrid w:val="0"/>
              <w:spacing w:before="0" w:beforeAutospacing="0" w:after="0" w:afterAutospacing="0"/>
              <w:ind w:left="0" w:right="0"/>
              <w:rPr>
                <w:rFonts w:hint="default" w:ascii="宋体" w:hAnsi="宋体" w:cs="宋体"/>
                <w:kern w:val="0"/>
                <w:szCs w:val="21"/>
              </w:rPr>
            </w:pPr>
          </w:p>
        </w:tc>
      </w:tr>
      <w:tr w14:paraId="13DD3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14" w:hRule="atLeast"/>
          <w:jc w:val="center"/>
        </w:trPr>
        <w:tc>
          <w:tcPr>
            <w:tcW w:w="898" w:type="dxa"/>
            <w:tcBorders>
              <w:left w:val="single" w:color="auto" w:sz="4" w:space="0"/>
              <w:bottom w:val="single" w:color="auto" w:sz="4" w:space="0"/>
            </w:tcBorders>
            <w:tcMar>
              <w:top w:w="16" w:type="dxa"/>
              <w:left w:w="16" w:type="dxa"/>
              <w:right w:w="16" w:type="dxa"/>
            </w:tcMar>
            <w:vAlign w:val="center"/>
          </w:tcPr>
          <w:p w14:paraId="3EA30410">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其他符合性分析</w:t>
            </w:r>
          </w:p>
        </w:tc>
        <w:tc>
          <w:tcPr>
            <w:tcW w:w="7963" w:type="dxa"/>
            <w:gridSpan w:val="4"/>
            <w:tcBorders>
              <w:bottom w:val="single" w:color="auto" w:sz="4" w:space="0"/>
              <w:right w:val="single" w:color="auto" w:sz="4" w:space="0"/>
            </w:tcBorders>
            <w:tcMar>
              <w:top w:w="16" w:type="dxa"/>
              <w:left w:w="16" w:type="dxa"/>
              <w:right w:w="16" w:type="dxa"/>
            </w:tcMar>
            <w:vAlign w:val="center"/>
          </w:tcPr>
          <w:p w14:paraId="130B63CA">
            <w:pPr>
              <w:pStyle w:val="2"/>
              <w:keepLines w:val="0"/>
              <w:suppressLineNumbers w:val="0"/>
              <w:wordWrap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1产业政策符合性分析</w:t>
            </w:r>
          </w:p>
          <w:p w14:paraId="55A351D0">
            <w:pPr>
              <w:keepNext w:val="0"/>
              <w:keepLines w:val="0"/>
              <w:suppressLineNumbers w:val="0"/>
              <w:wordWrap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本项目为</w:t>
            </w:r>
            <w:r>
              <w:rPr>
                <w:rFonts w:hint="eastAsia"/>
                <w:sz w:val="24"/>
                <w:lang w:val="en-US" w:eastAsia="zh-CN"/>
              </w:rPr>
              <w:t>水泥</w:t>
            </w:r>
            <w:r>
              <w:rPr>
                <w:rFonts w:hint="eastAsia"/>
                <w:sz w:val="24"/>
              </w:rPr>
              <w:t>用</w:t>
            </w:r>
            <w:r>
              <w:rPr>
                <w:rFonts w:hint="eastAsia"/>
                <w:sz w:val="24"/>
                <w:lang w:val="en-US" w:eastAsia="zh-CN"/>
              </w:rPr>
              <w:t>石灰岩</w:t>
            </w:r>
            <w:r>
              <w:rPr>
                <w:rFonts w:hint="eastAsia"/>
                <w:sz w:val="24"/>
              </w:rPr>
              <w:t>矿</w:t>
            </w:r>
            <w:r>
              <w:rPr>
                <w:rFonts w:hint="default"/>
                <w:sz w:val="24"/>
              </w:rPr>
              <w:t>开采，根据《产业结构调整指导目录（2024本）》，项目不属于鼓励类、限制类及淘汰类，采用的生产工艺、设备、产品均不属于《产业结构调整指导目录（2024本）》中所列的落后工艺、装备和产品之列，且符合国家有关</w:t>
            </w:r>
            <w:r>
              <w:rPr>
                <w:rFonts w:hint="eastAsia"/>
                <w:sz w:val="24"/>
                <w:lang w:eastAsia="zh-CN"/>
              </w:rPr>
              <w:t>法律法规</w:t>
            </w:r>
            <w:r>
              <w:rPr>
                <w:rFonts w:hint="default"/>
                <w:sz w:val="24"/>
              </w:rPr>
              <w:t>和政策规定</w:t>
            </w:r>
            <w:r>
              <w:rPr>
                <w:rFonts w:hint="eastAsia"/>
                <w:sz w:val="24"/>
                <w:lang w:eastAsia="zh-CN"/>
              </w:rPr>
              <w:t>，</w:t>
            </w:r>
            <w:r>
              <w:rPr>
                <w:rFonts w:hint="default"/>
                <w:sz w:val="24"/>
              </w:rPr>
              <w:t>属于允许类。</w:t>
            </w:r>
          </w:p>
          <w:p w14:paraId="6562A06D">
            <w:pPr>
              <w:pStyle w:val="3"/>
              <w:suppressLineNumbers w:val="0"/>
              <w:adjustRightInd w:val="0"/>
              <w:snapToGrid w:val="0"/>
              <w:spacing w:before="0" w:beforeAutospacing="0" w:after="0" w:afterAutospacing="0"/>
              <w:ind w:left="0" w:right="0"/>
              <w:rPr>
                <w:rFonts w:hint="default"/>
                <w:sz w:val="24"/>
                <w:szCs w:val="24"/>
              </w:rPr>
            </w:pPr>
            <w:r>
              <w:rPr>
                <w:rFonts w:hint="eastAsia"/>
                <w:sz w:val="24"/>
                <w:szCs w:val="24"/>
              </w:rPr>
              <w:t>2</w:t>
            </w:r>
            <w:r>
              <w:rPr>
                <w:rFonts w:hint="default"/>
                <w:sz w:val="24"/>
                <w:szCs w:val="24"/>
              </w:rPr>
              <w:t>“三线一单”符合性分析</w:t>
            </w:r>
          </w:p>
          <w:p w14:paraId="223C361C">
            <w:pPr>
              <w:pStyle w:val="4"/>
              <w:suppressLineNumbers w:val="0"/>
              <w:tabs>
                <w:tab w:val="left" w:pos="0"/>
              </w:tabs>
              <w:adjustRightInd w:val="0"/>
              <w:snapToGrid w:val="0"/>
              <w:spacing w:before="0" w:beforeAutospacing="0" w:after="0" w:afterAutospacing="0" w:line="520" w:lineRule="exact"/>
              <w:ind w:left="0" w:right="0" w:firstLine="482" w:firstLineChars="200"/>
              <w:rPr>
                <w:rFonts w:hint="default" w:ascii="Times New Roman" w:hAnsi="Times New Roman" w:eastAsia="宋体"/>
                <w:sz w:val="24"/>
                <w:szCs w:val="24"/>
              </w:rPr>
            </w:pPr>
            <w:r>
              <w:rPr>
                <w:rFonts w:hint="eastAsia" w:ascii="Times New Roman" w:hAnsi="Times New Roman" w:eastAsia="宋体"/>
                <w:sz w:val="24"/>
                <w:szCs w:val="24"/>
              </w:rPr>
              <w:t>2.1</w:t>
            </w:r>
            <w:r>
              <w:rPr>
                <w:rFonts w:hint="default" w:ascii="Times New Roman" w:hAnsi="Times New Roman" w:eastAsia="宋体"/>
                <w:sz w:val="24"/>
                <w:szCs w:val="24"/>
              </w:rPr>
              <w:t>与《新疆维吾尔自治区七大片区“三线一单”生态环境分区管控要求》的符合性分析</w:t>
            </w:r>
          </w:p>
          <w:p w14:paraId="66CA6B97">
            <w:pPr>
              <w:keepNext w:val="0"/>
              <w:keepLines w:val="0"/>
              <w:suppressLineNumbers w:val="0"/>
              <w:adjustRightInd w:val="0"/>
              <w:snapToGrid w:val="0"/>
              <w:spacing w:before="0" w:beforeAutospacing="0" w:after="0" w:afterAutospacing="0" w:line="520" w:lineRule="exact"/>
              <w:ind w:left="0" w:right="0" w:firstLine="480" w:firstLineChars="200"/>
              <w:rPr>
                <w:rFonts w:hint="eastAsia"/>
                <w:sz w:val="24"/>
                <w:lang w:val="en-US" w:eastAsia="zh-CN"/>
              </w:rPr>
            </w:pPr>
            <w:r>
              <w:rPr>
                <w:rFonts w:hint="default"/>
                <w:sz w:val="24"/>
              </w:rPr>
              <w:t>根据新疆维吾尔自治区生态环境厅2021年7月发布的《关于印发（新疆维吾尔自治区七大片区“三线一单”生态环境分区管控要求）的通知》（新环环评发〔2021〕162号），全区划分为七大片区，包括北疆北部</w:t>
            </w:r>
            <w:r>
              <w:rPr>
                <w:rFonts w:hint="eastAsia"/>
                <w:sz w:val="24"/>
              </w:rPr>
              <w:t>（</w:t>
            </w:r>
            <w:r>
              <w:rPr>
                <w:rFonts w:hint="default"/>
                <w:sz w:val="24"/>
              </w:rPr>
              <w:t>塔城地区、阿勒泰地区</w:t>
            </w:r>
            <w:r>
              <w:rPr>
                <w:rFonts w:hint="eastAsia"/>
                <w:sz w:val="24"/>
              </w:rPr>
              <w:t>）</w:t>
            </w:r>
            <w:r>
              <w:rPr>
                <w:rFonts w:hint="default"/>
                <w:sz w:val="24"/>
              </w:rPr>
              <w:t>、伊犁河谷、克奎乌—博州、乌昌石、吐哈、天山南坡</w:t>
            </w:r>
            <w:r>
              <w:rPr>
                <w:rFonts w:hint="eastAsia"/>
                <w:sz w:val="24"/>
              </w:rPr>
              <w:t>（</w:t>
            </w:r>
            <w:r>
              <w:rPr>
                <w:rFonts w:hint="default"/>
                <w:sz w:val="24"/>
              </w:rPr>
              <w:t>巴州、阿克苏地区</w:t>
            </w:r>
            <w:r>
              <w:rPr>
                <w:rFonts w:hint="eastAsia"/>
                <w:sz w:val="24"/>
              </w:rPr>
              <w:t>）</w:t>
            </w:r>
            <w:r>
              <w:rPr>
                <w:rFonts w:hint="default"/>
                <w:sz w:val="24"/>
              </w:rPr>
              <w:t>和南疆三地州片区，本工程所在区域属于天山南坡片区，该片区</w:t>
            </w:r>
            <w:r>
              <w:rPr>
                <w:rFonts w:hint="eastAsia"/>
                <w:sz w:val="24"/>
                <w:lang w:val="en-US" w:eastAsia="zh-CN"/>
              </w:rPr>
              <w:t>与本项目符合性分析如下表：</w:t>
            </w:r>
          </w:p>
          <w:p w14:paraId="6C72BC97">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lang w:val="en-US" w:eastAsia="zh-CN"/>
              </w:rPr>
            </w:pPr>
            <w:r>
              <w:rPr>
                <w:rFonts w:hint="default"/>
                <w:b/>
                <w:bCs/>
                <w:sz w:val="24"/>
              </w:rPr>
              <w:t>《新疆维吾尔自治区七大片区“三线一单”生态环境分区管控要求》的符合性分析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72"/>
              <w:gridCol w:w="3083"/>
              <w:gridCol w:w="3084"/>
              <w:gridCol w:w="372"/>
            </w:tblGrid>
            <w:tr w14:paraId="1A7D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7" w:type="pct"/>
                  <w:vAlign w:val="center"/>
                </w:tcPr>
                <w:p w14:paraId="3840F2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default"/>
                      <w:sz w:val="21"/>
                      <w:szCs w:val="21"/>
                      <w:vertAlign w:val="baseline"/>
                    </w:rPr>
                    <w:t>《新疆维吾尔自治区七大片区“三线一单”生态环境分区管控要求》</w:t>
                  </w:r>
                </w:p>
              </w:tc>
              <w:tc>
                <w:tcPr>
                  <w:tcW w:w="1948" w:type="pct"/>
                  <w:vAlign w:val="center"/>
                </w:tcPr>
                <w:p w14:paraId="3947C5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eastAsia"/>
                      <w:color w:val="000000" w:themeColor="text1"/>
                      <w:lang w:val="en-US" w:eastAsia="zh-CN"/>
                      <w14:textFill>
                        <w14:solidFill>
                          <w14:schemeClr w14:val="tx1"/>
                        </w14:solidFill>
                      </w14:textFill>
                    </w:rPr>
                    <w:t>文件</w:t>
                  </w:r>
                  <w:r>
                    <w:rPr>
                      <w:rFonts w:hint="default" w:ascii="Times New Roman" w:hAnsi="Times New Roman" w:eastAsia="宋体"/>
                      <w:color w:val="000000" w:themeColor="text1"/>
                      <w14:textFill>
                        <w14:solidFill>
                          <w14:schemeClr w14:val="tx1"/>
                        </w14:solidFill>
                      </w14:textFill>
                    </w:rPr>
                    <w:t>要求</w:t>
                  </w:r>
                </w:p>
              </w:tc>
              <w:tc>
                <w:tcPr>
                  <w:tcW w:w="1949" w:type="pct"/>
                  <w:vAlign w:val="center"/>
                </w:tcPr>
                <w:p w14:paraId="386B5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sz w:val="21"/>
                      <w:szCs w:val="21"/>
                      <w:vertAlign w:val="baseline"/>
                    </w:rPr>
                  </w:pPr>
                  <w:r>
                    <w:rPr>
                      <w:rFonts w:hint="default" w:ascii="Times New Roman" w:hAnsi="Times New Roman" w:eastAsia="宋体"/>
                    </w:rPr>
                    <w:t>本项目情况</w:t>
                  </w:r>
                </w:p>
              </w:tc>
              <w:tc>
                <w:tcPr>
                  <w:tcW w:w="234" w:type="pct"/>
                  <w:vAlign w:val="center"/>
                </w:tcPr>
                <w:p w14:paraId="310733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sz w:val="21"/>
                      <w:szCs w:val="21"/>
                      <w:vertAlign w:val="baseline"/>
                      <w:lang w:val="en-US"/>
                    </w:rPr>
                  </w:pPr>
                  <w:r>
                    <w:rPr>
                      <w:rFonts w:hint="eastAsia"/>
                      <w:sz w:val="21"/>
                      <w:szCs w:val="21"/>
                      <w:vertAlign w:val="baseline"/>
                      <w:lang w:val="en-US" w:eastAsia="zh-CN"/>
                    </w:rPr>
                    <w:t>符合性分析</w:t>
                  </w:r>
                </w:p>
              </w:tc>
            </w:tr>
            <w:tr w14:paraId="3E76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7" w:type="pct"/>
                  <w:vMerge w:val="restart"/>
                  <w:vAlign w:val="center"/>
                </w:tcPr>
                <w:p w14:paraId="0EFCD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eastAsia"/>
                      <w:sz w:val="21"/>
                      <w:szCs w:val="21"/>
                      <w:vertAlign w:val="baseline"/>
                      <w:lang w:val="en-US" w:eastAsia="zh-CN"/>
                    </w:rPr>
                    <w:t>七大片区“三线一单”生态环境分区总体</w:t>
                  </w:r>
                  <w:r>
                    <w:rPr>
                      <w:rFonts w:hint="default"/>
                      <w:sz w:val="21"/>
                      <w:szCs w:val="21"/>
                      <w:vertAlign w:val="baseline"/>
                    </w:rPr>
                    <w:t>管控要求</w:t>
                  </w:r>
                </w:p>
              </w:tc>
              <w:tc>
                <w:tcPr>
                  <w:tcW w:w="1948" w:type="pct"/>
                  <w:vAlign w:val="center"/>
                </w:tcPr>
                <w:p w14:paraId="6A423E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default"/>
                      <w:sz w:val="21"/>
                      <w:szCs w:val="21"/>
                      <w:vertAlign w:val="baseline"/>
                    </w:rPr>
                    <w:t>空间布局约束。严格执行国家、自治区产业政策和环境准入要求，严禁“三高”项目进新疆，坚决遏制“两高”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或规划矿区，并且符合相关规划和规划环评要求。</w:t>
                  </w:r>
                </w:p>
              </w:tc>
              <w:tc>
                <w:tcPr>
                  <w:tcW w:w="1949" w:type="pct"/>
                  <w:vAlign w:val="center"/>
                </w:tcPr>
                <w:p w14:paraId="7CD2C1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本项目不属于</w:t>
                  </w:r>
                  <w:r>
                    <w:rPr>
                      <w:rFonts w:hint="default"/>
                      <w:sz w:val="21"/>
                      <w:szCs w:val="21"/>
                      <w:vertAlign w:val="baseline"/>
                    </w:rPr>
                    <w:t>“三高</w:t>
                  </w:r>
                  <w:r>
                    <w:rPr>
                      <w:rFonts w:hint="eastAsia"/>
                      <w:sz w:val="21"/>
                      <w:szCs w:val="21"/>
                      <w:vertAlign w:val="baseline"/>
                      <w:lang w:eastAsia="zh-CN"/>
                    </w:rPr>
                    <w:t>”“</w:t>
                  </w:r>
                  <w:r>
                    <w:rPr>
                      <w:rFonts w:hint="default"/>
                      <w:sz w:val="21"/>
                      <w:szCs w:val="21"/>
                      <w:vertAlign w:val="baseline"/>
                    </w:rPr>
                    <w:t>两高”项目</w:t>
                  </w:r>
                  <w:r>
                    <w:rPr>
                      <w:rFonts w:hint="eastAsia"/>
                      <w:sz w:val="21"/>
                      <w:szCs w:val="21"/>
                      <w:vertAlign w:val="baseline"/>
                      <w:lang w:eastAsia="zh-CN"/>
                    </w:rPr>
                    <w:t>，</w:t>
                  </w:r>
                  <w:r>
                    <w:rPr>
                      <w:rFonts w:hint="eastAsia"/>
                      <w:sz w:val="21"/>
                      <w:szCs w:val="21"/>
                      <w:vertAlign w:val="baseline"/>
                      <w:lang w:val="en-US" w:eastAsia="zh-CN"/>
                    </w:rPr>
                    <w:t>项目区不涉及</w:t>
                  </w:r>
                  <w:r>
                    <w:rPr>
                      <w:rFonts w:hint="default"/>
                      <w:sz w:val="21"/>
                      <w:szCs w:val="21"/>
                      <w:vertAlign w:val="baseline"/>
                    </w:rPr>
                    <w:t>水源涵养区、饮用水水源保护区内和河流、湖泊、水库</w:t>
                  </w:r>
                  <w:r>
                    <w:rPr>
                      <w:rFonts w:hint="eastAsia"/>
                      <w:sz w:val="21"/>
                      <w:szCs w:val="21"/>
                      <w:vertAlign w:val="baseline"/>
                      <w:lang w:val="en-US" w:eastAsia="zh-CN"/>
                    </w:rPr>
                    <w:t>周围，不属于</w:t>
                  </w:r>
                  <w:r>
                    <w:rPr>
                      <w:rFonts w:hint="default"/>
                      <w:sz w:val="21"/>
                      <w:szCs w:val="21"/>
                      <w:vertAlign w:val="baseline"/>
                    </w:rPr>
                    <w:t>重化工、涉重金属等工业污染项目</w:t>
                  </w:r>
                  <w:r>
                    <w:rPr>
                      <w:rFonts w:hint="eastAsia"/>
                      <w:sz w:val="21"/>
                      <w:szCs w:val="21"/>
                      <w:vertAlign w:val="baseline"/>
                      <w:lang w:eastAsia="zh-CN"/>
                    </w:rPr>
                    <w:t>；</w:t>
                  </w:r>
                  <w:r>
                    <w:rPr>
                      <w:rFonts w:hint="eastAsia"/>
                      <w:sz w:val="21"/>
                      <w:szCs w:val="21"/>
                      <w:vertAlign w:val="baseline"/>
                      <w:lang w:val="en-US" w:eastAsia="zh-CN"/>
                    </w:rPr>
                    <w:t>本项目已取得采矿证，符合相关规划和规划环评要求。</w:t>
                  </w:r>
                </w:p>
              </w:tc>
              <w:tc>
                <w:tcPr>
                  <w:tcW w:w="234" w:type="pct"/>
                  <w:vAlign w:val="center"/>
                </w:tcPr>
                <w:p w14:paraId="167EA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2319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7" w:type="pct"/>
                  <w:vMerge w:val="continue"/>
                  <w:vAlign w:val="center"/>
                </w:tcPr>
                <w:p w14:paraId="56628B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p>
              </w:tc>
              <w:tc>
                <w:tcPr>
                  <w:tcW w:w="1948" w:type="pct"/>
                  <w:vAlign w:val="center"/>
                </w:tcPr>
                <w:p w14:paraId="11351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default"/>
                      <w:sz w:val="21"/>
                      <w:szCs w:val="21"/>
                      <w:vertAlign w:val="baseline"/>
                    </w:rPr>
                    <w:t>污染物排放管控。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w:t>
                  </w:r>
                  <w:r>
                    <w:rPr>
                      <w:rFonts w:hint="eastAsia"/>
                      <w:sz w:val="21"/>
                      <w:szCs w:val="21"/>
                      <w:vertAlign w:val="baseline"/>
                      <w:lang w:val="en-US" w:eastAsia="zh-CN"/>
                    </w:rPr>
                    <w:t>窑</w:t>
                  </w:r>
                  <w:r>
                    <w:rPr>
                      <w:rFonts w:hint="default"/>
                      <w:sz w:val="21"/>
                      <w:szCs w:val="21"/>
                      <w:vertAlign w:val="baseline"/>
                    </w:rPr>
                    <w:t>综合治理。加强“散乱污”企业综合整治。优化区域交通运输结构，加快货物运输绿色转型</w:t>
                  </w:r>
                  <w:r>
                    <w:rPr>
                      <w:rFonts w:hint="eastAsia"/>
                      <w:sz w:val="21"/>
                      <w:szCs w:val="21"/>
                      <w:vertAlign w:val="baseline"/>
                      <w:lang w:eastAsia="zh-CN"/>
                    </w:rPr>
                    <w:t>，</w:t>
                  </w:r>
                  <w:r>
                    <w:rPr>
                      <w:rFonts w:hint="default"/>
                      <w:sz w:val="21"/>
                      <w:szCs w:val="21"/>
                      <w:vertAlign w:val="baseline"/>
                    </w:rPr>
                    <w:t>做好车油联合管控。以改善流域水环境质量为核心，强化源头控制，“一河</w:t>
                  </w:r>
                  <w:r>
                    <w:rPr>
                      <w:rFonts w:hint="eastAsia"/>
                      <w:sz w:val="21"/>
                      <w:szCs w:val="21"/>
                      <w:vertAlign w:val="baseline"/>
                      <w:lang w:eastAsia="zh-CN"/>
                    </w:rPr>
                    <w:t>（</w:t>
                  </w:r>
                  <w:r>
                    <w:rPr>
                      <w:rFonts w:hint="default"/>
                      <w:sz w:val="21"/>
                      <w:szCs w:val="21"/>
                      <w:vertAlign w:val="baseline"/>
                    </w:rPr>
                    <w:t>湖</w:t>
                  </w:r>
                  <w:r>
                    <w:rPr>
                      <w:rFonts w:hint="eastAsia"/>
                      <w:sz w:val="21"/>
                      <w:szCs w:val="21"/>
                      <w:vertAlign w:val="baseline"/>
                      <w:lang w:eastAsia="zh-CN"/>
                    </w:rPr>
                    <w:t>）</w:t>
                  </w:r>
                  <w:r>
                    <w:rPr>
                      <w:rFonts w:hint="default"/>
                      <w:sz w:val="21"/>
                      <w:szCs w:val="21"/>
                      <w:vertAlign w:val="baseline"/>
                    </w:rPr>
                    <w:t>一策”精准施治，减少水污染物排放，持续改善水环境质量。强化园区</w:t>
                  </w:r>
                  <w:r>
                    <w:rPr>
                      <w:rFonts w:hint="eastAsia"/>
                      <w:sz w:val="21"/>
                      <w:szCs w:val="21"/>
                      <w:vertAlign w:val="baseline"/>
                      <w:lang w:eastAsia="zh-CN"/>
                    </w:rPr>
                    <w:t>（</w:t>
                  </w:r>
                  <w:r>
                    <w:rPr>
                      <w:rFonts w:hint="default"/>
                      <w:sz w:val="21"/>
                      <w:szCs w:val="21"/>
                      <w:vertAlign w:val="baseline"/>
                    </w:rPr>
                    <w:t>工业集聚区</w:t>
                  </w:r>
                  <w:r>
                    <w:rPr>
                      <w:rFonts w:hint="eastAsia"/>
                      <w:sz w:val="21"/>
                      <w:szCs w:val="21"/>
                      <w:vertAlign w:val="baseline"/>
                      <w:lang w:eastAsia="zh-CN"/>
                    </w:rPr>
                    <w:t>）</w:t>
                  </w:r>
                  <w:r>
                    <w:rPr>
                      <w:rFonts w:hint="default"/>
                      <w:sz w:val="21"/>
                      <w:szCs w:val="21"/>
                      <w:vertAlign w:val="baseline"/>
                    </w:rPr>
                    <w:t>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土壤环境风险管控。加强农用地土壤污染源头控制，科学施用化肥农药，提高农膜回收率。</w:t>
                  </w:r>
                </w:p>
              </w:tc>
              <w:tc>
                <w:tcPr>
                  <w:tcW w:w="1949" w:type="pct"/>
                  <w:vAlign w:val="center"/>
                </w:tcPr>
                <w:p w14:paraId="162A0A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sz w:val="21"/>
                      <w:szCs w:val="21"/>
                      <w:vertAlign w:val="baseline"/>
                    </w:rPr>
                  </w:pPr>
                  <w:r>
                    <w:rPr>
                      <w:rFonts w:hint="default" w:ascii="Times New Roman" w:hAnsi="Times New Roman" w:eastAsia="宋体"/>
                      <w:color w:val="000000" w:themeColor="text1"/>
                      <w:sz w:val="21"/>
                      <w14:textFill>
                        <w14:solidFill>
                          <w14:schemeClr w14:val="tx1"/>
                        </w14:solidFill>
                      </w14:textFill>
                    </w:rPr>
                    <w:t>本项目</w:t>
                  </w:r>
                  <w:r>
                    <w:rPr>
                      <w:rFonts w:hint="eastAsia" w:ascii="Times New Roman" w:hAnsi="Times New Roman" w:eastAsia="宋体"/>
                      <w:color w:val="000000" w:themeColor="text1"/>
                      <w:sz w:val="21"/>
                      <w:lang w:val="en-US" w:eastAsia="zh-CN"/>
                      <w14:textFill>
                        <w14:solidFill>
                          <w14:schemeClr w14:val="tx1"/>
                        </w14:solidFill>
                      </w14:textFill>
                    </w:rPr>
                    <w:t>属于</w:t>
                  </w:r>
                  <w:r>
                    <w:rPr>
                      <w:rFonts w:hint="eastAsia" w:ascii="Times New Roman" w:hAnsi="Times New Roman" w:eastAsia="宋体"/>
                      <w:color w:val="000000" w:themeColor="text1"/>
                      <w:sz w:val="21"/>
                      <w14:textFill>
                        <w14:solidFill>
                          <w14:schemeClr w14:val="tx1"/>
                        </w14:solidFill>
                      </w14:textFill>
                    </w:rPr>
                    <w:t>矿产开采</w:t>
                  </w:r>
                  <w:r>
                    <w:rPr>
                      <w:rFonts w:hint="eastAsia"/>
                      <w:color w:val="000000" w:themeColor="text1"/>
                      <w:sz w:val="21"/>
                      <w:lang w:val="en-US" w:eastAsia="zh-CN"/>
                      <w14:textFill>
                        <w14:solidFill>
                          <w14:schemeClr w14:val="tx1"/>
                        </w14:solidFill>
                      </w14:textFill>
                    </w:rPr>
                    <w:t>项目</w:t>
                  </w:r>
                  <w:r>
                    <w:rPr>
                      <w:rFonts w:hint="eastAsia" w:ascii="Times New Roman" w:hAnsi="Times New Roman" w:eastAsia="宋体"/>
                      <w:color w:val="000000" w:themeColor="text1"/>
                      <w:sz w:val="21"/>
                      <w:lang w:eastAsia="zh-CN"/>
                      <w14:textFill>
                        <w14:solidFill>
                          <w14:schemeClr w14:val="tx1"/>
                        </w14:solidFill>
                      </w14:textFill>
                    </w:rPr>
                    <w:t>，</w:t>
                  </w:r>
                  <w:r>
                    <w:rPr>
                      <w:rFonts w:hint="default" w:ascii="Times New Roman" w:hAnsi="Times New Roman" w:eastAsia="宋体"/>
                      <w:color w:val="000000" w:themeColor="text1"/>
                      <w:sz w:val="21"/>
                      <w14:textFill>
                        <w14:solidFill>
                          <w14:schemeClr w14:val="tx1"/>
                        </w14:solidFill>
                      </w14:textFill>
                    </w:rPr>
                    <w:t>开采环节采取</w:t>
                  </w:r>
                  <w:r>
                    <w:rPr>
                      <w:rFonts w:hint="eastAsia" w:ascii="Times New Roman"/>
                      <w:color w:val="000000" w:themeColor="text1"/>
                      <w:sz w:val="21"/>
                      <w:lang w:val="en-US" w:eastAsia="zh-CN"/>
                      <w14:textFill>
                        <w14:solidFill>
                          <w14:schemeClr w14:val="tx1"/>
                        </w14:solidFill>
                      </w14:textFill>
                    </w:rPr>
                    <w:t>洒水降尘措施</w:t>
                  </w:r>
                  <w:r>
                    <w:rPr>
                      <w:rFonts w:hint="eastAsia" w:ascii="Times New Roman"/>
                      <w:color w:val="000000" w:themeColor="text1"/>
                      <w:sz w:val="21"/>
                      <w:lang w:eastAsia="zh-CN"/>
                      <w14:textFill>
                        <w14:solidFill>
                          <w14:schemeClr w14:val="tx1"/>
                        </w14:solidFill>
                      </w14:textFill>
                    </w:rPr>
                    <w:t>；</w:t>
                  </w:r>
                  <w:r>
                    <w:rPr>
                      <w:rFonts w:hint="default" w:ascii="Times New Roman" w:hAnsi="Times New Roman" w:eastAsia="宋体"/>
                      <w:color w:val="000000" w:themeColor="text1"/>
                      <w:sz w:val="21"/>
                      <w14:textFill>
                        <w14:solidFill>
                          <w14:schemeClr w14:val="tx1"/>
                        </w14:solidFill>
                      </w14:textFill>
                    </w:rPr>
                    <w:t>矿石转运</w:t>
                  </w:r>
                  <w:r>
                    <w:rPr>
                      <w:rFonts w:hint="eastAsia" w:ascii="Times New Roman"/>
                      <w:color w:val="000000" w:themeColor="text1"/>
                      <w:sz w:val="21"/>
                      <w:lang w:val="en-US" w:eastAsia="zh-CN"/>
                      <w14:textFill>
                        <w14:solidFill>
                          <w14:schemeClr w14:val="tx1"/>
                        </w14:solidFill>
                      </w14:textFill>
                    </w:rPr>
                    <w:t>采取控制车速、车辆加盖篷布及洒水抑尘等措施；临时堆料场</w:t>
                  </w:r>
                  <w:r>
                    <w:rPr>
                      <w:rFonts w:hint="eastAsia"/>
                      <w:color w:val="000000" w:themeColor="text1"/>
                      <w:sz w:val="21"/>
                      <w:lang w:val="en-US" w:eastAsia="zh-CN"/>
                      <w14:textFill>
                        <w14:solidFill>
                          <w14:schemeClr w14:val="tx1"/>
                        </w14:solidFill>
                      </w14:textFill>
                    </w:rPr>
                    <w:t>、</w:t>
                  </w:r>
                  <w:r>
                    <w:rPr>
                      <w:rFonts w:hint="eastAsia" w:ascii="Times New Roman"/>
                      <w:color w:val="000000" w:themeColor="text1"/>
                      <w:sz w:val="21"/>
                      <w:lang w:val="en-US" w:eastAsia="zh-CN"/>
                      <w14:textFill>
                        <w14:solidFill>
                          <w14:schemeClr w14:val="tx1"/>
                        </w14:solidFill>
                      </w14:textFill>
                    </w:rPr>
                    <w:t>排土</w:t>
                  </w:r>
                  <w:r>
                    <w:rPr>
                      <w:rFonts w:hint="default" w:ascii="Times New Roman" w:hAnsi="Times New Roman" w:eastAsia="宋体"/>
                      <w:color w:val="000000" w:themeColor="text1"/>
                      <w:sz w:val="21"/>
                      <w14:textFill>
                        <w14:solidFill>
                          <w14:schemeClr w14:val="tx1"/>
                        </w14:solidFill>
                      </w14:textFill>
                    </w:rPr>
                    <w:t>场</w:t>
                  </w:r>
                  <w:r>
                    <w:rPr>
                      <w:rFonts w:hint="eastAsia"/>
                      <w:color w:val="000000" w:themeColor="text1"/>
                      <w:sz w:val="21"/>
                      <w:lang w:val="en-US" w:eastAsia="zh-CN"/>
                      <w14:textFill>
                        <w14:solidFill>
                          <w14:schemeClr w14:val="tx1"/>
                        </w14:solidFill>
                      </w14:textFill>
                    </w:rPr>
                    <w:t>采取防尘抑尘网（墙）加洒水抑尘</w:t>
                  </w:r>
                  <w:r>
                    <w:rPr>
                      <w:rFonts w:hint="default" w:ascii="Times New Roman" w:hAnsi="Times New Roman" w:eastAsia="宋体"/>
                      <w:color w:val="000000" w:themeColor="text1"/>
                      <w:sz w:val="21"/>
                      <w14:textFill>
                        <w14:solidFill>
                          <w14:schemeClr w14:val="tx1"/>
                        </w14:solidFill>
                      </w14:textFill>
                    </w:rPr>
                    <w:t>措施</w:t>
                  </w:r>
                  <w:r>
                    <w:rPr>
                      <w:rFonts w:hint="eastAsia" w:ascii="Times New Roman"/>
                      <w:color w:val="000000" w:themeColor="text1"/>
                      <w:sz w:val="21"/>
                      <w:lang w:eastAsia="zh-CN"/>
                      <w14:textFill>
                        <w14:solidFill>
                          <w14:schemeClr w14:val="tx1"/>
                        </w14:solidFill>
                      </w14:textFill>
                    </w:rPr>
                    <w:t>；</w:t>
                  </w:r>
                  <w:r>
                    <w:rPr>
                      <w:rFonts w:hint="eastAsia" w:ascii="Times New Roman" w:hAnsi="Times New Roman" w:eastAsia="宋体"/>
                      <w:color w:val="000000" w:themeColor="text1"/>
                      <w:sz w:val="21"/>
                      <w:lang w:val="en-US" w:eastAsia="zh-CN"/>
                      <w14:textFill>
                        <w14:solidFill>
                          <w14:schemeClr w14:val="tx1"/>
                        </w14:solidFill>
                      </w14:textFill>
                    </w:rPr>
                    <w:t>破碎筛分工</w:t>
                  </w:r>
                  <w:r>
                    <w:rPr>
                      <w:rFonts w:hint="eastAsia"/>
                      <w:color w:val="000000" w:themeColor="text1"/>
                      <w:sz w:val="21"/>
                      <w:lang w:val="en-US" w:eastAsia="zh-CN"/>
                      <w14:textFill>
                        <w14:solidFill>
                          <w14:schemeClr w14:val="tx1"/>
                        </w14:solidFill>
                      </w14:textFill>
                    </w:rPr>
                    <w:t>序在</w:t>
                  </w:r>
                  <w:r>
                    <w:rPr>
                      <w:rFonts w:hint="eastAsia" w:ascii="Times New Roman"/>
                      <w:color w:val="000000" w:themeColor="text1"/>
                      <w:sz w:val="21"/>
                      <w:lang w:val="en-US" w:eastAsia="zh-CN"/>
                      <w14:textFill>
                        <w14:solidFill>
                          <w14:schemeClr w14:val="tx1"/>
                        </w14:solidFill>
                      </w14:textFill>
                    </w:rPr>
                    <w:t>设备间内进行，</w:t>
                  </w:r>
                  <w:r>
                    <w:rPr>
                      <w:rFonts w:hint="eastAsia" w:ascii="Times New Roman" w:hAnsi="Times New Roman" w:eastAsia="宋体"/>
                      <w:color w:val="000000" w:themeColor="text1"/>
                      <w:sz w:val="21"/>
                      <w:lang w:val="en-US" w:eastAsia="zh-CN"/>
                      <w14:textFill>
                        <w14:solidFill>
                          <w14:schemeClr w14:val="tx1"/>
                        </w14:solidFill>
                      </w14:textFill>
                    </w:rPr>
                    <w:t>废气使用布袋除尘器处理后经15m高排气筒</w:t>
                  </w:r>
                  <w:r>
                    <w:rPr>
                      <w:rFonts w:hint="eastAsia" w:ascii="Times New Roman"/>
                      <w:color w:val="000000" w:themeColor="text1"/>
                      <w:sz w:val="21"/>
                      <w:lang w:val="en-US" w:eastAsia="zh-CN"/>
                      <w14:textFill>
                        <w14:solidFill>
                          <w14:schemeClr w14:val="tx1"/>
                        </w14:solidFill>
                      </w14:textFill>
                    </w:rPr>
                    <w:t>（DA001）</w:t>
                  </w:r>
                  <w:r>
                    <w:rPr>
                      <w:rFonts w:hint="eastAsia" w:ascii="Times New Roman" w:hAnsi="Times New Roman" w:eastAsia="宋体"/>
                      <w:color w:val="000000" w:themeColor="text1"/>
                      <w:sz w:val="21"/>
                      <w:lang w:val="en-US" w:eastAsia="zh-CN"/>
                      <w14:textFill>
                        <w14:solidFill>
                          <w14:schemeClr w14:val="tx1"/>
                        </w14:solidFill>
                      </w14:textFill>
                    </w:rPr>
                    <w:t>排放，</w:t>
                  </w:r>
                  <w:r>
                    <w:rPr>
                      <w:rFonts w:hint="eastAsia" w:ascii="Times New Roman" w:hAnsi="Times New Roman" w:eastAsia="宋体"/>
                      <w:color w:val="000000" w:themeColor="text1"/>
                      <w:sz w:val="21"/>
                      <w14:textFill>
                        <w14:solidFill>
                          <w14:schemeClr w14:val="tx1"/>
                        </w14:solidFill>
                      </w14:textFill>
                    </w:rPr>
                    <w:t>运营期颗粒物</w:t>
                  </w:r>
                  <w:r>
                    <w:rPr>
                      <w:rFonts w:hint="default" w:ascii="Times New Roman" w:hAnsi="Times New Roman" w:eastAsia="宋体"/>
                      <w:color w:val="000000" w:themeColor="text1"/>
                      <w:sz w:val="21"/>
                      <w14:textFill>
                        <w14:solidFill>
                          <w14:schemeClr w14:val="tx1"/>
                        </w14:solidFill>
                      </w14:textFill>
                    </w:rPr>
                    <w:t>执行</w:t>
                  </w:r>
                  <w:r>
                    <w:rPr>
                      <w:rFonts w:hint="eastAsia" w:ascii="Times New Roman"/>
                      <w:color w:val="000000" w:themeColor="text1"/>
                      <w:sz w:val="21"/>
                      <w:lang w:eastAsia="zh-CN"/>
                      <w14:textFill>
                        <w14:solidFill>
                          <w14:schemeClr w14:val="tx1"/>
                        </w14:solidFill>
                      </w14:textFill>
                    </w:rPr>
                    <w:t>《水泥工业大气污染物排放标准》（GB4951-2013）</w:t>
                  </w:r>
                  <w:r>
                    <w:rPr>
                      <w:rFonts w:hint="default" w:ascii="Times New Roman" w:hAnsi="Times New Roman" w:eastAsia="宋体"/>
                      <w:color w:val="000000" w:themeColor="text1"/>
                      <w:sz w:val="21"/>
                      <w14:textFill>
                        <w14:solidFill>
                          <w14:schemeClr w14:val="tx1"/>
                        </w14:solidFill>
                      </w14:textFill>
                    </w:rPr>
                    <w:t>中颗粒物排放浓度限值</w:t>
                  </w:r>
                  <w:r>
                    <w:rPr>
                      <w:rFonts w:hint="eastAsia"/>
                      <w:color w:val="000000" w:themeColor="text1"/>
                      <w:sz w:val="21"/>
                      <w:lang w:eastAsia="zh-CN"/>
                      <w14:textFill>
                        <w14:solidFill>
                          <w14:schemeClr w14:val="tx1"/>
                        </w14:solidFill>
                      </w14:textFill>
                    </w:rPr>
                    <w:t>；</w:t>
                  </w:r>
                  <w:r>
                    <w:rPr>
                      <w:rFonts w:hint="eastAsia" w:ascii="Times New Roman" w:hAnsi="Times New Roman" w:eastAsia="宋体"/>
                      <w:color w:val="000000" w:themeColor="text1"/>
                      <w:szCs w:val="21"/>
                      <w:lang w:val="en-US" w:eastAsia="zh-CN"/>
                      <w14:textFill>
                        <w14:solidFill>
                          <w14:schemeClr w14:val="tx1"/>
                        </w14:solidFill>
                      </w14:textFill>
                    </w:rPr>
                    <w:t>生产用</w:t>
                  </w:r>
                  <w:r>
                    <w:rPr>
                      <w:rFonts w:hint="eastAsia" w:ascii="Times New Roman" w:hAnsi="Times New Roman" w:eastAsia="宋体"/>
                      <w:color w:val="000000" w:themeColor="text1"/>
                      <w:szCs w:val="21"/>
                      <w14:textFill>
                        <w14:solidFill>
                          <w14:schemeClr w14:val="tx1"/>
                        </w14:solidFill>
                      </w14:textFill>
                    </w:rPr>
                    <w:t>水主要是</w:t>
                  </w:r>
                  <w:r>
                    <w:rPr>
                      <w:rFonts w:hint="eastAsia"/>
                      <w:color w:val="000000" w:themeColor="text1"/>
                      <w:szCs w:val="21"/>
                      <w:lang w:val="en-US" w:eastAsia="zh-CN"/>
                      <w14:textFill>
                        <w14:solidFill>
                          <w14:schemeClr w14:val="tx1"/>
                        </w14:solidFill>
                      </w14:textFill>
                    </w:rPr>
                    <w:t>开采过程、</w:t>
                  </w:r>
                  <w:r>
                    <w:rPr>
                      <w:rFonts w:hint="eastAsia" w:ascii="Times New Roman" w:hAnsi="Times New Roman" w:eastAsia="宋体"/>
                      <w:color w:val="000000" w:themeColor="text1"/>
                      <w:szCs w:val="21"/>
                      <w14:textFill>
                        <w14:solidFill>
                          <w14:schemeClr w14:val="tx1"/>
                        </w14:solidFill>
                      </w14:textFill>
                    </w:rPr>
                    <w:t>矿石堆及</w:t>
                  </w:r>
                  <w:r>
                    <w:rPr>
                      <w:rFonts w:hint="eastAsia"/>
                      <w:color w:val="000000" w:themeColor="text1"/>
                      <w:szCs w:val="21"/>
                      <w:lang w:val="en-US" w:eastAsia="zh-CN"/>
                      <w14:textFill>
                        <w14:solidFill>
                          <w14:schemeClr w14:val="tx1"/>
                        </w14:solidFill>
                      </w14:textFill>
                    </w:rPr>
                    <w:t>转运过程中</w:t>
                  </w:r>
                  <w:r>
                    <w:rPr>
                      <w:rFonts w:hint="eastAsia" w:ascii="Times New Roman" w:hAnsi="Times New Roman" w:eastAsia="宋体"/>
                      <w:color w:val="000000" w:themeColor="text1"/>
                      <w:szCs w:val="21"/>
                      <w14:textFill>
                        <w14:solidFill>
                          <w14:schemeClr w14:val="tx1"/>
                        </w14:solidFill>
                      </w14:textFill>
                    </w:rPr>
                    <w:t>喷洒</w:t>
                  </w:r>
                  <w:r>
                    <w:rPr>
                      <w:rFonts w:hint="eastAsia"/>
                      <w:color w:val="000000" w:themeColor="text1"/>
                      <w:szCs w:val="21"/>
                      <w:lang w:val="en-US" w:eastAsia="zh-CN"/>
                      <w14:textFill>
                        <w14:solidFill>
                          <w14:schemeClr w14:val="tx1"/>
                        </w14:solidFill>
                      </w14:textFill>
                    </w:rPr>
                    <w:t>降尘</w:t>
                  </w:r>
                  <w:r>
                    <w:rPr>
                      <w:rFonts w:hint="eastAsia" w:ascii="Times New Roman" w:hAnsi="Times New Roman" w:eastAsia="宋体"/>
                      <w:color w:val="000000" w:themeColor="text1"/>
                      <w:szCs w:val="21"/>
                      <w14:textFill>
                        <w14:solidFill>
                          <w14:schemeClr w14:val="tx1"/>
                        </w14:solidFill>
                      </w14:textFill>
                    </w:rPr>
                    <w:t>用水</w:t>
                  </w:r>
                  <w:r>
                    <w:rPr>
                      <w:rFonts w:hint="eastAsia" w:ascii="Times New Roman" w:hAnsi="Times New Roman" w:eastAsia="宋体"/>
                      <w:color w:val="000000" w:themeColor="text1"/>
                      <w:szCs w:val="21"/>
                      <w:lang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抑尘后完全蒸发</w:t>
                  </w:r>
                  <w:r>
                    <w:rPr>
                      <w:rFonts w:hint="eastAsia" w:ascii="Times New Roman" w:hAnsi="Times New Roman" w:eastAsia="宋体"/>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无生产废水产生</w:t>
                  </w:r>
                  <w:r>
                    <w:rPr>
                      <w:rFonts w:hint="eastAsia"/>
                      <w:color w:val="000000" w:themeColor="text1"/>
                      <w:lang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生活污水</w:t>
                  </w:r>
                  <w:r>
                    <w:rPr>
                      <w:rFonts w:hint="eastAsia" w:ascii="Times New Roman" w:hAnsi="Times New Roman" w:eastAsia="宋体"/>
                      <w:color w:val="000000" w:themeColor="text1"/>
                      <w:szCs w:val="21"/>
                      <w:lang w:val="en-US" w:eastAsia="zh-CN"/>
                      <w14:textFill>
                        <w14:solidFill>
                          <w14:schemeClr w14:val="tx1"/>
                        </w14:solidFill>
                      </w14:textFill>
                    </w:rPr>
                    <w:t>排入防渗化粪池预处理后定期拉运处理</w:t>
                  </w:r>
                  <w:r>
                    <w:rPr>
                      <w:rFonts w:hint="eastAsia"/>
                      <w:color w:val="000000" w:themeColor="text1"/>
                      <w:szCs w:val="21"/>
                      <w:lang w:val="en-US" w:eastAsia="zh-CN"/>
                      <w14:textFill>
                        <w14:solidFill>
                          <w14:schemeClr w14:val="tx1"/>
                        </w14:solidFill>
                      </w14:textFill>
                    </w:rPr>
                    <w:t>；</w:t>
                  </w:r>
                  <w:r>
                    <w:rPr>
                      <w:rFonts w:hint="eastAsia" w:ascii="Times New Roman"/>
                      <w:color w:val="000000" w:themeColor="text1"/>
                      <w:sz w:val="21"/>
                      <w:lang w:val="en-US" w:eastAsia="zh-CN"/>
                      <w14:textFill>
                        <w14:solidFill>
                          <w14:schemeClr w14:val="tx1"/>
                        </w14:solidFill>
                      </w14:textFill>
                    </w:rPr>
                    <w:t>经源强核算，污染物均可达标排放。</w:t>
                  </w:r>
                </w:p>
              </w:tc>
              <w:tc>
                <w:tcPr>
                  <w:tcW w:w="234" w:type="pct"/>
                  <w:vAlign w:val="center"/>
                </w:tcPr>
                <w:p w14:paraId="5EE99D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4A3F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7" w:type="pct"/>
                  <w:vMerge w:val="continue"/>
                  <w:vAlign w:val="center"/>
                </w:tcPr>
                <w:p w14:paraId="1E20ED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p>
              </w:tc>
              <w:tc>
                <w:tcPr>
                  <w:tcW w:w="1948" w:type="pct"/>
                  <w:vAlign w:val="center"/>
                </w:tcPr>
                <w:p w14:paraId="43D275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default"/>
                      <w:sz w:val="21"/>
                      <w:szCs w:val="21"/>
                      <w:vertAlign w:val="baseline"/>
                    </w:rPr>
                    <w:t>环境风险防控。禁止在化工园区外新建、扩建危险化学品生产项目。严格落实危险废物处置相关要求。加强重点流域水环境风险管控，保障水环境安全。</w:t>
                  </w:r>
                </w:p>
              </w:tc>
              <w:tc>
                <w:tcPr>
                  <w:tcW w:w="1949" w:type="pct"/>
                  <w:vAlign w:val="center"/>
                </w:tcPr>
                <w:p w14:paraId="02B797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本项目不属于</w:t>
                  </w:r>
                  <w:r>
                    <w:rPr>
                      <w:rFonts w:hint="default"/>
                      <w:sz w:val="21"/>
                      <w:szCs w:val="21"/>
                      <w:vertAlign w:val="baseline"/>
                    </w:rPr>
                    <w:t>危险化学品生产项目</w:t>
                  </w:r>
                  <w:r>
                    <w:rPr>
                      <w:rFonts w:hint="eastAsia"/>
                      <w:sz w:val="21"/>
                      <w:szCs w:val="21"/>
                      <w:vertAlign w:val="baseline"/>
                      <w:lang w:eastAsia="zh-CN"/>
                    </w:rPr>
                    <w:t>，</w:t>
                  </w:r>
                  <w:r>
                    <w:rPr>
                      <w:rFonts w:hint="default"/>
                      <w:sz w:val="21"/>
                      <w:szCs w:val="21"/>
                      <w:vertAlign w:val="baseline"/>
                    </w:rPr>
                    <w:t>危险废物</w:t>
                  </w:r>
                  <w:r>
                    <w:rPr>
                      <w:rFonts w:hint="eastAsia"/>
                      <w:sz w:val="21"/>
                      <w:szCs w:val="21"/>
                      <w:vertAlign w:val="baseline"/>
                      <w:lang w:val="en-US" w:eastAsia="zh-CN"/>
                    </w:rPr>
                    <w:t>暂存于危废间，后交由</w:t>
                  </w:r>
                  <w:r>
                    <w:rPr>
                      <w:rFonts w:hint="eastAsia" w:ascii="Times New Roman" w:hAnsi="Times New Roman" w:eastAsia="宋体"/>
                      <w:szCs w:val="21"/>
                      <w:lang w:val="en-US" w:eastAsia="zh-CN"/>
                    </w:rPr>
                    <w:t>有资质单位处理</w:t>
                  </w:r>
                  <w:r>
                    <w:rPr>
                      <w:rFonts w:hint="eastAsia"/>
                      <w:szCs w:val="21"/>
                      <w:lang w:val="en-US" w:eastAsia="zh-CN"/>
                    </w:rPr>
                    <w:t>；不属于</w:t>
                  </w:r>
                  <w:r>
                    <w:rPr>
                      <w:rFonts w:hint="default"/>
                      <w:sz w:val="21"/>
                      <w:szCs w:val="21"/>
                      <w:vertAlign w:val="baseline"/>
                    </w:rPr>
                    <w:t>重点流域</w:t>
                  </w:r>
                  <w:r>
                    <w:rPr>
                      <w:rFonts w:hint="eastAsia"/>
                      <w:sz w:val="21"/>
                      <w:szCs w:val="21"/>
                      <w:vertAlign w:val="baseline"/>
                      <w:lang w:eastAsia="zh-CN"/>
                    </w:rPr>
                    <w:t>。</w:t>
                  </w:r>
                </w:p>
              </w:tc>
              <w:tc>
                <w:tcPr>
                  <w:tcW w:w="234" w:type="pct"/>
                  <w:vAlign w:val="center"/>
                </w:tcPr>
                <w:p w14:paraId="4F4A43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2E76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7" w:type="pct"/>
                  <w:vMerge w:val="continue"/>
                  <w:vAlign w:val="center"/>
                </w:tcPr>
                <w:p w14:paraId="7A6C45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p>
              </w:tc>
              <w:tc>
                <w:tcPr>
                  <w:tcW w:w="1948" w:type="pct"/>
                  <w:vAlign w:val="center"/>
                </w:tcPr>
                <w:p w14:paraId="50F2D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default"/>
                      <w:sz w:val="21"/>
                      <w:szCs w:val="21"/>
                      <w:vertAlign w:val="baseline"/>
                    </w:rPr>
                    <w:t>资源利用效率要求。优化能源结构，控制煤炭等化石能源使用量，鼓励使用清洁能源，协同推进减污降碳。全面实施节水工程，合理开发利用水资源，提升水资源利用效率，保障生态用水，严防地下水超采。</w:t>
                  </w:r>
                </w:p>
              </w:tc>
              <w:tc>
                <w:tcPr>
                  <w:tcW w:w="1949" w:type="pct"/>
                  <w:vAlign w:val="center"/>
                </w:tcPr>
                <w:p w14:paraId="52C906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sz w:val="21"/>
                      <w:szCs w:val="21"/>
                      <w:vertAlign w:val="baseline"/>
                    </w:rPr>
                  </w:pPr>
                  <w:r>
                    <w:rPr>
                      <w:rFonts w:hint="default" w:ascii="Times New Roman" w:hAnsi="Times New Roman" w:eastAsia="宋体"/>
                      <w:sz w:val="21"/>
                      <w:szCs w:val="20"/>
                    </w:rPr>
                    <w:t>本项目为新建项目，根据《产业结构调整指导目录（2024本）》，项目不属于鼓励类、限制类及淘汰类，采用的生产工艺、设备、产品均不属于《产业结构调整指导目录（2024本）》中所列的落后工艺、装备和产品之列</w:t>
                  </w:r>
                  <w:r>
                    <w:rPr>
                      <w:rFonts w:hint="eastAsia" w:ascii="Times New Roman" w:hAnsi="Times New Roman" w:eastAsia="宋体"/>
                      <w:sz w:val="21"/>
                      <w:szCs w:val="20"/>
                      <w:lang w:eastAsia="zh-CN"/>
                    </w:rPr>
                    <w:t>；</w:t>
                  </w:r>
                  <w:r>
                    <w:rPr>
                      <w:rFonts w:hint="default" w:ascii="Times New Roman" w:hAnsi="Times New Roman" w:eastAsia="宋体"/>
                      <w:sz w:val="21"/>
                      <w:szCs w:val="20"/>
                      <w:lang w:val="en-US" w:eastAsia="zh-CN"/>
                    </w:rPr>
                    <w:t>排土场内的废土、废石</w:t>
                  </w:r>
                  <w:r>
                    <w:rPr>
                      <w:rFonts w:hint="eastAsia"/>
                      <w:lang w:val="en-US" w:eastAsia="zh-CN"/>
                    </w:rPr>
                    <w:t>用于</w:t>
                  </w:r>
                  <w:r>
                    <w:rPr>
                      <w:rFonts w:hint="default" w:ascii="Times New Roman" w:hAnsi="Times New Roman" w:eastAsia="宋体"/>
                      <w:sz w:val="21"/>
                      <w:szCs w:val="20"/>
                    </w:rPr>
                    <w:t>对</w:t>
                  </w:r>
                  <w:r>
                    <w:rPr>
                      <w:rFonts w:hint="default" w:ascii="Times New Roman" w:hAnsi="Times New Roman" w:eastAsia="宋体"/>
                      <w:sz w:val="21"/>
                      <w:szCs w:val="20"/>
                      <w:lang w:val="en-US" w:eastAsia="zh-CN"/>
                    </w:rPr>
                    <w:t>开采过程中产生的采坑进行回填平整</w:t>
                  </w:r>
                  <w:r>
                    <w:rPr>
                      <w:rFonts w:hint="default" w:ascii="Times New Roman" w:hAnsi="Times New Roman" w:eastAsia="宋体"/>
                      <w:sz w:val="21"/>
                      <w:szCs w:val="20"/>
                      <w:lang w:eastAsia="zh-CN"/>
                    </w:rPr>
                    <w:t>，回采率为95%，</w:t>
                  </w:r>
                  <w:r>
                    <w:rPr>
                      <w:rFonts w:hint="default" w:ascii="Times New Roman" w:hAnsi="Times New Roman" w:eastAsia="宋体"/>
                      <w:sz w:val="21"/>
                      <w:szCs w:val="20"/>
                    </w:rPr>
                    <w:t>资源能源利用效率</w:t>
                  </w:r>
                  <w:r>
                    <w:rPr>
                      <w:rFonts w:hint="default" w:ascii="Times New Roman" w:hAnsi="Times New Roman" w:eastAsia="宋体"/>
                      <w:sz w:val="21"/>
                      <w:szCs w:val="20"/>
                      <w:lang w:val="en-US" w:eastAsia="zh-CN"/>
                    </w:rPr>
                    <w:t>高</w:t>
                  </w:r>
                  <w:r>
                    <w:rPr>
                      <w:rFonts w:hint="default" w:ascii="Times New Roman" w:hAnsi="Times New Roman" w:eastAsia="宋体"/>
                      <w:sz w:val="21"/>
                      <w:szCs w:val="20"/>
                    </w:rPr>
                    <w:t>，开采过程中</w:t>
                  </w:r>
                  <w:r>
                    <w:rPr>
                      <w:rFonts w:hint="default" w:ascii="Times New Roman" w:hAnsi="Times New Roman" w:eastAsia="宋体"/>
                      <w:sz w:val="21"/>
                      <w:szCs w:val="20"/>
                      <w:lang w:val="en-US" w:eastAsia="zh-CN"/>
                    </w:rPr>
                    <w:t>对</w:t>
                  </w:r>
                  <w:r>
                    <w:rPr>
                      <w:rFonts w:hint="default" w:ascii="Times New Roman" w:hAnsi="Times New Roman" w:eastAsia="宋体"/>
                      <w:sz w:val="21"/>
                      <w:szCs w:val="20"/>
                    </w:rPr>
                    <w:t>水、电</w:t>
                  </w:r>
                  <w:r>
                    <w:rPr>
                      <w:rFonts w:hint="default" w:ascii="Times New Roman" w:hAnsi="Times New Roman" w:eastAsia="宋体"/>
                      <w:sz w:val="21"/>
                      <w:szCs w:val="20"/>
                      <w:lang w:val="en-US" w:eastAsia="zh-CN"/>
                    </w:rPr>
                    <w:t>进行合理利用</w:t>
                  </w:r>
                  <w:r>
                    <w:rPr>
                      <w:rFonts w:hint="eastAsia"/>
                      <w:sz w:val="21"/>
                      <w:szCs w:val="20"/>
                      <w:lang w:val="en-US" w:eastAsia="zh-CN"/>
                    </w:rPr>
                    <w:t>，不开采</w:t>
                  </w:r>
                  <w:r>
                    <w:rPr>
                      <w:rFonts w:hint="default"/>
                      <w:sz w:val="21"/>
                      <w:szCs w:val="21"/>
                      <w:vertAlign w:val="baseline"/>
                    </w:rPr>
                    <w:t>地下水</w:t>
                  </w:r>
                  <w:r>
                    <w:rPr>
                      <w:rFonts w:hint="default" w:ascii="Times New Roman" w:hAnsi="Times New Roman" w:eastAsia="宋体"/>
                      <w:sz w:val="21"/>
                      <w:szCs w:val="20"/>
                    </w:rPr>
                    <w:t>。</w:t>
                  </w:r>
                </w:p>
              </w:tc>
              <w:tc>
                <w:tcPr>
                  <w:tcW w:w="234" w:type="pct"/>
                  <w:vAlign w:val="center"/>
                </w:tcPr>
                <w:p w14:paraId="08FC1F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符合</w:t>
                  </w:r>
                </w:p>
              </w:tc>
            </w:tr>
            <w:tr w14:paraId="4BAF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7" w:type="pct"/>
                  <w:shd w:val="clear" w:color="auto" w:fill="auto"/>
                  <w:vAlign w:val="center"/>
                </w:tcPr>
                <w:p w14:paraId="00B268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天山南坡片区管控要求</w:t>
                  </w:r>
                </w:p>
              </w:tc>
              <w:tc>
                <w:tcPr>
                  <w:tcW w:w="1948" w:type="pct"/>
                  <w:shd w:val="clear" w:color="auto" w:fill="auto"/>
                  <w:vAlign w:val="center"/>
                </w:tcPr>
                <w:p w14:paraId="281F2F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default"/>
                      <w:sz w:val="21"/>
                      <w:szCs w:val="21"/>
                      <w:vertAlign w:val="baseline"/>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p w14:paraId="3EF766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default"/>
                      <w:sz w:val="21"/>
                      <w:szCs w:val="21"/>
                      <w:vertAlign w:val="baseline"/>
                    </w:rPr>
                    <w:t>重点做好塔里木盆地北缘荒漠化防治。加强荒漠植被及河岸荒漠林保护，规范油气勘探开发作业，建立油田和公路扰动区域工程与生物相结合的防风固沙体系，逐步形成生态屏障。</w:t>
                  </w:r>
                </w:p>
                <w:p w14:paraId="5FE2AB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default"/>
                      <w:sz w:val="21"/>
                      <w:szCs w:val="21"/>
                      <w:vertAlign w:val="baseline"/>
                    </w:rPr>
                    <w:t>推进塔里木河流域用水结构调整，维护塔里木河、博斯腾湖基本生态用水。</w:t>
                  </w:r>
                </w:p>
                <w:p w14:paraId="3710FE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rPr>
                  </w:pPr>
                  <w:r>
                    <w:rPr>
                      <w:rFonts w:hint="default"/>
                      <w:sz w:val="21"/>
                      <w:szCs w:val="21"/>
                      <w:vertAlign w:val="baseline"/>
                    </w:rPr>
                    <w:t>加强塔里木河流域水环境风险管控。加大博斯腾湖污染源头达标排放治理和监督力度，实施博斯腾湖综合治理。</w:t>
                  </w:r>
                </w:p>
                <w:p w14:paraId="505B3C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sz w:val="21"/>
                      <w:szCs w:val="21"/>
                      <w:vertAlign w:val="baseline"/>
                      <w:lang w:val="en-US" w:eastAsia="zh-CN"/>
                    </w:rPr>
                  </w:pPr>
                  <w:r>
                    <w:rPr>
                      <w:rFonts w:hint="default"/>
                      <w:sz w:val="21"/>
                      <w:szCs w:val="21"/>
                      <w:vertAlign w:val="baseline"/>
                    </w:rPr>
                    <w:t>加强油（气）资源开发区土壤环境污染综合整治。强化涉重金属行业污染防控与工业废物处理处置。</w:t>
                  </w:r>
                </w:p>
              </w:tc>
              <w:tc>
                <w:tcPr>
                  <w:tcW w:w="1949" w:type="pct"/>
                  <w:shd w:val="clear" w:color="auto" w:fill="auto"/>
                  <w:vAlign w:val="center"/>
                </w:tcPr>
                <w:p w14:paraId="4B154E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eastAsia="宋体"/>
                      <w:color w:val="FF0000"/>
                      <w:lang w:val="en-US" w:eastAsia="zh-CN"/>
                    </w:rPr>
                  </w:pPr>
                  <w:r>
                    <w:rPr>
                      <w:rFonts w:hint="eastAsia"/>
                      <w:sz w:val="21"/>
                      <w:szCs w:val="21"/>
                      <w:vertAlign w:val="baseline"/>
                      <w:lang w:val="en-US" w:eastAsia="zh-CN"/>
                    </w:rPr>
                    <w:t>本项目位于新疆维吾尔自治区巴音郭楞蒙古自治州和静县城北西352°方位、直距约19.1km处，属于天山南坡片区。项目区不涉及生物多样性保护生态功能区、</w:t>
                  </w:r>
                  <w:r>
                    <w:rPr>
                      <w:rFonts w:hint="default"/>
                      <w:sz w:val="21"/>
                      <w:szCs w:val="21"/>
                      <w:vertAlign w:val="baseline"/>
                    </w:rPr>
                    <w:t>天然草地</w:t>
                  </w:r>
                  <w:r>
                    <w:rPr>
                      <w:rFonts w:hint="eastAsia"/>
                      <w:sz w:val="21"/>
                      <w:szCs w:val="21"/>
                      <w:vertAlign w:val="baseline"/>
                      <w:lang w:eastAsia="zh-CN"/>
                    </w:rPr>
                    <w:t>；</w:t>
                  </w:r>
                  <w:r>
                    <w:rPr>
                      <w:rFonts w:hint="eastAsia" w:ascii="Times New Roman" w:hAnsi="Times New Roman" w:eastAsia="宋体"/>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区</w:t>
                  </w:r>
                  <w:r>
                    <w:rPr>
                      <w:rFonts w:hint="eastAsia" w:ascii="Times New Roman" w:hAnsi="Times New Roman" w:eastAsia="宋体"/>
                      <w:color w:val="000000" w:themeColor="text1"/>
                      <w14:textFill>
                        <w14:solidFill>
                          <w14:schemeClr w14:val="tx1"/>
                        </w14:solidFill>
                      </w14:textFill>
                    </w:rPr>
                    <w:t>采取边</w:t>
                  </w:r>
                  <w:r>
                    <w:rPr>
                      <w:rFonts w:hint="eastAsia" w:ascii="Times New Roman" w:hAnsi="Times New Roman" w:eastAsia="宋体"/>
                      <w:color w:val="000000" w:themeColor="text1"/>
                      <w:lang w:val="en-US" w:eastAsia="zh-CN"/>
                      <w14:textFill>
                        <w14:solidFill>
                          <w14:schemeClr w14:val="tx1"/>
                        </w14:solidFill>
                      </w14:textFill>
                    </w:rPr>
                    <w:t>开采，边治理</w:t>
                  </w:r>
                  <w:r>
                    <w:rPr>
                      <w:rFonts w:hint="eastAsia" w:ascii="Times New Roman" w:hAnsi="Times New Roman" w:eastAsia="宋体"/>
                      <w:color w:val="000000" w:themeColor="text1"/>
                      <w14:textFill>
                        <w14:solidFill>
                          <w14:schemeClr w14:val="tx1"/>
                        </w14:solidFill>
                      </w14:textFill>
                    </w:rPr>
                    <w:t>的开采方式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环境恢复则是自然恢复结合人工恢复，利用排土场内的废土、废石</w:t>
                  </w:r>
                  <w:r>
                    <w:rPr>
                      <w:rFonts w:hint="eastAsia" w:ascii="Times New Roman" w:hAnsi="Times New Roman" w:eastAsia="宋体"/>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开采过程中产生的采坑进行回填。项目区为非沙化土地，在开采及施工过程中做好水土流失措施。本项目不涉及</w:t>
                  </w:r>
                  <w:r>
                    <w:rPr>
                      <w:rFonts w:hint="default"/>
                      <w:color w:val="000000" w:themeColor="text1"/>
                      <w:sz w:val="21"/>
                      <w:szCs w:val="21"/>
                      <w:vertAlign w:val="baseline"/>
                      <w14:textFill>
                        <w14:solidFill>
                          <w14:schemeClr w14:val="tx1"/>
                        </w14:solidFill>
                      </w14:textFill>
                    </w:rPr>
                    <w:t>重金属行业</w:t>
                  </w:r>
                  <w:r>
                    <w:rPr>
                      <w:rFonts w:hint="eastAsia"/>
                      <w:color w:val="000000" w:themeColor="text1"/>
                      <w:sz w:val="21"/>
                      <w:szCs w:val="21"/>
                      <w:vertAlign w:val="baseline"/>
                      <w:lang w:eastAsia="zh-CN"/>
                      <w14:textFill>
                        <w14:solidFill>
                          <w14:schemeClr w14:val="tx1"/>
                        </w14:solidFill>
                      </w14:textFill>
                    </w:rPr>
                    <w:t>、</w:t>
                  </w:r>
                  <w:r>
                    <w:rPr>
                      <w:rFonts w:hint="default"/>
                      <w:color w:val="000000" w:themeColor="text1"/>
                      <w:sz w:val="21"/>
                      <w:szCs w:val="21"/>
                      <w:vertAlign w:val="baseline"/>
                      <w14:textFill>
                        <w14:solidFill>
                          <w14:schemeClr w14:val="tx1"/>
                        </w14:solidFill>
                      </w14:textFill>
                    </w:rPr>
                    <w:t>工业废物处理处置</w:t>
                  </w:r>
                  <w:r>
                    <w:rPr>
                      <w:rFonts w:hint="eastAsia"/>
                      <w:color w:val="000000" w:themeColor="text1"/>
                      <w:sz w:val="21"/>
                      <w:szCs w:val="21"/>
                      <w:vertAlign w:val="baseline"/>
                      <w:lang w:eastAsia="zh-CN"/>
                      <w14:textFill>
                        <w14:solidFill>
                          <w14:schemeClr w14:val="tx1"/>
                        </w14:solidFill>
                      </w14:textFill>
                    </w:rPr>
                    <w:t>。</w:t>
                  </w:r>
                </w:p>
              </w:tc>
              <w:tc>
                <w:tcPr>
                  <w:tcW w:w="234" w:type="pct"/>
                  <w:vAlign w:val="center"/>
                </w:tcPr>
                <w:p w14:paraId="460EA5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bl>
          <w:p w14:paraId="26785E24">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综上所述，本工程符合《新疆维吾尔自治区七大片区“三线一单”生态环境分区管控要求》</w:t>
            </w:r>
            <w:r>
              <w:rPr>
                <w:rFonts w:hint="eastAsia"/>
                <w:sz w:val="24"/>
                <w:lang w:val="en-US" w:eastAsia="zh-CN"/>
              </w:rPr>
              <w:t>中</w:t>
            </w:r>
            <w:r>
              <w:rPr>
                <w:rFonts w:hint="default"/>
                <w:sz w:val="24"/>
                <w:lang w:val="en-US" w:eastAsia="zh-CN"/>
              </w:rPr>
              <w:t>七大片区“三线一单”生态环境分区总体</w:t>
            </w:r>
            <w:r>
              <w:rPr>
                <w:rFonts w:hint="default"/>
                <w:sz w:val="24"/>
              </w:rPr>
              <w:t>管控要求</w:t>
            </w:r>
            <w:r>
              <w:rPr>
                <w:rFonts w:hint="eastAsia"/>
                <w:sz w:val="24"/>
                <w:lang w:val="en-US" w:eastAsia="zh-CN"/>
              </w:rPr>
              <w:t>及天山南坡片区管控要求</w:t>
            </w:r>
            <w:r>
              <w:rPr>
                <w:rFonts w:hint="default"/>
                <w:sz w:val="24"/>
                <w:lang w:val="en-US" w:eastAsia="zh-CN"/>
              </w:rPr>
              <w:t>相</w:t>
            </w:r>
            <w:r>
              <w:rPr>
                <w:rFonts w:hint="default"/>
                <w:sz w:val="24"/>
              </w:rPr>
              <w:t>应片区的管控要求。</w:t>
            </w:r>
          </w:p>
          <w:p w14:paraId="48D2FC83">
            <w:pPr>
              <w:pStyle w:val="4"/>
              <w:suppressLineNumbers w:val="0"/>
              <w:tabs>
                <w:tab w:val="left" w:pos="0"/>
              </w:tabs>
              <w:adjustRightInd w:val="0"/>
              <w:snapToGrid w:val="0"/>
              <w:spacing w:before="0" w:beforeAutospacing="0" w:after="0" w:afterAutospacing="0" w:line="520" w:lineRule="exact"/>
              <w:ind w:left="0" w:right="0" w:firstLine="482" w:firstLineChars="200"/>
              <w:rPr>
                <w:rFonts w:hint="default" w:ascii="Times New Roman" w:hAnsi="Times New Roman" w:eastAsia="宋体"/>
                <w:sz w:val="24"/>
                <w:szCs w:val="24"/>
              </w:rPr>
            </w:pPr>
            <w:r>
              <w:rPr>
                <w:rFonts w:hint="eastAsia" w:ascii="Times New Roman" w:hAnsi="Times New Roman" w:eastAsia="宋体"/>
                <w:sz w:val="24"/>
                <w:szCs w:val="24"/>
              </w:rPr>
              <w:t>2.2</w:t>
            </w:r>
            <w:r>
              <w:rPr>
                <w:rFonts w:hint="default" w:ascii="Times New Roman" w:hAnsi="Times New Roman" w:eastAsia="宋体"/>
                <w:sz w:val="24"/>
                <w:szCs w:val="24"/>
              </w:rPr>
              <w:t>与《新疆维吾尔自治区“三线一单”生态环境分区管控方案》符合性分析</w:t>
            </w:r>
          </w:p>
          <w:p w14:paraId="6D82663B">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根据《新疆维吾尔自治区“三线一单”生态环境分区管控方案》（新政发</w:t>
            </w:r>
            <w:r>
              <w:rPr>
                <w:rFonts w:hint="eastAsia"/>
                <w:sz w:val="24"/>
              </w:rPr>
              <w:t>〔</w:t>
            </w:r>
            <w:r>
              <w:rPr>
                <w:rFonts w:hint="default"/>
                <w:sz w:val="24"/>
              </w:rPr>
              <w:t>2021</w:t>
            </w:r>
            <w:r>
              <w:rPr>
                <w:rFonts w:hint="eastAsia"/>
                <w:sz w:val="24"/>
              </w:rPr>
              <w:t>〕</w:t>
            </w:r>
            <w:r>
              <w:rPr>
                <w:rFonts w:hint="default"/>
                <w:sz w:val="24"/>
              </w:rPr>
              <w:t>18号）要求，项目与该方案的符合性分析见</w:t>
            </w:r>
            <w:r>
              <w:rPr>
                <w:rFonts w:hint="eastAsia"/>
                <w:sz w:val="24"/>
                <w:lang w:val="en-US" w:eastAsia="zh-CN"/>
              </w:rPr>
              <w:t>下</w:t>
            </w:r>
            <w:r>
              <w:rPr>
                <w:rFonts w:hint="default"/>
                <w:sz w:val="24"/>
              </w:rPr>
              <w:t>表。</w:t>
            </w:r>
          </w:p>
          <w:p w14:paraId="629F7795">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lang w:val="zh-CN"/>
              </w:rPr>
            </w:pPr>
            <w:r>
              <w:rPr>
                <w:rFonts w:hint="default"/>
                <w:b/>
                <w:bCs/>
                <w:sz w:val="24"/>
              </w:rPr>
              <w:t>《新疆维吾尔自治区“三线一单”生态环境分区管控方案》</w:t>
            </w:r>
            <w:r>
              <w:rPr>
                <w:rFonts w:hint="default"/>
                <w:b/>
                <w:bCs/>
                <w:sz w:val="24"/>
                <w:lang w:val="zh-CN"/>
              </w:rPr>
              <w:t>符合分析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15"/>
              <w:gridCol w:w="3352"/>
              <w:gridCol w:w="3306"/>
              <w:gridCol w:w="738"/>
            </w:tblGrid>
            <w:tr w14:paraId="772C01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 w:type="pct"/>
                  <w:tcBorders>
                    <w:tl2br w:val="nil"/>
                    <w:tr2bl w:val="nil"/>
                  </w:tcBorders>
                  <w:vAlign w:val="center"/>
                </w:tcPr>
                <w:p w14:paraId="2C8F611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管控要求</w:t>
                  </w:r>
                </w:p>
              </w:tc>
              <w:tc>
                <w:tcPr>
                  <w:tcW w:w="2118" w:type="pct"/>
                  <w:tcBorders>
                    <w:right w:val="single" w:color="auto" w:sz="4" w:space="0"/>
                    <w:tl2br w:val="nil"/>
                    <w:tr2bl w:val="nil"/>
                  </w:tcBorders>
                  <w:vAlign w:val="center"/>
                </w:tcPr>
                <w:p w14:paraId="5A75F36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“三线一单”要求</w:t>
                  </w:r>
                </w:p>
              </w:tc>
              <w:tc>
                <w:tcPr>
                  <w:tcW w:w="2089" w:type="pct"/>
                  <w:tcBorders>
                    <w:left w:val="single" w:color="auto" w:sz="4" w:space="0"/>
                    <w:tl2br w:val="nil"/>
                    <w:tr2bl w:val="nil"/>
                  </w:tcBorders>
                  <w:vAlign w:val="center"/>
                </w:tcPr>
                <w:p w14:paraId="457154E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相符性分析</w:t>
                  </w:r>
                </w:p>
              </w:tc>
              <w:tc>
                <w:tcPr>
                  <w:tcW w:w="466" w:type="pct"/>
                  <w:tcBorders>
                    <w:tl2br w:val="nil"/>
                    <w:tr2bl w:val="nil"/>
                  </w:tcBorders>
                  <w:vAlign w:val="center"/>
                </w:tcPr>
                <w:p w14:paraId="037B0B0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符合性分析</w:t>
                  </w:r>
                </w:p>
              </w:tc>
            </w:tr>
            <w:tr w14:paraId="334B4B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 w:type="pct"/>
                  <w:tcBorders>
                    <w:tl2br w:val="nil"/>
                    <w:tr2bl w:val="nil"/>
                  </w:tcBorders>
                  <w:vAlign w:val="center"/>
                </w:tcPr>
                <w:p w14:paraId="7E26A87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生态保护红线</w:t>
                  </w:r>
                </w:p>
              </w:tc>
              <w:tc>
                <w:tcPr>
                  <w:tcW w:w="2118" w:type="pct"/>
                  <w:tcBorders>
                    <w:right w:val="single" w:color="auto" w:sz="4" w:space="0"/>
                    <w:tl2br w:val="nil"/>
                    <w:tr2bl w:val="nil"/>
                  </w:tcBorders>
                  <w:vAlign w:val="center"/>
                </w:tcPr>
                <w:p w14:paraId="48FFA1D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按照“生态功能不降低、面积不减少、性质不改变”的基本要求，对划定的生态保护红线实施严格管控，保障和维护国家生态安全的底线和生命线。</w:t>
                  </w:r>
                </w:p>
              </w:tc>
              <w:tc>
                <w:tcPr>
                  <w:tcW w:w="2089" w:type="pct"/>
                  <w:tcBorders>
                    <w:left w:val="single" w:color="auto" w:sz="4" w:space="0"/>
                    <w:tl2br w:val="nil"/>
                    <w:tr2bl w:val="nil"/>
                  </w:tcBorders>
                  <w:vAlign w:val="center"/>
                </w:tcPr>
                <w:p w14:paraId="004C311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本项目不涉及生态保护红线，项目区属于一般管控单元，符合</w:t>
                  </w:r>
                  <w:r>
                    <w:rPr>
                      <w:rFonts w:hint="eastAsia"/>
                      <w:lang w:eastAsia="zh-CN"/>
                    </w:rPr>
                    <w:t>生态保护红线</w:t>
                  </w:r>
                  <w:r>
                    <w:rPr>
                      <w:rFonts w:hint="default" w:ascii="Times New Roman" w:hAnsi="Times New Roman" w:eastAsia="宋体"/>
                    </w:rPr>
                    <w:t>要求。</w:t>
                  </w:r>
                </w:p>
              </w:tc>
              <w:tc>
                <w:tcPr>
                  <w:tcW w:w="466" w:type="pct"/>
                  <w:tcBorders>
                    <w:tl2br w:val="nil"/>
                    <w:tr2bl w:val="nil"/>
                  </w:tcBorders>
                  <w:vAlign w:val="center"/>
                </w:tcPr>
                <w:p w14:paraId="3573D8D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2DB916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 w:type="pct"/>
                  <w:tcBorders>
                    <w:tl2br w:val="nil"/>
                    <w:tr2bl w:val="nil"/>
                  </w:tcBorders>
                  <w:vAlign w:val="center"/>
                </w:tcPr>
                <w:p w14:paraId="21FBE37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环境质量底线</w:t>
                  </w:r>
                </w:p>
              </w:tc>
              <w:tc>
                <w:tcPr>
                  <w:tcW w:w="2118" w:type="pct"/>
                  <w:tcBorders>
                    <w:right w:val="single" w:color="auto" w:sz="4" w:space="0"/>
                    <w:tl2br w:val="nil"/>
                    <w:tr2bl w:val="nil"/>
                  </w:tcBorders>
                  <w:vAlign w:val="center"/>
                </w:tcPr>
                <w:p w14:paraId="1B0F743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全区水环境质量持续改善，受污染地表水体得到优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2089" w:type="pct"/>
                  <w:tcBorders>
                    <w:left w:val="single" w:color="auto" w:sz="4" w:space="0"/>
                    <w:tl2br w:val="nil"/>
                    <w:tr2bl w:val="nil"/>
                  </w:tcBorders>
                  <w:vAlign w:val="center"/>
                </w:tcPr>
                <w:p w14:paraId="306EE4E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本项目位于空气质量不达标区，本项目产生的大气污染物为</w:t>
                  </w:r>
                  <w:r>
                    <w:rPr>
                      <w:rFonts w:hint="eastAsia"/>
                      <w:lang w:val="en-US" w:eastAsia="zh-CN"/>
                    </w:rPr>
                    <w:t>TSP</w:t>
                  </w:r>
                  <w:r>
                    <w:rPr>
                      <w:rFonts w:hint="default" w:ascii="Times New Roman" w:hAnsi="Times New Roman" w:eastAsia="宋体"/>
                    </w:rPr>
                    <w:t>，通过采取</w:t>
                  </w:r>
                  <w:r>
                    <w:rPr>
                      <w:rFonts w:hint="eastAsia"/>
                      <w:lang w:val="en-US" w:eastAsia="zh-CN"/>
                    </w:rPr>
                    <w:t>洒水降尘、覆盖等</w:t>
                  </w:r>
                  <w:r>
                    <w:rPr>
                      <w:rFonts w:hint="default" w:ascii="Times New Roman" w:hAnsi="Times New Roman" w:eastAsia="宋体"/>
                    </w:rPr>
                    <w:t>环保措施后，对环境空气质量影响较小，不会降低区域环境空气质量；</w:t>
                  </w:r>
                  <w:r>
                    <w:rPr>
                      <w:rFonts w:hint="default" w:ascii="Times New Roman" w:hAnsi="Times New Roman" w:eastAsia="宋体"/>
                      <w:color w:val="000000" w:themeColor="text1"/>
                      <w14:textFill>
                        <w14:solidFill>
                          <w14:schemeClr w14:val="tx1"/>
                        </w14:solidFill>
                      </w14:textFill>
                    </w:rPr>
                    <w:t>项目运营</w:t>
                  </w:r>
                  <w:r>
                    <w:rPr>
                      <w:rFonts w:hint="eastAsia"/>
                      <w:color w:val="000000" w:themeColor="text1"/>
                      <w:lang w:eastAsia="zh-CN"/>
                      <w14:textFill>
                        <w14:solidFill>
                          <w14:schemeClr w14:val="tx1"/>
                        </w14:solidFill>
                      </w14:textFill>
                    </w:rPr>
                    <w:t>期间</w:t>
                  </w:r>
                  <w:r>
                    <w:rPr>
                      <w:rFonts w:hint="default" w:ascii="Times New Roman" w:hAnsi="Times New Roman" w:eastAsia="宋体"/>
                      <w:color w:val="000000" w:themeColor="text1"/>
                      <w14:textFill>
                        <w14:solidFill>
                          <w14:schemeClr w14:val="tx1"/>
                        </w14:solidFill>
                      </w14:textFill>
                    </w:rPr>
                    <w:t>产生的生活污水</w:t>
                  </w:r>
                  <w:r>
                    <w:rPr>
                      <w:rFonts w:hint="eastAsia" w:ascii="Times New Roman" w:hAnsi="Times New Roman" w:eastAsia="宋体"/>
                      <w:color w:val="000000" w:themeColor="text1"/>
                      <w:lang w:val="en-US" w:eastAsia="zh-CN"/>
                      <w14:textFill>
                        <w14:solidFill>
                          <w14:schemeClr w14:val="tx1"/>
                        </w14:solidFill>
                      </w14:textFill>
                    </w:rPr>
                    <w:t>排入防渗化粪池预处理后定期拉运处理</w:t>
                  </w:r>
                  <w:r>
                    <w:rPr>
                      <w:rFonts w:hint="eastAsia" w:ascii="Times New Roman" w:hAnsi="Times New Roman" w:eastAsia="宋体"/>
                    </w:rPr>
                    <w:t>；</w:t>
                  </w:r>
                  <w:r>
                    <w:rPr>
                      <w:rFonts w:hint="eastAsia" w:ascii="Times New Roman" w:hAnsi="Times New Roman" w:eastAsia="宋体" w:cs="Times New Roman"/>
                      <w:lang w:val="en-US" w:eastAsia="zh-CN"/>
                    </w:rPr>
                    <w:t>生产用</w:t>
                  </w:r>
                  <w:r>
                    <w:rPr>
                      <w:rFonts w:hint="eastAsia" w:ascii="Times New Roman" w:hAnsi="Times New Roman" w:eastAsia="宋体" w:cs="Times New Roman"/>
                    </w:rPr>
                    <w:t>水主要是矿石堆及运矿道路喷洒用水</w:t>
                  </w:r>
                  <w:r>
                    <w:rPr>
                      <w:rFonts w:hint="eastAsia" w:ascii="Times New Roman" w:hAnsi="Times New Roman" w:eastAsia="宋体" w:cs="Times New Roman"/>
                      <w:lang w:eastAsia="zh-CN"/>
                    </w:rPr>
                    <w:t>，</w:t>
                  </w:r>
                  <w:r>
                    <w:rPr>
                      <w:rFonts w:hint="eastAsia" w:ascii="Times New Roman" w:hAnsi="Times New Roman" w:eastAsia="宋体" w:cs="Times New Roman"/>
                    </w:rPr>
                    <w:t>喷洒用水抑尘后完全蒸发</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无生产废水产生</w:t>
                  </w:r>
                  <w:r>
                    <w:rPr>
                      <w:rFonts w:hint="default" w:ascii="Times New Roman" w:hAnsi="Times New Roman" w:eastAsia="宋体" w:cs="Times New Roman"/>
                    </w:rPr>
                    <w:t>。</w:t>
                  </w:r>
                  <w:r>
                    <w:rPr>
                      <w:rFonts w:hint="default" w:ascii="Times New Roman" w:hAnsi="Times New Roman" w:eastAsia="宋体"/>
                    </w:rPr>
                    <w:t>不会影响区域水环境质量；固体废物</w:t>
                  </w:r>
                  <w:r>
                    <w:rPr>
                      <w:rFonts w:hint="eastAsia"/>
                      <w:lang w:val="en-US" w:eastAsia="zh-CN"/>
                    </w:rPr>
                    <w:t>全部综合利用</w:t>
                  </w:r>
                  <w:r>
                    <w:rPr>
                      <w:rFonts w:hint="default" w:ascii="Times New Roman" w:hAnsi="Times New Roman" w:eastAsia="宋体"/>
                    </w:rPr>
                    <w:t>。因此，本项目开发对项目区环境质量影响</w:t>
                  </w:r>
                  <w:r>
                    <w:rPr>
                      <w:rFonts w:hint="eastAsia"/>
                      <w:lang w:val="en-US" w:eastAsia="zh-CN"/>
                    </w:rPr>
                    <w:t>较小</w:t>
                  </w:r>
                  <w:r>
                    <w:rPr>
                      <w:rFonts w:hint="default" w:ascii="Times New Roman" w:hAnsi="Times New Roman" w:eastAsia="宋体"/>
                    </w:rPr>
                    <w:t>，不会降低区域大气、水环境质量，符合环境质量底线要求。</w:t>
                  </w:r>
                </w:p>
              </w:tc>
              <w:tc>
                <w:tcPr>
                  <w:tcW w:w="466" w:type="pct"/>
                  <w:tcBorders>
                    <w:tl2br w:val="nil"/>
                    <w:tr2bl w:val="nil"/>
                  </w:tcBorders>
                  <w:vAlign w:val="center"/>
                </w:tcPr>
                <w:p w14:paraId="301C401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234C54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 w:type="pct"/>
                  <w:tcBorders>
                    <w:tl2br w:val="nil"/>
                    <w:tr2bl w:val="nil"/>
                  </w:tcBorders>
                  <w:vAlign w:val="center"/>
                </w:tcPr>
                <w:p w14:paraId="2DB0282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资源利用上线</w:t>
                  </w:r>
                </w:p>
              </w:tc>
              <w:tc>
                <w:tcPr>
                  <w:tcW w:w="2118" w:type="pct"/>
                  <w:tcBorders>
                    <w:right w:val="single" w:color="auto" w:sz="4" w:space="0"/>
                    <w:tl2br w:val="nil"/>
                    <w:tr2bl w:val="nil"/>
                  </w:tcBorders>
                  <w:vAlign w:val="center"/>
                </w:tcPr>
                <w:p w14:paraId="3900EF4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2089" w:type="pct"/>
                  <w:tcBorders>
                    <w:left w:val="single" w:color="auto" w:sz="4" w:space="0"/>
                    <w:tl2br w:val="nil"/>
                    <w:tr2bl w:val="nil"/>
                  </w:tcBorders>
                  <w:vAlign w:val="center"/>
                </w:tcPr>
                <w:p w14:paraId="24BD38A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color w:val="000000" w:themeColor="text1"/>
                      <w14:textFill>
                        <w14:solidFill>
                          <w14:schemeClr w14:val="tx1"/>
                        </w14:solidFill>
                      </w14:textFill>
                    </w:rPr>
                    <w:t>本项目为新建项目，根据《产业结构调整指导目录（2024本）》，项目不属于鼓励类、限制类及淘汰类，采用的生产工艺、设备、产品均不属于《产业结构调整指导目录（2024本）》中所列的落后工艺、装备和产品之列</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排土场内的废土、废石</w:t>
                  </w:r>
                  <w:r>
                    <w:rPr>
                      <w:rFonts w:hint="eastAsia" w:ascii="Times New Roman" w:hAnsi="Times New Roman" w:eastAsia="宋体"/>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开采过程中产生的采坑进行回填平整</w:t>
                  </w:r>
                  <w:r>
                    <w:rPr>
                      <w:rFonts w:hint="eastAsia"/>
                      <w:color w:val="000000" w:themeColor="text1"/>
                      <w:lang w:eastAsia="zh-CN"/>
                      <w14:textFill>
                        <w14:solidFill>
                          <w14:schemeClr w14:val="tx1"/>
                        </w14:solidFill>
                      </w14:textFill>
                    </w:rPr>
                    <w:t>，回采率为95%，</w:t>
                  </w:r>
                  <w:r>
                    <w:rPr>
                      <w:rFonts w:hint="default" w:ascii="Times New Roman" w:hAnsi="Times New Roman" w:eastAsia="宋体"/>
                      <w:color w:val="000000" w:themeColor="text1"/>
                      <w14:textFill>
                        <w14:solidFill>
                          <w14:schemeClr w14:val="tx1"/>
                        </w14:solidFill>
                      </w14:textFill>
                    </w:rPr>
                    <w:t>资源能源利用效率</w:t>
                  </w:r>
                  <w:r>
                    <w:rPr>
                      <w:rFonts w:hint="eastAsia"/>
                      <w:color w:val="000000" w:themeColor="text1"/>
                      <w:lang w:val="en-US" w:eastAsia="zh-CN"/>
                      <w14:textFill>
                        <w14:solidFill>
                          <w14:schemeClr w14:val="tx1"/>
                        </w14:solidFill>
                      </w14:textFill>
                    </w:rPr>
                    <w:t>高</w:t>
                  </w:r>
                  <w:r>
                    <w:rPr>
                      <w:rFonts w:hint="default" w:ascii="Times New Roman" w:hAnsi="Times New Roman" w:eastAsia="宋体"/>
                      <w:color w:val="000000" w:themeColor="text1"/>
                      <w14:textFill>
                        <w14:solidFill>
                          <w14:schemeClr w14:val="tx1"/>
                        </w14:solidFill>
                      </w14:textFill>
                    </w:rPr>
                    <w:t>，开采过程中</w:t>
                  </w:r>
                  <w:r>
                    <w:rPr>
                      <w:rFonts w:hint="eastAsia"/>
                      <w:color w:val="000000" w:themeColor="text1"/>
                      <w:lang w:val="en-US" w:eastAsia="zh-CN"/>
                      <w14:textFill>
                        <w14:solidFill>
                          <w14:schemeClr w14:val="tx1"/>
                        </w14:solidFill>
                      </w14:textFill>
                    </w:rPr>
                    <w:t>对</w:t>
                  </w:r>
                  <w:r>
                    <w:rPr>
                      <w:rFonts w:hint="default" w:ascii="Times New Roman" w:hAnsi="Times New Roman" w:eastAsia="宋体"/>
                      <w:color w:val="000000" w:themeColor="text1"/>
                      <w14:textFill>
                        <w14:solidFill>
                          <w14:schemeClr w14:val="tx1"/>
                        </w14:solidFill>
                      </w14:textFill>
                    </w:rPr>
                    <w:t>水、电</w:t>
                  </w:r>
                  <w:r>
                    <w:rPr>
                      <w:rFonts w:hint="eastAsia"/>
                      <w:color w:val="000000" w:themeColor="text1"/>
                      <w:lang w:val="en-US" w:eastAsia="zh-CN"/>
                      <w14:textFill>
                        <w14:solidFill>
                          <w14:schemeClr w14:val="tx1"/>
                        </w14:solidFill>
                      </w14:textFill>
                    </w:rPr>
                    <w:t>进行合理利用</w:t>
                  </w:r>
                  <w:r>
                    <w:rPr>
                      <w:rFonts w:hint="default" w:ascii="Times New Roman" w:hAnsi="Times New Roman" w:eastAsia="宋体"/>
                      <w:color w:val="000000" w:themeColor="text1"/>
                      <w14:textFill>
                        <w14:solidFill>
                          <w14:schemeClr w14:val="tx1"/>
                        </w14:solidFill>
                      </w14:textFill>
                    </w:rPr>
                    <w:t>。</w:t>
                  </w:r>
                </w:p>
              </w:tc>
              <w:tc>
                <w:tcPr>
                  <w:tcW w:w="466" w:type="pct"/>
                  <w:tcBorders>
                    <w:tl2br w:val="nil"/>
                    <w:tr2bl w:val="nil"/>
                  </w:tcBorders>
                  <w:vAlign w:val="center"/>
                </w:tcPr>
                <w:p w14:paraId="13E5CC6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44A399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 w:type="pct"/>
                  <w:tcBorders>
                    <w:tl2br w:val="nil"/>
                    <w:tr2bl w:val="nil"/>
                  </w:tcBorders>
                  <w:vAlign w:val="center"/>
                </w:tcPr>
                <w:p w14:paraId="54133E8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生态准入清单</w:t>
                  </w:r>
                </w:p>
              </w:tc>
              <w:tc>
                <w:tcPr>
                  <w:tcW w:w="2118" w:type="pct"/>
                  <w:tcBorders>
                    <w:right w:val="single" w:color="auto" w:sz="4" w:space="0"/>
                    <w:tl2br w:val="nil"/>
                    <w:tr2bl w:val="nil"/>
                  </w:tcBorders>
                  <w:vAlign w:val="center"/>
                </w:tcPr>
                <w:p w14:paraId="1375ADE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自治区共划定1323个环境管控单元，分为优先保护单元、重点管控单元和一般管控单元三类，实施分类管控。一般管控单元159个，主要包括优先保护单元和重点管控单元之外的</w:t>
                  </w:r>
                  <w:r>
                    <w:rPr>
                      <w:rFonts w:hint="eastAsia" w:ascii="Times New Roman" w:hAnsi="Times New Roman" w:eastAsia="宋体"/>
                    </w:rPr>
                    <w:t>其他</w:t>
                  </w:r>
                  <w:r>
                    <w:rPr>
                      <w:rFonts w:hint="default" w:ascii="Times New Roman" w:hAnsi="Times New Roman" w:eastAsia="宋体"/>
                    </w:rPr>
                    <w:t>区域。一般管控单元主要落实生态环境保护基本要求，推动区域环境质量持续改善。</w:t>
                  </w:r>
                </w:p>
              </w:tc>
              <w:tc>
                <w:tcPr>
                  <w:tcW w:w="2089" w:type="pct"/>
                  <w:tcBorders>
                    <w:left w:val="single" w:color="auto" w:sz="4" w:space="0"/>
                    <w:tl2br w:val="nil"/>
                    <w:tr2bl w:val="nil"/>
                  </w:tcBorders>
                  <w:vAlign w:val="center"/>
                </w:tcPr>
                <w:p w14:paraId="0E784B6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lang w:val="en-US" w:eastAsia="zh-CN"/>
                    </w:rPr>
                  </w:pPr>
                  <w:r>
                    <w:rPr>
                      <w:rFonts w:hint="default" w:ascii="Times New Roman" w:hAnsi="Times New Roman" w:eastAsia="宋体"/>
                      <w:color w:val="000000" w:themeColor="text1"/>
                      <w14:textFill>
                        <w14:solidFill>
                          <w14:schemeClr w14:val="tx1"/>
                        </w14:solidFill>
                      </w14:textFill>
                    </w:rPr>
                    <w:t>本工程位于</w:t>
                  </w:r>
                  <w:r>
                    <w:rPr>
                      <w:rFonts w:hint="eastAsia" w:ascii="Times New Roman" w:hAnsi="Times New Roman" w:eastAsia="宋体"/>
                      <w:color w:val="000000" w:themeColor="text1"/>
                      <w14:textFill>
                        <w14:solidFill>
                          <w14:schemeClr w14:val="tx1"/>
                        </w14:solidFill>
                      </w14:textFill>
                    </w:rPr>
                    <w:t>新疆维吾尔自治区巴音郭楞蒙古自治州和静县城北西352°方位、直距约19.1km处</w:t>
                  </w:r>
                  <w:r>
                    <w:rPr>
                      <w:rFonts w:hint="default" w:ascii="Times New Roman" w:hAnsi="Times New Roman" w:eastAsia="宋体"/>
                      <w:color w:val="000000" w:themeColor="text1"/>
                      <w14:textFill>
                        <w14:solidFill>
                          <w14:schemeClr w14:val="tx1"/>
                        </w14:solidFill>
                      </w14:textFill>
                    </w:rPr>
                    <w:t>，属于一般管控单元。</w:t>
                  </w:r>
                  <w:r>
                    <w:rPr>
                      <w:rFonts w:hint="eastAsia"/>
                      <w:color w:val="000000" w:themeColor="text1"/>
                      <w:lang w:val="en-US" w:eastAsia="zh-CN"/>
                      <w14:textFill>
                        <w14:solidFill>
                          <w14:schemeClr w14:val="tx1"/>
                        </w14:solidFill>
                      </w14:textFill>
                    </w:rPr>
                    <w:t>详见表1-4《巴音郭楞蒙古自治州“三线一单”生态环境分区管控方案》符合分析。</w:t>
                  </w:r>
                </w:p>
              </w:tc>
              <w:tc>
                <w:tcPr>
                  <w:tcW w:w="466" w:type="pct"/>
                  <w:tcBorders>
                    <w:tl2br w:val="nil"/>
                    <w:tr2bl w:val="nil"/>
                  </w:tcBorders>
                  <w:vAlign w:val="center"/>
                </w:tcPr>
                <w:p w14:paraId="5D1D3A2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bl>
          <w:p w14:paraId="53B125EF">
            <w:pPr>
              <w:pStyle w:val="4"/>
              <w:suppressLineNumbers w:val="0"/>
              <w:tabs>
                <w:tab w:val="left" w:pos="0"/>
              </w:tabs>
              <w:adjustRightInd w:val="0"/>
              <w:snapToGrid w:val="0"/>
              <w:spacing w:before="0" w:beforeAutospacing="0" w:after="0" w:afterAutospacing="0" w:line="520" w:lineRule="exact"/>
              <w:ind w:left="0" w:right="0" w:firstLine="482" w:firstLineChars="200"/>
              <w:rPr>
                <w:rFonts w:hint="default" w:ascii="Times New Roman" w:hAnsi="Times New Roman" w:eastAsia="宋体"/>
                <w:sz w:val="24"/>
                <w:szCs w:val="24"/>
              </w:rPr>
            </w:pPr>
            <w:r>
              <w:rPr>
                <w:rFonts w:hint="default" w:ascii="Times New Roman" w:hAnsi="Times New Roman" w:eastAsia="宋体"/>
                <w:sz w:val="24"/>
                <w:szCs w:val="24"/>
              </w:rPr>
              <w:t>2.3《巴音郭楞蒙古自治州“三线一单”生态环境分区管控</w:t>
            </w:r>
            <w:r>
              <w:rPr>
                <w:rFonts w:hint="eastAsia" w:ascii="Times New Roman" w:hAnsi="Times New Roman" w:eastAsia="宋体"/>
                <w:sz w:val="24"/>
                <w:szCs w:val="24"/>
                <w:lang w:val="en-US" w:eastAsia="zh-CN"/>
              </w:rPr>
              <w:t>动态更新成果（2023）</w:t>
            </w:r>
            <w:r>
              <w:rPr>
                <w:rFonts w:hint="default" w:ascii="Times New Roman" w:hAnsi="Times New Roman" w:eastAsia="宋体"/>
                <w:sz w:val="24"/>
                <w:szCs w:val="24"/>
              </w:rPr>
              <w:t>》符合性分析</w:t>
            </w:r>
          </w:p>
          <w:p w14:paraId="3D5FEF9E">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根据《巴音郭楞蒙古自治州“三线一单”生态环境分区管控</w:t>
            </w:r>
            <w:r>
              <w:rPr>
                <w:rFonts w:hint="default"/>
                <w:sz w:val="24"/>
                <w:lang w:val="en-US" w:eastAsia="zh-CN"/>
              </w:rPr>
              <w:t>动态更新成果（2023）</w:t>
            </w:r>
            <w:r>
              <w:rPr>
                <w:rFonts w:hint="default"/>
                <w:sz w:val="24"/>
              </w:rPr>
              <w:t>》</w:t>
            </w:r>
            <w:r>
              <w:rPr>
                <w:rFonts w:hint="eastAsia"/>
                <w:sz w:val="24"/>
              </w:rPr>
              <w:t>（巴政办发〔202</w:t>
            </w:r>
            <w:r>
              <w:rPr>
                <w:rFonts w:hint="eastAsia"/>
                <w:sz w:val="24"/>
                <w:lang w:val="en-US" w:eastAsia="zh-CN"/>
              </w:rPr>
              <w:t>4</w:t>
            </w:r>
            <w:r>
              <w:rPr>
                <w:rFonts w:hint="eastAsia"/>
                <w:sz w:val="24"/>
              </w:rPr>
              <w:t>〕32号）</w:t>
            </w:r>
            <w:r>
              <w:rPr>
                <w:rFonts w:hint="default"/>
                <w:sz w:val="24"/>
              </w:rPr>
              <w:t>要求，见</w:t>
            </w:r>
            <w:r>
              <w:rPr>
                <w:rFonts w:hint="eastAsia"/>
                <w:sz w:val="24"/>
                <w:lang w:val="en-US" w:eastAsia="zh-CN"/>
              </w:rPr>
              <w:t>下</w:t>
            </w:r>
            <w:r>
              <w:rPr>
                <w:rFonts w:hint="default"/>
                <w:sz w:val="24"/>
              </w:rPr>
              <w:t>表。</w:t>
            </w:r>
          </w:p>
          <w:p w14:paraId="61902713">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lang w:val="zh-CN"/>
              </w:rPr>
            </w:pPr>
            <w:r>
              <w:rPr>
                <w:rFonts w:hint="default"/>
                <w:b/>
                <w:bCs/>
                <w:sz w:val="24"/>
                <w:lang w:val="zh-CN"/>
              </w:rPr>
              <w:t>《巴音郭楞蒙古自治州“三线一单”生态环境分区管控</w:t>
            </w:r>
            <w:r>
              <w:rPr>
                <w:rFonts w:hint="default"/>
                <w:b/>
                <w:bCs/>
                <w:sz w:val="24"/>
                <w:lang w:val="zh-CN" w:eastAsia="zh-CN"/>
              </w:rPr>
              <w:t>动态更新成果（2023）</w:t>
            </w:r>
            <w:r>
              <w:rPr>
                <w:rFonts w:hint="default"/>
                <w:b/>
                <w:bCs/>
                <w:sz w:val="24"/>
                <w:lang w:val="zh-CN"/>
              </w:rPr>
              <w:t>》符合分析</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72"/>
              <w:gridCol w:w="343"/>
              <w:gridCol w:w="3421"/>
              <w:gridCol w:w="2532"/>
              <w:gridCol w:w="733"/>
            </w:tblGrid>
            <w:tr w14:paraId="7BD9B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vAlign w:val="center"/>
                </w:tcPr>
                <w:p w14:paraId="1A8B26ED">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b w:val="0"/>
                      <w:bCs/>
                      <w:szCs w:val="21"/>
                    </w:rPr>
                  </w:pPr>
                  <w:r>
                    <w:rPr>
                      <w:rFonts w:hint="default" w:ascii="Times New Roman" w:hAnsi="Times New Roman" w:eastAsia="宋体"/>
                      <w:b w:val="0"/>
                      <w:bCs/>
                      <w:szCs w:val="21"/>
                    </w:rPr>
                    <w:t>名称</w:t>
                  </w:r>
                </w:p>
              </w:tc>
              <w:tc>
                <w:tcPr>
                  <w:tcW w:w="2381" w:type="pct"/>
                  <w:gridSpan w:val="2"/>
                  <w:vAlign w:val="center"/>
                </w:tcPr>
                <w:p w14:paraId="5981AC26">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b w:val="0"/>
                      <w:bCs/>
                      <w:szCs w:val="21"/>
                    </w:rPr>
                  </w:pPr>
                  <w:r>
                    <w:rPr>
                      <w:rFonts w:hint="default" w:ascii="Times New Roman" w:hAnsi="Times New Roman" w:eastAsia="宋体"/>
                      <w:b w:val="0"/>
                      <w:bCs/>
                      <w:szCs w:val="21"/>
                    </w:rPr>
                    <w:t>管控要求</w:t>
                  </w:r>
                </w:p>
              </w:tc>
              <w:tc>
                <w:tcPr>
                  <w:tcW w:w="1602" w:type="pct"/>
                  <w:vAlign w:val="center"/>
                </w:tcPr>
                <w:p w14:paraId="29655020">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b w:val="0"/>
                      <w:bCs/>
                      <w:szCs w:val="21"/>
                    </w:rPr>
                  </w:pPr>
                  <w:r>
                    <w:rPr>
                      <w:rFonts w:hint="default" w:ascii="Times New Roman" w:hAnsi="Times New Roman" w:eastAsia="宋体"/>
                      <w:b w:val="0"/>
                      <w:bCs/>
                      <w:szCs w:val="21"/>
                    </w:rPr>
                    <w:t>本项目相关内容</w:t>
                  </w:r>
                </w:p>
              </w:tc>
              <w:tc>
                <w:tcPr>
                  <w:tcW w:w="464" w:type="pct"/>
                  <w:vAlign w:val="center"/>
                </w:tcPr>
                <w:p w14:paraId="116BD153">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Times New Roman" w:hAnsi="Times New Roman" w:eastAsia="宋体"/>
                      <w:b w:val="0"/>
                      <w:bCs/>
                      <w:szCs w:val="21"/>
                      <w:lang w:val="en-US" w:eastAsia="zh-CN"/>
                    </w:rPr>
                  </w:pPr>
                  <w:r>
                    <w:rPr>
                      <w:rFonts w:hint="default" w:ascii="Times New Roman" w:hAnsi="Times New Roman" w:eastAsia="宋体"/>
                      <w:b w:val="0"/>
                      <w:bCs/>
                      <w:szCs w:val="21"/>
                    </w:rPr>
                    <w:t>符合性</w:t>
                  </w:r>
                  <w:r>
                    <w:rPr>
                      <w:rFonts w:hint="eastAsia" w:ascii="Times New Roman" w:eastAsia="宋体"/>
                      <w:b w:val="0"/>
                      <w:bCs/>
                      <w:szCs w:val="21"/>
                      <w:lang w:val="en-US" w:eastAsia="zh-CN"/>
                    </w:rPr>
                    <w:t>分析</w:t>
                  </w:r>
                </w:p>
              </w:tc>
            </w:tr>
            <w:tr w14:paraId="61F8D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1" w:type="pct"/>
                  <w:vMerge w:val="restart"/>
                  <w:vAlign w:val="center"/>
                </w:tcPr>
                <w:p w14:paraId="7F1B034D">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bCs/>
                      <w:szCs w:val="21"/>
                    </w:rPr>
                  </w:pPr>
                  <w:r>
                    <w:rPr>
                      <w:rFonts w:hint="default" w:ascii="Times New Roman" w:hAnsi="Times New Roman" w:eastAsia="宋体"/>
                      <w:bCs/>
                      <w:szCs w:val="21"/>
                    </w:rPr>
                    <w:t>巴音郭楞蒙古自治州“三线一单”生态环境分区管控</w:t>
                  </w:r>
                  <w:r>
                    <w:rPr>
                      <w:rFonts w:hint="default" w:ascii="Times New Roman" w:hAnsi="Times New Roman" w:eastAsia="宋体"/>
                      <w:bCs/>
                      <w:szCs w:val="21"/>
                      <w:lang w:val="en-US" w:eastAsia="zh-CN"/>
                    </w:rPr>
                    <w:t>动态更新成果（2023）</w:t>
                  </w:r>
                </w:p>
              </w:tc>
              <w:tc>
                <w:tcPr>
                  <w:tcW w:w="216" w:type="pct"/>
                  <w:vAlign w:val="center"/>
                </w:tcPr>
                <w:p w14:paraId="4C6FA387">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Times New Roman" w:hAnsi="Times New Roman" w:eastAsia="宋体"/>
                      <w:bCs/>
                      <w:szCs w:val="21"/>
                      <w:lang w:eastAsia="zh-CN"/>
                    </w:rPr>
                  </w:pPr>
                  <w:r>
                    <w:rPr>
                      <w:rFonts w:hint="eastAsia" w:ascii="Times New Roman" w:eastAsia="宋体"/>
                      <w:bCs/>
                      <w:szCs w:val="21"/>
                      <w:lang w:val="en-US" w:eastAsia="zh-CN"/>
                    </w:rPr>
                    <w:t>空间布局约束</w:t>
                  </w:r>
                </w:p>
              </w:tc>
              <w:tc>
                <w:tcPr>
                  <w:tcW w:w="2164" w:type="pct"/>
                  <w:vAlign w:val="center"/>
                </w:tcPr>
                <w:p w14:paraId="2D5DF093">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bCs/>
                      <w:szCs w:val="21"/>
                      <w:lang w:val="en-US" w:eastAsia="zh-CN"/>
                    </w:rPr>
                  </w:pPr>
                  <w:r>
                    <w:rPr>
                      <w:rFonts w:hint="default" w:ascii="Times New Roman" w:hAnsi="Times New Roman" w:eastAsia="宋体"/>
                      <w:bCs/>
                      <w:szCs w:val="21"/>
                      <w:lang w:val="en-US" w:eastAsia="zh-CN"/>
                    </w:rPr>
                    <w:t>1.4 禁止在自治州行政区域内引进能（水）耗不符合相关国家标准中准入值要求，且污染物排放和环境风险防控不符合国家（地方）标准及有关产业准入条件的高污染（排放）、高能（水）耗、高环境风险的工业项目。</w:t>
                  </w:r>
                </w:p>
                <w:p w14:paraId="190AE763">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bCs/>
                      <w:szCs w:val="21"/>
                    </w:rPr>
                  </w:pPr>
                  <w:r>
                    <w:rPr>
                      <w:rFonts w:hint="default" w:ascii="Times New Roman" w:hAnsi="Times New Roman" w:eastAsia="宋体"/>
                      <w:bCs/>
                      <w:szCs w:val="21"/>
                      <w:lang w:val="en-US" w:eastAsia="zh-CN"/>
                    </w:rPr>
                    <w:t>1.12</w:t>
                  </w:r>
                  <w:r>
                    <w:rPr>
                      <w:rFonts w:hint="eastAsia" w:ascii="Times New Roman" w:eastAsia="宋体"/>
                      <w:bCs/>
                      <w:szCs w:val="21"/>
                      <w:lang w:val="en-US" w:eastAsia="zh-CN"/>
                    </w:rPr>
                    <w:t xml:space="preserve"> 【</w:t>
                  </w:r>
                  <w:r>
                    <w:rPr>
                      <w:rFonts w:hint="default" w:ascii="Times New Roman" w:hAnsi="Times New Roman" w:eastAsia="宋体"/>
                      <w:bCs/>
                      <w:szCs w:val="21"/>
                      <w:lang w:val="en-US" w:eastAsia="zh-CN"/>
                    </w:rPr>
                    <w:t>生态红线禁止类</w:t>
                  </w:r>
                  <w:r>
                    <w:rPr>
                      <w:rFonts w:hint="eastAsia" w:ascii="Times New Roman" w:eastAsia="宋体"/>
                      <w:bCs/>
                      <w:szCs w:val="21"/>
                      <w:lang w:val="en-US" w:eastAsia="zh-CN"/>
                    </w:rPr>
                    <w:t>】</w:t>
                  </w:r>
                  <w:r>
                    <w:rPr>
                      <w:rFonts w:hint="default" w:ascii="Times New Roman" w:hAnsi="Times New Roman" w:eastAsia="宋体"/>
                      <w:bCs/>
                      <w:szCs w:val="21"/>
                      <w:lang w:val="en-US" w:eastAsia="zh-CN"/>
                    </w:rPr>
                    <w:t>生态保护红线内，自然保护地核心保护区原则上禁止人为活动，其他区域严格禁止开发性、生产性建设活动。</w:t>
                  </w:r>
                </w:p>
              </w:tc>
              <w:tc>
                <w:tcPr>
                  <w:tcW w:w="1602" w:type="pct"/>
                  <w:vAlign w:val="center"/>
                </w:tcPr>
                <w:p w14:paraId="59A3E524">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en-US" w:eastAsia="zh-CN"/>
                    </w:rPr>
                  </w:pPr>
                  <w:r>
                    <w:rPr>
                      <w:rFonts w:hint="default" w:ascii="Times New Roman" w:hAnsi="Times New Roman" w:eastAsia="宋体"/>
                      <w:szCs w:val="21"/>
                    </w:rPr>
                    <w:t>本项目</w:t>
                  </w:r>
                  <w:r>
                    <w:rPr>
                      <w:rFonts w:hint="eastAsia" w:ascii="Times New Roman" w:eastAsia="宋体"/>
                      <w:szCs w:val="21"/>
                      <w:lang w:val="en-US" w:eastAsia="zh-CN"/>
                    </w:rPr>
                    <w:t>不属于“三高”</w:t>
                  </w:r>
                  <w:r>
                    <w:rPr>
                      <w:rFonts w:hint="eastAsia" w:ascii="Times New Roman" w:eastAsia="宋体"/>
                      <w:bCs/>
                      <w:szCs w:val="21"/>
                      <w:lang w:val="en-US" w:eastAsia="zh-CN"/>
                    </w:rPr>
                    <w:t>工业项目；</w:t>
                  </w:r>
                </w:p>
                <w:p w14:paraId="61E1D95B">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default" w:ascii="Times New Roman" w:hAnsi="Times New Roman" w:eastAsia="宋体"/>
                      <w:szCs w:val="21"/>
                    </w:rPr>
                    <w:t>本项目不在生态保护红线范围内。</w:t>
                  </w:r>
                </w:p>
              </w:tc>
              <w:tc>
                <w:tcPr>
                  <w:tcW w:w="464" w:type="pct"/>
                  <w:vAlign w:val="center"/>
                </w:tcPr>
                <w:p w14:paraId="6A02B65F">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default" w:ascii="Times New Roman" w:hAnsi="Times New Roman" w:eastAsia="宋体"/>
                      <w:szCs w:val="21"/>
                    </w:rPr>
                    <w:t>符合</w:t>
                  </w:r>
                </w:p>
              </w:tc>
            </w:tr>
            <w:tr w14:paraId="3BC5C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51" w:type="pct"/>
                  <w:vMerge w:val="continue"/>
                  <w:vAlign w:val="center"/>
                </w:tcPr>
                <w:p w14:paraId="330651E1">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bCs/>
                      <w:szCs w:val="21"/>
                    </w:rPr>
                  </w:pPr>
                </w:p>
              </w:tc>
              <w:tc>
                <w:tcPr>
                  <w:tcW w:w="216" w:type="pct"/>
                  <w:vAlign w:val="center"/>
                </w:tcPr>
                <w:p w14:paraId="7707D319">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Times New Roman" w:hAnsi="Times New Roman" w:eastAsia="宋体"/>
                      <w:bCs/>
                      <w:szCs w:val="21"/>
                      <w:lang w:eastAsia="zh-CN"/>
                    </w:rPr>
                  </w:pPr>
                  <w:r>
                    <w:rPr>
                      <w:rFonts w:hint="eastAsia" w:ascii="Times New Roman" w:eastAsia="宋体"/>
                      <w:bCs/>
                      <w:szCs w:val="21"/>
                      <w:lang w:val="en-US" w:eastAsia="zh-CN"/>
                    </w:rPr>
                    <w:t>污染排放管控</w:t>
                  </w:r>
                </w:p>
              </w:tc>
              <w:tc>
                <w:tcPr>
                  <w:tcW w:w="2164" w:type="pct"/>
                  <w:vAlign w:val="center"/>
                </w:tcPr>
                <w:p w14:paraId="36D73D85">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eastAsia="宋体"/>
                      <w:bCs/>
                      <w:szCs w:val="21"/>
                    </w:rPr>
                  </w:pPr>
                  <w:r>
                    <w:rPr>
                      <w:rFonts w:hint="default" w:ascii="Times New Roman" w:hAnsi="Times New Roman" w:eastAsia="宋体"/>
                      <w:bCs/>
                      <w:szCs w:val="21"/>
                      <w:lang w:val="en-US" w:eastAsia="zh-CN"/>
                    </w:rPr>
                    <w:t>2.1 水源涵养和生物多样性维护型重点生态功能区水质达到地表水、地下水I类，空气质量达到一级</w:t>
                  </w:r>
                  <w:r>
                    <w:rPr>
                      <w:rFonts w:hint="eastAsia" w:ascii="Times New Roman" w:hAnsi="Times New Roman" w:eastAsia="宋体"/>
                      <w:bCs/>
                      <w:szCs w:val="21"/>
                    </w:rPr>
                    <w:t>；</w:t>
                  </w:r>
                </w:p>
                <w:p w14:paraId="56004CE9">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eastAsia="宋体"/>
                      <w:bCs/>
                      <w:szCs w:val="21"/>
                      <w:lang w:val="en-US" w:eastAsia="zh-CN"/>
                    </w:rPr>
                  </w:pPr>
                  <w:r>
                    <w:rPr>
                      <w:rFonts w:hint="eastAsia" w:ascii="Times New Roman" w:hAnsi="Times New Roman" w:eastAsia="宋体"/>
                      <w:bCs/>
                      <w:szCs w:val="21"/>
                      <w:lang w:val="en-US" w:eastAsia="zh-CN"/>
                    </w:rPr>
                    <w:t>2.4 钢铁、建材、有色金属、石油、化工、制药、矿产开采等企业，应当加强精细化管理，采取集中收集处理等措施，严格控制粉尘和气态污染物的排放。</w:t>
                  </w:r>
                </w:p>
                <w:p w14:paraId="3941B890">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eastAsia="宋体"/>
                      <w:bCs/>
                      <w:szCs w:val="21"/>
                    </w:rPr>
                  </w:pPr>
                  <w:r>
                    <w:rPr>
                      <w:rFonts w:hint="eastAsia" w:ascii="Times New Roman" w:hAnsi="Times New Roman" w:eastAsia="宋体"/>
                      <w:bCs/>
                      <w:szCs w:val="21"/>
                      <w:lang w:val="en-US" w:eastAsia="zh-CN"/>
                    </w:rPr>
                    <w:t>工业生产企业应当采取密闭、围挡、遮盖、清扫、洒水等措施，减少内部物料的堆存、传输、装卸等环节产生的粉尘和气态污染物的排放。</w:t>
                  </w:r>
                </w:p>
                <w:p w14:paraId="0A4B51ED">
                  <w:pPr>
                    <w:keepNext w:val="0"/>
                    <w:keepLines w:val="0"/>
                    <w:widowControl/>
                    <w:suppressLineNumbers w:val="0"/>
                    <w:spacing w:before="0" w:beforeAutospacing="0" w:after="0" w:afterAutospacing="0"/>
                    <w:ind w:left="0" w:right="0"/>
                    <w:jc w:val="both"/>
                    <w:rPr>
                      <w:rFonts w:hint="default" w:ascii="Times New Roman" w:hAnsi="Times New Roman" w:eastAsia="宋体"/>
                      <w:bCs/>
                      <w:szCs w:val="21"/>
                    </w:rPr>
                  </w:pPr>
                  <w:r>
                    <w:rPr>
                      <w:rFonts w:hint="default" w:ascii="Times New Roman" w:hAnsi="Times New Roman" w:eastAsia="宋体"/>
                      <w:bCs/>
                      <w:szCs w:val="21"/>
                    </w:rPr>
                    <w:t>逐步减少颗粒物排放，PM</w:t>
                  </w:r>
                  <w:r>
                    <w:rPr>
                      <w:rFonts w:hint="default" w:ascii="Times New Roman" w:hAnsi="Times New Roman" w:eastAsia="宋体"/>
                      <w:bCs/>
                      <w:szCs w:val="21"/>
                      <w:vertAlign w:val="subscript"/>
                    </w:rPr>
                    <w:t>10</w:t>
                  </w:r>
                  <w:r>
                    <w:rPr>
                      <w:rFonts w:hint="default" w:ascii="Times New Roman" w:hAnsi="Times New Roman" w:eastAsia="宋体"/>
                      <w:bCs/>
                      <w:szCs w:val="21"/>
                    </w:rPr>
                    <w:t>、PM</w:t>
                  </w:r>
                  <w:r>
                    <w:rPr>
                      <w:rFonts w:hint="default" w:ascii="Times New Roman" w:hAnsi="Times New Roman" w:eastAsia="宋体"/>
                      <w:bCs/>
                      <w:szCs w:val="21"/>
                      <w:vertAlign w:val="subscript"/>
                    </w:rPr>
                    <w:t>2.5</w:t>
                  </w:r>
                  <w:r>
                    <w:rPr>
                      <w:rFonts w:hint="default" w:ascii="Times New Roman" w:hAnsi="Times New Roman" w:eastAsia="宋体"/>
                      <w:bCs/>
                      <w:szCs w:val="21"/>
                    </w:rPr>
                    <w:t>平均浓度分别低于81</w:t>
                  </w:r>
                  <w:r>
                    <w:rPr>
                      <w:rFonts w:hint="default" w:ascii="Times New Roman" w:hAnsi="Times New Roman" w:eastAsia="宋体" w:cs="Times New Roman"/>
                      <w:kern w:val="2"/>
                      <w:sz w:val="21"/>
                      <w:szCs w:val="21"/>
                      <w:lang w:val="en-US" w:eastAsia="zh-CN" w:bidi="ar"/>
                    </w:rPr>
                    <w:t>μg</w:t>
                  </w:r>
                  <w:r>
                    <w:rPr>
                      <w:rFonts w:hint="eastAsia" w:ascii="Times New Roman" w:hAnsi="Times New Roman" w:eastAsia="宋体" w:cs="Times New Roman"/>
                      <w:kern w:val="2"/>
                      <w:sz w:val="21"/>
                      <w:szCs w:val="21"/>
                      <w:lang w:val="en-US" w:eastAsia="zh-CN" w:bidi="ar"/>
                    </w:rPr>
                    <w:t>/m</w:t>
                  </w:r>
                  <w:r>
                    <w:rPr>
                      <w:rFonts w:hint="eastAsia" w:ascii="Times New Roman" w:hAnsi="Times New Roman" w:eastAsia="宋体" w:cs="Times New Roman"/>
                      <w:kern w:val="2"/>
                      <w:sz w:val="21"/>
                      <w:szCs w:val="21"/>
                      <w:vertAlign w:val="superscript"/>
                      <w:lang w:val="en-US" w:eastAsia="zh-CN" w:bidi="ar"/>
                    </w:rPr>
                    <w:t>3</w:t>
                  </w:r>
                  <w:r>
                    <w:rPr>
                      <w:rFonts w:hint="eastAsia" w:ascii="Times New Roman" w:eastAsia="宋体"/>
                      <w:bCs/>
                      <w:szCs w:val="21"/>
                      <w:lang w:eastAsia="zh-CN"/>
                    </w:rPr>
                    <w:t>、</w:t>
                  </w:r>
                  <w:r>
                    <w:rPr>
                      <w:rFonts w:hint="default" w:ascii="Times New Roman" w:hAnsi="Times New Roman" w:eastAsia="宋体"/>
                      <w:bCs/>
                      <w:szCs w:val="21"/>
                    </w:rPr>
                    <w:t>31.5</w:t>
                  </w:r>
                  <w:r>
                    <w:rPr>
                      <w:rFonts w:hint="default" w:ascii="Times New Roman" w:hAnsi="Times New Roman" w:eastAsia="宋体" w:cs="Times New Roman"/>
                      <w:kern w:val="2"/>
                      <w:sz w:val="21"/>
                      <w:szCs w:val="21"/>
                      <w:lang w:val="en-US" w:eastAsia="zh-CN" w:bidi="ar"/>
                    </w:rPr>
                    <w:t>μg</w:t>
                  </w:r>
                  <w:r>
                    <w:rPr>
                      <w:rFonts w:hint="eastAsia" w:ascii="Times New Roman" w:hAnsi="Times New Roman" w:eastAsia="宋体" w:cs="Times New Roman"/>
                      <w:kern w:val="2"/>
                      <w:sz w:val="21"/>
                      <w:szCs w:val="21"/>
                      <w:lang w:val="en-US" w:eastAsia="zh-CN" w:bidi="ar"/>
                    </w:rPr>
                    <w:t>/m</w:t>
                  </w:r>
                  <w:r>
                    <w:rPr>
                      <w:rFonts w:hint="eastAsia" w:ascii="Times New Roman" w:hAnsi="Times New Roman" w:eastAsia="宋体" w:cs="Times New Roman"/>
                      <w:kern w:val="2"/>
                      <w:sz w:val="21"/>
                      <w:szCs w:val="21"/>
                      <w:vertAlign w:val="superscript"/>
                      <w:lang w:val="en-US" w:eastAsia="zh-CN" w:bidi="ar"/>
                    </w:rPr>
                    <w:t>3</w:t>
                  </w:r>
                  <w:r>
                    <w:rPr>
                      <w:rFonts w:hint="eastAsia" w:ascii="Times New Roman" w:eastAsia="宋体"/>
                      <w:bCs/>
                      <w:szCs w:val="21"/>
                      <w:lang w:eastAsia="zh-CN"/>
                    </w:rPr>
                    <w:t>（</w:t>
                  </w:r>
                  <w:r>
                    <w:rPr>
                      <w:rFonts w:hint="default" w:ascii="Times New Roman" w:hAnsi="Times New Roman" w:eastAsia="宋体"/>
                      <w:bCs/>
                      <w:szCs w:val="21"/>
                    </w:rPr>
                    <w:t>库尔勒市，扣除沙尘天气影响</w:t>
                  </w:r>
                  <w:r>
                    <w:rPr>
                      <w:rFonts w:hint="eastAsia" w:ascii="Times New Roman" w:hAnsi="Times New Roman" w:eastAsia="宋体"/>
                      <w:bCs/>
                      <w:szCs w:val="21"/>
                    </w:rPr>
                    <w:t>）</w:t>
                  </w:r>
                  <w:r>
                    <w:rPr>
                      <w:rFonts w:hint="default" w:ascii="Times New Roman" w:hAnsi="Times New Roman" w:eastAsia="宋体"/>
                      <w:bCs/>
                      <w:szCs w:val="21"/>
                    </w:rPr>
                    <w:t>，空气优良天数比例大于75.2%</w:t>
                  </w:r>
                  <w:r>
                    <w:rPr>
                      <w:rFonts w:hint="eastAsia" w:ascii="Times New Roman" w:hAnsi="Times New Roman" w:eastAsia="宋体"/>
                      <w:bCs/>
                      <w:szCs w:val="21"/>
                    </w:rPr>
                    <w:t>（库尔勒</w:t>
                  </w:r>
                  <w:r>
                    <w:rPr>
                      <w:rFonts w:hint="default" w:ascii="Times New Roman" w:hAnsi="Times New Roman" w:eastAsia="宋体"/>
                      <w:bCs/>
                      <w:szCs w:val="21"/>
                    </w:rPr>
                    <w:t>市</w:t>
                  </w:r>
                  <w:r>
                    <w:rPr>
                      <w:rFonts w:hint="eastAsia" w:ascii="Times New Roman" w:hAnsi="Times New Roman" w:eastAsia="宋体"/>
                      <w:bCs/>
                      <w:szCs w:val="21"/>
                    </w:rPr>
                    <w:t>）</w:t>
                  </w:r>
                  <w:r>
                    <w:rPr>
                      <w:rFonts w:hint="default" w:ascii="Times New Roman" w:hAnsi="Times New Roman" w:eastAsia="宋体"/>
                      <w:bCs/>
                      <w:szCs w:val="21"/>
                    </w:rPr>
                    <w:t>，重污染天数持续减少，沙尘影响严重地区做好防风固沙、生态环境保护修复等工作；全州土壤环境质量保持稳定，受污染耕地安全利用率达到98%以上，污染地块安全利用率不低于93%，土壤环境风险得到进一步管控。</w:t>
                  </w:r>
                </w:p>
              </w:tc>
              <w:tc>
                <w:tcPr>
                  <w:tcW w:w="1602" w:type="pct"/>
                  <w:vAlign w:val="center"/>
                </w:tcPr>
                <w:p w14:paraId="3A605A94">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default" w:ascii="Times New Roman" w:hAnsi="Times New Roman" w:eastAsia="宋体"/>
                      <w:color w:val="auto"/>
                      <w:szCs w:val="20"/>
                    </w:rPr>
                    <w:t>本项目产生的大气污染物为TSP污染物，通过采取</w:t>
                  </w:r>
                  <w:r>
                    <w:rPr>
                      <w:rFonts w:hint="eastAsia" w:ascii="Times New Roman" w:eastAsia="宋体"/>
                      <w:color w:val="auto"/>
                      <w:szCs w:val="20"/>
                      <w:lang w:val="en-US" w:eastAsia="zh-CN"/>
                    </w:rPr>
                    <w:t>洒水降尘等</w:t>
                  </w:r>
                  <w:r>
                    <w:rPr>
                      <w:rFonts w:hint="default" w:ascii="Times New Roman" w:hAnsi="Times New Roman" w:eastAsia="宋体"/>
                      <w:color w:val="auto"/>
                      <w:szCs w:val="20"/>
                    </w:rPr>
                    <w:t>环保措施后，对环境空气质量影响较小，不会降低区域环境空气质量</w:t>
                  </w:r>
                  <w:r>
                    <w:rPr>
                      <w:rFonts w:hint="default" w:ascii="Times New Roman" w:hAnsi="Times New Roman" w:eastAsia="宋体"/>
                      <w:szCs w:val="20"/>
                    </w:rPr>
                    <w:t>；</w:t>
                  </w:r>
                  <w:r>
                    <w:rPr>
                      <w:rFonts w:hint="default" w:ascii="Times New Roman" w:hAnsi="Times New Roman" w:eastAsia="宋体"/>
                      <w:color w:val="000000" w:themeColor="text1"/>
                      <w:szCs w:val="20"/>
                      <w14:textFill>
                        <w14:solidFill>
                          <w14:schemeClr w14:val="tx1"/>
                        </w14:solidFill>
                      </w14:textFill>
                    </w:rPr>
                    <w:t>项目运营</w:t>
                  </w:r>
                  <w:r>
                    <w:rPr>
                      <w:rFonts w:hint="eastAsia" w:ascii="Times New Roman" w:eastAsia="宋体"/>
                      <w:color w:val="000000" w:themeColor="text1"/>
                      <w:szCs w:val="20"/>
                      <w:lang w:eastAsia="zh-CN"/>
                      <w14:textFill>
                        <w14:solidFill>
                          <w14:schemeClr w14:val="tx1"/>
                        </w14:solidFill>
                      </w14:textFill>
                    </w:rPr>
                    <w:t>期间</w:t>
                  </w:r>
                  <w:r>
                    <w:rPr>
                      <w:rFonts w:hint="default" w:ascii="Times New Roman" w:hAnsi="Times New Roman" w:eastAsia="宋体"/>
                      <w:color w:val="000000" w:themeColor="text1"/>
                      <w:szCs w:val="20"/>
                      <w14:textFill>
                        <w14:solidFill>
                          <w14:schemeClr w14:val="tx1"/>
                        </w14:solidFill>
                      </w14:textFill>
                    </w:rPr>
                    <w:t>产生的生活污水</w:t>
                  </w:r>
                  <w:r>
                    <w:rPr>
                      <w:rFonts w:hint="eastAsia" w:ascii="Times New Roman" w:hAnsi="Times New Roman" w:eastAsia="宋体"/>
                      <w:color w:val="000000" w:themeColor="text1"/>
                      <w:szCs w:val="20"/>
                      <w:lang w:val="en-US" w:eastAsia="zh-CN"/>
                      <w14:textFill>
                        <w14:solidFill>
                          <w14:schemeClr w14:val="tx1"/>
                        </w14:solidFill>
                      </w14:textFill>
                    </w:rPr>
                    <w:t>排入防渗化粪池预处理后定期拉运处理</w:t>
                  </w:r>
                  <w:r>
                    <w:rPr>
                      <w:rFonts w:hint="eastAsia" w:ascii="Times New Roman" w:hAnsi="Times New Roman" w:eastAsia="宋体"/>
                      <w:color w:val="000000" w:themeColor="text1"/>
                      <w:szCs w:val="20"/>
                      <w14:textFill>
                        <w14:solidFill>
                          <w14:schemeClr w14:val="tx1"/>
                        </w14:solidFill>
                      </w14:textFill>
                    </w:rPr>
                    <w:t>；</w:t>
                  </w:r>
                  <w:r>
                    <w:rPr>
                      <w:rFonts w:hint="eastAsia" w:ascii="Times New Roman" w:hAnsi="Times New Roman" w:eastAsia="宋体"/>
                      <w:szCs w:val="20"/>
                      <w:lang w:val="en-US" w:eastAsia="zh-CN"/>
                    </w:rPr>
                    <w:t>生产用</w:t>
                  </w:r>
                  <w:r>
                    <w:rPr>
                      <w:rFonts w:hint="eastAsia" w:ascii="Times New Roman" w:hAnsi="Times New Roman" w:eastAsia="宋体"/>
                      <w:szCs w:val="20"/>
                    </w:rPr>
                    <w:t>水主要是矿石堆及运矿道路喷洒用水</w:t>
                  </w:r>
                  <w:r>
                    <w:rPr>
                      <w:rFonts w:hint="eastAsia" w:ascii="Times New Roman" w:hAnsi="Times New Roman" w:eastAsia="宋体"/>
                      <w:szCs w:val="20"/>
                      <w:lang w:eastAsia="zh-CN"/>
                    </w:rPr>
                    <w:t>，</w:t>
                  </w:r>
                  <w:r>
                    <w:rPr>
                      <w:rFonts w:hint="eastAsia" w:ascii="Times New Roman" w:hAnsi="Times New Roman" w:eastAsia="宋体"/>
                      <w:szCs w:val="20"/>
                    </w:rPr>
                    <w:t>喷洒用水抑尘后完全蒸发</w:t>
                  </w:r>
                  <w:r>
                    <w:rPr>
                      <w:rFonts w:hint="eastAsia" w:ascii="Times New Roman" w:hAnsi="Times New Roman" w:eastAsia="宋体"/>
                      <w:szCs w:val="20"/>
                      <w:lang w:eastAsia="zh-CN"/>
                    </w:rPr>
                    <w:t>，</w:t>
                  </w:r>
                  <w:r>
                    <w:rPr>
                      <w:rFonts w:hint="eastAsia" w:ascii="Times New Roman" w:hAnsi="Times New Roman" w:eastAsia="宋体"/>
                      <w:szCs w:val="20"/>
                      <w:lang w:val="en-US" w:eastAsia="zh-CN"/>
                    </w:rPr>
                    <w:t>无生产废水产生</w:t>
                  </w:r>
                  <w:r>
                    <w:rPr>
                      <w:rFonts w:hint="eastAsia" w:ascii="Times New Roman" w:hAnsi="Times New Roman" w:eastAsia="宋体"/>
                      <w:szCs w:val="20"/>
                      <w:lang w:eastAsia="zh-CN"/>
                    </w:rPr>
                    <w:t>，</w:t>
                  </w:r>
                  <w:r>
                    <w:rPr>
                      <w:rFonts w:hint="default" w:ascii="Times New Roman" w:hAnsi="Times New Roman" w:eastAsia="宋体"/>
                      <w:szCs w:val="20"/>
                    </w:rPr>
                    <w:t>不会影响区域水环境质量</w:t>
                  </w:r>
                  <w:r>
                    <w:rPr>
                      <w:rFonts w:hint="eastAsia" w:ascii="Times New Roman" w:hAnsi="Times New Roman" w:eastAsia="宋体"/>
                      <w:szCs w:val="20"/>
                      <w:lang w:eastAsia="zh-CN"/>
                    </w:rPr>
                    <w:t>，</w:t>
                  </w:r>
                  <w:r>
                    <w:rPr>
                      <w:rFonts w:hint="default" w:ascii="Times New Roman" w:hAnsi="Times New Roman" w:eastAsia="宋体"/>
                      <w:szCs w:val="20"/>
                    </w:rPr>
                    <w:t>固体废物</w:t>
                  </w:r>
                  <w:r>
                    <w:rPr>
                      <w:rFonts w:hint="default" w:ascii="Times New Roman" w:hAnsi="Times New Roman" w:eastAsia="宋体"/>
                      <w:szCs w:val="20"/>
                      <w:lang w:val="en-US" w:eastAsia="zh-CN"/>
                    </w:rPr>
                    <w:t>全部综合利用</w:t>
                  </w:r>
                  <w:r>
                    <w:rPr>
                      <w:rFonts w:hint="eastAsia" w:ascii="Times New Roman" w:hAnsi="Times New Roman" w:eastAsia="宋体"/>
                      <w:szCs w:val="20"/>
                      <w:lang w:eastAsia="zh-CN"/>
                    </w:rPr>
                    <w:t>。</w:t>
                  </w:r>
                  <w:r>
                    <w:rPr>
                      <w:rFonts w:hint="default" w:ascii="Times New Roman" w:hAnsi="Times New Roman" w:eastAsia="宋体"/>
                      <w:szCs w:val="20"/>
                    </w:rPr>
                    <w:t>因此，本项目开发对项目区环境质量影响不大，不会降低区域大气、水环境质量</w:t>
                  </w:r>
                  <w:r>
                    <w:rPr>
                      <w:rFonts w:hint="eastAsia" w:ascii="Times New Roman" w:hAnsi="Times New Roman" w:eastAsia="宋体"/>
                      <w:szCs w:val="21"/>
                    </w:rPr>
                    <w:t>；</w:t>
                  </w:r>
                  <w:r>
                    <w:rPr>
                      <w:rFonts w:hint="default" w:ascii="Times New Roman" w:hAnsi="Times New Roman" w:eastAsia="宋体"/>
                      <w:szCs w:val="21"/>
                    </w:rPr>
                    <w:t>本项目采取防渗措施，不会对土壤环境质量造成不利影响。</w:t>
                  </w:r>
                </w:p>
              </w:tc>
              <w:tc>
                <w:tcPr>
                  <w:tcW w:w="464" w:type="pct"/>
                  <w:vAlign w:val="center"/>
                </w:tcPr>
                <w:p w14:paraId="28CC1534">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default" w:ascii="Times New Roman" w:hAnsi="Times New Roman" w:eastAsia="宋体"/>
                      <w:szCs w:val="21"/>
                    </w:rPr>
                    <w:t>符合</w:t>
                  </w:r>
                </w:p>
              </w:tc>
            </w:tr>
            <w:tr w14:paraId="2926A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51" w:type="pct"/>
                  <w:vMerge w:val="continue"/>
                  <w:vAlign w:val="center"/>
                </w:tcPr>
                <w:p w14:paraId="1AC1A52B">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bCs/>
                      <w:szCs w:val="21"/>
                    </w:rPr>
                  </w:pPr>
                </w:p>
              </w:tc>
              <w:tc>
                <w:tcPr>
                  <w:tcW w:w="216" w:type="pct"/>
                  <w:vAlign w:val="center"/>
                </w:tcPr>
                <w:p w14:paraId="48690CD9">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bCs/>
                      <w:szCs w:val="21"/>
                    </w:rPr>
                  </w:pPr>
                  <w:r>
                    <w:rPr>
                      <w:rFonts w:hint="default" w:ascii="Times New Roman" w:hAnsi="Times New Roman" w:eastAsia="宋体"/>
                      <w:bCs/>
                      <w:szCs w:val="21"/>
                    </w:rPr>
                    <w:t>资源利用上线</w:t>
                  </w:r>
                </w:p>
              </w:tc>
              <w:tc>
                <w:tcPr>
                  <w:tcW w:w="2164" w:type="pct"/>
                  <w:vAlign w:val="center"/>
                </w:tcPr>
                <w:p w14:paraId="5656C527">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bCs/>
                      <w:sz w:val="21"/>
                      <w:szCs w:val="21"/>
                    </w:rPr>
                  </w:pPr>
                  <w:r>
                    <w:rPr>
                      <w:rFonts w:hint="default" w:ascii="Times New Roman" w:hAnsi="Times New Roman" w:eastAsia="宋体"/>
                      <w:bCs/>
                      <w:sz w:val="21"/>
                      <w:szCs w:val="21"/>
                    </w:rPr>
                    <w:t>强化节约集约利用，持续提升资源能源利用效率，水资源、土地资源、能源消耗等达到国家、自治区下达的总量和强度控制目标。加快低碳发展，提升碳汇能力，做好</w:t>
                  </w:r>
                  <w:r>
                    <w:rPr>
                      <w:rFonts w:hint="eastAsia" w:ascii="Times New Roman" w:eastAsia="宋体"/>
                      <w:bCs/>
                      <w:sz w:val="21"/>
                      <w:szCs w:val="21"/>
                      <w:lang w:eastAsia="zh-CN"/>
                    </w:rPr>
                    <w:t>碳达峰碳中和</w:t>
                  </w:r>
                  <w:r>
                    <w:rPr>
                      <w:rFonts w:hint="default" w:ascii="Times New Roman" w:hAnsi="Times New Roman" w:eastAsia="宋体"/>
                      <w:bCs/>
                      <w:sz w:val="21"/>
                      <w:szCs w:val="21"/>
                    </w:rPr>
                    <w:t>工作。</w:t>
                  </w:r>
                </w:p>
              </w:tc>
              <w:tc>
                <w:tcPr>
                  <w:tcW w:w="1602" w:type="pct"/>
                  <w:vAlign w:val="center"/>
                </w:tcPr>
                <w:p w14:paraId="69D6EE69">
                  <w:pPr>
                    <w:pStyle w:val="6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 w:val="21"/>
                      <w:szCs w:val="21"/>
                    </w:rPr>
                  </w:pPr>
                  <w:r>
                    <w:rPr>
                      <w:rFonts w:hint="default" w:ascii="Times New Roman" w:hAnsi="Times New Roman" w:eastAsia="宋体"/>
                      <w:sz w:val="21"/>
                      <w:szCs w:val="20"/>
                    </w:rPr>
                    <w:t>本项目为新建项目，根据《产业结构调整指导目录（2024本）》，项目不属于鼓励类、限制类及淘汰类，采用的生产工艺、设备、产品均不属于《产业结构调整指导目录（2024本）》中所列的落后工艺、装备和产品之列</w:t>
                  </w:r>
                  <w:r>
                    <w:rPr>
                      <w:rFonts w:hint="eastAsia" w:ascii="Times New Roman" w:hAnsi="Times New Roman" w:eastAsia="宋体"/>
                      <w:sz w:val="21"/>
                      <w:szCs w:val="20"/>
                      <w:lang w:eastAsia="zh-CN"/>
                    </w:rPr>
                    <w:t>；</w:t>
                  </w:r>
                  <w:r>
                    <w:rPr>
                      <w:rFonts w:hint="default" w:ascii="Times New Roman" w:hAnsi="Times New Roman" w:eastAsia="宋体"/>
                      <w:sz w:val="21"/>
                      <w:szCs w:val="20"/>
                      <w:lang w:val="en-US" w:eastAsia="zh-CN"/>
                    </w:rPr>
                    <w:t>排土场内的废土、废石</w:t>
                  </w:r>
                  <w:r>
                    <w:rPr>
                      <w:rFonts w:hint="default" w:ascii="Times New Roman" w:hAnsi="Times New Roman" w:eastAsia="宋体"/>
                      <w:sz w:val="21"/>
                      <w:szCs w:val="20"/>
                    </w:rPr>
                    <w:t>对</w:t>
                  </w:r>
                  <w:r>
                    <w:rPr>
                      <w:rFonts w:hint="default" w:ascii="Times New Roman" w:hAnsi="Times New Roman" w:eastAsia="宋体"/>
                      <w:sz w:val="21"/>
                      <w:szCs w:val="20"/>
                      <w:lang w:val="en-US" w:eastAsia="zh-CN"/>
                    </w:rPr>
                    <w:t>开采过程中产生的采坑进行回填平整</w:t>
                  </w:r>
                  <w:r>
                    <w:rPr>
                      <w:rFonts w:hint="default" w:ascii="Times New Roman" w:hAnsi="Times New Roman" w:eastAsia="宋体"/>
                      <w:sz w:val="21"/>
                      <w:szCs w:val="20"/>
                      <w:lang w:eastAsia="zh-CN"/>
                    </w:rPr>
                    <w:t>，回采率为95%，</w:t>
                  </w:r>
                  <w:r>
                    <w:rPr>
                      <w:rFonts w:hint="default" w:ascii="Times New Roman" w:hAnsi="Times New Roman" w:eastAsia="宋体"/>
                      <w:sz w:val="21"/>
                      <w:szCs w:val="20"/>
                    </w:rPr>
                    <w:t>资源能源利用效率</w:t>
                  </w:r>
                  <w:r>
                    <w:rPr>
                      <w:rFonts w:hint="default" w:ascii="Times New Roman" w:hAnsi="Times New Roman" w:eastAsia="宋体"/>
                      <w:sz w:val="21"/>
                      <w:szCs w:val="20"/>
                      <w:lang w:val="en-US" w:eastAsia="zh-CN"/>
                    </w:rPr>
                    <w:t>高</w:t>
                  </w:r>
                  <w:r>
                    <w:rPr>
                      <w:rFonts w:hint="default" w:ascii="Times New Roman" w:hAnsi="Times New Roman" w:eastAsia="宋体"/>
                      <w:sz w:val="21"/>
                      <w:szCs w:val="20"/>
                    </w:rPr>
                    <w:t>，开采过程中</w:t>
                  </w:r>
                  <w:r>
                    <w:rPr>
                      <w:rFonts w:hint="default" w:ascii="Times New Roman" w:hAnsi="Times New Roman" w:eastAsia="宋体"/>
                      <w:sz w:val="21"/>
                      <w:szCs w:val="20"/>
                      <w:lang w:val="en-US" w:eastAsia="zh-CN"/>
                    </w:rPr>
                    <w:t>对</w:t>
                  </w:r>
                  <w:r>
                    <w:rPr>
                      <w:rFonts w:hint="default" w:ascii="Times New Roman" w:hAnsi="Times New Roman" w:eastAsia="宋体"/>
                      <w:sz w:val="21"/>
                      <w:szCs w:val="20"/>
                    </w:rPr>
                    <w:t>水、电</w:t>
                  </w:r>
                  <w:r>
                    <w:rPr>
                      <w:rFonts w:hint="default" w:ascii="Times New Roman" w:hAnsi="Times New Roman" w:eastAsia="宋体"/>
                      <w:sz w:val="21"/>
                      <w:szCs w:val="20"/>
                      <w:lang w:val="en-US" w:eastAsia="zh-CN"/>
                    </w:rPr>
                    <w:t>进行合理利用</w:t>
                  </w:r>
                  <w:r>
                    <w:rPr>
                      <w:rFonts w:hint="default" w:ascii="Times New Roman" w:hAnsi="Times New Roman" w:eastAsia="宋体"/>
                      <w:sz w:val="21"/>
                      <w:szCs w:val="20"/>
                    </w:rPr>
                    <w:t>。</w:t>
                  </w:r>
                </w:p>
              </w:tc>
              <w:tc>
                <w:tcPr>
                  <w:tcW w:w="464" w:type="pct"/>
                  <w:vAlign w:val="center"/>
                </w:tcPr>
                <w:p w14:paraId="28E6C146">
                  <w:pPr>
                    <w:pStyle w:val="62"/>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default" w:ascii="Times New Roman" w:hAnsi="Times New Roman" w:eastAsia="宋体"/>
                      <w:szCs w:val="21"/>
                    </w:rPr>
                    <w:t>符合</w:t>
                  </w:r>
                </w:p>
              </w:tc>
            </w:tr>
          </w:tbl>
          <w:p w14:paraId="5ADABEFE">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lang w:val="zh-CN"/>
              </w:rPr>
            </w:pPr>
            <w:r>
              <w:rPr>
                <w:rFonts w:hint="eastAsia"/>
                <w:b/>
                <w:bCs/>
                <w:sz w:val="24"/>
                <w:lang w:val="zh-CN"/>
              </w:rPr>
              <w:t>《巴音郭楞蒙古自治州生态环境准入清单》符合性分析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9"/>
              <w:gridCol w:w="3078"/>
              <w:gridCol w:w="3175"/>
              <w:gridCol w:w="738"/>
            </w:tblGrid>
            <w:tr w14:paraId="4BC114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580" w:type="pct"/>
                  <w:tcBorders>
                    <w:bottom w:val="single" w:color="auto" w:sz="4" w:space="0"/>
                    <w:right w:val="single" w:color="auto" w:sz="4" w:space="0"/>
                    <w:tl2br w:val="nil"/>
                    <w:tr2bl w:val="nil"/>
                  </w:tcBorders>
                  <w:vAlign w:val="center"/>
                </w:tcPr>
                <w:p w14:paraId="7947644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环境管控单元名称及编码</w:t>
                  </w:r>
                </w:p>
              </w:tc>
              <w:tc>
                <w:tcPr>
                  <w:tcW w:w="1945" w:type="pct"/>
                  <w:tcBorders>
                    <w:left w:val="single" w:color="auto" w:sz="4" w:space="0"/>
                    <w:bottom w:val="single" w:color="auto" w:sz="4" w:space="0"/>
                    <w:right w:val="single" w:color="auto" w:sz="4" w:space="0"/>
                    <w:tl2br w:val="nil"/>
                    <w:tr2bl w:val="nil"/>
                  </w:tcBorders>
                  <w:vAlign w:val="center"/>
                </w:tcPr>
                <w:p w14:paraId="41A0891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和静县一般管控区</w:t>
                  </w:r>
                </w:p>
                <w:p w14:paraId="1F4CA7E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（ZH65282730001）一般管控单元</w:t>
                  </w:r>
                </w:p>
              </w:tc>
              <w:tc>
                <w:tcPr>
                  <w:tcW w:w="2006" w:type="pct"/>
                  <w:vMerge w:val="restart"/>
                  <w:tcBorders>
                    <w:left w:val="single" w:color="auto" w:sz="4" w:space="0"/>
                    <w:tl2br w:val="nil"/>
                    <w:tr2bl w:val="nil"/>
                  </w:tcBorders>
                  <w:vAlign w:val="center"/>
                </w:tcPr>
                <w:p w14:paraId="368C603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工程具体情况</w:t>
                  </w:r>
                </w:p>
              </w:tc>
              <w:tc>
                <w:tcPr>
                  <w:tcW w:w="466" w:type="pct"/>
                  <w:vMerge w:val="restart"/>
                  <w:tcBorders>
                    <w:tl2br w:val="nil"/>
                    <w:tr2bl w:val="nil"/>
                  </w:tcBorders>
                  <w:vAlign w:val="center"/>
                </w:tcPr>
                <w:p w14:paraId="4B6FE73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符合性分析</w:t>
                  </w:r>
                </w:p>
              </w:tc>
            </w:tr>
            <w:tr w14:paraId="267866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26" w:type="pct"/>
                  <w:gridSpan w:val="2"/>
                  <w:tcBorders>
                    <w:top w:val="single" w:color="auto" w:sz="4" w:space="0"/>
                    <w:right w:val="single" w:color="auto" w:sz="4" w:space="0"/>
                    <w:tl2br w:val="nil"/>
                    <w:tr2bl w:val="nil"/>
                  </w:tcBorders>
                  <w:vAlign w:val="center"/>
                </w:tcPr>
                <w:p w14:paraId="6519E65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“三线一单”要求</w:t>
                  </w:r>
                </w:p>
              </w:tc>
              <w:tc>
                <w:tcPr>
                  <w:tcW w:w="2006" w:type="pct"/>
                  <w:vMerge w:val="continue"/>
                  <w:tcBorders>
                    <w:left w:val="single" w:color="auto" w:sz="4" w:space="0"/>
                    <w:tl2br w:val="nil"/>
                    <w:tr2bl w:val="nil"/>
                  </w:tcBorders>
                  <w:vAlign w:val="center"/>
                </w:tcPr>
                <w:p w14:paraId="23D378D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466" w:type="pct"/>
                  <w:vMerge w:val="continue"/>
                  <w:tcBorders>
                    <w:tl2br w:val="nil"/>
                    <w:tr2bl w:val="nil"/>
                  </w:tcBorders>
                  <w:vAlign w:val="center"/>
                </w:tcPr>
                <w:p w14:paraId="6B73B3B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r>
            <w:tr w14:paraId="2BCF1F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80" w:type="pct"/>
                  <w:tcBorders>
                    <w:right w:val="single" w:color="auto" w:sz="4" w:space="0"/>
                    <w:tl2br w:val="nil"/>
                    <w:tr2bl w:val="nil"/>
                  </w:tcBorders>
                  <w:vAlign w:val="center"/>
                </w:tcPr>
                <w:p w14:paraId="70EFAA8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sz w:val="21"/>
                    </w:rPr>
                  </w:pPr>
                  <w:r>
                    <w:rPr>
                      <w:rFonts w:hint="default" w:ascii="Times New Roman" w:hAnsi="Times New Roman" w:eastAsia="宋体"/>
                      <w:sz w:val="21"/>
                    </w:rPr>
                    <w:t>空间</w:t>
                  </w:r>
                </w:p>
                <w:p w14:paraId="60EE6775">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kern w:val="2"/>
                      <w:sz w:val="21"/>
                    </w:rPr>
                  </w:pPr>
                  <w:r>
                    <w:rPr>
                      <w:rFonts w:hint="default" w:ascii="Times New Roman" w:hAnsi="Times New Roman" w:eastAsia="宋体"/>
                      <w:sz w:val="21"/>
                    </w:rPr>
                    <w:t>布局约束</w:t>
                  </w:r>
                </w:p>
              </w:tc>
              <w:tc>
                <w:tcPr>
                  <w:tcW w:w="1945" w:type="pct"/>
                  <w:tcBorders>
                    <w:left w:val="single" w:color="auto" w:sz="4" w:space="0"/>
                    <w:right w:val="single" w:color="auto" w:sz="4" w:space="0"/>
                    <w:tl2br w:val="nil"/>
                    <w:tr2bl w:val="nil"/>
                  </w:tcBorders>
                  <w:vAlign w:val="center"/>
                </w:tcPr>
                <w:p w14:paraId="391FBCD6">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bCs/>
                      <w:color w:val="000000" w:themeColor="text1"/>
                      <w:sz w:val="21"/>
                      <w14:textFill>
                        <w14:solidFill>
                          <w14:schemeClr w14:val="tx1"/>
                        </w14:solidFill>
                      </w14:textFill>
                    </w:rPr>
                  </w:pPr>
                  <w:r>
                    <w:rPr>
                      <w:rFonts w:hint="default" w:ascii="Times New Roman" w:hAnsi="Times New Roman" w:eastAsia="宋体"/>
                      <w:bCs/>
                      <w:color w:val="000000" w:themeColor="text1"/>
                      <w:sz w:val="21"/>
                      <w14:textFill>
                        <w14:solidFill>
                          <w14:schemeClr w14:val="tx1"/>
                        </w14:solidFill>
                      </w14:textFill>
                    </w:rPr>
                    <w:t>1.4禁止在自治州行政区域内引进能</w:t>
                  </w:r>
                  <w:r>
                    <w:rPr>
                      <w:rFonts w:hint="eastAsia" w:ascii="Times New Roman" w:hAnsi="Times New Roman" w:eastAsia="宋体"/>
                      <w:bCs/>
                      <w:color w:val="000000" w:themeColor="text1"/>
                      <w:sz w:val="21"/>
                      <w14:textFill>
                        <w14:solidFill>
                          <w14:schemeClr w14:val="tx1"/>
                        </w14:solidFill>
                      </w14:textFill>
                    </w:rPr>
                    <w:t>（</w:t>
                  </w:r>
                  <w:r>
                    <w:rPr>
                      <w:rFonts w:hint="default" w:ascii="Times New Roman" w:hAnsi="Times New Roman" w:eastAsia="宋体"/>
                      <w:bCs/>
                      <w:color w:val="000000" w:themeColor="text1"/>
                      <w:sz w:val="21"/>
                      <w14:textFill>
                        <w14:solidFill>
                          <w14:schemeClr w14:val="tx1"/>
                        </w14:solidFill>
                      </w14:textFill>
                    </w:rPr>
                    <w:t>水</w:t>
                  </w:r>
                  <w:r>
                    <w:rPr>
                      <w:rFonts w:hint="eastAsia" w:ascii="Times New Roman" w:hAnsi="Times New Roman" w:eastAsia="宋体"/>
                      <w:bCs/>
                      <w:color w:val="000000" w:themeColor="text1"/>
                      <w:sz w:val="21"/>
                      <w14:textFill>
                        <w14:solidFill>
                          <w14:schemeClr w14:val="tx1"/>
                        </w14:solidFill>
                      </w14:textFill>
                    </w:rPr>
                    <w:t>）</w:t>
                  </w:r>
                  <w:r>
                    <w:rPr>
                      <w:rFonts w:hint="default" w:ascii="Times New Roman" w:hAnsi="Times New Roman" w:eastAsia="宋体"/>
                      <w:bCs/>
                      <w:color w:val="000000" w:themeColor="text1"/>
                      <w:sz w:val="21"/>
                      <w14:textFill>
                        <w14:solidFill>
                          <w14:schemeClr w14:val="tx1"/>
                        </w14:solidFill>
                      </w14:textFill>
                    </w:rPr>
                    <w:t>耗不符合相关国家标准中准入值要求，且污染物排放和环境风险防控不符合国家</w:t>
                  </w:r>
                  <w:r>
                    <w:rPr>
                      <w:rFonts w:hint="eastAsia" w:ascii="Times New Roman" w:hAnsi="Times New Roman" w:eastAsia="宋体"/>
                      <w:bCs/>
                      <w:color w:val="000000" w:themeColor="text1"/>
                      <w:sz w:val="21"/>
                      <w14:textFill>
                        <w14:solidFill>
                          <w14:schemeClr w14:val="tx1"/>
                        </w14:solidFill>
                      </w14:textFill>
                    </w:rPr>
                    <w:t>（</w:t>
                  </w:r>
                  <w:r>
                    <w:rPr>
                      <w:rFonts w:hint="default" w:ascii="Times New Roman" w:hAnsi="Times New Roman" w:eastAsia="宋体"/>
                      <w:bCs/>
                      <w:color w:val="000000" w:themeColor="text1"/>
                      <w:sz w:val="21"/>
                      <w14:textFill>
                        <w14:solidFill>
                          <w14:schemeClr w14:val="tx1"/>
                        </w14:solidFill>
                      </w14:textFill>
                    </w:rPr>
                    <w:t>地方</w:t>
                  </w:r>
                  <w:r>
                    <w:rPr>
                      <w:rFonts w:hint="eastAsia" w:ascii="Times New Roman" w:hAnsi="Times New Roman" w:eastAsia="宋体"/>
                      <w:bCs/>
                      <w:color w:val="000000" w:themeColor="text1"/>
                      <w:sz w:val="21"/>
                      <w14:textFill>
                        <w14:solidFill>
                          <w14:schemeClr w14:val="tx1"/>
                        </w14:solidFill>
                      </w14:textFill>
                    </w:rPr>
                    <w:t>）</w:t>
                  </w:r>
                  <w:r>
                    <w:rPr>
                      <w:rFonts w:hint="default" w:ascii="Times New Roman" w:hAnsi="Times New Roman" w:eastAsia="宋体"/>
                      <w:bCs/>
                      <w:color w:val="000000" w:themeColor="text1"/>
                      <w:sz w:val="21"/>
                      <w14:textFill>
                        <w14:solidFill>
                          <w14:schemeClr w14:val="tx1"/>
                        </w14:solidFill>
                      </w14:textFill>
                    </w:rPr>
                    <w:t>标准及有关产业准入条件的高污染</w:t>
                  </w:r>
                  <w:r>
                    <w:rPr>
                      <w:rFonts w:hint="eastAsia" w:ascii="Times New Roman" w:hAnsi="Times New Roman" w:eastAsia="宋体"/>
                      <w:bCs/>
                      <w:color w:val="000000" w:themeColor="text1"/>
                      <w:sz w:val="21"/>
                      <w14:textFill>
                        <w14:solidFill>
                          <w14:schemeClr w14:val="tx1"/>
                        </w14:solidFill>
                      </w14:textFill>
                    </w:rPr>
                    <w:t>（</w:t>
                  </w:r>
                  <w:r>
                    <w:rPr>
                      <w:rFonts w:hint="default" w:ascii="Times New Roman" w:hAnsi="Times New Roman" w:eastAsia="宋体"/>
                      <w:bCs/>
                      <w:color w:val="000000" w:themeColor="text1"/>
                      <w:sz w:val="21"/>
                      <w14:textFill>
                        <w14:solidFill>
                          <w14:schemeClr w14:val="tx1"/>
                        </w14:solidFill>
                      </w14:textFill>
                    </w:rPr>
                    <w:t>排放</w:t>
                  </w:r>
                  <w:r>
                    <w:rPr>
                      <w:rFonts w:hint="eastAsia" w:ascii="Times New Roman" w:hAnsi="Times New Roman" w:eastAsia="宋体"/>
                      <w:bCs/>
                      <w:color w:val="000000" w:themeColor="text1"/>
                      <w:sz w:val="21"/>
                      <w14:textFill>
                        <w14:solidFill>
                          <w14:schemeClr w14:val="tx1"/>
                        </w14:solidFill>
                      </w14:textFill>
                    </w:rPr>
                    <w:t>）</w:t>
                  </w:r>
                  <w:r>
                    <w:rPr>
                      <w:rFonts w:hint="default" w:ascii="Times New Roman" w:hAnsi="Times New Roman" w:eastAsia="宋体"/>
                      <w:bCs/>
                      <w:color w:val="000000" w:themeColor="text1"/>
                      <w:sz w:val="21"/>
                      <w14:textFill>
                        <w14:solidFill>
                          <w14:schemeClr w14:val="tx1"/>
                        </w14:solidFill>
                      </w14:textFill>
                    </w:rPr>
                    <w:t>、高能</w:t>
                  </w:r>
                  <w:r>
                    <w:rPr>
                      <w:rFonts w:hint="eastAsia" w:ascii="Times New Roman" w:hAnsi="Times New Roman" w:eastAsia="宋体"/>
                      <w:bCs/>
                      <w:color w:val="000000" w:themeColor="text1"/>
                      <w:sz w:val="21"/>
                      <w14:textFill>
                        <w14:solidFill>
                          <w14:schemeClr w14:val="tx1"/>
                        </w14:solidFill>
                      </w14:textFill>
                    </w:rPr>
                    <w:t>（</w:t>
                  </w:r>
                  <w:r>
                    <w:rPr>
                      <w:rFonts w:hint="default" w:ascii="Times New Roman" w:hAnsi="Times New Roman" w:eastAsia="宋体"/>
                      <w:bCs/>
                      <w:color w:val="000000" w:themeColor="text1"/>
                      <w:sz w:val="21"/>
                      <w14:textFill>
                        <w14:solidFill>
                          <w14:schemeClr w14:val="tx1"/>
                        </w14:solidFill>
                      </w14:textFill>
                    </w:rPr>
                    <w:t>水</w:t>
                  </w:r>
                  <w:r>
                    <w:rPr>
                      <w:rFonts w:hint="eastAsia" w:ascii="Times New Roman" w:hAnsi="Times New Roman" w:eastAsia="宋体"/>
                      <w:bCs/>
                      <w:color w:val="000000" w:themeColor="text1"/>
                      <w:sz w:val="21"/>
                      <w14:textFill>
                        <w14:solidFill>
                          <w14:schemeClr w14:val="tx1"/>
                        </w14:solidFill>
                      </w14:textFill>
                    </w:rPr>
                    <w:t>）</w:t>
                  </w:r>
                  <w:r>
                    <w:rPr>
                      <w:rFonts w:hint="default" w:ascii="Times New Roman" w:hAnsi="Times New Roman" w:eastAsia="宋体"/>
                      <w:bCs/>
                      <w:color w:val="000000" w:themeColor="text1"/>
                      <w:sz w:val="21"/>
                      <w14:textFill>
                        <w14:solidFill>
                          <w14:schemeClr w14:val="tx1"/>
                        </w14:solidFill>
                      </w14:textFill>
                    </w:rPr>
                    <w:t>耗、高环境风险的工业项目。</w:t>
                  </w:r>
                </w:p>
                <w:p w14:paraId="5E9C5F54">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bCs/>
                      <w:color w:val="000000" w:themeColor="text1"/>
                      <w:sz w:val="21"/>
                      <w14:textFill>
                        <w14:solidFill>
                          <w14:schemeClr w14:val="tx1"/>
                        </w14:solidFill>
                      </w14:textFill>
                    </w:rPr>
                  </w:pPr>
                  <w:r>
                    <w:rPr>
                      <w:rFonts w:hint="default" w:ascii="Times New Roman" w:hAnsi="Times New Roman" w:eastAsia="宋体"/>
                      <w:bCs/>
                      <w:color w:val="000000" w:themeColor="text1"/>
                      <w:sz w:val="21"/>
                      <w14:textFill>
                        <w14:solidFill>
                          <w14:schemeClr w14:val="tx1"/>
                        </w14:solidFill>
                      </w14:textFill>
                    </w:rPr>
                    <w:t>1.5禁止新建、改建、扩建严重污染大气环境的项目。</w:t>
                  </w:r>
                </w:p>
                <w:p w14:paraId="0012730F">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bCs/>
                      <w:color w:val="000000" w:themeColor="text1"/>
                      <w:sz w:val="21"/>
                      <w14:textFill>
                        <w14:solidFill>
                          <w14:schemeClr w14:val="tx1"/>
                        </w14:solidFill>
                      </w14:textFill>
                    </w:rPr>
                  </w:pPr>
                  <w:r>
                    <w:rPr>
                      <w:rFonts w:hint="default" w:ascii="Times New Roman" w:hAnsi="Times New Roman" w:eastAsia="宋体"/>
                      <w:bCs/>
                      <w:color w:val="000000" w:themeColor="text1"/>
                      <w:sz w:val="21"/>
                      <w14:textFill>
                        <w14:solidFill>
                          <w14:schemeClr w14:val="tx1"/>
                        </w14:solidFill>
                      </w14:textFill>
                    </w:rPr>
                    <w:t>1.8</w:t>
                  </w:r>
                  <w:r>
                    <w:rPr>
                      <w:rFonts w:hint="eastAsia" w:ascii="Times New Roman" w:hAnsi="Times New Roman" w:eastAsia="宋体"/>
                      <w:bCs/>
                      <w:color w:val="000000" w:themeColor="text1"/>
                      <w:sz w:val="21"/>
                      <w14:textFill>
                        <w14:solidFill>
                          <w14:schemeClr w14:val="tx1"/>
                        </w14:solidFill>
                      </w14:textFill>
                    </w:rPr>
                    <w:t>禁止任何单位和个人在基本农田保护区内建窑、建房、建坟、挖砂、采石、采矿、取土、堆放固体废弃物或者进行其他破坏基本农田的活动。</w:t>
                  </w:r>
                </w:p>
              </w:tc>
              <w:tc>
                <w:tcPr>
                  <w:tcW w:w="2006" w:type="pct"/>
                  <w:tcBorders>
                    <w:left w:val="single" w:color="auto" w:sz="4" w:space="0"/>
                    <w:tl2br w:val="nil"/>
                    <w:tr2bl w:val="nil"/>
                  </w:tcBorders>
                  <w:vAlign w:val="center"/>
                </w:tcPr>
                <w:p w14:paraId="1FD573BF">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bCs/>
                      <w:color w:val="000000" w:themeColor="text1"/>
                      <w:sz w:val="21"/>
                      <w:lang w:val="en-US" w:eastAsia="zh-CN"/>
                      <w14:textFill>
                        <w14:solidFill>
                          <w14:schemeClr w14:val="tx1"/>
                        </w14:solidFill>
                      </w14:textFill>
                    </w:rPr>
                  </w:pPr>
                  <w:r>
                    <w:rPr>
                      <w:rFonts w:hint="default" w:ascii="Times New Roman" w:hAnsi="Times New Roman" w:eastAsia="宋体"/>
                      <w:bCs/>
                      <w:color w:val="000000" w:themeColor="text1"/>
                      <w:sz w:val="21"/>
                      <w:lang w:val="en-US" w:eastAsia="zh-CN"/>
                      <w14:textFill>
                        <w14:solidFill>
                          <w14:schemeClr w14:val="tx1"/>
                        </w14:solidFill>
                      </w14:textFill>
                    </w:rPr>
                    <w:t>1.</w:t>
                  </w:r>
                  <w:r>
                    <w:rPr>
                      <w:rFonts w:hint="eastAsia" w:ascii="Times New Roman"/>
                      <w:bCs/>
                      <w:color w:val="000000" w:themeColor="text1"/>
                      <w:sz w:val="21"/>
                      <w:lang w:val="en-US" w:eastAsia="zh-CN"/>
                      <w14:textFill>
                        <w14:solidFill>
                          <w14:schemeClr w14:val="tx1"/>
                        </w14:solidFill>
                      </w14:textFill>
                    </w:rPr>
                    <w:t>本项目不属于</w:t>
                  </w:r>
                  <w:r>
                    <w:rPr>
                      <w:rFonts w:hint="default" w:ascii="Times New Roman" w:hAnsi="Times New Roman" w:eastAsia="宋体"/>
                      <w:bCs/>
                      <w:color w:val="000000" w:themeColor="text1"/>
                      <w:sz w:val="21"/>
                      <w:lang w:val="en-US" w:eastAsia="zh-CN"/>
                      <w14:textFill>
                        <w14:solidFill>
                          <w14:schemeClr w14:val="tx1"/>
                        </w14:solidFill>
                      </w14:textFill>
                    </w:rPr>
                    <w:t>高污染（排放）、高能（水）耗、高环境风险的工业项目。</w:t>
                  </w:r>
                </w:p>
                <w:p w14:paraId="049D2AC5">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bCs/>
                      <w:color w:val="000000" w:themeColor="text1"/>
                      <w:sz w:val="21"/>
                      <w:lang w:val="en-US" w:eastAsia="zh-CN"/>
                      <w14:textFill>
                        <w14:solidFill>
                          <w14:schemeClr w14:val="tx1"/>
                        </w14:solidFill>
                      </w14:textFill>
                    </w:rPr>
                  </w:pPr>
                  <w:r>
                    <w:rPr>
                      <w:rFonts w:hint="default" w:ascii="Times New Roman" w:hAnsi="Times New Roman" w:eastAsia="宋体"/>
                      <w:bCs/>
                      <w:color w:val="000000" w:themeColor="text1"/>
                      <w:sz w:val="21"/>
                      <w:lang w:val="en-US" w:eastAsia="zh-CN"/>
                      <w14:textFill>
                        <w14:solidFill>
                          <w14:schemeClr w14:val="tx1"/>
                        </w14:solidFill>
                      </w14:textFill>
                    </w:rPr>
                    <w:t>2.</w:t>
                  </w:r>
                  <w:r>
                    <w:rPr>
                      <w:rFonts w:hint="eastAsia" w:ascii="Times New Roman"/>
                      <w:bCs/>
                      <w:color w:val="000000" w:themeColor="text1"/>
                      <w:sz w:val="21"/>
                      <w:lang w:val="en-US" w:eastAsia="zh-CN"/>
                      <w14:textFill>
                        <w14:solidFill>
                          <w14:schemeClr w14:val="tx1"/>
                        </w14:solidFill>
                      </w14:textFill>
                    </w:rPr>
                    <w:t>本项目不属于</w:t>
                  </w:r>
                  <w:r>
                    <w:rPr>
                      <w:rFonts w:hint="default" w:ascii="Times New Roman" w:hAnsi="Times New Roman" w:eastAsia="宋体"/>
                      <w:bCs/>
                      <w:color w:val="000000" w:themeColor="text1"/>
                      <w:sz w:val="21"/>
                      <w14:textFill>
                        <w14:solidFill>
                          <w14:schemeClr w14:val="tx1"/>
                        </w14:solidFill>
                      </w14:textFill>
                    </w:rPr>
                    <w:t>严重污染大气环境的项目。</w:t>
                  </w:r>
                </w:p>
                <w:p w14:paraId="771B17FA">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bCs/>
                      <w:color w:val="000000" w:themeColor="text1"/>
                      <w:sz w:val="21"/>
                      <w14:textFill>
                        <w14:solidFill>
                          <w14:schemeClr w14:val="tx1"/>
                        </w14:solidFill>
                      </w14:textFill>
                    </w:rPr>
                  </w:pPr>
                  <w:r>
                    <w:rPr>
                      <w:rFonts w:hint="default" w:ascii="Times New Roman" w:hAnsi="Times New Roman" w:eastAsia="宋体"/>
                      <w:bCs/>
                      <w:color w:val="000000" w:themeColor="text1"/>
                      <w:sz w:val="21"/>
                      <w:lang w:val="en-US" w:eastAsia="zh-CN"/>
                      <w14:textFill>
                        <w14:solidFill>
                          <w14:schemeClr w14:val="tx1"/>
                        </w14:solidFill>
                      </w14:textFill>
                    </w:rPr>
                    <w:t>3.本项目为水泥用</w:t>
                  </w:r>
                  <w:r>
                    <w:rPr>
                      <w:rFonts w:hint="eastAsia" w:ascii="Times New Roman" w:hAnsi="Times New Roman" w:eastAsia="宋体"/>
                      <w:bCs/>
                      <w:color w:val="000000" w:themeColor="text1"/>
                      <w:sz w:val="21"/>
                      <w:lang w:val="en-US" w:eastAsia="zh-CN"/>
                      <w14:textFill>
                        <w14:solidFill>
                          <w14:schemeClr w14:val="tx1"/>
                        </w14:solidFill>
                      </w14:textFill>
                    </w:rPr>
                    <w:t>石灰</w:t>
                  </w:r>
                  <w:r>
                    <w:rPr>
                      <w:rFonts w:hint="default" w:ascii="Times New Roman" w:hAnsi="Times New Roman" w:eastAsia="宋体"/>
                      <w:bCs/>
                      <w:color w:val="000000" w:themeColor="text1"/>
                      <w:sz w:val="21"/>
                      <w:lang w:val="en-US" w:eastAsia="zh-CN"/>
                      <w14:textFill>
                        <w14:solidFill>
                          <w14:schemeClr w14:val="tx1"/>
                        </w14:solidFill>
                      </w14:textFill>
                    </w:rPr>
                    <w:t>岩矿开采，矿区不在基本农田保护区内。</w:t>
                  </w:r>
                </w:p>
              </w:tc>
              <w:tc>
                <w:tcPr>
                  <w:tcW w:w="466" w:type="pct"/>
                  <w:tcBorders>
                    <w:tl2br w:val="nil"/>
                    <w:tr2bl w:val="nil"/>
                  </w:tcBorders>
                  <w:vAlign w:val="center"/>
                </w:tcPr>
                <w:p w14:paraId="5341780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7C8DEB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80" w:type="pct"/>
                  <w:tcBorders>
                    <w:right w:val="single" w:color="auto" w:sz="4" w:space="0"/>
                    <w:tl2br w:val="nil"/>
                    <w:tr2bl w:val="nil"/>
                  </w:tcBorders>
                  <w:vAlign w:val="center"/>
                </w:tcPr>
                <w:p w14:paraId="6FDFB6F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kern w:val="2"/>
                      <w:sz w:val="21"/>
                    </w:rPr>
                  </w:pPr>
                  <w:r>
                    <w:rPr>
                      <w:rFonts w:hint="default" w:ascii="Times New Roman" w:hAnsi="Times New Roman" w:eastAsia="宋体"/>
                      <w:sz w:val="21"/>
                    </w:rPr>
                    <w:t>污染物排放管控</w:t>
                  </w:r>
                </w:p>
              </w:tc>
              <w:tc>
                <w:tcPr>
                  <w:tcW w:w="1945" w:type="pct"/>
                  <w:tcBorders>
                    <w:left w:val="single" w:color="auto" w:sz="4" w:space="0"/>
                    <w:right w:val="single" w:color="auto" w:sz="4" w:space="0"/>
                    <w:tl2br w:val="nil"/>
                    <w:tr2bl w:val="nil"/>
                  </w:tcBorders>
                  <w:vAlign w:val="center"/>
                </w:tcPr>
                <w:p w14:paraId="5761BE0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cs="宋体"/>
                      <w:color w:val="000000" w:themeColor="text1"/>
                      <w:kern w:val="0"/>
                      <w:szCs w:val="21"/>
                      <w:lang w:bidi="ar"/>
                      <w14:textFill>
                        <w14:solidFill>
                          <w14:schemeClr w14:val="tx1"/>
                        </w14:solidFill>
                      </w14:textFill>
                    </w:rPr>
                  </w:pPr>
                  <w:r>
                    <w:rPr>
                      <w:rFonts w:hint="default" w:ascii="Times New Roman" w:hAnsi="Times New Roman" w:eastAsia="宋体"/>
                      <w:color w:val="000000" w:themeColor="text1"/>
                      <w:kern w:val="0"/>
                      <w:szCs w:val="21"/>
                      <w:lang w:bidi="ar"/>
                      <w14:textFill>
                        <w14:solidFill>
                          <w14:schemeClr w14:val="tx1"/>
                        </w14:solidFill>
                      </w14:textFill>
                    </w:rPr>
                    <w:t>2.4</w:t>
                  </w:r>
                  <w:r>
                    <w:rPr>
                      <w:rFonts w:hint="eastAsia" w:ascii="Times New Roman" w:hAnsi="Times New Roman" w:eastAsia="宋体" w:cs="宋体"/>
                      <w:color w:val="000000" w:themeColor="text1"/>
                      <w:kern w:val="0"/>
                      <w:szCs w:val="21"/>
                      <w:lang w:bidi="ar"/>
                      <w14:textFill>
                        <w14:solidFill>
                          <w14:schemeClr w14:val="tx1"/>
                        </w14:solidFill>
                      </w14:textFill>
                    </w:rPr>
                    <w:t>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p w14:paraId="125E0F42">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themeColor="text1"/>
                      <w:kern w:val="0"/>
                      <w:szCs w:val="21"/>
                      <w:lang w:bidi="ar"/>
                      <w14:textFill>
                        <w14:solidFill>
                          <w14:schemeClr w14:val="tx1"/>
                        </w14:solidFill>
                      </w14:textFill>
                    </w:rPr>
                  </w:pPr>
                  <w:r>
                    <w:rPr>
                      <w:rFonts w:hint="default" w:ascii="Times New Roman" w:hAnsi="Times New Roman" w:eastAsia="宋体"/>
                      <w:bCs/>
                      <w:color w:val="000000" w:themeColor="text1"/>
                      <w:sz w:val="21"/>
                      <w14:textFill>
                        <w14:solidFill>
                          <w14:schemeClr w14:val="tx1"/>
                        </w14:solidFill>
                      </w14:textFill>
                    </w:rPr>
                    <w:t>2.9所有排污单位必须依法实现全面达标排放。</w:t>
                  </w:r>
                </w:p>
              </w:tc>
              <w:tc>
                <w:tcPr>
                  <w:tcW w:w="2006" w:type="pct"/>
                  <w:tcBorders>
                    <w:left w:val="single" w:color="auto" w:sz="4" w:space="0"/>
                    <w:tl2br w:val="nil"/>
                    <w:tr2bl w:val="nil"/>
                  </w:tcBorders>
                  <w:vAlign w:val="center"/>
                </w:tcPr>
                <w:p w14:paraId="0C57DD6C">
                  <w:pPr>
                    <w:keepNext w:val="0"/>
                    <w:keepLines w:val="0"/>
                    <w:widowControl w:val="0"/>
                    <w:suppressLineNumbers w:val="0"/>
                    <w:spacing w:before="0" w:beforeAutospacing="0" w:after="0" w:afterAutospacing="0"/>
                    <w:ind w:left="0" w:right="0"/>
                    <w:jc w:val="center"/>
                    <w:rPr>
                      <w:rFonts w:hint="default" w:eastAsia="宋体"/>
                      <w:lang w:val="en-US" w:eastAsia="zh-CN"/>
                    </w:rPr>
                  </w:pPr>
                  <w:r>
                    <w:rPr>
                      <w:rFonts w:hint="default" w:ascii="Times New Roman" w:hAnsi="Times New Roman" w:eastAsia="宋体"/>
                      <w:color w:val="000000" w:themeColor="text1"/>
                      <w:sz w:val="21"/>
                      <w14:textFill>
                        <w14:solidFill>
                          <w14:schemeClr w14:val="tx1"/>
                        </w14:solidFill>
                      </w14:textFill>
                    </w:rPr>
                    <w:t>本项目</w:t>
                  </w:r>
                  <w:r>
                    <w:rPr>
                      <w:rFonts w:hint="eastAsia" w:ascii="Times New Roman" w:hAnsi="Times New Roman" w:eastAsia="宋体"/>
                      <w:color w:val="000000" w:themeColor="text1"/>
                      <w:sz w:val="21"/>
                      <w:lang w:val="en-US" w:eastAsia="zh-CN"/>
                      <w14:textFill>
                        <w14:solidFill>
                          <w14:schemeClr w14:val="tx1"/>
                        </w14:solidFill>
                      </w14:textFill>
                    </w:rPr>
                    <w:t>属于</w:t>
                  </w:r>
                  <w:r>
                    <w:rPr>
                      <w:rFonts w:hint="eastAsia" w:ascii="Times New Roman" w:hAnsi="Times New Roman" w:eastAsia="宋体"/>
                      <w:color w:val="000000" w:themeColor="text1"/>
                      <w:sz w:val="21"/>
                      <w14:textFill>
                        <w14:solidFill>
                          <w14:schemeClr w14:val="tx1"/>
                        </w14:solidFill>
                      </w14:textFill>
                    </w:rPr>
                    <w:t>矿产开采</w:t>
                  </w:r>
                  <w:r>
                    <w:rPr>
                      <w:rFonts w:hint="eastAsia" w:ascii="Times New Roman" w:hAnsi="Times New Roman" w:eastAsia="宋体"/>
                      <w:color w:val="000000" w:themeColor="text1"/>
                      <w:sz w:val="21"/>
                      <w:lang w:val="en-US" w:eastAsia="zh-CN"/>
                      <w14:textFill>
                        <w14:solidFill>
                          <w14:schemeClr w14:val="tx1"/>
                        </w14:solidFill>
                      </w14:textFill>
                    </w:rPr>
                    <w:t>企业</w:t>
                  </w:r>
                  <w:r>
                    <w:rPr>
                      <w:rFonts w:hint="eastAsia" w:ascii="Times New Roman" w:hAnsi="Times New Roman" w:eastAsia="宋体"/>
                      <w:color w:val="000000" w:themeColor="text1"/>
                      <w:sz w:val="21"/>
                      <w:lang w:eastAsia="zh-CN"/>
                      <w14:textFill>
                        <w14:solidFill>
                          <w14:schemeClr w14:val="tx1"/>
                        </w14:solidFill>
                      </w14:textFill>
                    </w:rPr>
                    <w:t>，</w:t>
                  </w:r>
                  <w:r>
                    <w:rPr>
                      <w:rFonts w:hint="default" w:ascii="Times New Roman" w:hAnsi="Times New Roman" w:eastAsia="宋体"/>
                      <w:color w:val="000000" w:themeColor="text1"/>
                      <w:sz w:val="21"/>
                      <w14:textFill>
                        <w14:solidFill>
                          <w14:schemeClr w14:val="tx1"/>
                        </w14:solidFill>
                      </w14:textFill>
                    </w:rPr>
                    <w:t>开采环节采取</w:t>
                  </w:r>
                  <w:r>
                    <w:rPr>
                      <w:rFonts w:hint="eastAsia" w:ascii="Times New Roman"/>
                      <w:color w:val="000000" w:themeColor="text1"/>
                      <w:sz w:val="21"/>
                      <w:lang w:val="en-US" w:eastAsia="zh-CN"/>
                      <w14:textFill>
                        <w14:solidFill>
                          <w14:schemeClr w14:val="tx1"/>
                        </w14:solidFill>
                      </w14:textFill>
                    </w:rPr>
                    <w:t>洒水降尘措施</w:t>
                  </w:r>
                  <w:r>
                    <w:rPr>
                      <w:rFonts w:hint="eastAsia" w:ascii="Times New Roman"/>
                      <w:color w:val="000000" w:themeColor="text1"/>
                      <w:sz w:val="21"/>
                      <w:lang w:eastAsia="zh-CN"/>
                      <w14:textFill>
                        <w14:solidFill>
                          <w14:schemeClr w14:val="tx1"/>
                        </w14:solidFill>
                      </w14:textFill>
                    </w:rPr>
                    <w:t>；</w:t>
                  </w:r>
                  <w:r>
                    <w:rPr>
                      <w:rFonts w:hint="default" w:ascii="Times New Roman" w:hAnsi="Times New Roman" w:eastAsia="宋体"/>
                      <w:color w:val="000000" w:themeColor="text1"/>
                      <w:sz w:val="21"/>
                      <w14:textFill>
                        <w14:solidFill>
                          <w14:schemeClr w14:val="tx1"/>
                        </w14:solidFill>
                      </w14:textFill>
                    </w:rPr>
                    <w:t>矿石转运</w:t>
                  </w:r>
                  <w:r>
                    <w:rPr>
                      <w:rFonts w:hint="eastAsia" w:ascii="Times New Roman"/>
                      <w:color w:val="000000" w:themeColor="text1"/>
                      <w:sz w:val="21"/>
                      <w:lang w:val="en-US" w:eastAsia="zh-CN"/>
                      <w14:textFill>
                        <w14:solidFill>
                          <w14:schemeClr w14:val="tx1"/>
                        </w14:solidFill>
                      </w14:textFill>
                    </w:rPr>
                    <w:t>采取控制车速、车辆加盖篷布及洒水抑尘等措施；排土</w:t>
                  </w:r>
                  <w:r>
                    <w:rPr>
                      <w:rFonts w:hint="default" w:ascii="Times New Roman" w:hAnsi="Times New Roman" w:eastAsia="宋体"/>
                      <w:color w:val="000000" w:themeColor="text1"/>
                      <w:sz w:val="21"/>
                      <w14:textFill>
                        <w14:solidFill>
                          <w14:schemeClr w14:val="tx1"/>
                        </w14:solidFill>
                      </w14:textFill>
                    </w:rPr>
                    <w:t>场</w:t>
                  </w:r>
                  <w:r>
                    <w:rPr>
                      <w:rFonts w:hint="eastAsia" w:ascii="Times New Roman"/>
                      <w:color w:val="000000" w:themeColor="text1"/>
                      <w:sz w:val="21"/>
                      <w:lang w:eastAsia="zh-CN"/>
                      <w14:textFill>
                        <w14:solidFill>
                          <w14:schemeClr w14:val="tx1"/>
                        </w14:solidFill>
                      </w14:textFill>
                    </w:rPr>
                    <w:t>、</w:t>
                  </w:r>
                  <w:r>
                    <w:rPr>
                      <w:rFonts w:hint="eastAsia" w:ascii="Times New Roman"/>
                      <w:color w:val="000000" w:themeColor="text1"/>
                      <w:sz w:val="21"/>
                      <w:lang w:val="en-US" w:eastAsia="zh-CN"/>
                      <w14:textFill>
                        <w14:solidFill>
                          <w14:schemeClr w14:val="tx1"/>
                        </w14:solidFill>
                      </w14:textFill>
                    </w:rPr>
                    <w:t>临时堆料场采取防尘抑尘网（墙）加洒水抑尘；</w:t>
                  </w:r>
                  <w:r>
                    <w:rPr>
                      <w:rFonts w:hint="eastAsia" w:ascii="Times New Roman" w:hAnsi="Times New Roman" w:eastAsia="宋体"/>
                      <w:color w:val="000000" w:themeColor="text1"/>
                      <w:sz w:val="21"/>
                      <w:lang w:val="en-US" w:eastAsia="zh-CN"/>
                      <w14:textFill>
                        <w14:solidFill>
                          <w14:schemeClr w14:val="tx1"/>
                        </w14:solidFill>
                      </w14:textFill>
                    </w:rPr>
                    <w:t>破碎筛分工序</w:t>
                  </w:r>
                  <w:r>
                    <w:rPr>
                      <w:rFonts w:hint="eastAsia" w:ascii="Times New Roman"/>
                      <w:color w:val="000000" w:themeColor="text1"/>
                      <w:sz w:val="21"/>
                      <w:lang w:val="en-US" w:eastAsia="zh-CN"/>
                      <w14:textFill>
                        <w14:solidFill>
                          <w14:schemeClr w14:val="tx1"/>
                        </w14:solidFill>
                      </w14:textFill>
                    </w:rPr>
                    <w:t>在彩钢建筑内进行，</w:t>
                  </w:r>
                  <w:r>
                    <w:rPr>
                      <w:rFonts w:hint="eastAsia" w:ascii="Times New Roman" w:hAnsi="Times New Roman" w:eastAsia="宋体"/>
                      <w:color w:val="000000" w:themeColor="text1"/>
                      <w:sz w:val="21"/>
                      <w:lang w:val="en-US" w:eastAsia="zh-CN"/>
                      <w14:textFill>
                        <w14:solidFill>
                          <w14:schemeClr w14:val="tx1"/>
                        </w14:solidFill>
                      </w14:textFill>
                    </w:rPr>
                    <w:t>废气使用布袋除尘器处理后经15m高排气筒</w:t>
                  </w:r>
                  <w:r>
                    <w:rPr>
                      <w:rFonts w:hint="eastAsia" w:ascii="Times New Roman"/>
                      <w:color w:val="000000" w:themeColor="text1"/>
                      <w:sz w:val="21"/>
                      <w:lang w:val="en-US" w:eastAsia="zh-CN"/>
                      <w14:textFill>
                        <w14:solidFill>
                          <w14:schemeClr w14:val="tx1"/>
                        </w14:solidFill>
                      </w14:textFill>
                    </w:rPr>
                    <w:t>（DA001）</w:t>
                  </w:r>
                  <w:r>
                    <w:rPr>
                      <w:rFonts w:hint="eastAsia" w:ascii="Times New Roman" w:hAnsi="Times New Roman" w:eastAsia="宋体"/>
                      <w:color w:val="000000" w:themeColor="text1"/>
                      <w:sz w:val="21"/>
                      <w:lang w:val="en-US" w:eastAsia="zh-CN"/>
                      <w14:textFill>
                        <w14:solidFill>
                          <w14:schemeClr w14:val="tx1"/>
                        </w14:solidFill>
                      </w14:textFill>
                    </w:rPr>
                    <w:t>排放，</w:t>
                  </w:r>
                  <w:r>
                    <w:rPr>
                      <w:rFonts w:hint="eastAsia" w:ascii="Times New Roman" w:hAnsi="Times New Roman" w:eastAsia="宋体"/>
                      <w:color w:val="000000" w:themeColor="text1"/>
                      <w:sz w:val="21"/>
                      <w14:textFill>
                        <w14:solidFill>
                          <w14:schemeClr w14:val="tx1"/>
                        </w14:solidFill>
                      </w14:textFill>
                    </w:rPr>
                    <w:t>运营期颗粒物</w:t>
                  </w:r>
                  <w:r>
                    <w:rPr>
                      <w:rFonts w:hint="default" w:ascii="Times New Roman" w:hAnsi="Times New Roman" w:eastAsia="宋体"/>
                      <w:color w:val="000000" w:themeColor="text1"/>
                      <w:sz w:val="21"/>
                      <w14:textFill>
                        <w14:solidFill>
                          <w14:schemeClr w14:val="tx1"/>
                        </w14:solidFill>
                      </w14:textFill>
                    </w:rPr>
                    <w:t>执行</w:t>
                  </w:r>
                  <w:r>
                    <w:rPr>
                      <w:rFonts w:hint="eastAsia" w:ascii="Times New Roman"/>
                      <w:color w:val="000000" w:themeColor="text1"/>
                      <w:sz w:val="21"/>
                      <w:lang w:eastAsia="zh-CN"/>
                      <w14:textFill>
                        <w14:solidFill>
                          <w14:schemeClr w14:val="tx1"/>
                        </w14:solidFill>
                      </w14:textFill>
                    </w:rPr>
                    <w:t>《水泥工业大气污染物排放标准》（GB4951-2013）</w:t>
                  </w:r>
                  <w:r>
                    <w:rPr>
                      <w:rFonts w:hint="default" w:ascii="Times New Roman" w:hAnsi="Times New Roman" w:eastAsia="宋体"/>
                      <w:color w:val="000000" w:themeColor="text1"/>
                      <w:sz w:val="21"/>
                      <w14:textFill>
                        <w14:solidFill>
                          <w14:schemeClr w14:val="tx1"/>
                        </w14:solidFill>
                      </w14:textFill>
                    </w:rPr>
                    <w:t>中颗粒物排放浓度限值</w:t>
                  </w:r>
                  <w:r>
                    <w:rPr>
                      <w:rFonts w:hint="eastAsia" w:ascii="Times New Roman" w:hAnsi="Times New Roman" w:eastAsia="宋体"/>
                      <w:color w:val="000000" w:themeColor="text1"/>
                      <w:sz w:val="21"/>
                      <w14:textFill>
                        <w14:solidFill>
                          <w14:schemeClr w14:val="tx1"/>
                        </w14:solidFill>
                      </w14:textFill>
                    </w:rPr>
                    <w:t>，</w:t>
                  </w:r>
                  <w:r>
                    <w:rPr>
                      <w:rFonts w:hint="default" w:ascii="Times New Roman" w:hAnsi="Times New Roman" w:eastAsia="宋体"/>
                      <w:color w:val="000000" w:themeColor="text1"/>
                      <w:sz w:val="21"/>
                      <w14:textFill>
                        <w14:solidFill>
                          <w14:schemeClr w14:val="tx1"/>
                        </w14:solidFill>
                      </w14:textFill>
                    </w:rPr>
                    <w:t>符合该管控单元的污染物排放</w:t>
                  </w:r>
                  <w:r>
                    <w:rPr>
                      <w:rFonts w:hint="default" w:ascii="Times New Roman"/>
                      <w:color w:val="000000" w:themeColor="text1"/>
                      <w:sz w:val="21"/>
                      <w:lang w:val="en-US" w:eastAsia="zh-CN"/>
                      <w14:textFill>
                        <w14:solidFill>
                          <w14:schemeClr w14:val="tx1"/>
                        </w14:solidFill>
                      </w14:textFill>
                    </w:rPr>
                    <w:t>管控要求。</w:t>
                  </w:r>
                  <w:r>
                    <w:rPr>
                      <w:rFonts w:hint="eastAsia" w:ascii="Times New Roman"/>
                      <w:color w:val="000000" w:themeColor="text1"/>
                      <w:sz w:val="21"/>
                      <w:lang w:val="en-US" w:eastAsia="zh-CN"/>
                      <w14:textFill>
                        <w14:solidFill>
                          <w14:schemeClr w14:val="tx1"/>
                        </w14:solidFill>
                      </w14:textFill>
                    </w:rPr>
                    <w:t>经源强核算，污染物均可达标排放。</w:t>
                  </w:r>
                </w:p>
              </w:tc>
              <w:tc>
                <w:tcPr>
                  <w:tcW w:w="466" w:type="pct"/>
                  <w:tcBorders>
                    <w:tl2br w:val="nil"/>
                    <w:tr2bl w:val="nil"/>
                  </w:tcBorders>
                  <w:vAlign w:val="center"/>
                </w:tcPr>
                <w:p w14:paraId="3BDEB3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default" w:ascii="Times New Roman" w:hAnsi="Times New Roman" w:eastAsia="宋体"/>
                      <w:szCs w:val="21"/>
                    </w:rPr>
                    <w:t>符合</w:t>
                  </w:r>
                </w:p>
              </w:tc>
            </w:tr>
            <w:tr w14:paraId="12FA6E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80" w:type="pct"/>
                  <w:tcBorders>
                    <w:right w:val="single" w:color="auto" w:sz="4" w:space="0"/>
                    <w:tl2br w:val="nil"/>
                    <w:tr2bl w:val="nil"/>
                  </w:tcBorders>
                  <w:vAlign w:val="center"/>
                </w:tcPr>
                <w:p w14:paraId="4D63808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kern w:val="2"/>
                      <w:sz w:val="21"/>
                    </w:rPr>
                  </w:pPr>
                  <w:r>
                    <w:rPr>
                      <w:rFonts w:hint="default" w:ascii="Times New Roman" w:hAnsi="Times New Roman" w:eastAsia="宋体"/>
                      <w:sz w:val="21"/>
                    </w:rPr>
                    <w:t>环境风险防控</w:t>
                  </w:r>
                </w:p>
              </w:tc>
              <w:tc>
                <w:tcPr>
                  <w:tcW w:w="1945" w:type="pct"/>
                  <w:tcBorders>
                    <w:left w:val="single" w:color="auto" w:sz="4" w:space="0"/>
                    <w:right w:val="single" w:color="auto" w:sz="4" w:space="0"/>
                    <w:tl2br w:val="nil"/>
                    <w:tr2bl w:val="nil"/>
                  </w:tcBorders>
                  <w:vAlign w:val="center"/>
                </w:tcPr>
                <w:p w14:paraId="1E71BD9A">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3.5推进重点流域、饮用水源等环境敏感区域防控体系建设，落实环境风险防控措施，配备拦截、吸附等基本应急处置物资。落实饮用水源一级保护区周边人类活动频繁区域隔离墙、隔离网、视频监控等防范设施建设。</w:t>
                  </w:r>
                </w:p>
                <w:p w14:paraId="24FAEF41">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themeColor="text1"/>
                      <w:kern w:val="0"/>
                      <w:szCs w:val="21"/>
                      <w:lang w:bidi="ar"/>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3.10严格环境风险控制。防范环境风险。</w:t>
                  </w:r>
                </w:p>
              </w:tc>
              <w:tc>
                <w:tcPr>
                  <w:tcW w:w="2006" w:type="pct"/>
                  <w:tcBorders>
                    <w:left w:val="single" w:color="auto" w:sz="4" w:space="0"/>
                    <w:tl2br w:val="nil"/>
                    <w:tr2bl w:val="nil"/>
                  </w:tcBorders>
                  <w:vAlign w:val="center"/>
                </w:tcPr>
                <w:p w14:paraId="49B26B95">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themeColor="text1"/>
                      <w:kern w:val="0"/>
                      <w:szCs w:val="21"/>
                      <w:lang w:bidi="ar"/>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项目不涉及重点流域、饮用水源等环境敏感区域，运营期建立健全的环境管理制度，防范环境污染事故发生。符合该管控单元环境风险防控要求。</w:t>
                  </w:r>
                </w:p>
              </w:tc>
              <w:tc>
                <w:tcPr>
                  <w:tcW w:w="466" w:type="pct"/>
                  <w:tcBorders>
                    <w:tl2br w:val="nil"/>
                    <w:tr2bl w:val="nil"/>
                  </w:tcBorders>
                  <w:vAlign w:val="center"/>
                </w:tcPr>
                <w:p w14:paraId="35205C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default" w:ascii="Times New Roman" w:hAnsi="Times New Roman" w:eastAsia="宋体"/>
                      <w:szCs w:val="21"/>
                    </w:rPr>
                    <w:t>符合</w:t>
                  </w:r>
                </w:p>
              </w:tc>
            </w:tr>
            <w:tr w14:paraId="5183E8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80" w:type="pct"/>
                  <w:tcBorders>
                    <w:right w:val="single" w:color="auto" w:sz="4" w:space="0"/>
                    <w:tl2br w:val="nil"/>
                    <w:tr2bl w:val="nil"/>
                  </w:tcBorders>
                  <w:vAlign w:val="center"/>
                </w:tcPr>
                <w:p w14:paraId="3752D10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kern w:val="2"/>
                      <w:sz w:val="21"/>
                    </w:rPr>
                  </w:pPr>
                  <w:r>
                    <w:rPr>
                      <w:rFonts w:hint="default" w:ascii="Times New Roman" w:hAnsi="Times New Roman" w:eastAsia="宋体"/>
                      <w:sz w:val="21"/>
                    </w:rPr>
                    <w:t>资源利用效率</w:t>
                  </w:r>
                </w:p>
              </w:tc>
              <w:tc>
                <w:tcPr>
                  <w:tcW w:w="1945" w:type="pct"/>
                  <w:tcBorders>
                    <w:left w:val="single" w:color="auto" w:sz="4" w:space="0"/>
                    <w:right w:val="single" w:color="auto" w:sz="4" w:space="0"/>
                    <w:tl2br w:val="nil"/>
                    <w:tr2bl w:val="nil"/>
                  </w:tcBorders>
                  <w:vAlign w:val="center"/>
                </w:tcPr>
                <w:p w14:paraId="01FD0732">
                  <w:pPr>
                    <w:pStyle w:val="51"/>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pacing w:val="-10"/>
                      <w:sz w:val="21"/>
                      <w:lang w:val="en-US" w:eastAsia="zh-CN"/>
                      <w14:textFill>
                        <w14:solidFill>
                          <w14:schemeClr w14:val="tx1"/>
                        </w14:solidFill>
                      </w14:textFill>
                    </w:rPr>
                    <w:t>4.2提高能源利用效率，继续实施能源消耗总量和强度双控行动。大力开发、推广节能高效技术和产品，实现重点用能行业、设备节能标准全覆盖。</w:t>
                  </w:r>
                </w:p>
              </w:tc>
              <w:tc>
                <w:tcPr>
                  <w:tcW w:w="2006" w:type="pct"/>
                  <w:tcBorders>
                    <w:left w:val="single" w:color="auto" w:sz="4" w:space="0"/>
                    <w:tl2br w:val="nil"/>
                    <w:tr2bl w:val="nil"/>
                  </w:tcBorders>
                  <w:vAlign w:val="center"/>
                </w:tcPr>
                <w:p w14:paraId="77433C8A">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本项目为新建项目，根据《产业结构调整指导目录（2024本）》，项目不属于鼓励类、限制类及淘汰类，采用的生产工艺、设备、产品均不属于《产业结构调整指导目录（2024本）》中所列的落后工艺、装备和产品之列</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排土场和废石场内的废土、废石</w:t>
                  </w:r>
                  <w:r>
                    <w:rPr>
                      <w:rFonts w:hint="eastAsia" w:ascii="Times New Roman" w:hAnsi="Times New Roman" w:eastAsia="宋体"/>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开采过程中产生的采坑进行回填平整</w:t>
                  </w:r>
                  <w:r>
                    <w:rPr>
                      <w:rFonts w:hint="eastAsia"/>
                      <w:color w:val="000000" w:themeColor="text1"/>
                      <w:lang w:eastAsia="zh-CN"/>
                      <w14:textFill>
                        <w14:solidFill>
                          <w14:schemeClr w14:val="tx1"/>
                        </w14:solidFill>
                      </w14:textFill>
                    </w:rPr>
                    <w:t>，回采率为95%，</w:t>
                  </w:r>
                  <w:r>
                    <w:rPr>
                      <w:rFonts w:hint="default" w:ascii="Times New Roman" w:hAnsi="Times New Roman" w:eastAsia="宋体"/>
                      <w:color w:val="000000" w:themeColor="text1"/>
                      <w14:textFill>
                        <w14:solidFill>
                          <w14:schemeClr w14:val="tx1"/>
                        </w14:solidFill>
                      </w14:textFill>
                    </w:rPr>
                    <w:t>资源能源利用效率</w:t>
                  </w:r>
                  <w:r>
                    <w:rPr>
                      <w:rFonts w:hint="eastAsia"/>
                      <w:color w:val="000000" w:themeColor="text1"/>
                      <w:lang w:val="en-US" w:eastAsia="zh-CN"/>
                      <w14:textFill>
                        <w14:solidFill>
                          <w14:schemeClr w14:val="tx1"/>
                        </w14:solidFill>
                      </w14:textFill>
                    </w:rPr>
                    <w:t>高</w:t>
                  </w:r>
                  <w:r>
                    <w:rPr>
                      <w:rFonts w:hint="default" w:ascii="Times New Roman" w:hAnsi="Times New Roman" w:eastAsia="宋体"/>
                      <w:color w:val="000000" w:themeColor="text1"/>
                      <w14:textFill>
                        <w14:solidFill>
                          <w14:schemeClr w14:val="tx1"/>
                        </w14:solidFill>
                      </w14:textFill>
                    </w:rPr>
                    <w:t>，开采过程中</w:t>
                  </w:r>
                  <w:r>
                    <w:rPr>
                      <w:rFonts w:hint="eastAsia"/>
                      <w:color w:val="000000" w:themeColor="text1"/>
                      <w:lang w:val="en-US" w:eastAsia="zh-CN"/>
                      <w14:textFill>
                        <w14:solidFill>
                          <w14:schemeClr w14:val="tx1"/>
                        </w14:solidFill>
                      </w14:textFill>
                    </w:rPr>
                    <w:t>对</w:t>
                  </w:r>
                  <w:r>
                    <w:rPr>
                      <w:rFonts w:hint="default" w:ascii="Times New Roman" w:hAnsi="Times New Roman" w:eastAsia="宋体"/>
                      <w:color w:val="000000" w:themeColor="text1"/>
                      <w14:textFill>
                        <w14:solidFill>
                          <w14:schemeClr w14:val="tx1"/>
                        </w14:solidFill>
                      </w14:textFill>
                    </w:rPr>
                    <w:t>水、电</w:t>
                  </w:r>
                  <w:r>
                    <w:rPr>
                      <w:rFonts w:hint="eastAsia"/>
                      <w:color w:val="000000" w:themeColor="text1"/>
                      <w:lang w:val="en-US" w:eastAsia="zh-CN"/>
                      <w14:textFill>
                        <w14:solidFill>
                          <w14:schemeClr w14:val="tx1"/>
                        </w14:solidFill>
                      </w14:textFill>
                    </w:rPr>
                    <w:t>进行合理利用</w:t>
                  </w:r>
                  <w:r>
                    <w:rPr>
                      <w:rFonts w:hint="default" w:ascii="Times New Roman" w:hAnsi="Times New Roman" w:eastAsia="宋体"/>
                      <w:color w:val="000000" w:themeColor="text1"/>
                      <w14:textFill>
                        <w14:solidFill>
                          <w14:schemeClr w14:val="tx1"/>
                        </w14:solidFill>
                      </w14:textFill>
                    </w:rPr>
                    <w:t>。</w:t>
                  </w:r>
                </w:p>
              </w:tc>
              <w:tc>
                <w:tcPr>
                  <w:tcW w:w="466" w:type="pct"/>
                  <w:tcBorders>
                    <w:tl2br w:val="nil"/>
                    <w:tr2bl w:val="nil"/>
                  </w:tcBorders>
                  <w:vAlign w:val="center"/>
                </w:tcPr>
                <w:p w14:paraId="541833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default" w:ascii="Times New Roman" w:hAnsi="Times New Roman" w:eastAsia="宋体"/>
                      <w:szCs w:val="21"/>
                    </w:rPr>
                    <w:t>符合</w:t>
                  </w:r>
                </w:p>
              </w:tc>
            </w:tr>
          </w:tbl>
          <w:p w14:paraId="37011945">
            <w:pPr>
              <w:keepNext w:val="0"/>
              <w:keepLines w:val="0"/>
              <w:suppressLineNumbers w:val="0"/>
              <w:adjustRightInd w:val="0"/>
              <w:snapToGrid w:val="0"/>
              <w:spacing w:before="0" w:beforeAutospacing="0" w:after="0" w:afterAutospacing="0" w:line="520" w:lineRule="exact"/>
              <w:ind w:left="0" w:right="0"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综合以上分析判定结果，本项目符合《新疆维吾尔自治区“三线一单”生态环境分区管控方案》文件要求，符合《巴音郭楞蒙古自治州“三线一单”生态环境分区管控方案》文件要求。</w:t>
            </w:r>
          </w:p>
          <w:p w14:paraId="1949E0C3">
            <w:pPr>
              <w:keepNext w:val="0"/>
              <w:keepLines w:val="0"/>
              <w:suppressLineNumbers w:val="0"/>
              <w:adjustRightInd w:val="0"/>
              <w:snapToGrid w:val="0"/>
              <w:spacing w:before="0" w:beforeAutospacing="0" w:after="0" w:afterAutospacing="0" w:line="520" w:lineRule="exact"/>
              <w:ind w:left="0" w:right="0" w:firstLine="482" w:firstLineChars="200"/>
              <w:rPr>
                <w:rFonts w:hint="default"/>
                <w:sz w:val="24"/>
              </w:rPr>
            </w:pPr>
            <w:r>
              <w:rPr>
                <w:rFonts w:hint="eastAsia"/>
                <w:b/>
                <w:bCs/>
                <w:sz w:val="24"/>
              </w:rPr>
              <w:t>2.4</w:t>
            </w:r>
            <w:r>
              <w:rPr>
                <w:rFonts w:hint="eastAsia"/>
                <w:b/>
                <w:bCs/>
                <w:sz w:val="24"/>
                <w:lang w:val="en-US" w:eastAsia="zh-CN"/>
              </w:rPr>
              <w:t>其他</w:t>
            </w:r>
            <w:r>
              <w:rPr>
                <w:rFonts w:hint="default"/>
                <w:b/>
                <w:bCs/>
                <w:sz w:val="24"/>
              </w:rPr>
              <w:t>符合性分析</w:t>
            </w:r>
          </w:p>
          <w:p w14:paraId="1217ABD3">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lang w:val="zh-CN"/>
              </w:rPr>
            </w:pPr>
            <w:r>
              <w:rPr>
                <w:rFonts w:hint="default"/>
                <w:b/>
                <w:bCs/>
                <w:sz w:val="24"/>
                <w:lang w:val="zh-CN"/>
              </w:rPr>
              <w:t>《非金属矿行业绿色矿山建设规范》（DZ/T0312-2018）</w:t>
            </w:r>
            <w:r>
              <w:rPr>
                <w:rFonts w:hint="eastAsia"/>
                <w:b/>
                <w:bCs/>
                <w:sz w:val="24"/>
                <w:lang w:val="zh-CN" w:eastAsia="zh-CN"/>
              </w:rPr>
              <w:t>、</w:t>
            </w:r>
            <w:r>
              <w:rPr>
                <w:rFonts w:hint="default"/>
                <w:b/>
                <w:bCs/>
                <w:sz w:val="24"/>
                <w:lang w:val="zh-CN"/>
              </w:rPr>
              <w:t>《砂石行业绿色矿山建设规范》（DZ/T 0316-2018）的符合性分析</w:t>
            </w:r>
          </w:p>
          <w:tbl>
            <w:tblPr>
              <w:tblStyle w:val="24"/>
              <w:tblW w:w="7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347"/>
              <w:gridCol w:w="2587"/>
              <w:gridCol w:w="765"/>
            </w:tblGrid>
            <w:tr w14:paraId="4F8C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71" w:type="dxa"/>
                  <w:vAlign w:val="center"/>
                </w:tcPr>
                <w:p w14:paraId="6B8A5B0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lang w:eastAsia="zh-CN"/>
                    </w:rPr>
                  </w:pPr>
                  <w:r>
                    <w:rPr>
                      <w:rFonts w:hint="eastAsia"/>
                      <w:lang w:val="en-US" w:eastAsia="zh-CN"/>
                    </w:rPr>
                    <w:t>文件名称</w:t>
                  </w:r>
                </w:p>
              </w:tc>
              <w:tc>
                <w:tcPr>
                  <w:tcW w:w="3347" w:type="dxa"/>
                  <w:vAlign w:val="center"/>
                </w:tcPr>
                <w:p w14:paraId="05DE206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规范要求</w:t>
                  </w:r>
                </w:p>
              </w:tc>
              <w:tc>
                <w:tcPr>
                  <w:tcW w:w="2587" w:type="dxa"/>
                  <w:vAlign w:val="center"/>
                </w:tcPr>
                <w:p w14:paraId="5CD8A00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本项目情况</w:t>
                  </w:r>
                </w:p>
              </w:tc>
              <w:tc>
                <w:tcPr>
                  <w:tcW w:w="765" w:type="dxa"/>
                  <w:vAlign w:val="center"/>
                </w:tcPr>
                <w:p w14:paraId="5205E96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lang w:val="en-US" w:eastAsia="zh-CN"/>
                    </w:rPr>
                  </w:pPr>
                  <w:r>
                    <w:rPr>
                      <w:rFonts w:hint="default" w:ascii="Times New Roman" w:hAnsi="Times New Roman" w:eastAsia="宋体"/>
                    </w:rPr>
                    <w:t>符合性</w:t>
                  </w:r>
                  <w:r>
                    <w:rPr>
                      <w:rFonts w:hint="eastAsia"/>
                      <w:lang w:val="en-US" w:eastAsia="zh-CN"/>
                    </w:rPr>
                    <w:t>分析</w:t>
                  </w:r>
                </w:p>
              </w:tc>
            </w:tr>
            <w:tr w14:paraId="5854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restart"/>
                  <w:vAlign w:val="center"/>
                </w:tcPr>
                <w:p w14:paraId="73AB39D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《非金属矿行业绿色矿山建设规范》（DZ/T0312-2018）</w:t>
                  </w:r>
                </w:p>
              </w:tc>
              <w:tc>
                <w:tcPr>
                  <w:tcW w:w="3347" w:type="dxa"/>
                  <w:vAlign w:val="center"/>
                </w:tcPr>
                <w:p w14:paraId="2FB09F6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矿区按生产区、管理区、生活区和生态区等功能分区，各功能区应符合GB50187的规定，应运行有序、管理规范</w:t>
                  </w:r>
                  <w:r>
                    <w:rPr>
                      <w:rFonts w:hint="eastAsia" w:ascii="Times New Roman" w:hAnsi="Times New Roman" w:eastAsia="宋体"/>
                    </w:rPr>
                    <w:t>。</w:t>
                  </w:r>
                </w:p>
              </w:tc>
              <w:tc>
                <w:tcPr>
                  <w:tcW w:w="2587" w:type="dxa"/>
                  <w:vAlign w:val="center"/>
                </w:tcPr>
                <w:p w14:paraId="54527C5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本项目在设计阶段充分考虑了生产、生活等功能区要求，结合矿区实际情况，各功能区划分明确。</w:t>
                  </w:r>
                </w:p>
              </w:tc>
              <w:tc>
                <w:tcPr>
                  <w:tcW w:w="765" w:type="dxa"/>
                  <w:vAlign w:val="center"/>
                </w:tcPr>
                <w:p w14:paraId="53588B9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1AED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24E47C8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3347" w:type="dxa"/>
                  <w:vAlign w:val="center"/>
                </w:tcPr>
                <w:p w14:paraId="46AFAA2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矿区地面道路、供水、供电、卫生、环保等配套设施应齐全；在生产区应设置操作提示牌、说明牌、线路示意图等标牌，标牌应符合GB/T13306的规定。</w:t>
                  </w:r>
                </w:p>
              </w:tc>
              <w:tc>
                <w:tcPr>
                  <w:tcW w:w="2587" w:type="dxa"/>
                  <w:vAlign w:val="center"/>
                </w:tcPr>
                <w:p w14:paraId="7DA173B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本项目建设过程中严格按照初步设计及环评报告中提出的方案进行建设，矿区道路、供水、供电、环保等配套设施齐全，设置规范。</w:t>
                  </w:r>
                </w:p>
              </w:tc>
              <w:tc>
                <w:tcPr>
                  <w:tcW w:w="765" w:type="dxa"/>
                  <w:vAlign w:val="center"/>
                </w:tcPr>
                <w:p w14:paraId="27EA57D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496A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7935F21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3347" w:type="dxa"/>
                  <w:vAlign w:val="center"/>
                </w:tcPr>
                <w:p w14:paraId="391B07F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矿山应采用喷雾、洒水、湿式凿岩、加设除尘装置等措施处置采选、运输等过程中产生的粉尘。</w:t>
                  </w:r>
                </w:p>
              </w:tc>
              <w:tc>
                <w:tcPr>
                  <w:tcW w:w="2587" w:type="dxa"/>
                  <w:vAlign w:val="center"/>
                </w:tcPr>
                <w:p w14:paraId="308514C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w:t>
                  </w:r>
                  <w:r>
                    <w:rPr>
                      <w:rFonts w:hint="eastAsia" w:ascii="Times New Roman" w:hAnsi="Times New Roman" w:eastAsia="宋体"/>
                    </w:rPr>
                    <w:t>采矿区开采过程中</w:t>
                  </w:r>
                  <w:r>
                    <w:rPr>
                      <w:rFonts w:hint="default" w:ascii="Times New Roman" w:hAnsi="Times New Roman" w:eastAsia="宋体"/>
                    </w:rPr>
                    <w:t>采取洒水抑尘措施；矿石运输过程中加强路面清扫，根据路面情况及时洒水。能够有效减少扬尘产生。</w:t>
                  </w:r>
                </w:p>
              </w:tc>
              <w:tc>
                <w:tcPr>
                  <w:tcW w:w="765" w:type="dxa"/>
                  <w:vAlign w:val="center"/>
                </w:tcPr>
                <w:p w14:paraId="59C0E4E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653D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77132B6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3347" w:type="dxa"/>
                  <w:vAlign w:val="center"/>
                </w:tcPr>
                <w:p w14:paraId="6B8D40E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根据非金属矿资源赋存状况、生态环境特征等条件，因地制宜地选择合理的开采顺序、开采方式、开采方法。矿山企业应优先选择国家鼓励、支持和推广的资源利用率高，且对矿区生态破坏小的先进装备、技术和工艺。充分实现资源分级利用、优质优用、综合利用。</w:t>
                  </w:r>
                </w:p>
              </w:tc>
              <w:tc>
                <w:tcPr>
                  <w:tcW w:w="2587" w:type="dxa"/>
                  <w:vAlign w:val="center"/>
                </w:tcPr>
                <w:p w14:paraId="72F5F1A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lang w:eastAsia="zh-CN"/>
                    </w:rPr>
                  </w:pPr>
                  <w:r>
                    <w:rPr>
                      <w:rFonts w:hint="eastAsia"/>
                      <w:lang w:val="en-US" w:eastAsia="zh-CN"/>
                    </w:rPr>
                    <w:t>本项目</w:t>
                  </w:r>
                  <w:r>
                    <w:rPr>
                      <w:rFonts w:hint="default" w:ascii="Times New Roman" w:hAnsi="Times New Roman" w:eastAsia="宋体"/>
                    </w:rPr>
                    <w:t>设计矿山采用露天开采方式，结合矿山的地质地形条件及矿体赋存状况，设计矿山采用公路开拓、汽车运输</w:t>
                  </w:r>
                  <w:r>
                    <w:rPr>
                      <w:rFonts w:hint="default" w:ascii="Times New Roman" w:hAnsi="Times New Roman" w:eastAsia="宋体"/>
                      <w:color w:val="000000" w:themeColor="text1"/>
                      <w14:textFill>
                        <w14:solidFill>
                          <w14:schemeClr w14:val="tx1"/>
                        </w14:solidFill>
                      </w14:textFill>
                    </w:rPr>
                    <w:t>方案。根据《产业结构调整指导目录（2024本）》，项目不属于鼓励类、限制类及淘汰类，采用的生产工艺、设备、产品均不属于《产业结构调整指导目录（2024本）》中所列的落后工艺、装备和产品之列</w:t>
                  </w:r>
                  <w:r>
                    <w:rPr>
                      <w:rFonts w:hint="eastAsia"/>
                      <w:color w:val="000000" w:themeColor="text1"/>
                      <w:lang w:eastAsia="zh-CN"/>
                      <w14:textFill>
                        <w14:solidFill>
                          <w14:schemeClr w14:val="tx1"/>
                        </w14:solidFill>
                      </w14:textFill>
                    </w:rPr>
                    <w:t>。</w:t>
                  </w:r>
                </w:p>
              </w:tc>
              <w:tc>
                <w:tcPr>
                  <w:tcW w:w="765" w:type="dxa"/>
                  <w:vAlign w:val="center"/>
                </w:tcPr>
                <w:p w14:paraId="05D9810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2338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16304A5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3347" w:type="dxa"/>
                  <w:vAlign w:val="center"/>
                </w:tcPr>
                <w:p w14:paraId="32B2598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应贯彻“边开采、边治理、边恢复”原则，及时治理恢复矿山地质环境，复垦矿山压占和损毁土地。矿山占用土地和损毁土地治理率和复垦率应达到矿山地质环境保护与土地复垦方案的要求。</w:t>
                  </w:r>
                </w:p>
              </w:tc>
              <w:tc>
                <w:tcPr>
                  <w:tcW w:w="2587" w:type="dxa"/>
                  <w:vAlign w:val="center"/>
                </w:tcPr>
                <w:p w14:paraId="48D0DC1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项目开采取边</w:t>
                  </w:r>
                  <w:r>
                    <w:rPr>
                      <w:rFonts w:hint="eastAsia" w:ascii="Times New Roman" w:hAnsi="Times New Roman" w:eastAsia="宋体"/>
                      <w:color w:val="000000" w:themeColor="text1"/>
                      <w:lang w:val="en-US" w:eastAsia="zh-CN"/>
                      <w14:textFill>
                        <w14:solidFill>
                          <w14:schemeClr w14:val="tx1"/>
                        </w14:solidFill>
                      </w14:textFill>
                    </w:rPr>
                    <w:t>开采，边治理</w:t>
                  </w:r>
                  <w:r>
                    <w:rPr>
                      <w:rFonts w:hint="eastAsia" w:ascii="Times New Roman" w:hAnsi="Times New Roman" w:eastAsia="宋体"/>
                      <w:color w:val="000000" w:themeColor="text1"/>
                      <w14:textFill>
                        <w14:solidFill>
                          <w14:schemeClr w14:val="tx1"/>
                        </w14:solidFill>
                      </w14:textFill>
                    </w:rPr>
                    <w:t>的开采方式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人工恢复结合自然恢复，利用排土场和废石场内的废土、废石</w:t>
                  </w:r>
                  <w:r>
                    <w:rPr>
                      <w:rFonts w:hint="eastAsia" w:ascii="Times New Roman" w:hAnsi="Times New Roman" w:eastAsia="宋体"/>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开采过程中产生的采坑进行回填平整</w:t>
                  </w:r>
                  <w:r>
                    <w:rPr>
                      <w:rFonts w:hint="eastAsia" w:ascii="Times New Roman" w:hAnsi="Times New Roman" w:eastAsia="宋体"/>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土地</w:t>
                  </w:r>
                  <w:r>
                    <w:rPr>
                      <w:rFonts w:hint="default" w:ascii="Times New Roman" w:hAnsi="Times New Roman" w:eastAsia="宋体"/>
                      <w:color w:val="000000" w:themeColor="text1"/>
                      <w14:textFill>
                        <w14:solidFill>
                          <w14:schemeClr w14:val="tx1"/>
                        </w14:solidFill>
                      </w14:textFill>
                    </w:rPr>
                    <w:t>复垦率100.00％。矿山将按照土地复垦及环评要求逐步开展复垦工作并达到复垦要求</w:t>
                  </w:r>
                  <w:r>
                    <w:rPr>
                      <w:rFonts w:hint="eastAsia" w:ascii="Times New Roman" w:hAnsi="Times New Roman" w:eastAsia="宋体"/>
                      <w:color w:val="000000" w:themeColor="text1"/>
                      <w14:textFill>
                        <w14:solidFill>
                          <w14:schemeClr w14:val="tx1"/>
                        </w14:solidFill>
                      </w14:textFill>
                    </w:rPr>
                    <w:t>，符合绿色矿山建设要求</w:t>
                  </w:r>
                  <w:r>
                    <w:rPr>
                      <w:rFonts w:hint="default" w:ascii="Times New Roman" w:hAnsi="Times New Roman" w:eastAsia="宋体"/>
                      <w:color w:val="000000" w:themeColor="text1"/>
                      <w14:textFill>
                        <w14:solidFill>
                          <w14:schemeClr w14:val="tx1"/>
                        </w14:solidFill>
                      </w14:textFill>
                    </w:rPr>
                    <w:t>。</w:t>
                  </w:r>
                </w:p>
              </w:tc>
              <w:tc>
                <w:tcPr>
                  <w:tcW w:w="765" w:type="dxa"/>
                  <w:vAlign w:val="center"/>
                </w:tcPr>
                <w:p w14:paraId="3A680AC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36CB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46202C0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3347" w:type="dxa"/>
                  <w:vAlign w:val="center"/>
                </w:tcPr>
                <w:p w14:paraId="48604A2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矿产资源开发利用指标应符合当地产业政策及行业准入条件等规定，部分矿种开采回采率、选矿回收率和综合利用率指标应达到相关“三率”最低指标要求。</w:t>
                  </w:r>
                </w:p>
              </w:tc>
              <w:tc>
                <w:tcPr>
                  <w:tcW w:w="2587" w:type="dxa"/>
                  <w:vAlign w:val="center"/>
                </w:tcPr>
                <w:p w14:paraId="3A6D371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w:t>
                  </w:r>
                  <w:r>
                    <w:rPr>
                      <w:rFonts w:hint="default" w:ascii="Times New Roman" w:hAnsi="Times New Roman" w:eastAsia="宋体"/>
                      <w:color w:val="000000" w:themeColor="text1"/>
                      <w14:textFill>
                        <w14:solidFill>
                          <w14:schemeClr w14:val="tx1"/>
                        </w14:solidFill>
                      </w14:textFill>
                    </w:rPr>
                    <w:t>项目采用的生产工艺、设备、产品均不属于《产业结构调整指导目录（2024本）》中所列的落后工艺、装备和产品之列；本项目设计回采率</w:t>
                  </w:r>
                  <w:r>
                    <w:rPr>
                      <w:rFonts w:hint="eastAsia" w:ascii="Times New Roman" w:hAnsi="Times New Roman" w:eastAsia="宋体"/>
                      <w:color w:val="000000" w:themeColor="text1"/>
                      <w14:textFill>
                        <w14:solidFill>
                          <w14:schemeClr w14:val="tx1"/>
                        </w14:solidFill>
                      </w14:textFill>
                    </w:rPr>
                    <w:t>为95</w:t>
                  </w:r>
                  <w:r>
                    <w:rPr>
                      <w:rFonts w:hint="default"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不存在选矿过程，综合利用率不低于85%，</w:t>
                  </w:r>
                  <w:r>
                    <w:rPr>
                      <w:rFonts w:hint="default" w:ascii="Times New Roman" w:hAnsi="Times New Roman" w:eastAsia="宋体"/>
                      <w:color w:val="000000" w:themeColor="text1"/>
                      <w14:textFill>
                        <w14:solidFill>
                          <w14:schemeClr w14:val="tx1"/>
                        </w14:solidFill>
                      </w14:textFill>
                    </w:rPr>
                    <w:t>达到相关“三率”最低指标要求。</w:t>
                  </w:r>
                </w:p>
              </w:tc>
              <w:tc>
                <w:tcPr>
                  <w:tcW w:w="765" w:type="dxa"/>
                  <w:vAlign w:val="center"/>
                </w:tcPr>
                <w:p w14:paraId="1F58E0E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7197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4EB8417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3347" w:type="dxa"/>
                  <w:vAlign w:val="center"/>
                </w:tcPr>
                <w:p w14:paraId="28CEC15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宜对废石等固体废弃物开展回填、筑路、制作建筑材料等资源综合利用工作。</w:t>
                  </w:r>
                </w:p>
              </w:tc>
              <w:tc>
                <w:tcPr>
                  <w:tcW w:w="2587" w:type="dxa"/>
                  <w:vAlign w:val="center"/>
                </w:tcPr>
                <w:p w14:paraId="57B6C89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本项目开采过程中</w:t>
                  </w:r>
                  <w:r>
                    <w:rPr>
                      <w:rFonts w:hint="eastAsia"/>
                      <w:color w:val="000000" w:themeColor="text1"/>
                      <w:lang w:val="en-US" w:eastAsia="zh-CN"/>
                      <w14:textFill>
                        <w14:solidFill>
                          <w14:schemeClr w14:val="tx1"/>
                        </w14:solidFill>
                      </w14:textFill>
                    </w:rPr>
                    <w:t>废土、</w:t>
                  </w:r>
                  <w:r>
                    <w:rPr>
                      <w:rFonts w:hint="default" w:ascii="Times New Roman" w:hAnsi="Times New Roman" w:eastAsia="宋体"/>
                      <w:color w:val="000000" w:themeColor="text1"/>
                      <w14:textFill>
                        <w14:solidFill>
                          <w14:schemeClr w14:val="tx1"/>
                        </w14:solidFill>
                      </w14:textFill>
                    </w:rPr>
                    <w:t>废石用于回填采坑，</w:t>
                  </w:r>
                  <w:r>
                    <w:rPr>
                      <w:rFonts w:hint="eastAsia" w:ascii="Times New Roman" w:hAnsi="Times New Roman" w:eastAsia="宋体"/>
                      <w:color w:val="000000" w:themeColor="text1"/>
                      <w14:textFill>
                        <w14:solidFill>
                          <w14:schemeClr w14:val="tx1"/>
                        </w14:solidFill>
                      </w14:textFill>
                    </w:rPr>
                    <w:t>全部</w:t>
                  </w:r>
                  <w:r>
                    <w:rPr>
                      <w:rFonts w:hint="default" w:ascii="Times New Roman" w:hAnsi="Times New Roman" w:eastAsia="宋体"/>
                      <w:color w:val="000000" w:themeColor="text1"/>
                      <w14:textFill>
                        <w14:solidFill>
                          <w14:schemeClr w14:val="tx1"/>
                        </w14:solidFill>
                      </w14:textFill>
                    </w:rPr>
                    <w:t>综合利用。</w:t>
                  </w:r>
                </w:p>
              </w:tc>
              <w:tc>
                <w:tcPr>
                  <w:tcW w:w="765" w:type="dxa"/>
                  <w:vAlign w:val="center"/>
                </w:tcPr>
                <w:p w14:paraId="43B63DE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25AB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07E91FA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3347" w:type="dxa"/>
                  <w:vAlign w:val="center"/>
                </w:tcPr>
                <w:p w14:paraId="2980A4B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矿井水、选矿废水应采用洁净化、资源化技术和工艺合理处置。</w:t>
                  </w:r>
                </w:p>
              </w:tc>
              <w:tc>
                <w:tcPr>
                  <w:tcW w:w="2587" w:type="dxa"/>
                  <w:vAlign w:val="center"/>
                </w:tcPr>
                <w:p w14:paraId="01D5560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eastAsia" w:cs="Times New Roman"/>
                      <w:color w:val="000000" w:themeColor="text1"/>
                      <w:lang w:val="en-US" w:eastAsia="zh-CN"/>
                      <w14:textFill>
                        <w14:solidFill>
                          <w14:schemeClr w14:val="tx1"/>
                        </w14:solidFill>
                      </w14:textFill>
                    </w:rPr>
                    <w:t>不涉及</w:t>
                  </w:r>
                  <w:r>
                    <w:rPr>
                      <w:rFonts w:hint="default" w:ascii="Times New Roman" w:hAnsi="Times New Roman" w:eastAsia="宋体"/>
                      <w:color w:val="000000" w:themeColor="text1"/>
                      <w14:textFill>
                        <w14:solidFill>
                          <w14:schemeClr w14:val="tx1"/>
                        </w14:solidFill>
                      </w14:textFill>
                    </w:rPr>
                    <w:t>矿井水</w:t>
                  </w:r>
                  <w:r>
                    <w:rPr>
                      <w:rFonts w:hint="eastAsia"/>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无选矿过程</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无生产废水产生</w:t>
                  </w:r>
                  <w:r>
                    <w:rPr>
                      <w:rFonts w:hint="default" w:ascii="Times New Roman" w:hAnsi="Times New Roman" w:eastAsia="宋体" w:cs="Times New Roman"/>
                      <w:color w:val="000000" w:themeColor="text1"/>
                      <w14:textFill>
                        <w14:solidFill>
                          <w14:schemeClr w14:val="tx1"/>
                        </w14:solidFill>
                      </w14:textFill>
                    </w:rPr>
                    <w:t>。</w:t>
                  </w:r>
                </w:p>
              </w:tc>
              <w:tc>
                <w:tcPr>
                  <w:tcW w:w="765" w:type="dxa"/>
                  <w:vAlign w:val="center"/>
                </w:tcPr>
                <w:p w14:paraId="27CDF44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2530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14:paraId="46B5CFD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《砂石行业绿色矿山建设规范》（DZ/T 0316-2018）</w:t>
                  </w:r>
                </w:p>
              </w:tc>
              <w:tc>
                <w:tcPr>
                  <w:tcW w:w="3347" w:type="dxa"/>
                  <w:vAlign w:val="center"/>
                </w:tcPr>
                <w:p w14:paraId="36C33C8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szCs w:val="21"/>
                    </w:rPr>
                    <w:t>矿区应配置洒水车、高压喷雾车等设备</w:t>
                  </w:r>
                  <w:r>
                    <w:rPr>
                      <w:rFonts w:hint="eastAsia" w:ascii="Times New Roman" w:hAnsi="Times New Roman" w:eastAsia="宋体"/>
                      <w:szCs w:val="21"/>
                    </w:rPr>
                    <w:t>。</w:t>
                  </w:r>
                </w:p>
              </w:tc>
              <w:tc>
                <w:tcPr>
                  <w:tcW w:w="2587" w:type="dxa"/>
                  <w:vAlign w:val="center"/>
                </w:tcPr>
                <w:p w14:paraId="29275BB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Times New Roman"/>
                      <w:color w:val="FF0000"/>
                      <w:lang w:val="en-US" w:eastAsia="zh-CN"/>
                    </w:rPr>
                  </w:pPr>
                  <w:r>
                    <w:rPr>
                      <w:rFonts w:hint="default" w:ascii="Times New Roman" w:hAnsi="Times New Roman" w:eastAsia="宋体"/>
                      <w:szCs w:val="21"/>
                    </w:rPr>
                    <w:t>矿区配置</w:t>
                  </w:r>
                  <w:r>
                    <w:rPr>
                      <w:rFonts w:hint="eastAsia" w:ascii="Times New Roman" w:hAnsi="Times New Roman" w:eastAsia="宋体"/>
                      <w:szCs w:val="21"/>
                      <w:lang w:val="en-US" w:eastAsia="zh-CN"/>
                    </w:rPr>
                    <w:t>1</w:t>
                  </w:r>
                  <w:r>
                    <w:rPr>
                      <w:rFonts w:hint="eastAsia" w:ascii="Times New Roman" w:hAnsi="Times New Roman" w:eastAsia="宋体"/>
                      <w:szCs w:val="21"/>
                    </w:rPr>
                    <w:t>辆</w:t>
                  </w:r>
                  <w:r>
                    <w:rPr>
                      <w:rFonts w:hint="default" w:ascii="Times New Roman" w:hAnsi="Times New Roman" w:eastAsia="宋体"/>
                      <w:szCs w:val="21"/>
                    </w:rPr>
                    <w:t>洒水车进行洒水降尘</w:t>
                  </w:r>
                  <w:r>
                    <w:rPr>
                      <w:rFonts w:hint="eastAsia" w:ascii="Times New Roman" w:hAnsi="Times New Roman" w:eastAsia="宋体"/>
                      <w:szCs w:val="21"/>
                    </w:rPr>
                    <w:t>。</w:t>
                  </w:r>
                </w:p>
              </w:tc>
              <w:tc>
                <w:tcPr>
                  <w:tcW w:w="765" w:type="dxa"/>
                  <w:vAlign w:val="center"/>
                </w:tcPr>
                <w:p w14:paraId="4739589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03B3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5D77A7B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p>
              </w:tc>
              <w:tc>
                <w:tcPr>
                  <w:tcW w:w="3347" w:type="dxa"/>
                  <w:vAlign w:val="center"/>
                </w:tcPr>
                <w:p w14:paraId="52545F1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szCs w:val="21"/>
                    </w:rPr>
                    <w:t>认真落实矿山地质环境保护与土地复垦方案要求：a露天采场、矿区专用道路、矿山工业场地、</w:t>
                  </w:r>
                  <w:r>
                    <w:rPr>
                      <w:rFonts w:hint="eastAsia"/>
                      <w:szCs w:val="21"/>
                      <w:lang w:eastAsia="zh-CN"/>
                    </w:rPr>
                    <w:t>排土场</w:t>
                  </w:r>
                  <w:r>
                    <w:rPr>
                      <w:rFonts w:hint="default" w:ascii="Times New Roman" w:hAnsi="Times New Roman" w:eastAsia="宋体"/>
                      <w:szCs w:val="21"/>
                    </w:rPr>
                    <w:t>等生态环境保护与恢复治理，应符合相关规定；b恢复治理后的各类场地应与周边自然环境和景观相协调；恢复土地基本功能，因地制宜实现土地可持续利用；区域整体生态功能得到保护和恢复</w:t>
                  </w:r>
                </w:p>
              </w:tc>
              <w:tc>
                <w:tcPr>
                  <w:tcW w:w="2587" w:type="dxa"/>
                  <w:vAlign w:val="center"/>
                </w:tcPr>
                <w:p w14:paraId="561CF1F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Times New Roman"/>
                      <w:color w:val="FF0000"/>
                      <w:lang w:val="en-US" w:eastAsia="zh-CN"/>
                    </w:rPr>
                  </w:pPr>
                  <w:r>
                    <w:rPr>
                      <w:rFonts w:hint="default" w:ascii="Times New Roman" w:hAnsi="Times New Roman" w:eastAsia="宋体"/>
                      <w:szCs w:val="21"/>
                    </w:rPr>
                    <w:t>本项目已编制《</w:t>
                  </w:r>
                  <w:r>
                    <w:rPr>
                      <w:rFonts w:hint="eastAsia" w:ascii="Times New Roman" w:hAnsi="Times New Roman" w:eastAsia="宋体"/>
                      <w:szCs w:val="21"/>
                      <w:lang w:val="en-US" w:eastAsia="zh-CN"/>
                    </w:rPr>
                    <w:t>巴州泽丰矿业有限责任公司新疆和静夏翁沟口水泥用石灰岩</w:t>
                  </w:r>
                  <w:r>
                    <w:rPr>
                      <w:rFonts w:hint="eastAsia" w:ascii="Times New Roman" w:hAnsi="Times New Roman" w:eastAsia="宋体"/>
                      <w:szCs w:val="21"/>
                    </w:rPr>
                    <w:t>矿矿产资源开发利用与生态保护修复方案</w:t>
                  </w:r>
                  <w:r>
                    <w:rPr>
                      <w:rFonts w:hint="default" w:ascii="Times New Roman" w:hAnsi="Times New Roman" w:eastAsia="宋体"/>
                      <w:szCs w:val="21"/>
                    </w:rPr>
                    <w:t>》，</w:t>
                  </w:r>
                  <w:r>
                    <w:rPr>
                      <w:rFonts w:hint="eastAsia" w:ascii="Times New Roman" w:hAnsi="Times New Roman" w:eastAsia="宋体"/>
                      <w:szCs w:val="21"/>
                    </w:rPr>
                    <w:t>本项目采取分区开采的方式，及时对开采后的区域进行土地复垦、地貌恢复；</w:t>
                  </w:r>
                  <w:r>
                    <w:rPr>
                      <w:rFonts w:hint="eastAsia"/>
                      <w:szCs w:val="21"/>
                      <w:lang w:val="en-US" w:eastAsia="zh-CN"/>
                    </w:rPr>
                    <w:t>根据</w:t>
                  </w:r>
                  <w:r>
                    <w:rPr>
                      <w:rFonts w:hint="default" w:ascii="Times New Roman" w:hAnsi="Times New Roman" w:eastAsia="宋体"/>
                      <w:szCs w:val="21"/>
                    </w:rPr>
                    <w:t>《</w:t>
                  </w:r>
                  <w:r>
                    <w:rPr>
                      <w:rFonts w:hint="eastAsia" w:ascii="Times New Roman" w:hAnsi="Times New Roman" w:eastAsia="宋体"/>
                      <w:szCs w:val="21"/>
                      <w:lang w:val="en-US" w:eastAsia="zh-CN"/>
                    </w:rPr>
                    <w:t>巴州泽丰矿业有限责任公司新疆和静夏翁沟口水泥用石灰岩</w:t>
                  </w:r>
                  <w:r>
                    <w:rPr>
                      <w:rFonts w:hint="eastAsia" w:ascii="Times New Roman" w:hAnsi="Times New Roman" w:eastAsia="宋体"/>
                      <w:szCs w:val="21"/>
                    </w:rPr>
                    <w:t>矿矿产资源开发利用与生态保护修复方案</w:t>
                  </w:r>
                  <w:r>
                    <w:rPr>
                      <w:rFonts w:hint="default" w:ascii="Times New Roman" w:hAnsi="Times New Roman" w:eastAsia="宋体"/>
                      <w:szCs w:val="21"/>
                    </w:rPr>
                    <w:t>》复垦责任范围面积</w:t>
                  </w:r>
                  <w:r>
                    <w:rPr>
                      <w:rFonts w:hint="eastAsia" w:ascii="Times New Roman" w:hAnsi="Times New Roman" w:eastAsia="宋体"/>
                      <w:szCs w:val="21"/>
                    </w:rPr>
                    <w:t>为</w:t>
                  </w:r>
                  <w:r>
                    <w:rPr>
                      <w:rFonts w:hint="eastAsia" w:ascii="Times New Roman" w:hAnsi="Times New Roman" w:eastAsia="宋体"/>
                      <w:szCs w:val="21"/>
                      <w:lang w:val="en-US" w:eastAsia="zh-CN"/>
                    </w:rPr>
                    <w:t>20.22</w:t>
                  </w:r>
                  <w:r>
                    <w:rPr>
                      <w:rFonts w:hint="default" w:ascii="Times New Roman" w:hAnsi="Times New Roman" w:eastAsia="宋体"/>
                      <w:szCs w:val="21"/>
                    </w:rPr>
                    <w:t>公顷，复垦方向为其他土地-裸岩石砾地（</w:t>
                  </w:r>
                  <w:r>
                    <w:rPr>
                      <w:rFonts w:hint="eastAsia" w:ascii="Times New Roman" w:hAnsi="Times New Roman" w:eastAsia="宋体"/>
                      <w:szCs w:val="21"/>
                    </w:rPr>
                    <w:t>12</w:t>
                  </w:r>
                  <w:r>
                    <w:rPr>
                      <w:rFonts w:hint="default" w:ascii="Times New Roman" w:hAnsi="Times New Roman" w:eastAsia="宋体"/>
                      <w:szCs w:val="21"/>
                    </w:rPr>
                    <w:t>07），</w:t>
                  </w:r>
                  <w:r>
                    <w:rPr>
                      <w:rFonts w:hint="eastAsia" w:ascii="Times New Roman" w:hAnsi="Times New Roman" w:eastAsia="宋体"/>
                      <w:szCs w:val="21"/>
                    </w:rPr>
                    <w:t>设计</w:t>
                  </w:r>
                  <w:r>
                    <w:rPr>
                      <w:rFonts w:hint="eastAsia"/>
                      <w:szCs w:val="21"/>
                      <w:lang w:val="en-US" w:eastAsia="zh-CN"/>
                    </w:rPr>
                    <w:t>土地</w:t>
                  </w:r>
                  <w:r>
                    <w:rPr>
                      <w:rFonts w:hint="default" w:ascii="Times New Roman" w:hAnsi="Times New Roman" w:eastAsia="宋体"/>
                      <w:szCs w:val="21"/>
                    </w:rPr>
                    <w:t>复垦率100.00％。矿山将按照土地复垦及环评要求逐步开展复垦工作并达到复垦要求。</w:t>
                  </w:r>
                </w:p>
              </w:tc>
              <w:tc>
                <w:tcPr>
                  <w:tcW w:w="765" w:type="dxa"/>
                  <w:vAlign w:val="center"/>
                </w:tcPr>
                <w:p w14:paraId="2EADA9B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bl>
          <w:p w14:paraId="11CB346B">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lang w:val="zh-CN"/>
              </w:rPr>
            </w:pPr>
            <w:r>
              <w:rPr>
                <w:rFonts w:hint="default"/>
                <w:b/>
                <w:bCs/>
                <w:sz w:val="24"/>
                <w:lang w:val="zh-CN"/>
              </w:rPr>
              <w:t>《矿山生态环境保护与恢复治理技术规范</w:t>
            </w:r>
            <w:r>
              <w:rPr>
                <w:rFonts w:hint="eastAsia"/>
                <w:b/>
                <w:bCs/>
                <w:sz w:val="24"/>
                <w:lang w:val="zh-CN"/>
              </w:rPr>
              <w:t>（</w:t>
            </w:r>
            <w:r>
              <w:rPr>
                <w:rFonts w:hint="default"/>
                <w:b/>
                <w:bCs/>
                <w:sz w:val="24"/>
                <w:lang w:val="zh-CN"/>
              </w:rPr>
              <w:t>试行</w:t>
            </w:r>
            <w:r>
              <w:rPr>
                <w:rFonts w:hint="eastAsia"/>
                <w:b/>
                <w:bCs/>
                <w:sz w:val="24"/>
                <w:lang w:val="zh-CN"/>
              </w:rPr>
              <w:t>）</w:t>
            </w:r>
            <w:r>
              <w:rPr>
                <w:rFonts w:hint="default"/>
                <w:b/>
                <w:bCs/>
                <w:sz w:val="24"/>
                <w:lang w:val="zh-CN"/>
              </w:rPr>
              <w:t>》（HJ 651—2013）符合性分析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3234"/>
              <w:gridCol w:w="3496"/>
              <w:gridCol w:w="738"/>
            </w:tblGrid>
            <w:tr w14:paraId="4E1B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79" w:type="pct"/>
                  <w:vAlign w:val="center"/>
                </w:tcPr>
                <w:p w14:paraId="616E6B8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序号</w:t>
                  </w:r>
                </w:p>
              </w:tc>
              <w:tc>
                <w:tcPr>
                  <w:tcW w:w="2044" w:type="pct"/>
                  <w:vAlign w:val="center"/>
                </w:tcPr>
                <w:p w14:paraId="356DABC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规范要求</w:t>
                  </w:r>
                </w:p>
              </w:tc>
              <w:tc>
                <w:tcPr>
                  <w:tcW w:w="2209" w:type="pct"/>
                  <w:vAlign w:val="center"/>
                </w:tcPr>
                <w:p w14:paraId="0C7FCDD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本项目情况</w:t>
                  </w:r>
                </w:p>
              </w:tc>
              <w:tc>
                <w:tcPr>
                  <w:tcW w:w="466" w:type="pct"/>
                  <w:vAlign w:val="center"/>
                </w:tcPr>
                <w:p w14:paraId="26BA9C9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lang w:val="en-US" w:eastAsia="zh-CN"/>
                    </w:rPr>
                  </w:pPr>
                  <w:r>
                    <w:rPr>
                      <w:rFonts w:hint="default" w:ascii="Times New Roman" w:hAnsi="Times New Roman" w:eastAsia="宋体"/>
                    </w:rPr>
                    <w:t>符合性</w:t>
                  </w:r>
                  <w:r>
                    <w:rPr>
                      <w:rFonts w:hint="eastAsia"/>
                      <w:lang w:val="en-US" w:eastAsia="zh-CN"/>
                    </w:rPr>
                    <w:t>分析</w:t>
                  </w:r>
                </w:p>
              </w:tc>
            </w:tr>
            <w:tr w14:paraId="6781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14:paraId="42C4FE5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1</w:t>
                  </w:r>
                </w:p>
              </w:tc>
              <w:tc>
                <w:tcPr>
                  <w:tcW w:w="2044" w:type="pct"/>
                  <w:vAlign w:val="center"/>
                </w:tcPr>
                <w:p w14:paraId="1B1FA29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禁止在依法划定的自然保护区、风景名胜区、森林公园、饮用水水源保护区、重要湖泊周边、文物古迹所在地、地质遗迹保护区、基本农田保护区等区域内采矿。禁止在重要道路、航道两侧及重要生态环境敏感目标可视范围内进行景观破坏明显的露天开采。</w:t>
                  </w:r>
                </w:p>
              </w:tc>
              <w:tc>
                <w:tcPr>
                  <w:tcW w:w="2209" w:type="pct"/>
                  <w:vAlign w:val="center"/>
                </w:tcPr>
                <w:p w14:paraId="1EB2C84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本项目不在自然保护区、风景名胜区、森林公园、饮用水水源保护区、重要湖泊周边、文物古迹所在地、地质遗迹保护区、基本农田保护区等范围内。</w:t>
                  </w:r>
                  <w:r>
                    <w:rPr>
                      <w:rFonts w:hint="eastAsia" w:ascii="Times New Roman" w:hAnsi="Times New Roman" w:eastAsia="宋体"/>
                    </w:rPr>
                    <w:t>本项目矿山设计为露天开采，开采过程中会一定程度上对景观造成影响，项目近距离可视范围内</w:t>
                  </w:r>
                  <w:r>
                    <w:rPr>
                      <w:rFonts w:hint="eastAsia" w:ascii="Times New Roman" w:hAnsi="Times New Roman" w:eastAsia="宋体"/>
                      <w:lang w:val="en-US" w:eastAsia="zh-CN"/>
                    </w:rPr>
                    <w:t>无道路</w:t>
                  </w:r>
                  <w:r>
                    <w:rPr>
                      <w:rFonts w:hint="eastAsia" w:ascii="Times New Roman" w:hAnsi="Times New Roman" w:eastAsia="宋体"/>
                    </w:rPr>
                    <w:t>，且矿区土地利用现状为</w:t>
                  </w:r>
                  <w:r>
                    <w:rPr>
                      <w:rFonts w:hint="default" w:ascii="Times New Roman" w:hAnsi="Times New Roman" w:eastAsia="宋体"/>
                    </w:rPr>
                    <w:t>裸岩石砾地</w:t>
                  </w:r>
                  <w:r>
                    <w:rPr>
                      <w:rFonts w:hint="eastAsia" w:ascii="Times New Roman" w:hAnsi="Times New Roman" w:eastAsia="宋体"/>
                    </w:rPr>
                    <w:t>，植被稀疏，覆盖率</w:t>
                  </w:r>
                  <w:r>
                    <w:rPr>
                      <w:rFonts w:hint="eastAsia"/>
                      <w:lang w:val="en-US" w:eastAsia="zh-CN"/>
                    </w:rPr>
                    <w:t>约为</w:t>
                  </w:r>
                  <w:r>
                    <w:rPr>
                      <w:rFonts w:hint="eastAsia" w:ascii="Times New Roman" w:hAnsi="Times New Roman" w:eastAsia="宋体"/>
                    </w:rPr>
                    <w:t>5%</w:t>
                  </w:r>
                  <w:r>
                    <w:rPr>
                      <w:rFonts w:hint="default" w:ascii="Times New Roman" w:hAnsi="Times New Roman" w:eastAsia="宋体"/>
                    </w:rPr>
                    <w:t>，</w:t>
                  </w:r>
                  <w:r>
                    <w:rPr>
                      <w:rFonts w:hint="eastAsia" w:ascii="Times New Roman" w:hAnsi="Times New Roman" w:eastAsia="宋体"/>
                    </w:rPr>
                    <w:t>在采取报告提出的相应保护措施后，对景观影响较小</w:t>
                  </w:r>
                  <w:r>
                    <w:rPr>
                      <w:rFonts w:hint="default" w:ascii="Times New Roman" w:hAnsi="Times New Roman" w:eastAsia="宋体"/>
                    </w:rPr>
                    <w:t>。</w:t>
                  </w:r>
                </w:p>
              </w:tc>
              <w:tc>
                <w:tcPr>
                  <w:tcW w:w="466" w:type="pct"/>
                  <w:vAlign w:val="center"/>
                </w:tcPr>
                <w:p w14:paraId="1D1F65E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1B14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14:paraId="7E0774F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2</w:t>
                  </w:r>
                </w:p>
              </w:tc>
              <w:tc>
                <w:tcPr>
                  <w:tcW w:w="2044" w:type="pct"/>
                  <w:vAlign w:val="center"/>
                </w:tcPr>
                <w:p w14:paraId="074FA3D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矿产资源开发活动应符合国家和区域主体功能区划、生态功能区划、生态环境保护规划的要求，采取有效预防和保护措施，避免或减轻矿产资源开发活动造成的生态破坏和环境污染。</w:t>
                  </w:r>
                </w:p>
              </w:tc>
              <w:tc>
                <w:tcPr>
                  <w:tcW w:w="2209" w:type="pct"/>
                  <w:vAlign w:val="center"/>
                </w:tcPr>
                <w:p w14:paraId="7CB4467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本项目在开采过程中采取相关生态保护措施及污染防治措施后能够减轻矿产资源开发活动造成的生态破坏和环境污染，项目的开采符合国家和区域主体功能区划、生态功能区划等要求。</w:t>
                  </w:r>
                </w:p>
              </w:tc>
              <w:tc>
                <w:tcPr>
                  <w:tcW w:w="466" w:type="pct"/>
                  <w:vAlign w:val="center"/>
                </w:tcPr>
                <w:p w14:paraId="063B92A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5494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14:paraId="061D266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3</w:t>
                  </w:r>
                </w:p>
              </w:tc>
              <w:tc>
                <w:tcPr>
                  <w:tcW w:w="2044" w:type="pct"/>
                  <w:vAlign w:val="center"/>
                </w:tcPr>
                <w:p w14:paraId="0CDE937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所有矿山企业均应对照本标准各项要求，编制实施矿山生态环境保护与恢复治理方案。</w:t>
                  </w:r>
                </w:p>
              </w:tc>
              <w:tc>
                <w:tcPr>
                  <w:tcW w:w="2209" w:type="pct"/>
                  <w:vAlign w:val="center"/>
                </w:tcPr>
                <w:p w14:paraId="058EDA9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本项目编制了《</w:t>
                  </w:r>
                  <w:r>
                    <w:rPr>
                      <w:rFonts w:hint="eastAsia" w:ascii="Times New Roman" w:hAnsi="Times New Roman" w:eastAsia="宋体"/>
                      <w:lang w:val="en-US" w:eastAsia="zh-CN"/>
                    </w:rPr>
                    <w:t>巴州泽丰矿业有限责任公司新疆和静夏翁沟口水泥用石灰岩</w:t>
                  </w:r>
                  <w:r>
                    <w:rPr>
                      <w:rFonts w:hint="eastAsia" w:ascii="Times New Roman" w:hAnsi="Times New Roman" w:eastAsia="宋体"/>
                    </w:rPr>
                    <w:t>矿</w:t>
                  </w:r>
                  <w:r>
                    <w:rPr>
                      <w:rFonts w:hint="default" w:ascii="Times New Roman" w:hAnsi="Times New Roman" w:eastAsia="宋体"/>
                    </w:rPr>
                    <w:t>矿产资源开发利用与生态保护修复方案》并通过</w:t>
                  </w:r>
                  <w:r>
                    <w:rPr>
                      <w:rFonts w:hint="eastAsia" w:ascii="Times New Roman" w:hAnsi="Times New Roman" w:eastAsia="宋体"/>
                    </w:rPr>
                    <w:t>专家评审。</w:t>
                  </w:r>
                </w:p>
              </w:tc>
              <w:tc>
                <w:tcPr>
                  <w:tcW w:w="466" w:type="pct"/>
                  <w:vAlign w:val="center"/>
                </w:tcPr>
                <w:p w14:paraId="7C92854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171A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14:paraId="03A3018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4</w:t>
                  </w:r>
                </w:p>
              </w:tc>
              <w:tc>
                <w:tcPr>
                  <w:tcW w:w="2044" w:type="pct"/>
                  <w:vAlign w:val="center"/>
                </w:tcPr>
                <w:p w14:paraId="30ED95A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采矿产生的固体废物，应在专用场所堆放，并采取措施防止二次污染；禁止向河流、湖泊、水库等水体及行洪渠道排放岩土、含油垃圾、泥浆、煤渣、煤矸石和其他固体废物。</w:t>
                  </w:r>
                </w:p>
              </w:tc>
              <w:tc>
                <w:tcPr>
                  <w:tcW w:w="2209" w:type="pct"/>
                  <w:vAlign w:val="center"/>
                </w:tcPr>
                <w:p w14:paraId="1EFFE07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lang w:val="en-US" w:eastAsia="zh-CN"/>
                    </w:rPr>
                  </w:pPr>
                  <w:r>
                    <w:rPr>
                      <w:rFonts w:hint="default" w:ascii="Times New Roman" w:hAnsi="Times New Roman" w:eastAsia="宋体"/>
                      <w:color w:val="000000" w:themeColor="text1"/>
                      <w14:textFill>
                        <w14:solidFill>
                          <w14:schemeClr w14:val="tx1"/>
                        </w14:solidFill>
                      </w14:textFill>
                    </w:rPr>
                    <w:t>本项目设计有</w:t>
                  </w:r>
                  <w:r>
                    <w:rPr>
                      <w:rFonts w:hint="eastAsia" w:ascii="Times New Roman" w:hAnsi="Times New Roman" w:eastAsia="宋体"/>
                      <w:color w:val="000000" w:themeColor="text1"/>
                      <w:lang w:eastAsia="zh-CN"/>
                      <w14:textFill>
                        <w14:solidFill>
                          <w14:schemeClr w14:val="tx1"/>
                        </w14:solidFill>
                      </w14:textFill>
                    </w:rPr>
                    <w:t>排土场</w:t>
                  </w:r>
                  <w:r>
                    <w:rPr>
                      <w:rFonts w:hint="default" w:ascii="Times New Roman" w:hAnsi="Times New Roman" w:eastAsia="宋体"/>
                      <w:color w:val="000000" w:themeColor="text1"/>
                      <w14:textFill>
                        <w14:solidFill>
                          <w14:schemeClr w14:val="tx1"/>
                        </w14:solidFill>
                      </w14:textFill>
                    </w:rPr>
                    <w:t>，固废均进行合理处置。</w:t>
                  </w:r>
                  <w:r>
                    <w:rPr>
                      <w:rFonts w:hint="eastAsia"/>
                      <w:color w:val="000000" w:themeColor="text1"/>
                      <w:lang w:val="en-US" w:eastAsia="zh-CN"/>
                      <w14:textFill>
                        <w14:solidFill>
                          <w14:schemeClr w14:val="tx1"/>
                        </w14:solidFill>
                      </w14:textFill>
                    </w:rPr>
                    <w:t>项目区用地范围内不涉及</w:t>
                  </w:r>
                  <w:r>
                    <w:rPr>
                      <w:rFonts w:hint="default" w:ascii="Times New Roman" w:hAnsi="Times New Roman" w:eastAsia="宋体"/>
                      <w:color w:val="000000" w:themeColor="text1"/>
                      <w14:textFill>
                        <w14:solidFill>
                          <w14:schemeClr w14:val="tx1"/>
                        </w14:solidFill>
                      </w14:textFill>
                    </w:rPr>
                    <w:t>河流、湖泊、水库等水体</w:t>
                  </w:r>
                  <w:r>
                    <w:rPr>
                      <w:rFonts w:hint="eastAsia"/>
                      <w:color w:val="000000" w:themeColor="text1"/>
                      <w:lang w:eastAsia="zh-CN"/>
                      <w14:textFill>
                        <w14:solidFill>
                          <w14:schemeClr w14:val="tx1"/>
                        </w14:solidFill>
                      </w14:textFill>
                    </w:rPr>
                    <w:t>。</w:t>
                  </w:r>
                </w:p>
              </w:tc>
              <w:tc>
                <w:tcPr>
                  <w:tcW w:w="466" w:type="pct"/>
                  <w:vAlign w:val="center"/>
                </w:tcPr>
                <w:p w14:paraId="2C32A23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1B3C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14:paraId="36BA7C1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5</w:t>
                  </w:r>
                </w:p>
              </w:tc>
              <w:tc>
                <w:tcPr>
                  <w:tcW w:w="2044" w:type="pct"/>
                  <w:vAlign w:val="center"/>
                </w:tcPr>
                <w:p w14:paraId="41A2F730">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排土场应设置完整的排水系统，位于沟谷的排土场应设置防洪和排水设施，避免阻碍泄洪，防治淤塞农田、加剧水土流失和诱发地质灾害。</w:t>
                  </w:r>
                </w:p>
              </w:tc>
              <w:tc>
                <w:tcPr>
                  <w:tcW w:w="2209" w:type="pct"/>
                  <w:vAlign w:val="center"/>
                </w:tcPr>
                <w:p w14:paraId="1D80C58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本项目</w:t>
                  </w:r>
                  <w:r>
                    <w:rPr>
                      <w:rFonts w:hint="eastAsia" w:ascii="Times New Roman" w:hAnsi="Times New Roman" w:eastAsia="宋体"/>
                      <w:lang w:eastAsia="zh-CN"/>
                    </w:rPr>
                    <w:t>排土场</w:t>
                  </w:r>
                  <w:r>
                    <w:rPr>
                      <w:rFonts w:hint="default" w:ascii="Times New Roman" w:hAnsi="Times New Roman" w:eastAsia="宋体"/>
                    </w:rPr>
                    <w:t>设置有截排水沟</w:t>
                  </w:r>
                  <w:r>
                    <w:rPr>
                      <w:rFonts w:hint="eastAsia"/>
                      <w:lang w:eastAsia="zh-CN"/>
                    </w:rPr>
                    <w:t>、</w:t>
                  </w:r>
                  <w:r>
                    <w:rPr>
                      <w:rFonts w:hint="eastAsia"/>
                      <w:lang w:val="en-US" w:eastAsia="zh-CN"/>
                    </w:rPr>
                    <w:t>导流堤</w:t>
                  </w:r>
                  <w:r>
                    <w:rPr>
                      <w:rFonts w:hint="default" w:ascii="Times New Roman" w:hAnsi="Times New Roman" w:eastAsia="宋体"/>
                    </w:rPr>
                    <w:t>。</w:t>
                  </w:r>
                </w:p>
              </w:tc>
              <w:tc>
                <w:tcPr>
                  <w:tcW w:w="466" w:type="pct"/>
                  <w:vAlign w:val="center"/>
                </w:tcPr>
                <w:p w14:paraId="0D008B8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r w14:paraId="11D0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14:paraId="539854F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6</w:t>
                  </w:r>
                </w:p>
              </w:tc>
              <w:tc>
                <w:tcPr>
                  <w:tcW w:w="2044" w:type="pct"/>
                  <w:vAlign w:val="center"/>
                </w:tcPr>
                <w:p w14:paraId="518ADE7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矿山大气污染防治：采矿清理地面植被时，禁止燃烧植被。运输剥离土的道路应洒水或采取其他措施减少粉尘。采矿作业中所用设备应配备粉尘收集或降尘措施。矿物和矿渣运输道路应硬化并洒水防尘，运输车辆应采取围挡、遮盖等措施。矿物堆场和临时料仓应采取防治风蚀和扬尘措施。</w:t>
                  </w:r>
                </w:p>
              </w:tc>
              <w:tc>
                <w:tcPr>
                  <w:tcW w:w="2209" w:type="pct"/>
                  <w:vAlign w:val="center"/>
                </w:tcPr>
                <w:p w14:paraId="07B7874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lang w:val="en-US" w:eastAsia="zh-CN"/>
                    </w:rPr>
                  </w:pPr>
                  <w:r>
                    <w:rPr>
                      <w:rFonts w:hint="default" w:ascii="Times New Roman" w:hAnsi="Times New Roman" w:eastAsia="宋体"/>
                    </w:rPr>
                    <w:t>本项目</w:t>
                  </w:r>
                  <w:r>
                    <w:rPr>
                      <w:rFonts w:hint="eastAsia" w:ascii="Times New Roman" w:hAnsi="Times New Roman" w:eastAsia="宋体"/>
                    </w:rPr>
                    <w:t>开采过程</w:t>
                  </w:r>
                  <w:r>
                    <w:rPr>
                      <w:rFonts w:hint="eastAsia"/>
                      <w:lang w:val="en-US" w:eastAsia="zh-CN"/>
                    </w:rPr>
                    <w:t>不</w:t>
                  </w:r>
                  <w:r>
                    <w:rPr>
                      <w:rFonts w:hint="default" w:ascii="Times New Roman" w:hAnsi="Times New Roman" w:eastAsia="宋体"/>
                    </w:rPr>
                    <w:t>燃烧植被</w:t>
                  </w:r>
                  <w:r>
                    <w:rPr>
                      <w:rFonts w:hint="eastAsia"/>
                      <w:lang w:eastAsia="zh-CN"/>
                    </w:rPr>
                    <w:t>；</w:t>
                  </w:r>
                  <w:r>
                    <w:rPr>
                      <w:rFonts w:hint="default" w:ascii="Times New Roman" w:hAnsi="Times New Roman" w:eastAsia="宋体"/>
                    </w:rPr>
                    <w:t>运输剥离土的道路</w:t>
                  </w:r>
                  <w:r>
                    <w:rPr>
                      <w:rFonts w:hint="eastAsia"/>
                      <w:lang w:val="en-US" w:eastAsia="zh-CN"/>
                    </w:rPr>
                    <w:t>中</w:t>
                  </w:r>
                  <w:r>
                    <w:rPr>
                      <w:rFonts w:hint="default" w:ascii="Times New Roman" w:hAnsi="Times New Roman" w:eastAsia="宋体"/>
                    </w:rPr>
                    <w:t>采取洒水抑尘措施减少粉尘</w:t>
                  </w:r>
                  <w:r>
                    <w:rPr>
                      <w:rFonts w:hint="eastAsia"/>
                      <w:lang w:eastAsia="zh-CN"/>
                    </w:rPr>
                    <w:t>；</w:t>
                  </w:r>
                  <w:r>
                    <w:rPr>
                      <w:rFonts w:hint="default" w:ascii="Times New Roman" w:hAnsi="Times New Roman" w:eastAsia="宋体"/>
                    </w:rPr>
                    <w:t>采矿作业中采取洒水抑尘措施；矿物和矿渣运输道路</w:t>
                  </w:r>
                  <w:r>
                    <w:rPr>
                      <w:rFonts w:hint="eastAsia"/>
                      <w:lang w:val="en-US" w:eastAsia="zh-CN"/>
                    </w:rPr>
                    <w:t>采取石子</w:t>
                  </w:r>
                  <w:r>
                    <w:rPr>
                      <w:rFonts w:hint="default" w:ascii="Times New Roman" w:hAnsi="Times New Roman" w:eastAsia="宋体"/>
                    </w:rPr>
                    <w:t>硬化并洒水防尘</w:t>
                  </w:r>
                  <w:r>
                    <w:rPr>
                      <w:rFonts w:hint="eastAsia"/>
                      <w:lang w:eastAsia="zh-CN"/>
                    </w:rPr>
                    <w:t>，</w:t>
                  </w:r>
                  <w:r>
                    <w:rPr>
                      <w:rFonts w:hint="default" w:ascii="Times New Roman" w:hAnsi="Times New Roman" w:eastAsia="宋体"/>
                    </w:rPr>
                    <w:t>运输车辆采取</w:t>
                  </w:r>
                  <w:r>
                    <w:rPr>
                      <w:rFonts w:hint="eastAsia" w:ascii="Times New Roman" w:hAnsi="Times New Roman" w:eastAsia="宋体"/>
                    </w:rPr>
                    <w:t>篷布</w:t>
                  </w:r>
                  <w:r>
                    <w:rPr>
                      <w:rFonts w:hint="default" w:ascii="Times New Roman" w:hAnsi="Times New Roman" w:eastAsia="宋体"/>
                    </w:rPr>
                    <w:t>遮盖措施</w:t>
                  </w:r>
                  <w:r>
                    <w:rPr>
                      <w:rFonts w:hint="eastAsia"/>
                      <w:lang w:eastAsia="zh-CN"/>
                    </w:rPr>
                    <w:t>；</w:t>
                  </w:r>
                  <w:r>
                    <w:rPr>
                      <w:rFonts w:hint="eastAsia"/>
                      <w:lang w:val="en-US" w:eastAsia="zh-CN"/>
                    </w:rPr>
                    <w:t>排土场、临时堆料场采取防尘抑尘网（墙）加洒水抑尘。</w:t>
                  </w:r>
                </w:p>
              </w:tc>
              <w:tc>
                <w:tcPr>
                  <w:tcW w:w="466" w:type="pct"/>
                  <w:vAlign w:val="center"/>
                </w:tcPr>
                <w:p w14:paraId="430E266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rPr>
                  </w:pPr>
                  <w:r>
                    <w:rPr>
                      <w:rFonts w:hint="default" w:ascii="Times New Roman" w:hAnsi="Times New Roman" w:eastAsia="宋体"/>
                    </w:rPr>
                    <w:t>符合</w:t>
                  </w:r>
                </w:p>
              </w:tc>
            </w:tr>
          </w:tbl>
          <w:p w14:paraId="5EDA2CE1">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lang w:val="zh-CN"/>
              </w:rPr>
            </w:pPr>
            <w:r>
              <w:rPr>
                <w:rFonts w:hint="eastAsia"/>
                <w:b/>
                <w:bCs/>
                <w:sz w:val="24"/>
                <w:lang w:val="zh-CN"/>
              </w:rPr>
              <w:t>与</w:t>
            </w:r>
            <w:r>
              <w:rPr>
                <w:rFonts w:hint="default"/>
                <w:b/>
                <w:bCs/>
                <w:sz w:val="24"/>
                <w:lang w:val="zh-CN"/>
              </w:rPr>
              <w:t>《</w:t>
            </w:r>
            <w:r>
              <w:rPr>
                <w:rFonts w:hint="eastAsia"/>
                <w:b/>
                <w:bCs/>
                <w:sz w:val="24"/>
                <w:lang w:val="zh-CN"/>
              </w:rPr>
              <w:t>新疆维吾尔自治区重点行业生态环境准入条件〔2024〕</w:t>
            </w:r>
            <w:r>
              <w:rPr>
                <w:rFonts w:hint="default"/>
                <w:b/>
                <w:bCs/>
                <w:sz w:val="24"/>
                <w:lang w:val="zh-CN"/>
              </w:rPr>
              <w:t>》符合性分析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3439"/>
              <w:gridCol w:w="3208"/>
              <w:gridCol w:w="739"/>
            </w:tblGrid>
            <w:tr w14:paraId="27CB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5" w:type="pct"/>
                  <w:gridSpan w:val="2"/>
                  <w:vAlign w:val="center"/>
                </w:tcPr>
                <w:p w14:paraId="18C1FF6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eastAsia="zh-CN"/>
                    </w:rPr>
                    <w:t>《</w:t>
                  </w:r>
                  <w:r>
                    <w:rPr>
                      <w:rFonts w:hint="eastAsia"/>
                      <w:szCs w:val="21"/>
                      <w:lang w:val="zh-CN"/>
                    </w:rPr>
                    <w:t>新疆维吾尔自治区重点行业生态环境准入条件〔2024〕</w:t>
                  </w:r>
                  <w:r>
                    <w:rPr>
                      <w:rFonts w:hint="eastAsia"/>
                      <w:szCs w:val="21"/>
                      <w:lang w:val="zh-CN" w:eastAsia="zh-CN"/>
                    </w:rPr>
                    <w:t>》</w:t>
                  </w:r>
                  <w:r>
                    <w:rPr>
                      <w:rFonts w:hint="eastAsia"/>
                      <w:szCs w:val="21"/>
                      <w:lang w:val="en-US" w:eastAsia="zh-CN"/>
                    </w:rPr>
                    <w:t xml:space="preserve"> </w:t>
                  </w:r>
                  <w:r>
                    <w:rPr>
                      <w:rFonts w:hint="default" w:ascii="Times New Roman" w:hAnsi="Times New Roman" w:eastAsia="宋体"/>
                      <w:szCs w:val="21"/>
                      <w:lang w:val="zh-CN"/>
                    </w:rPr>
                    <w:t>“二、非金属矿采选行业”要求</w:t>
                  </w:r>
                </w:p>
              </w:tc>
              <w:tc>
                <w:tcPr>
                  <w:tcW w:w="2027" w:type="pct"/>
                  <w:vAlign w:val="center"/>
                </w:tcPr>
                <w:p w14:paraId="54A74C1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项目情况</w:t>
                  </w:r>
                </w:p>
              </w:tc>
              <w:tc>
                <w:tcPr>
                  <w:tcW w:w="467" w:type="pct"/>
                  <w:vAlign w:val="center"/>
                </w:tcPr>
                <w:p w14:paraId="2C18193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szCs w:val="21"/>
                      <w:lang w:val="en-US" w:eastAsia="zh-CN"/>
                    </w:rPr>
                  </w:pPr>
                  <w:r>
                    <w:rPr>
                      <w:rFonts w:hint="default" w:ascii="Times New Roman" w:hAnsi="Times New Roman" w:eastAsia="宋体"/>
                      <w:szCs w:val="21"/>
                      <w:lang w:val="zh-CN"/>
                    </w:rPr>
                    <w:t>符合性</w:t>
                  </w:r>
                  <w:r>
                    <w:rPr>
                      <w:rFonts w:hint="eastAsia"/>
                      <w:szCs w:val="21"/>
                      <w:lang w:val="en-US" w:eastAsia="zh-CN"/>
                    </w:rPr>
                    <w:t>分析</w:t>
                  </w:r>
                </w:p>
              </w:tc>
            </w:tr>
            <w:tr w14:paraId="763C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Merge w:val="restart"/>
                  <w:vAlign w:val="center"/>
                </w:tcPr>
                <w:p w14:paraId="4362E13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选址与空间布局</w:t>
                  </w:r>
                </w:p>
              </w:tc>
              <w:tc>
                <w:tcPr>
                  <w:tcW w:w="2173" w:type="pct"/>
                  <w:vAlign w:val="center"/>
                </w:tcPr>
                <w:p w14:paraId="15471EE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1.</w:t>
                  </w:r>
                  <w:r>
                    <w:rPr>
                      <w:rFonts w:hint="default" w:ascii="Times New Roman" w:hAnsi="Times New Roman" w:eastAsia="宋体"/>
                      <w:color w:val="000000" w:themeColor="text1"/>
                      <w:szCs w:val="21"/>
                      <w:lang w:val="zh-CN"/>
                      <w14:textFill>
                        <w14:solidFill>
                          <w14:schemeClr w14:val="tx1"/>
                        </w14:solidFill>
                      </w14:textFill>
                    </w:rPr>
                    <w:t>禁止在重要工业区、大型水利工程设施、城镇市政工程设施所在区域，军事管理区、机场、国防工程设施圈定的区域，高速公路、国道、省道等重要交通干线两侧用地外缘200米范围内（确有必要可根据实际情况论证），</w:t>
                  </w:r>
                  <w:r>
                    <w:rPr>
                      <w:rFonts w:hint="default" w:ascii="Times New Roman" w:hAnsi="Times New Roman" w:eastAsia="宋体"/>
                      <w:szCs w:val="21"/>
                      <w:lang w:val="zh-CN"/>
                    </w:rPr>
                    <w:t>铁路线路两侧路堤坡脚、路堑坡顶、铁路桥梁外侧起各1000米范围内及在铁路隧道上方中心线两侧各1000米范围内建设非金属矿采矿项目。居民聚集区1千米以内禁止石灰石开采。</w:t>
                  </w:r>
                </w:p>
              </w:tc>
              <w:tc>
                <w:tcPr>
                  <w:tcW w:w="2027" w:type="pct"/>
                  <w:vAlign w:val="center"/>
                </w:tcPr>
                <w:p w14:paraId="1B295BF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default" w:ascii="Times New Roman" w:hAnsi="Times New Roman" w:eastAsia="宋体"/>
                      <w:szCs w:val="21"/>
                      <w:lang w:val="zh-CN"/>
                    </w:rPr>
                    <w:t>本项目位于</w:t>
                  </w:r>
                  <w:r>
                    <w:rPr>
                      <w:rFonts w:hint="eastAsia" w:ascii="Times New Roman" w:hAnsi="Times New Roman" w:eastAsia="宋体" w:cs="宋体"/>
                      <w:szCs w:val="21"/>
                    </w:rPr>
                    <w:t>新疆维吾尔自治区巴音郭楞蒙古自治州和静县</w:t>
                  </w:r>
                  <w:r>
                    <w:rPr>
                      <w:rFonts w:hint="eastAsia" w:ascii="Times New Roman" w:hAnsi="Times New Roman" w:eastAsia="宋体" w:cs="宋体"/>
                      <w:sz w:val="21"/>
                      <w:szCs w:val="21"/>
                    </w:rPr>
                    <w:t>城北西352°方位、直距约19.1km处，</w:t>
                  </w:r>
                  <w:r>
                    <w:rPr>
                      <w:rFonts w:hint="eastAsia" w:ascii="Times New Roman" w:hAnsi="Times New Roman" w:eastAsia="宋体" w:cs="宋体"/>
                      <w:szCs w:val="21"/>
                    </w:rPr>
                    <w:t>矿区</w:t>
                  </w:r>
                  <w:r>
                    <w:rPr>
                      <w:rFonts w:hint="default" w:ascii="Times New Roman" w:hAnsi="Times New Roman" w:eastAsia="宋体"/>
                      <w:szCs w:val="21"/>
                      <w:lang w:val="zh-CN"/>
                    </w:rPr>
                    <w:t>不在重要交通干线两侧200米范围以内，</w:t>
                  </w:r>
                  <w:r>
                    <w:rPr>
                      <w:rFonts w:hint="eastAsia" w:ascii="Times New Roman" w:hAnsi="Times New Roman" w:eastAsia="宋体"/>
                      <w:szCs w:val="21"/>
                    </w:rPr>
                    <w:t>距离最近</w:t>
                  </w:r>
                  <w:r>
                    <w:rPr>
                      <w:rFonts w:hint="default" w:ascii="Times New Roman" w:hAnsi="Times New Roman" w:eastAsia="宋体"/>
                      <w:szCs w:val="21"/>
                      <w:lang w:val="zh-CN"/>
                    </w:rPr>
                    <w:t>高速公路</w:t>
                  </w:r>
                  <w:r>
                    <w:rPr>
                      <w:rFonts w:hint="eastAsia"/>
                      <w:szCs w:val="21"/>
                      <w:lang w:val="zh-CN"/>
                    </w:rPr>
                    <w:t>（</w:t>
                  </w:r>
                  <w:r>
                    <w:rPr>
                      <w:rFonts w:hint="eastAsia"/>
                      <w:szCs w:val="21"/>
                      <w:lang w:val="en-US" w:eastAsia="zh-CN"/>
                    </w:rPr>
                    <w:t>乌若高速</w:t>
                  </w:r>
                  <w:r>
                    <w:rPr>
                      <w:rFonts w:hint="eastAsia"/>
                      <w:szCs w:val="21"/>
                      <w:lang w:val="zh-CN"/>
                    </w:rPr>
                    <w:t>）、</w:t>
                  </w:r>
                  <w:r>
                    <w:rPr>
                      <w:rFonts w:hint="eastAsia" w:ascii="Times New Roman" w:hAnsi="Times New Roman" w:eastAsia="宋体"/>
                      <w:szCs w:val="21"/>
                    </w:rPr>
                    <w:t>国道（G218）</w:t>
                  </w:r>
                  <w:r>
                    <w:rPr>
                      <w:rFonts w:hint="eastAsia" w:ascii="Times New Roman" w:hAnsi="Times New Roman" w:eastAsia="宋体"/>
                      <w:szCs w:val="21"/>
                      <w:lang w:eastAsia="zh-CN"/>
                    </w:rPr>
                    <w:t>、</w:t>
                  </w:r>
                  <w:r>
                    <w:rPr>
                      <w:rFonts w:hint="eastAsia" w:ascii="Times New Roman" w:hAnsi="Times New Roman" w:eastAsia="宋体"/>
                      <w:szCs w:val="21"/>
                    </w:rPr>
                    <w:t>铁路（南疆线）</w:t>
                  </w:r>
                  <w:r>
                    <w:rPr>
                      <w:rFonts w:hint="eastAsia" w:ascii="Times New Roman" w:hAnsi="Times New Roman" w:eastAsia="宋体"/>
                      <w:szCs w:val="21"/>
                      <w:lang w:val="en-US" w:eastAsia="zh-CN"/>
                    </w:rPr>
                    <w:t>超过2</w:t>
                  </w:r>
                  <w:r>
                    <w:rPr>
                      <w:rFonts w:hint="eastAsia" w:ascii="Times New Roman" w:hAnsi="Times New Roman" w:eastAsia="宋体"/>
                      <w:szCs w:val="21"/>
                    </w:rPr>
                    <w:t>00</w:t>
                  </w:r>
                  <w:r>
                    <w:rPr>
                      <w:rFonts w:hint="eastAsia"/>
                      <w:szCs w:val="21"/>
                      <w:lang w:val="en-US" w:eastAsia="zh-CN"/>
                    </w:rPr>
                    <w:t>m</w:t>
                  </w:r>
                  <w:r>
                    <w:rPr>
                      <w:rFonts w:hint="eastAsia" w:ascii="Times New Roman" w:hAnsi="Times New Roman" w:eastAsia="宋体"/>
                      <w:szCs w:val="21"/>
                    </w:rPr>
                    <w:t>，</w:t>
                  </w:r>
                  <w:r>
                    <w:rPr>
                      <w:rFonts w:hint="default" w:ascii="Times New Roman" w:hAnsi="Times New Roman" w:eastAsia="宋体"/>
                      <w:szCs w:val="21"/>
                    </w:rPr>
                    <w:t>不在重要工业区、大型水利工程设施、城镇市政工程设施所在区域</w:t>
                  </w:r>
                  <w:r>
                    <w:rPr>
                      <w:rFonts w:hint="eastAsia"/>
                      <w:szCs w:val="21"/>
                      <w:lang w:eastAsia="zh-CN"/>
                    </w:rPr>
                    <w:t>、</w:t>
                  </w:r>
                  <w:r>
                    <w:rPr>
                      <w:rFonts w:hint="default" w:ascii="Times New Roman" w:hAnsi="Times New Roman" w:eastAsia="宋体"/>
                      <w:szCs w:val="21"/>
                    </w:rPr>
                    <w:t>军事管理区、机场、国防工程设施圈定的区域</w:t>
                  </w:r>
                  <w:r>
                    <w:rPr>
                      <w:rFonts w:hint="eastAsia"/>
                      <w:szCs w:val="21"/>
                      <w:lang w:eastAsia="zh-CN"/>
                    </w:rPr>
                    <w:t>；</w:t>
                  </w:r>
                  <w:r>
                    <w:rPr>
                      <w:rFonts w:hint="eastAsia"/>
                      <w:szCs w:val="21"/>
                      <w:lang w:val="en-US" w:eastAsia="zh-CN"/>
                    </w:rPr>
                    <w:t>距离</w:t>
                  </w:r>
                  <w:r>
                    <w:rPr>
                      <w:rFonts w:hint="eastAsia"/>
                      <w:szCs w:val="21"/>
                      <w:lang w:val="zh-CN" w:eastAsia="zh-CN"/>
                    </w:rPr>
                    <w:t>铁路线路两侧路堤坡脚、路堑坡顶、铁路桥梁外侧、铁路隧道上方中心线两侧1</w:t>
                  </w:r>
                  <w:r>
                    <w:rPr>
                      <w:rFonts w:hint="eastAsia"/>
                      <w:szCs w:val="21"/>
                      <w:lang w:val="en-US" w:eastAsia="zh-CN"/>
                    </w:rPr>
                    <w:t>km</w:t>
                  </w:r>
                  <w:r>
                    <w:rPr>
                      <w:rFonts w:hint="eastAsia"/>
                      <w:szCs w:val="21"/>
                      <w:lang w:val="zh-CN" w:eastAsia="zh-CN"/>
                    </w:rPr>
                    <w:t>范围</w:t>
                  </w:r>
                  <w:r>
                    <w:rPr>
                      <w:rFonts w:hint="eastAsia"/>
                      <w:szCs w:val="21"/>
                      <w:lang w:val="en-US" w:eastAsia="zh-CN"/>
                    </w:rPr>
                    <w:t>外</w:t>
                  </w:r>
                  <w:r>
                    <w:rPr>
                      <w:rFonts w:hint="eastAsia"/>
                      <w:szCs w:val="21"/>
                      <w:lang w:val="zh-CN" w:eastAsia="zh-CN"/>
                    </w:rPr>
                    <w:t>；</w:t>
                  </w:r>
                  <w:r>
                    <w:rPr>
                      <w:rFonts w:hint="default" w:ascii="Times New Roman" w:hAnsi="Times New Roman" w:eastAsia="宋体"/>
                      <w:szCs w:val="21"/>
                    </w:rPr>
                    <w:t>1</w:t>
                  </w:r>
                  <w:r>
                    <w:rPr>
                      <w:rFonts w:hint="eastAsia"/>
                      <w:szCs w:val="21"/>
                      <w:lang w:val="en-US" w:eastAsia="zh-CN"/>
                    </w:rPr>
                    <w:t>km</w:t>
                  </w:r>
                  <w:r>
                    <w:rPr>
                      <w:rFonts w:hint="default" w:ascii="Times New Roman" w:hAnsi="Times New Roman" w:eastAsia="宋体"/>
                      <w:szCs w:val="21"/>
                    </w:rPr>
                    <w:t>以内无</w:t>
                  </w:r>
                  <w:r>
                    <w:rPr>
                      <w:rFonts w:hint="default" w:ascii="Times New Roman" w:hAnsi="Times New Roman" w:eastAsia="宋体"/>
                      <w:szCs w:val="21"/>
                      <w:lang w:val="zh-CN"/>
                    </w:rPr>
                    <w:t>居民区</w:t>
                  </w:r>
                  <w:r>
                    <w:rPr>
                      <w:rFonts w:hint="eastAsia"/>
                      <w:szCs w:val="21"/>
                      <w:lang w:val="zh-CN"/>
                    </w:rPr>
                    <w:t>。</w:t>
                  </w:r>
                </w:p>
              </w:tc>
              <w:tc>
                <w:tcPr>
                  <w:tcW w:w="467" w:type="pct"/>
                  <w:vAlign w:val="center"/>
                </w:tcPr>
                <w:p w14:paraId="6BEC861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符合</w:t>
                  </w:r>
                </w:p>
              </w:tc>
            </w:tr>
            <w:tr w14:paraId="0CB8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Merge w:val="continue"/>
                  <w:vAlign w:val="center"/>
                </w:tcPr>
                <w:p w14:paraId="265737B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p>
              </w:tc>
              <w:tc>
                <w:tcPr>
                  <w:tcW w:w="2173" w:type="pct"/>
                  <w:vAlign w:val="center"/>
                </w:tcPr>
                <w:p w14:paraId="147A26E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2.河道范围及其附近的非金属矿采选项目应符合国家和自治区河道管理条例要求，具体根据矿产资源开发利用结论和环境影响评价结论管控。</w:t>
                  </w:r>
                </w:p>
              </w:tc>
              <w:tc>
                <w:tcPr>
                  <w:tcW w:w="2027" w:type="pct"/>
                  <w:vAlign w:val="center"/>
                </w:tcPr>
                <w:p w14:paraId="7E0988F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eastAsia"/>
                      <w:szCs w:val="21"/>
                      <w:lang w:val="en-US" w:eastAsia="zh-CN"/>
                    </w:rPr>
                    <w:t>本</w:t>
                  </w:r>
                  <w:r>
                    <w:rPr>
                      <w:rFonts w:hint="default" w:ascii="Times New Roman" w:hAnsi="Times New Roman" w:eastAsia="宋体"/>
                      <w:szCs w:val="21"/>
                    </w:rPr>
                    <w:t>项目为</w:t>
                  </w:r>
                  <w:r>
                    <w:rPr>
                      <w:rFonts w:hint="eastAsia" w:ascii="Times New Roman" w:hAnsi="Times New Roman" w:eastAsia="宋体"/>
                      <w:szCs w:val="21"/>
                      <w:lang w:val="en-US" w:eastAsia="zh-CN"/>
                    </w:rPr>
                    <w:t>水泥用石灰石开采</w:t>
                  </w:r>
                  <w:r>
                    <w:rPr>
                      <w:rFonts w:hint="default" w:ascii="Times New Roman" w:hAnsi="Times New Roman" w:eastAsia="宋体"/>
                      <w:szCs w:val="21"/>
                    </w:rPr>
                    <w:t>项目，</w:t>
                  </w:r>
                  <w:r>
                    <w:rPr>
                      <w:rFonts w:hint="eastAsia"/>
                      <w:szCs w:val="21"/>
                      <w:lang w:val="en-US" w:eastAsia="zh-CN"/>
                    </w:rPr>
                    <w:t>不涉及选矿，项目区不在</w:t>
                  </w:r>
                  <w:r>
                    <w:rPr>
                      <w:rFonts w:hint="default" w:ascii="Times New Roman" w:hAnsi="Times New Roman" w:eastAsia="宋体"/>
                      <w:szCs w:val="21"/>
                      <w:lang w:val="zh-CN"/>
                    </w:rPr>
                    <w:t>河道范围及其附近</w:t>
                  </w:r>
                  <w:r>
                    <w:rPr>
                      <w:rFonts w:hint="eastAsia"/>
                      <w:szCs w:val="21"/>
                      <w:lang w:val="zh-CN"/>
                    </w:rPr>
                    <w:t>，</w:t>
                  </w:r>
                  <w:r>
                    <w:rPr>
                      <w:rFonts w:hint="eastAsia"/>
                      <w:szCs w:val="21"/>
                      <w:lang w:val="en-US" w:eastAsia="zh-CN"/>
                    </w:rPr>
                    <w:t>项目区</w:t>
                  </w:r>
                  <w:r>
                    <w:rPr>
                      <w:rFonts w:hint="default" w:ascii="Times New Roman" w:hAnsi="Times New Roman" w:eastAsia="宋体"/>
                      <w:color w:val="000000" w:themeColor="text1"/>
                      <w14:textFill>
                        <w14:solidFill>
                          <w14:schemeClr w14:val="tx1"/>
                        </w14:solidFill>
                      </w14:textFill>
                    </w:rPr>
                    <w:t>属于一般管控单元</w:t>
                  </w:r>
                  <w:r>
                    <w:rPr>
                      <w:rFonts w:hint="eastAsia"/>
                      <w:color w:val="000000" w:themeColor="text1"/>
                      <w:lang w:eastAsia="zh-CN"/>
                      <w14:textFill>
                        <w14:solidFill>
                          <w14:schemeClr w14:val="tx1"/>
                        </w14:solidFill>
                      </w14:textFill>
                    </w:rPr>
                    <w:t>，</w:t>
                  </w:r>
                  <w:r>
                    <w:rPr>
                      <w:rFonts w:hint="default" w:ascii="Times New Roman" w:hAnsi="Times New Roman" w:eastAsia="宋体"/>
                      <w:szCs w:val="21"/>
                      <w:lang w:val="zh-CN"/>
                    </w:rPr>
                    <w:t>根据矿产资源开发利用结论和环境影响评价结论管控。</w:t>
                  </w:r>
                </w:p>
              </w:tc>
              <w:tc>
                <w:tcPr>
                  <w:tcW w:w="467" w:type="pct"/>
                  <w:vAlign w:val="center"/>
                </w:tcPr>
                <w:p w14:paraId="055AC2B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符合</w:t>
                  </w:r>
                </w:p>
              </w:tc>
            </w:tr>
            <w:tr w14:paraId="130B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32" w:type="pct"/>
                  <w:vMerge w:val="restart"/>
                  <w:vAlign w:val="center"/>
                </w:tcPr>
                <w:p w14:paraId="08AED91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污染防治</w:t>
                  </w:r>
                </w:p>
              </w:tc>
              <w:tc>
                <w:tcPr>
                  <w:tcW w:w="4667" w:type="pct"/>
                  <w:gridSpan w:val="3"/>
                  <w:vAlign w:val="center"/>
                </w:tcPr>
                <w:p w14:paraId="5C45248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szCs w:val="21"/>
                      <w:lang w:val="zh-CN"/>
                    </w:rPr>
                  </w:pPr>
                  <w:r>
                    <w:rPr>
                      <w:rFonts w:hint="default" w:ascii="Times New Roman" w:hAnsi="Times New Roman" w:eastAsia="宋体"/>
                      <w:szCs w:val="21"/>
                      <w:lang w:val="zh-CN"/>
                    </w:rPr>
                    <w:t>1.采矿</w:t>
                  </w:r>
                </w:p>
              </w:tc>
            </w:tr>
            <w:tr w14:paraId="49F5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Merge w:val="continue"/>
                  <w:vAlign w:val="center"/>
                </w:tcPr>
                <w:p w14:paraId="2CE2594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p>
              </w:tc>
              <w:tc>
                <w:tcPr>
                  <w:tcW w:w="2173" w:type="pct"/>
                  <w:vAlign w:val="center"/>
                </w:tcPr>
                <w:p w14:paraId="7B8968E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olor w:val="000000" w:themeColor="text1"/>
                      <w:szCs w:val="21"/>
                      <w:lang w:val="zh-CN"/>
                      <w14:textFill>
                        <w14:solidFill>
                          <w14:schemeClr w14:val="tx1"/>
                        </w14:solidFill>
                      </w14:textFill>
                    </w:rPr>
                  </w:pPr>
                  <w:r>
                    <w:rPr>
                      <w:rFonts w:hint="default" w:ascii="Times New Roman" w:hAnsi="Times New Roman" w:eastAsia="宋体"/>
                      <w:color w:val="000000" w:themeColor="text1"/>
                      <w:szCs w:val="21"/>
                      <w:lang w:val="zh-CN"/>
                      <w14:textFill>
                        <w14:solidFill>
                          <w14:schemeClr w14:val="tx1"/>
                        </w14:solidFill>
                      </w14:textFill>
                    </w:rPr>
                    <w:t>（1）矿石开采须采用湿式凿岩作业方式。矿石转运、破碎、筛分等粉尘产生工序，须配备抑尘、除尘设施，除尘效率不低于99%。矿石、废石堆场须采用洒水抑尘、设置围挡等无组织粉尘防治措施。大气污染物排放须满足《大气污染物综合排放标准》（GB16297）要求，有行业排放标准的执行行业标准。</w:t>
                  </w:r>
                </w:p>
              </w:tc>
              <w:tc>
                <w:tcPr>
                  <w:tcW w:w="2027" w:type="pct"/>
                  <w:vAlign w:val="center"/>
                </w:tcPr>
                <w:p w14:paraId="2FF6095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开采</w:t>
                  </w:r>
                  <w:r>
                    <w:rPr>
                      <w:rFonts w:hint="default" w:ascii="Times New Roman" w:hAnsi="Times New Roman" w:eastAsia="宋体"/>
                      <w:color w:val="000000" w:themeColor="text1"/>
                      <w:szCs w:val="21"/>
                      <w:lang w:val="zh-CN"/>
                      <w14:textFill>
                        <w14:solidFill>
                          <w14:schemeClr w14:val="tx1"/>
                        </w14:solidFill>
                      </w14:textFill>
                    </w:rPr>
                    <w:t>采用湿式凿岩作业方式</w:t>
                  </w:r>
                  <w:r>
                    <w:rPr>
                      <w:rFonts w:hint="eastAsia"/>
                      <w:color w:val="000000" w:themeColor="text1"/>
                      <w:szCs w:val="21"/>
                      <w:lang w:val="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破碎</w:t>
                  </w:r>
                  <w:r>
                    <w:rPr>
                      <w:rFonts w:hint="eastAsia"/>
                      <w:color w:val="000000" w:themeColor="text1"/>
                      <w:szCs w:val="21"/>
                      <w:lang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筛</w:t>
                  </w:r>
                  <w:r>
                    <w:rPr>
                      <w:rFonts w:hint="eastAsia" w:ascii="Times New Roman" w:hAnsi="Times New Roman" w:eastAsia="宋体"/>
                      <w:color w:val="000000" w:themeColor="text1"/>
                      <w:szCs w:val="21"/>
                      <w:lang w:val="en-US" w:eastAsia="zh-CN"/>
                      <w14:textFill>
                        <w14:solidFill>
                          <w14:schemeClr w14:val="tx1"/>
                        </w14:solidFill>
                      </w14:textFill>
                    </w:rPr>
                    <w:t>分</w:t>
                  </w:r>
                  <w:r>
                    <w:rPr>
                      <w:rFonts w:hint="eastAsia" w:ascii="Times New Roman" w:hAnsi="Times New Roman" w:eastAsia="宋体"/>
                      <w:color w:val="000000" w:themeColor="text1"/>
                      <w:szCs w:val="21"/>
                      <w14:textFill>
                        <w14:solidFill>
                          <w14:schemeClr w14:val="tx1"/>
                        </w14:solidFill>
                      </w14:textFill>
                    </w:rPr>
                    <w:t>工序</w:t>
                  </w:r>
                  <w:r>
                    <w:rPr>
                      <w:rFonts w:hint="eastAsia" w:ascii="Times New Roman"/>
                      <w:color w:val="000000" w:themeColor="text1"/>
                      <w:sz w:val="21"/>
                      <w:lang w:val="en-US" w:eastAsia="zh-CN"/>
                      <w14:textFill>
                        <w14:solidFill>
                          <w14:schemeClr w14:val="tx1"/>
                        </w14:solidFill>
                      </w14:textFill>
                    </w:rPr>
                    <w:t>在</w:t>
                  </w:r>
                  <w:r>
                    <w:rPr>
                      <w:rFonts w:hint="eastAsia" w:ascii="宋体" w:hAnsi="宋体" w:eastAsia="宋体" w:cs="宋体"/>
                      <w:color w:val="000000"/>
                      <w:kern w:val="144"/>
                      <w:sz w:val="21"/>
                      <w:szCs w:val="21"/>
                      <w:lang w:val="en-US" w:eastAsia="zh-CN" w:bidi="ar"/>
                    </w:rPr>
                    <w:t>封闭式的设备间内</w:t>
                  </w:r>
                  <w:r>
                    <w:rPr>
                      <w:rFonts w:hint="eastAsia" w:ascii="Times New Roman"/>
                      <w:color w:val="000000" w:themeColor="text1"/>
                      <w:sz w:val="21"/>
                      <w:lang w:val="en-US" w:eastAsia="zh-CN"/>
                      <w14:textFill>
                        <w14:solidFill>
                          <w14:schemeClr w14:val="tx1"/>
                        </w14:solidFill>
                      </w14:textFill>
                    </w:rPr>
                    <w:t>进行</w:t>
                  </w:r>
                  <w:r>
                    <w:rPr>
                      <w:rFonts w:hint="eastAsia"/>
                      <w:color w:val="000000" w:themeColor="text1"/>
                      <w:sz w:val="21"/>
                      <w:lang w:val="en-US" w:eastAsia="zh-CN"/>
                      <w14:textFill>
                        <w14:solidFill>
                          <w14:schemeClr w14:val="tx1"/>
                        </w14:solidFill>
                      </w14:textFill>
                    </w:rPr>
                    <w:t>，</w:t>
                  </w:r>
                  <w:r>
                    <w:rPr>
                      <w:rFonts w:hint="eastAsia" w:ascii="Times New Roman" w:hAnsi="Times New Roman" w:eastAsia="宋体"/>
                      <w:color w:val="000000" w:themeColor="text1"/>
                      <w:szCs w:val="21"/>
                      <w:lang w:val="en-US" w:eastAsia="zh-CN"/>
                      <w14:textFill>
                        <w14:solidFill>
                          <w14:schemeClr w14:val="tx1"/>
                        </w14:solidFill>
                      </w14:textFill>
                    </w:rPr>
                    <w:t>产生</w:t>
                  </w:r>
                  <w:r>
                    <w:rPr>
                      <w:rFonts w:hint="eastAsia"/>
                      <w:color w:val="000000" w:themeColor="text1"/>
                      <w:szCs w:val="21"/>
                      <w:lang w:val="en-US" w:eastAsia="zh-CN"/>
                      <w14:textFill>
                        <w14:solidFill>
                          <w14:schemeClr w14:val="tx1"/>
                        </w14:solidFill>
                      </w14:textFill>
                    </w:rPr>
                    <w:t>的</w:t>
                  </w:r>
                  <w:r>
                    <w:rPr>
                      <w:rFonts w:hint="eastAsia" w:ascii="Times New Roman" w:hAnsi="Times New Roman" w:eastAsia="宋体"/>
                      <w:color w:val="000000" w:themeColor="text1"/>
                      <w:szCs w:val="21"/>
                      <w14:textFill>
                        <w14:solidFill>
                          <w14:schemeClr w14:val="tx1"/>
                        </w14:solidFill>
                      </w14:textFill>
                    </w:rPr>
                    <w:t>废气使用袋式除尘器处理</w:t>
                  </w:r>
                  <w:r>
                    <w:rPr>
                      <w:rFonts w:hint="eastAsia" w:ascii="Times New Roman" w:hAnsi="Times New Roman" w:eastAsia="宋体"/>
                      <w:color w:val="000000" w:themeColor="text1"/>
                      <w:sz w:val="21"/>
                      <w:lang w:val="en-US" w:eastAsia="zh-CN"/>
                      <w14:textFill>
                        <w14:solidFill>
                          <w14:schemeClr w14:val="tx1"/>
                        </w14:solidFill>
                      </w14:textFill>
                    </w:rPr>
                    <w:t>后经15m高排气筒</w:t>
                  </w:r>
                  <w:r>
                    <w:rPr>
                      <w:rFonts w:hint="eastAsia"/>
                      <w:color w:val="000000" w:themeColor="text1"/>
                      <w:sz w:val="21"/>
                      <w:lang w:val="en-US" w:eastAsia="zh-CN"/>
                      <w14:textFill>
                        <w14:solidFill>
                          <w14:schemeClr w14:val="tx1"/>
                        </w14:solidFill>
                      </w14:textFill>
                    </w:rPr>
                    <w:t>（DA001）</w:t>
                  </w:r>
                  <w:r>
                    <w:rPr>
                      <w:rFonts w:hint="eastAsia" w:ascii="Times New Roman" w:hAnsi="Times New Roman" w:eastAsia="宋体"/>
                      <w:color w:val="000000" w:themeColor="text1"/>
                      <w:sz w:val="21"/>
                      <w:lang w:val="en-US" w:eastAsia="zh-CN"/>
                      <w14:textFill>
                        <w14:solidFill>
                          <w14:schemeClr w14:val="tx1"/>
                        </w14:solidFill>
                      </w14:textFill>
                    </w:rPr>
                    <w:t>排放</w:t>
                  </w:r>
                  <w:r>
                    <w:rPr>
                      <w:rFonts w:hint="eastAsia" w:ascii="Times New Roman" w:hAnsi="Times New Roman" w:eastAsia="宋体"/>
                      <w:color w:val="000000" w:themeColor="text1"/>
                      <w:szCs w:val="21"/>
                      <w14:textFill>
                        <w14:solidFill>
                          <w14:schemeClr w14:val="tx1"/>
                        </w14:solidFill>
                      </w14:textFill>
                    </w:rPr>
                    <w:t>，布袋除尘器处理效率为99%，满足</w:t>
                  </w:r>
                  <w:r>
                    <w:rPr>
                      <w:rFonts w:hint="default" w:ascii="Times New Roman" w:hAnsi="Times New Roman" w:eastAsia="宋体"/>
                      <w:color w:val="000000" w:themeColor="text1"/>
                      <w:szCs w:val="21"/>
                      <w:lang w:val="zh-CN"/>
                      <w14:textFill>
                        <w14:solidFill>
                          <w14:schemeClr w14:val="tx1"/>
                        </w14:solidFill>
                      </w14:textFill>
                    </w:rPr>
                    <w:t>除尘效率不低于99%</w:t>
                  </w:r>
                  <w:r>
                    <w:rPr>
                      <w:rFonts w:hint="eastAsia" w:ascii="Times New Roman" w:hAnsi="Times New Roman" w:eastAsia="宋体"/>
                      <w:color w:val="000000" w:themeColor="text1"/>
                      <w:szCs w:val="21"/>
                      <w14:textFill>
                        <w14:solidFill>
                          <w14:schemeClr w14:val="tx1"/>
                        </w14:solidFill>
                      </w14:textFill>
                    </w:rPr>
                    <w:t>的要求</w:t>
                  </w:r>
                  <w:r>
                    <w:rPr>
                      <w:rFonts w:hint="eastAsia" w:ascii="Times New Roman" w:hAnsi="Times New Roman" w:eastAsia="宋体"/>
                      <w:color w:val="000000" w:themeColor="text1"/>
                      <w:szCs w:val="21"/>
                      <w:lang w:val="zh-CN"/>
                      <w14:textFill>
                        <w14:solidFill>
                          <w14:schemeClr w14:val="tx1"/>
                        </w14:solidFill>
                      </w14:textFill>
                    </w:rPr>
                    <w:t>。</w:t>
                  </w:r>
                  <w:r>
                    <w:rPr>
                      <w:rFonts w:hint="eastAsia"/>
                      <w:color w:val="000000" w:themeColor="text1"/>
                      <w:szCs w:val="21"/>
                      <w:lang w:val="en-US" w:eastAsia="zh-CN"/>
                      <w14:textFill>
                        <w14:solidFill>
                          <w14:schemeClr w14:val="tx1"/>
                        </w14:solidFill>
                      </w14:textFill>
                    </w:rPr>
                    <w:t>排土</w:t>
                  </w:r>
                  <w:r>
                    <w:rPr>
                      <w:rFonts w:hint="eastAsia" w:ascii="Times New Roman" w:hAnsi="Times New Roman" w:eastAsia="宋体"/>
                      <w:color w:val="000000" w:themeColor="text1"/>
                      <w:szCs w:val="21"/>
                      <w14:textFill>
                        <w14:solidFill>
                          <w14:schemeClr w14:val="tx1"/>
                        </w14:solidFill>
                      </w14:textFill>
                    </w:rPr>
                    <w:t>场</w:t>
                  </w:r>
                  <w:r>
                    <w:rPr>
                      <w:rFonts w:hint="eastAsia"/>
                      <w:color w:val="000000" w:themeColor="text1"/>
                      <w:szCs w:val="21"/>
                      <w:lang w:eastAsia="zh-CN"/>
                      <w14:textFill>
                        <w14:solidFill>
                          <w14:schemeClr w14:val="tx1"/>
                        </w14:solidFill>
                      </w14:textFill>
                    </w:rPr>
                    <w:t>、临时堆料场</w:t>
                  </w:r>
                  <w:r>
                    <w:rPr>
                      <w:rFonts w:hint="eastAsia" w:ascii="Times New Roman"/>
                      <w:color w:val="000000" w:themeColor="text1"/>
                      <w:sz w:val="21"/>
                      <w:lang w:val="en-US" w:eastAsia="zh-CN"/>
                      <w14:textFill>
                        <w14:solidFill>
                          <w14:schemeClr w14:val="tx1"/>
                        </w14:solidFill>
                      </w14:textFill>
                    </w:rPr>
                    <w:t>采取防尘抑尘网（墙）加洒水抑尘</w:t>
                  </w:r>
                  <w:r>
                    <w:rPr>
                      <w:rFonts w:hint="eastAsia" w:ascii="Times New Roman" w:hAnsi="Times New Roman" w:eastAsia="宋体"/>
                      <w:color w:val="000000" w:themeColor="text1"/>
                      <w:szCs w:val="21"/>
                      <w14:textFill>
                        <w14:solidFill>
                          <w14:schemeClr w14:val="tx1"/>
                        </w14:solidFill>
                      </w14:textFill>
                    </w:rPr>
                    <w:t>措施控制无组织粉尘排放，颗粒物</w:t>
                  </w:r>
                  <w:r>
                    <w:rPr>
                      <w:rFonts w:hint="eastAsia"/>
                      <w:color w:val="000000" w:themeColor="text1"/>
                      <w:szCs w:val="21"/>
                      <w:lang w:val="en-US" w:eastAsia="zh-CN"/>
                      <w14:textFill>
                        <w14:solidFill>
                          <w14:schemeClr w14:val="tx1"/>
                        </w14:solidFill>
                      </w14:textFill>
                    </w:rPr>
                    <w:t>可满足</w:t>
                  </w:r>
                  <w:r>
                    <w:rPr>
                      <w:rFonts w:hint="eastAsia" w:ascii="Times New Roman" w:hAnsi="Times New Roman" w:eastAsia="宋体"/>
                      <w:color w:val="000000" w:themeColor="text1"/>
                      <w:szCs w:val="21"/>
                      <w14:textFill>
                        <w14:solidFill>
                          <w14:schemeClr w14:val="tx1"/>
                        </w14:solidFill>
                      </w14:textFill>
                    </w:rPr>
                    <w:t>《水泥工业大气污染物排放标准》（GB4951-2013）</w:t>
                  </w:r>
                  <w:r>
                    <w:rPr>
                      <w:rFonts w:hint="default" w:ascii="Times New Roman" w:hAnsi="Times New Roman" w:eastAsia="宋体"/>
                      <w:color w:val="000000" w:themeColor="text1"/>
                      <w:szCs w:val="21"/>
                      <w:lang w:val="zh-CN"/>
                      <w14:textFill>
                        <w14:solidFill>
                          <w14:schemeClr w14:val="tx1"/>
                        </w14:solidFill>
                      </w14:textFill>
                    </w:rPr>
                    <w:t>要求</w:t>
                  </w:r>
                  <w:r>
                    <w:rPr>
                      <w:rFonts w:hint="eastAsia"/>
                      <w:color w:val="000000" w:themeColor="text1"/>
                      <w:szCs w:val="21"/>
                      <w:lang w:eastAsia="zh-CN"/>
                      <w14:textFill>
                        <w14:solidFill>
                          <w14:schemeClr w14:val="tx1"/>
                        </w14:solidFill>
                      </w14:textFill>
                    </w:rPr>
                    <w:t>。</w:t>
                  </w:r>
                </w:p>
              </w:tc>
              <w:tc>
                <w:tcPr>
                  <w:tcW w:w="467" w:type="pct"/>
                  <w:vAlign w:val="center"/>
                </w:tcPr>
                <w:p w14:paraId="3E764B5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符合</w:t>
                  </w:r>
                </w:p>
              </w:tc>
            </w:tr>
            <w:tr w14:paraId="3E4A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Merge w:val="continue"/>
                  <w:vAlign w:val="center"/>
                </w:tcPr>
                <w:p w14:paraId="03674B4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p>
              </w:tc>
              <w:tc>
                <w:tcPr>
                  <w:tcW w:w="2173" w:type="pct"/>
                  <w:vAlign w:val="center"/>
                </w:tcPr>
                <w:p w14:paraId="6A9C014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olor w:val="000000" w:themeColor="text1"/>
                      <w:szCs w:val="21"/>
                      <w:lang w:val="zh-CN"/>
                      <w14:textFill>
                        <w14:solidFill>
                          <w14:schemeClr w14:val="tx1"/>
                        </w14:solidFill>
                      </w14:textFill>
                    </w:rPr>
                  </w:pPr>
                  <w:r>
                    <w:rPr>
                      <w:rFonts w:hint="default" w:ascii="Times New Roman" w:hAnsi="Times New Roman" w:eastAsia="宋体"/>
                      <w:color w:val="000000" w:themeColor="text1"/>
                      <w:szCs w:val="21"/>
                      <w:lang w:val="zh-CN"/>
                      <w14:textFill>
                        <w14:solidFill>
                          <w14:schemeClr w14:val="tx1"/>
                        </w14:solidFill>
                      </w14:textFill>
                    </w:rPr>
                    <w:t>（2）严禁未经处理的采矿废水直接排放，禁止利用渗井、渗坑、裂隙和溶洞等排放废水。鼓励将矿坑水优先作为生产用水和辅助水源利用。在干旱缺水地区，鼓励将外排矿坑水处理达标后用于农林灌溉，生活污水处理达标后尽量综合利用，边远矿区的生活污水排放和综合利用可参照《农村生活污水处理排放标准》（DB65/4275）要求管控。</w:t>
                  </w:r>
                </w:p>
              </w:tc>
              <w:tc>
                <w:tcPr>
                  <w:tcW w:w="2027" w:type="pct"/>
                  <w:vAlign w:val="center"/>
                </w:tcPr>
                <w:p w14:paraId="1744620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olor w:val="000000" w:themeColor="text1"/>
                      <w:szCs w:val="21"/>
                      <w:lang w:val="zh-CN"/>
                      <w14:textFill>
                        <w14:solidFill>
                          <w14:schemeClr w14:val="tx1"/>
                        </w14:solidFill>
                      </w14:textFill>
                    </w:rPr>
                  </w:pPr>
                  <w:r>
                    <w:rPr>
                      <w:rFonts w:hint="default"/>
                      <w:color w:val="000000" w:themeColor="text1"/>
                      <w:lang w:val="en-US" w:eastAsia="zh-CN"/>
                      <w14:textFill>
                        <w14:solidFill>
                          <w14:schemeClr w14:val="tx1"/>
                        </w14:solidFill>
                      </w14:textFill>
                    </w:rPr>
                    <w:t>不涉及</w:t>
                  </w:r>
                  <w:r>
                    <w:rPr>
                      <w:rFonts w:hint="default" w:ascii="Times New Roman" w:hAnsi="Times New Roman" w:eastAsia="宋体"/>
                      <w:color w:val="000000" w:themeColor="text1"/>
                      <w:szCs w:val="21"/>
                      <w:lang w:val="zh-CN"/>
                      <w14:textFill>
                        <w14:solidFill>
                          <w14:schemeClr w14:val="tx1"/>
                        </w14:solidFill>
                      </w14:textFill>
                    </w:rPr>
                    <w:t>采矿废水</w:t>
                  </w:r>
                  <w:r>
                    <w:rPr>
                      <w:rFonts w:hint="eastAsia"/>
                      <w:color w:val="000000" w:themeColor="text1"/>
                      <w:szCs w:val="21"/>
                      <w:lang w:val="zh-CN"/>
                      <w14:textFill>
                        <w14:solidFill>
                          <w14:schemeClr w14:val="tx1"/>
                        </w14:solidFill>
                      </w14:textFill>
                    </w:rPr>
                    <w:t>，</w:t>
                  </w:r>
                  <w:r>
                    <w:rPr>
                      <w:rFonts w:hint="eastAsia" w:ascii="Times New Roman" w:hAnsi="Times New Roman" w:eastAsia="宋体"/>
                      <w:color w:val="000000" w:themeColor="text1"/>
                      <w:szCs w:val="21"/>
                      <w:lang w:val="en-US" w:eastAsia="zh-CN"/>
                      <w14:textFill>
                        <w14:solidFill>
                          <w14:schemeClr w14:val="tx1"/>
                        </w14:solidFill>
                      </w14:textFill>
                    </w:rPr>
                    <w:t>生产用</w:t>
                  </w:r>
                  <w:r>
                    <w:rPr>
                      <w:rFonts w:hint="eastAsia" w:ascii="Times New Roman" w:hAnsi="Times New Roman" w:eastAsia="宋体"/>
                      <w:color w:val="000000" w:themeColor="text1"/>
                      <w:szCs w:val="21"/>
                      <w14:textFill>
                        <w14:solidFill>
                          <w14:schemeClr w14:val="tx1"/>
                        </w14:solidFill>
                      </w14:textFill>
                    </w:rPr>
                    <w:t>水主要是</w:t>
                  </w:r>
                  <w:r>
                    <w:rPr>
                      <w:rFonts w:hint="eastAsia"/>
                      <w:color w:val="000000" w:themeColor="text1"/>
                      <w:szCs w:val="21"/>
                      <w:lang w:val="en-US" w:eastAsia="zh-CN"/>
                      <w14:textFill>
                        <w14:solidFill>
                          <w14:schemeClr w14:val="tx1"/>
                        </w14:solidFill>
                      </w14:textFill>
                    </w:rPr>
                    <w:t>开采过程、</w:t>
                  </w:r>
                  <w:r>
                    <w:rPr>
                      <w:rFonts w:hint="eastAsia" w:ascii="Times New Roman" w:hAnsi="Times New Roman" w:eastAsia="宋体"/>
                      <w:color w:val="000000" w:themeColor="text1"/>
                      <w:szCs w:val="21"/>
                      <w14:textFill>
                        <w14:solidFill>
                          <w14:schemeClr w14:val="tx1"/>
                        </w14:solidFill>
                      </w14:textFill>
                    </w:rPr>
                    <w:t>矿石</w:t>
                  </w:r>
                  <w:r>
                    <w:rPr>
                      <w:rFonts w:hint="eastAsia" w:ascii="Times New Roman" w:hAnsi="Times New Roman" w:eastAsia="宋体"/>
                      <w:color w:val="auto"/>
                      <w:szCs w:val="21"/>
                    </w:rPr>
                    <w:t>堆</w:t>
                  </w:r>
                  <w:r>
                    <w:rPr>
                      <w:rFonts w:hint="eastAsia"/>
                      <w:color w:val="auto"/>
                      <w:szCs w:val="21"/>
                      <w:lang w:val="en-US" w:eastAsia="zh-CN"/>
                    </w:rPr>
                    <w:t>存</w:t>
                  </w:r>
                  <w:r>
                    <w:rPr>
                      <w:rFonts w:hint="eastAsia" w:ascii="Times New Roman" w:hAnsi="Times New Roman" w:eastAsia="宋体"/>
                      <w:color w:val="000000" w:themeColor="text1"/>
                      <w:szCs w:val="21"/>
                      <w14:textFill>
                        <w14:solidFill>
                          <w14:schemeClr w14:val="tx1"/>
                        </w14:solidFill>
                      </w14:textFill>
                    </w:rPr>
                    <w:t>及</w:t>
                  </w:r>
                  <w:r>
                    <w:rPr>
                      <w:rFonts w:hint="eastAsia"/>
                      <w:color w:val="000000" w:themeColor="text1"/>
                      <w:szCs w:val="21"/>
                      <w:lang w:val="en-US" w:eastAsia="zh-CN"/>
                      <w14:textFill>
                        <w14:solidFill>
                          <w14:schemeClr w14:val="tx1"/>
                        </w14:solidFill>
                      </w14:textFill>
                    </w:rPr>
                    <w:t>转运过程中</w:t>
                  </w:r>
                  <w:r>
                    <w:rPr>
                      <w:rFonts w:hint="eastAsia" w:ascii="Times New Roman" w:hAnsi="Times New Roman" w:eastAsia="宋体"/>
                      <w:color w:val="000000" w:themeColor="text1"/>
                      <w:szCs w:val="21"/>
                      <w14:textFill>
                        <w14:solidFill>
                          <w14:schemeClr w14:val="tx1"/>
                        </w14:solidFill>
                      </w14:textFill>
                    </w:rPr>
                    <w:t>喷洒</w:t>
                  </w:r>
                  <w:r>
                    <w:rPr>
                      <w:rFonts w:hint="eastAsia"/>
                      <w:color w:val="000000" w:themeColor="text1"/>
                      <w:szCs w:val="21"/>
                      <w:lang w:val="en-US" w:eastAsia="zh-CN"/>
                      <w14:textFill>
                        <w14:solidFill>
                          <w14:schemeClr w14:val="tx1"/>
                        </w14:solidFill>
                      </w14:textFill>
                    </w:rPr>
                    <w:t>降尘</w:t>
                  </w:r>
                  <w:r>
                    <w:rPr>
                      <w:rFonts w:hint="eastAsia" w:ascii="Times New Roman" w:hAnsi="Times New Roman" w:eastAsia="宋体"/>
                      <w:color w:val="000000" w:themeColor="text1"/>
                      <w:szCs w:val="21"/>
                      <w14:textFill>
                        <w14:solidFill>
                          <w14:schemeClr w14:val="tx1"/>
                        </w14:solidFill>
                      </w14:textFill>
                    </w:rPr>
                    <w:t>用水</w:t>
                  </w:r>
                  <w:r>
                    <w:rPr>
                      <w:rFonts w:hint="eastAsia" w:ascii="Times New Roman" w:hAnsi="Times New Roman" w:eastAsia="宋体"/>
                      <w:color w:val="000000" w:themeColor="text1"/>
                      <w:szCs w:val="21"/>
                      <w:lang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抑尘后完全蒸发</w:t>
                  </w:r>
                  <w:r>
                    <w:rPr>
                      <w:rFonts w:hint="eastAsia" w:ascii="Times New Roman" w:hAnsi="Times New Roman" w:eastAsia="宋体"/>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无生产废水产生</w:t>
                  </w:r>
                  <w:r>
                    <w:rPr>
                      <w:rFonts w:hint="eastAsia"/>
                      <w:color w:val="000000" w:themeColor="text1"/>
                      <w:szCs w:val="2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不涉及</w:t>
                  </w:r>
                  <w:r>
                    <w:rPr>
                      <w:rFonts w:hint="default" w:ascii="Times New Roman" w:hAnsi="Times New Roman" w:eastAsia="宋体"/>
                      <w:color w:val="000000" w:themeColor="text1"/>
                      <w14:textFill>
                        <w14:solidFill>
                          <w14:schemeClr w14:val="tx1"/>
                        </w14:solidFill>
                      </w14:textFill>
                    </w:rPr>
                    <w:t>矿井水</w:t>
                  </w:r>
                  <w:r>
                    <w:rPr>
                      <w:rFonts w:hint="eastAsia"/>
                      <w:color w:val="000000" w:themeColor="text1"/>
                      <w:lang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生活污水</w:t>
                  </w:r>
                  <w:r>
                    <w:rPr>
                      <w:rFonts w:hint="eastAsia" w:ascii="Times New Roman" w:hAnsi="Times New Roman" w:eastAsia="宋体"/>
                      <w:color w:val="000000" w:themeColor="text1"/>
                      <w:szCs w:val="21"/>
                      <w:lang w:val="en-US" w:eastAsia="zh-CN"/>
                      <w14:textFill>
                        <w14:solidFill>
                          <w14:schemeClr w14:val="tx1"/>
                        </w14:solidFill>
                      </w14:textFill>
                    </w:rPr>
                    <w:t>排入防渗化粪池预处理后定期拉运处理</w:t>
                  </w:r>
                  <w:r>
                    <w:rPr>
                      <w:rFonts w:hint="eastAsia" w:ascii="Times New Roman" w:hAnsi="Times New Roman" w:eastAsia="宋体"/>
                      <w:color w:val="000000" w:themeColor="text1"/>
                      <w:szCs w:val="21"/>
                      <w14:textFill>
                        <w14:solidFill>
                          <w14:schemeClr w14:val="tx1"/>
                        </w14:solidFill>
                      </w14:textFill>
                    </w:rPr>
                    <w:t>。</w:t>
                  </w:r>
                </w:p>
              </w:tc>
              <w:tc>
                <w:tcPr>
                  <w:tcW w:w="467" w:type="pct"/>
                  <w:vAlign w:val="center"/>
                </w:tcPr>
                <w:p w14:paraId="00E8682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eastAsia" w:ascii="Times New Roman" w:hAnsi="Times New Roman" w:eastAsia="宋体"/>
                      <w:szCs w:val="21"/>
                    </w:rPr>
                    <w:t>符合</w:t>
                  </w:r>
                </w:p>
              </w:tc>
            </w:tr>
            <w:tr w14:paraId="5309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Merge w:val="continue"/>
                  <w:vAlign w:val="center"/>
                </w:tcPr>
                <w:p w14:paraId="07086D5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p>
              </w:tc>
              <w:tc>
                <w:tcPr>
                  <w:tcW w:w="2173" w:type="pct"/>
                  <w:vAlign w:val="center"/>
                </w:tcPr>
                <w:p w14:paraId="0F4A18C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（3）噪声排放执行《工业企业厂界环境噪声排放标准》</w:t>
                  </w:r>
                  <w:r>
                    <w:rPr>
                      <w:rFonts w:hint="eastAsia" w:ascii="Times New Roman" w:hAnsi="Times New Roman" w:eastAsia="宋体"/>
                      <w:szCs w:val="21"/>
                      <w:lang w:val="zh-CN"/>
                    </w:rPr>
                    <w:t>（</w:t>
                  </w:r>
                  <w:r>
                    <w:rPr>
                      <w:rFonts w:hint="default" w:ascii="Times New Roman" w:hAnsi="Times New Roman" w:eastAsia="宋体"/>
                      <w:szCs w:val="21"/>
                      <w:lang w:val="zh-CN"/>
                    </w:rPr>
                    <w:t>GB12348</w:t>
                  </w:r>
                  <w:r>
                    <w:rPr>
                      <w:rFonts w:hint="eastAsia" w:ascii="Times New Roman" w:hAnsi="Times New Roman" w:eastAsia="宋体"/>
                      <w:szCs w:val="21"/>
                      <w:lang w:val="zh-CN"/>
                    </w:rPr>
                    <w:t>）</w:t>
                  </w:r>
                  <w:r>
                    <w:rPr>
                      <w:rFonts w:hint="default" w:ascii="Times New Roman" w:hAnsi="Times New Roman" w:eastAsia="宋体"/>
                      <w:szCs w:val="21"/>
                      <w:lang w:val="zh-CN"/>
                    </w:rPr>
                    <w:t>。</w:t>
                  </w:r>
                </w:p>
              </w:tc>
              <w:tc>
                <w:tcPr>
                  <w:tcW w:w="2027" w:type="pct"/>
                  <w:vAlign w:val="center"/>
                </w:tcPr>
                <w:p w14:paraId="2322D19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eastAsia" w:ascii="Times New Roman" w:hAnsi="Times New Roman" w:eastAsia="宋体"/>
                      <w:szCs w:val="21"/>
                    </w:rPr>
                    <w:t>本项目运营期噪声执行</w:t>
                  </w:r>
                  <w:r>
                    <w:rPr>
                      <w:rFonts w:hint="default" w:ascii="Times New Roman" w:hAnsi="Times New Roman" w:eastAsia="宋体"/>
                      <w:szCs w:val="21"/>
                      <w:lang w:val="zh-CN"/>
                    </w:rPr>
                    <w:t>《工业企业厂界环境噪声排放标准》</w:t>
                  </w:r>
                  <w:r>
                    <w:rPr>
                      <w:rFonts w:hint="eastAsia" w:ascii="Times New Roman" w:hAnsi="Times New Roman" w:eastAsia="宋体"/>
                      <w:szCs w:val="21"/>
                      <w:lang w:val="zh-CN"/>
                    </w:rPr>
                    <w:t>（</w:t>
                  </w:r>
                  <w:r>
                    <w:rPr>
                      <w:rFonts w:hint="default" w:ascii="Times New Roman" w:hAnsi="Times New Roman" w:eastAsia="宋体"/>
                      <w:szCs w:val="21"/>
                      <w:lang w:val="zh-CN"/>
                    </w:rPr>
                    <w:t>GB12348</w:t>
                  </w:r>
                  <w:r>
                    <w:rPr>
                      <w:rFonts w:hint="eastAsia"/>
                      <w:szCs w:val="21"/>
                      <w:lang w:val="en-US" w:eastAsia="zh-CN"/>
                    </w:rPr>
                    <w:t>-2008</w:t>
                  </w:r>
                  <w:r>
                    <w:rPr>
                      <w:rFonts w:hint="eastAsia" w:ascii="Times New Roman" w:hAnsi="Times New Roman" w:eastAsia="宋体"/>
                      <w:szCs w:val="21"/>
                      <w:lang w:val="zh-CN"/>
                    </w:rPr>
                    <w:t>）</w:t>
                  </w:r>
                  <w:r>
                    <w:rPr>
                      <w:rFonts w:hint="eastAsia" w:ascii="Times New Roman" w:hAnsi="Times New Roman" w:eastAsia="宋体"/>
                      <w:szCs w:val="21"/>
                    </w:rPr>
                    <w:t>中2类标准。</w:t>
                  </w:r>
                </w:p>
              </w:tc>
              <w:tc>
                <w:tcPr>
                  <w:tcW w:w="467" w:type="pct"/>
                  <w:vAlign w:val="center"/>
                </w:tcPr>
                <w:p w14:paraId="0635425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eastAsia" w:ascii="Times New Roman" w:hAnsi="Times New Roman" w:eastAsia="宋体"/>
                      <w:szCs w:val="21"/>
                    </w:rPr>
                    <w:t>符合</w:t>
                  </w:r>
                </w:p>
              </w:tc>
            </w:tr>
            <w:tr w14:paraId="4429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Merge w:val="continue"/>
                  <w:vAlign w:val="center"/>
                </w:tcPr>
                <w:p w14:paraId="5174D11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p>
              </w:tc>
              <w:tc>
                <w:tcPr>
                  <w:tcW w:w="2173" w:type="pct"/>
                  <w:vAlign w:val="center"/>
                </w:tcPr>
                <w:p w14:paraId="724F4BA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4）应对采矿废石等固体废物采取回填、筑路、制作建筑材料等方式资源综合利用，提高综合利用率。无法利用的必须使用专用场所堆放，并采取有效措施防止二次环境污染及诱发次生地质灾害，固体废物处置率100%。废石堆场按《一般工业固体废物贮存和填埋污染控制标准》</w:t>
                  </w:r>
                  <w:r>
                    <w:rPr>
                      <w:rFonts w:hint="eastAsia"/>
                      <w:szCs w:val="21"/>
                      <w:lang w:val="zh-CN"/>
                    </w:rPr>
                    <w:t>（</w:t>
                  </w:r>
                  <w:r>
                    <w:rPr>
                      <w:rFonts w:hint="default" w:ascii="Times New Roman" w:hAnsi="Times New Roman" w:eastAsia="宋体"/>
                      <w:szCs w:val="21"/>
                      <w:lang w:val="zh-CN"/>
                    </w:rPr>
                    <w:t>GB18599</w:t>
                  </w:r>
                  <w:r>
                    <w:rPr>
                      <w:rFonts w:hint="eastAsia"/>
                      <w:szCs w:val="21"/>
                      <w:lang w:val="zh-CN"/>
                    </w:rPr>
                    <w:t>）</w:t>
                  </w:r>
                  <w:r>
                    <w:rPr>
                      <w:rFonts w:hint="default" w:ascii="Times New Roman" w:hAnsi="Times New Roman" w:eastAsia="宋体"/>
                      <w:szCs w:val="21"/>
                      <w:lang w:val="zh-CN"/>
                    </w:rPr>
                    <w:t>要求建设。生活垃圾实现100%无害化处置。</w:t>
                  </w:r>
                </w:p>
              </w:tc>
              <w:tc>
                <w:tcPr>
                  <w:tcW w:w="2027" w:type="pct"/>
                  <w:vAlign w:val="center"/>
                </w:tcPr>
                <w:p w14:paraId="4BC8FE0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eastAsia" w:ascii="Times New Roman" w:hAnsi="Times New Roman" w:eastAsia="宋体"/>
                      <w:szCs w:val="21"/>
                    </w:rPr>
                    <w:t>本项目设置</w:t>
                  </w:r>
                  <w:r>
                    <w:rPr>
                      <w:rFonts w:hint="eastAsia"/>
                      <w:szCs w:val="21"/>
                      <w:lang w:val="en-US" w:eastAsia="zh-CN"/>
                    </w:rPr>
                    <w:t>排土场</w:t>
                  </w:r>
                  <w:r>
                    <w:rPr>
                      <w:rFonts w:hint="eastAsia" w:ascii="Times New Roman" w:hAnsi="Times New Roman" w:eastAsia="宋体"/>
                      <w:szCs w:val="21"/>
                    </w:rPr>
                    <w:t>，并</w:t>
                  </w:r>
                  <w:r>
                    <w:rPr>
                      <w:rFonts w:hint="default" w:ascii="Times New Roman" w:hAnsi="Times New Roman" w:eastAsia="宋体"/>
                      <w:szCs w:val="21"/>
                    </w:rPr>
                    <w:t>按《</w:t>
                  </w:r>
                  <w:r>
                    <w:rPr>
                      <w:rFonts w:hint="default" w:ascii="Times New Roman" w:hAnsi="Times New Roman" w:eastAsia="宋体"/>
                    </w:rPr>
                    <w:fldChar w:fldCharType="begin"/>
                  </w:r>
                  <w:r>
                    <w:rPr>
                      <w:rFonts w:hint="default" w:ascii="Times New Roman" w:hAnsi="Times New Roman" w:eastAsia="宋体"/>
                    </w:rPr>
                    <w:instrText xml:space="preserve"> HYPERLINK "http://www.mee.gov.cn/ywgz/fgbz/bz/bzwb/gthw/gtfwwrkzbz/202012/t20201218_813927.shtml" </w:instrText>
                  </w:r>
                  <w:r>
                    <w:rPr>
                      <w:rFonts w:hint="default" w:ascii="Times New Roman" w:hAnsi="Times New Roman" w:eastAsia="宋体"/>
                    </w:rPr>
                    <w:fldChar w:fldCharType="separate"/>
                  </w:r>
                  <w:r>
                    <w:rPr>
                      <w:rFonts w:hint="default" w:ascii="Times New Roman" w:hAnsi="Times New Roman" w:eastAsia="宋体"/>
                      <w:szCs w:val="21"/>
                      <w:lang w:val="zh-CN"/>
                    </w:rPr>
                    <w:t>一般工业固体废物贮存和填埋污染控制标准</w:t>
                  </w:r>
                  <w:r>
                    <w:rPr>
                      <w:rFonts w:hint="default" w:ascii="Times New Roman" w:hAnsi="Times New Roman" w:eastAsia="宋体"/>
                      <w:szCs w:val="21"/>
                      <w:lang w:val="zh-CN"/>
                    </w:rPr>
                    <w:fldChar w:fldCharType="end"/>
                  </w:r>
                  <w:r>
                    <w:rPr>
                      <w:rFonts w:hint="default" w:ascii="Times New Roman" w:hAnsi="Times New Roman" w:eastAsia="宋体"/>
                      <w:szCs w:val="21"/>
                      <w:lang w:val="zh-CN"/>
                    </w:rPr>
                    <w:t>》（GB18599—2020）</w:t>
                  </w:r>
                  <w:r>
                    <w:rPr>
                      <w:rFonts w:hint="default" w:ascii="Times New Roman" w:hAnsi="Times New Roman" w:eastAsia="宋体"/>
                      <w:szCs w:val="21"/>
                    </w:rPr>
                    <w:t>要求建设，</w:t>
                  </w:r>
                  <w:r>
                    <w:rPr>
                      <w:rFonts w:hint="default" w:ascii="Times New Roman" w:hAnsi="Times New Roman" w:eastAsia="宋体"/>
                    </w:rPr>
                    <w:t>设置有挡土墙和截排水沟</w:t>
                  </w:r>
                  <w:r>
                    <w:rPr>
                      <w:rFonts w:hint="eastAsia" w:ascii="Times New Roman" w:hAnsi="Times New Roman" w:eastAsia="宋体"/>
                    </w:rPr>
                    <w:t>。</w:t>
                  </w:r>
                  <w:r>
                    <w:rPr>
                      <w:rFonts w:hint="eastAsia" w:ascii="Times New Roman" w:hAnsi="Times New Roman" w:eastAsia="宋体"/>
                      <w:szCs w:val="21"/>
                    </w:rPr>
                    <w:t>开采产生的</w:t>
                  </w:r>
                  <w:r>
                    <w:rPr>
                      <w:rFonts w:hint="eastAsia"/>
                      <w:szCs w:val="21"/>
                      <w:lang w:val="en-US" w:eastAsia="zh-CN"/>
                    </w:rPr>
                    <w:t>废土、</w:t>
                  </w:r>
                  <w:r>
                    <w:rPr>
                      <w:rFonts w:hint="eastAsia" w:ascii="Times New Roman" w:hAnsi="Times New Roman" w:eastAsia="宋体"/>
                      <w:szCs w:val="21"/>
                    </w:rPr>
                    <w:t>废石全部回填至采区，设计处置率100%；生活垃圾定期交由环卫部门进行无害化处理。</w:t>
                  </w:r>
                </w:p>
              </w:tc>
              <w:tc>
                <w:tcPr>
                  <w:tcW w:w="467" w:type="pct"/>
                  <w:vAlign w:val="center"/>
                </w:tcPr>
                <w:p w14:paraId="0E4EAA3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eastAsia" w:ascii="Times New Roman" w:hAnsi="Times New Roman" w:eastAsia="宋体"/>
                      <w:szCs w:val="21"/>
                    </w:rPr>
                    <w:t>符合</w:t>
                  </w:r>
                </w:p>
              </w:tc>
            </w:tr>
            <w:tr w14:paraId="5155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Merge w:val="continue"/>
                  <w:vAlign w:val="center"/>
                </w:tcPr>
                <w:p w14:paraId="36B6D68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p>
              </w:tc>
              <w:tc>
                <w:tcPr>
                  <w:tcW w:w="2173" w:type="pct"/>
                  <w:vAlign w:val="center"/>
                </w:tcPr>
                <w:p w14:paraId="6DE2B2E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r>
                    <w:rPr>
                      <w:rFonts w:hint="default" w:ascii="Times New Roman" w:hAnsi="Times New Roman" w:eastAsia="宋体"/>
                      <w:szCs w:val="21"/>
                      <w:lang w:val="zh-CN"/>
                    </w:rPr>
                    <w:t>（5）新建、改（扩）建矿山应在矿山开采前完成《矿山生态环境保护与恢复治理方案》编制工作。位于荒漠和风沙区的矿产资源开发应尽可能避开易发生风蚀和生态退化地带；排土场、料场等场地应采取围挡和覆盖等防风蚀措施。水蚀敏感区矿产资源开发应科学设置露天采场、排土场及料场，并采取边坡防护、工程拦挡等水土保持措施。矿山生产过程中应采取复垦措施，对露天坑、废石场等永久性坡面进行稳定化处理，防止水土流失和滑坡。历史遗留矿山开采破坏土地复垦率达到45%以上，新建矿山应做到边开采、边复垦，破坏土地复垦率达到85%以上。</w:t>
                  </w:r>
                </w:p>
              </w:tc>
              <w:tc>
                <w:tcPr>
                  <w:tcW w:w="2027" w:type="pct"/>
                  <w:vAlign w:val="center"/>
                </w:tcPr>
                <w:p w14:paraId="3018DC3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eastAsia" w:ascii="Times New Roman" w:hAnsi="Times New Roman" w:eastAsia="宋体"/>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为新建矿山，</w:t>
                  </w:r>
                  <w:r>
                    <w:rPr>
                      <w:rFonts w:hint="eastAsia" w:ascii="Times New Roman" w:hAnsi="Times New Roman" w:eastAsia="宋体"/>
                      <w:color w:val="000000" w:themeColor="text1"/>
                      <w14:textFill>
                        <w14:solidFill>
                          <w14:schemeClr w14:val="tx1"/>
                        </w14:solidFill>
                      </w14:textFill>
                    </w:rPr>
                    <w:t>已编制</w:t>
                  </w:r>
                  <w:r>
                    <w:rPr>
                      <w:rFonts w:hint="default" w:ascii="Times New Roman" w:hAnsi="Times New Roman" w:eastAsia="宋体"/>
                      <w:color w:val="000000" w:themeColor="text1"/>
                      <w14:textFill>
                        <w14:solidFill>
                          <w14:schemeClr w14:val="tx1"/>
                        </w14:solidFill>
                      </w14:textFill>
                    </w:rPr>
                    <w:t>《矿产资源开发利用与生态保护修复方案》并通过</w:t>
                  </w:r>
                  <w:r>
                    <w:rPr>
                      <w:rFonts w:hint="eastAsia" w:ascii="Times New Roman" w:hAnsi="Times New Roman" w:eastAsia="宋体"/>
                      <w:color w:val="000000" w:themeColor="text1"/>
                      <w14:textFill>
                        <w14:solidFill>
                          <w14:schemeClr w14:val="tx1"/>
                        </w14:solidFill>
                      </w14:textFill>
                    </w:rPr>
                    <w:t>专家评审</w:t>
                  </w:r>
                  <w:r>
                    <w:rPr>
                      <w:rFonts w:hint="eastAsia"/>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排土</w:t>
                  </w:r>
                  <w:r>
                    <w:rPr>
                      <w:rFonts w:hint="eastAsia" w:ascii="Times New Roman" w:hAnsi="Times New Roman" w:eastAsia="宋体"/>
                      <w:color w:val="000000" w:themeColor="text1"/>
                      <w:szCs w:val="21"/>
                      <w14:textFill>
                        <w14:solidFill>
                          <w14:schemeClr w14:val="tx1"/>
                        </w14:solidFill>
                      </w14:textFill>
                    </w:rPr>
                    <w:t>场</w:t>
                  </w:r>
                  <w:r>
                    <w:rPr>
                      <w:rFonts w:hint="eastAsia"/>
                      <w:color w:val="000000" w:themeColor="text1"/>
                      <w:szCs w:val="2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临时</w:t>
                  </w:r>
                  <w:r>
                    <w:rPr>
                      <w:rFonts w:hint="eastAsia" w:ascii="Times New Roman" w:hAnsi="Times New Roman" w:eastAsia="宋体"/>
                      <w:color w:val="000000" w:themeColor="text1"/>
                      <w:szCs w:val="21"/>
                      <w:lang w:eastAsia="zh-CN"/>
                      <w14:textFill>
                        <w14:solidFill>
                          <w14:schemeClr w14:val="tx1"/>
                        </w14:solidFill>
                      </w14:textFill>
                    </w:rPr>
                    <w:t>堆</w:t>
                  </w:r>
                  <w:r>
                    <w:rPr>
                      <w:rFonts w:hint="eastAsia"/>
                      <w:color w:val="000000" w:themeColor="text1"/>
                      <w:lang w:val="en-US" w:eastAsia="zh-CN"/>
                      <w14:textFill>
                        <w14:solidFill>
                          <w14:schemeClr w14:val="tx1"/>
                        </w14:solidFill>
                      </w14:textFill>
                    </w:rPr>
                    <w:t>料</w:t>
                  </w:r>
                  <w:r>
                    <w:rPr>
                      <w:rFonts w:hint="eastAsia" w:ascii="Times New Roman" w:hAnsi="Times New Roman" w:eastAsia="宋体"/>
                      <w:color w:val="000000" w:themeColor="text1"/>
                      <w:szCs w:val="21"/>
                      <w:lang w:eastAsia="zh-CN"/>
                      <w14:textFill>
                        <w14:solidFill>
                          <w14:schemeClr w14:val="tx1"/>
                        </w14:solidFill>
                      </w14:textFill>
                    </w:rPr>
                    <w:t>场</w:t>
                  </w:r>
                  <w:r>
                    <w:rPr>
                      <w:rFonts w:hint="eastAsia" w:ascii="Times New Roman"/>
                      <w:color w:val="000000" w:themeColor="text1"/>
                      <w:sz w:val="21"/>
                      <w:lang w:val="en-US" w:eastAsia="zh-CN"/>
                      <w14:textFill>
                        <w14:solidFill>
                          <w14:schemeClr w14:val="tx1"/>
                        </w14:solidFill>
                      </w14:textFill>
                    </w:rPr>
                    <w:t>采取防尘抑尘网（墙）加洒水抑尘</w:t>
                  </w:r>
                  <w:r>
                    <w:rPr>
                      <w:rFonts w:hint="eastAsia" w:ascii="Times New Roman" w:hAnsi="Times New Roman" w:eastAsia="宋体"/>
                      <w:color w:val="000000" w:themeColor="text1"/>
                      <w:szCs w:val="21"/>
                      <w14:textFill>
                        <w14:solidFill>
                          <w14:schemeClr w14:val="tx1"/>
                        </w14:solidFill>
                      </w14:textFill>
                    </w:rPr>
                    <w:t>措施</w:t>
                  </w:r>
                  <w:r>
                    <w:rPr>
                      <w:rFonts w:hint="eastAsia"/>
                      <w:lang w:eastAsia="zh-CN"/>
                    </w:rPr>
                    <w:t>；</w:t>
                  </w:r>
                  <w:r>
                    <w:rPr>
                      <w:rFonts w:hint="eastAsia"/>
                      <w:color w:val="000000" w:themeColor="text1"/>
                      <w:szCs w:val="21"/>
                      <w:lang w:val="en-US" w:eastAsia="zh-CN"/>
                      <w14:textFill>
                        <w14:solidFill>
                          <w14:schemeClr w14:val="tx1"/>
                        </w14:solidFill>
                      </w14:textFill>
                    </w:rPr>
                    <w:t>排土</w:t>
                  </w:r>
                  <w:r>
                    <w:rPr>
                      <w:rFonts w:hint="eastAsia" w:ascii="Times New Roman" w:hAnsi="Times New Roman" w:eastAsia="宋体"/>
                      <w:color w:val="000000" w:themeColor="text1"/>
                      <w:szCs w:val="21"/>
                      <w14:textFill>
                        <w14:solidFill>
                          <w14:schemeClr w14:val="tx1"/>
                        </w14:solidFill>
                      </w14:textFill>
                    </w:rPr>
                    <w:t>场</w:t>
                  </w:r>
                  <w:r>
                    <w:rPr>
                      <w:rFonts w:hint="default" w:ascii="Times New Roman" w:hAnsi="Times New Roman" w:eastAsia="宋体"/>
                      <w:color w:val="000000" w:themeColor="text1"/>
                      <w:szCs w:val="21"/>
                      <w:lang w:val="zh-CN"/>
                      <w14:textFill>
                        <w14:solidFill>
                          <w14:schemeClr w14:val="tx1"/>
                        </w14:solidFill>
                      </w14:textFill>
                    </w:rPr>
                    <w:t>采取修建</w:t>
                  </w:r>
                  <w:r>
                    <w:rPr>
                      <w:rFonts w:hint="eastAsia"/>
                      <w:color w:val="000000" w:themeColor="text1"/>
                      <w:szCs w:val="21"/>
                      <w:lang w:val="en-US" w:eastAsia="zh-CN"/>
                      <w14:textFill>
                        <w14:solidFill>
                          <w14:schemeClr w14:val="tx1"/>
                        </w14:solidFill>
                      </w14:textFill>
                    </w:rPr>
                    <w:t>截</w:t>
                  </w:r>
                  <w:r>
                    <w:rPr>
                      <w:rFonts w:hint="default" w:ascii="Times New Roman" w:hAnsi="Times New Roman" w:eastAsia="宋体"/>
                      <w:color w:val="000000" w:themeColor="text1"/>
                      <w:szCs w:val="21"/>
                      <w:lang w:val="zh-CN"/>
                      <w14:textFill>
                        <w14:solidFill>
                          <w14:schemeClr w14:val="tx1"/>
                        </w14:solidFill>
                      </w14:textFill>
                    </w:rPr>
                    <w:t>排水沟</w:t>
                  </w:r>
                  <w:r>
                    <w:rPr>
                      <w:rFonts w:hint="eastAsia"/>
                      <w:color w:val="000000" w:themeColor="text1"/>
                      <w:szCs w:val="21"/>
                      <w:lang w:val="zh-CN"/>
                      <w14:textFill>
                        <w14:solidFill>
                          <w14:schemeClr w14:val="tx1"/>
                        </w14:solidFill>
                      </w14:textFill>
                    </w:rPr>
                    <w:t>、修筑临时挡墙</w:t>
                  </w:r>
                  <w:r>
                    <w:rPr>
                      <w:rFonts w:hint="eastAsia"/>
                      <w:color w:val="000000" w:themeColor="text1"/>
                      <w:szCs w:val="21"/>
                      <w:lang w:val="en-US" w:eastAsia="zh-CN"/>
                      <w14:textFill>
                        <w14:solidFill>
                          <w14:schemeClr w14:val="tx1"/>
                        </w14:solidFill>
                      </w14:textFill>
                    </w:rPr>
                    <w:t>等措施</w:t>
                  </w:r>
                  <w:r>
                    <w:rPr>
                      <w:rFonts w:hint="eastAsia" w:ascii="Times New Roman" w:hAnsi="Times New Roman" w:eastAsia="宋体"/>
                      <w:color w:val="000000" w:themeColor="text1"/>
                      <w:szCs w:val="21"/>
                      <w14:textFill>
                        <w14:solidFill>
                          <w14:schemeClr w14:val="tx1"/>
                        </w14:solidFill>
                      </w14:textFill>
                    </w:rPr>
                    <w:t>降低水土流失影响，</w:t>
                  </w:r>
                  <w:r>
                    <w:rPr>
                      <w:rFonts w:hint="default" w:ascii="Times New Roman" w:hAnsi="Times New Roman" w:eastAsia="宋体"/>
                      <w:color w:val="000000" w:themeColor="text1"/>
                      <w:szCs w:val="21"/>
                      <w14:textFill>
                        <w14:solidFill>
                          <w14:schemeClr w14:val="tx1"/>
                        </w14:solidFill>
                      </w14:textFill>
                    </w:rPr>
                    <w:t>严格按照复垦方案执行，边开采，边复垦，</w:t>
                  </w:r>
                  <w:r>
                    <w:rPr>
                      <w:rFonts w:hint="eastAsia" w:ascii="Times New Roman" w:hAnsi="Times New Roman" w:eastAsia="宋体"/>
                      <w:color w:val="000000" w:themeColor="text1"/>
                      <w:szCs w:val="21"/>
                      <w14:textFill>
                        <w14:solidFill>
                          <w14:schemeClr w14:val="tx1"/>
                        </w14:solidFill>
                      </w14:textFill>
                    </w:rPr>
                    <w:t>设计</w:t>
                  </w:r>
                  <w:r>
                    <w:rPr>
                      <w:rFonts w:hint="eastAsia"/>
                      <w:color w:val="000000" w:themeColor="text1"/>
                      <w:szCs w:val="21"/>
                      <w:lang w:val="en-US" w:eastAsia="zh-CN"/>
                      <w14:textFill>
                        <w14:solidFill>
                          <w14:schemeClr w14:val="tx1"/>
                        </w14:solidFill>
                      </w14:textFill>
                    </w:rPr>
                    <w:t>土地</w:t>
                  </w:r>
                  <w:r>
                    <w:rPr>
                      <w:rFonts w:hint="eastAsia" w:ascii="Times New Roman" w:hAnsi="Times New Roman" w:eastAsia="宋体"/>
                      <w:color w:val="000000" w:themeColor="text1"/>
                      <w:szCs w:val="21"/>
                      <w14:textFill>
                        <w14:solidFill>
                          <w14:schemeClr w14:val="tx1"/>
                        </w14:solidFill>
                      </w14:textFill>
                    </w:rPr>
                    <w:t>复垦率为100%。</w:t>
                  </w:r>
                </w:p>
              </w:tc>
              <w:tc>
                <w:tcPr>
                  <w:tcW w:w="467" w:type="pct"/>
                  <w:vAlign w:val="center"/>
                </w:tcPr>
                <w:p w14:paraId="606C596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r>
                    <w:rPr>
                      <w:rFonts w:hint="eastAsia" w:ascii="Times New Roman" w:hAnsi="Times New Roman" w:eastAsia="宋体"/>
                      <w:szCs w:val="21"/>
                    </w:rPr>
                    <w:t>符合</w:t>
                  </w:r>
                </w:p>
              </w:tc>
            </w:tr>
            <w:tr w14:paraId="4D67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32" w:type="pct"/>
                  <w:vMerge w:val="continue"/>
                  <w:vAlign w:val="center"/>
                </w:tcPr>
                <w:p w14:paraId="7E1D987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lang w:val="zh-CN"/>
                    </w:rPr>
                  </w:pPr>
                </w:p>
              </w:tc>
              <w:tc>
                <w:tcPr>
                  <w:tcW w:w="4667" w:type="pct"/>
                  <w:gridSpan w:val="3"/>
                  <w:vAlign w:val="center"/>
                </w:tcPr>
                <w:p w14:paraId="1A376BB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szCs w:val="21"/>
                    </w:rPr>
                  </w:pPr>
                </w:p>
              </w:tc>
            </w:tr>
          </w:tbl>
          <w:p w14:paraId="605E4222">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综合以上分析判定结果，本项目符合《新疆维吾尔自治区重点行业环境准入条件</w:t>
            </w:r>
            <w:r>
              <w:rPr>
                <w:rFonts w:hint="eastAsia"/>
                <w:sz w:val="24"/>
              </w:rPr>
              <w:t>（</w:t>
            </w:r>
            <w:r>
              <w:rPr>
                <w:rFonts w:hint="eastAsia"/>
                <w:sz w:val="24"/>
                <w:lang w:val="en-US" w:eastAsia="zh-CN"/>
              </w:rPr>
              <w:t>2024</w:t>
            </w:r>
            <w:r>
              <w:rPr>
                <w:rFonts w:hint="eastAsia"/>
                <w:sz w:val="24"/>
              </w:rPr>
              <w:t>）》</w:t>
            </w:r>
            <w:r>
              <w:rPr>
                <w:rFonts w:hint="default"/>
                <w:sz w:val="24"/>
              </w:rPr>
              <w:t>要求。</w:t>
            </w:r>
          </w:p>
          <w:p w14:paraId="3B5948BC">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lang w:val="zh-CN" w:eastAsia="zh-CN"/>
              </w:rPr>
            </w:pPr>
            <w:r>
              <w:rPr>
                <w:rFonts w:hint="default"/>
                <w:b/>
                <w:bCs/>
                <w:sz w:val="24"/>
                <w:lang w:val="zh-CN" w:eastAsia="zh-CN"/>
              </w:rPr>
              <w:t>《工业料堆场扬尘整治规范》</w:t>
            </w:r>
            <w:r>
              <w:rPr>
                <w:rFonts w:hint="eastAsia"/>
                <w:b/>
                <w:bCs/>
                <w:sz w:val="24"/>
                <w:lang w:val="zh-CN" w:eastAsia="zh-CN"/>
              </w:rPr>
              <w:t>（</w:t>
            </w:r>
            <w:r>
              <w:rPr>
                <w:rFonts w:hint="default"/>
                <w:b/>
                <w:bCs/>
                <w:sz w:val="24"/>
                <w:lang w:val="zh-CN" w:eastAsia="zh-CN"/>
              </w:rPr>
              <w:t>DB65/T4061-2017</w:t>
            </w:r>
            <w:r>
              <w:rPr>
                <w:rFonts w:hint="eastAsia"/>
                <w:b/>
                <w:bCs/>
                <w:sz w:val="24"/>
                <w:lang w:val="zh-CN" w:eastAsia="zh-CN"/>
              </w:rPr>
              <w:t>）</w:t>
            </w:r>
            <w:r>
              <w:rPr>
                <w:rFonts w:hint="default"/>
                <w:b/>
                <w:bCs/>
                <w:sz w:val="24"/>
                <w:lang w:val="zh-CN" w:eastAsia="zh-CN"/>
              </w:rPr>
              <w:t>符合性分析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5"/>
              <w:gridCol w:w="3217"/>
              <w:gridCol w:w="738"/>
            </w:tblGrid>
            <w:tr w14:paraId="1F79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3386CE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 w:val="21"/>
                      <w:vertAlign w:val="baseline"/>
                    </w:rPr>
                  </w:pPr>
                  <w:r>
                    <w:rPr>
                      <w:rFonts w:hint="default" w:ascii="Times New Roman" w:hAnsi="Times New Roman" w:eastAsia="宋体"/>
                      <w:sz w:val="21"/>
                    </w:rPr>
                    <w:t>《工业料堆场扬尘整治规范》要求</w:t>
                  </w:r>
                </w:p>
              </w:tc>
              <w:tc>
                <w:tcPr>
                  <w:tcW w:w="2033" w:type="pct"/>
                  <w:vAlign w:val="center"/>
                </w:tcPr>
                <w:p w14:paraId="08DCA0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 w:val="21"/>
                      <w:vertAlign w:val="baseline"/>
                    </w:rPr>
                  </w:pPr>
                  <w:r>
                    <w:rPr>
                      <w:rFonts w:hint="default" w:ascii="Times New Roman" w:hAnsi="Times New Roman" w:eastAsia="宋体"/>
                      <w:sz w:val="21"/>
                      <w:szCs w:val="21"/>
                      <w:lang w:val="zh-CN"/>
                    </w:rPr>
                    <w:t>项目情况</w:t>
                  </w:r>
                </w:p>
              </w:tc>
              <w:tc>
                <w:tcPr>
                  <w:tcW w:w="466" w:type="pct"/>
                  <w:vAlign w:val="center"/>
                </w:tcPr>
                <w:p w14:paraId="5F2D37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lang w:val="en-US" w:eastAsia="zh-CN"/>
                    </w:rPr>
                  </w:pPr>
                  <w:r>
                    <w:rPr>
                      <w:rFonts w:hint="default" w:ascii="Times New Roman" w:hAnsi="Times New Roman" w:eastAsia="宋体"/>
                      <w:sz w:val="21"/>
                      <w:szCs w:val="21"/>
                      <w:lang w:val="zh-CN"/>
                    </w:rPr>
                    <w:t>符合性</w:t>
                  </w:r>
                  <w:r>
                    <w:rPr>
                      <w:rFonts w:hint="eastAsia"/>
                      <w:sz w:val="21"/>
                      <w:szCs w:val="21"/>
                      <w:lang w:val="en-US" w:eastAsia="zh-CN"/>
                    </w:rPr>
                    <w:t>分析</w:t>
                  </w:r>
                </w:p>
              </w:tc>
            </w:tr>
            <w:tr w14:paraId="097C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06890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 w:val="21"/>
                    </w:rPr>
                  </w:pPr>
                  <w:r>
                    <w:rPr>
                      <w:rFonts w:hint="default" w:ascii="Times New Roman" w:hAnsi="Times New Roman" w:eastAsia="宋体"/>
                      <w:sz w:val="21"/>
                    </w:rPr>
                    <w:t>5.7工业料堆场内应采用连续输送设备将物料送往用户，避免二次中转倒运。</w:t>
                  </w:r>
                </w:p>
                <w:p w14:paraId="59681F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 w:val="21"/>
                      <w:vertAlign w:val="baseline"/>
                    </w:rPr>
                  </w:pPr>
                  <w:r>
                    <w:rPr>
                      <w:rFonts w:hint="default" w:ascii="Times New Roman" w:hAnsi="Times New Roman" w:eastAsia="宋体"/>
                      <w:sz w:val="21"/>
                    </w:rPr>
                    <w:t>5.8对工业料堆场内装卸、运输等作业过程中，易产生扬尘污染的物料必须采取封闭、遮盖、洒水降尘措施，密闭输送物料必须在装料、卸料处配备吸尘、喷淋防尘措施。</w:t>
                  </w:r>
                </w:p>
              </w:tc>
              <w:tc>
                <w:tcPr>
                  <w:tcW w:w="2033" w:type="pct"/>
                  <w:vAlign w:val="center"/>
                </w:tcPr>
                <w:p w14:paraId="3A4D92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本项目临时</w:t>
                  </w:r>
                  <w:r>
                    <w:rPr>
                      <w:rFonts w:hint="default" w:ascii="Times New Roman" w:hAnsi="Times New Roman" w:eastAsia="宋体"/>
                      <w:sz w:val="21"/>
                    </w:rPr>
                    <w:t>堆</w:t>
                  </w:r>
                  <w:r>
                    <w:rPr>
                      <w:rFonts w:hint="eastAsia"/>
                      <w:sz w:val="21"/>
                      <w:lang w:val="en-US" w:eastAsia="zh-CN"/>
                    </w:rPr>
                    <w:t>料</w:t>
                  </w:r>
                  <w:r>
                    <w:rPr>
                      <w:rFonts w:hint="default" w:ascii="Times New Roman" w:hAnsi="Times New Roman" w:eastAsia="宋体"/>
                      <w:sz w:val="21"/>
                    </w:rPr>
                    <w:t>场内</w:t>
                  </w:r>
                  <w:r>
                    <w:rPr>
                      <w:rFonts w:hint="eastAsia"/>
                      <w:sz w:val="21"/>
                      <w:lang w:val="en-US" w:eastAsia="zh-CN"/>
                    </w:rPr>
                    <w:t>的物料直接出售，排土场内的废土、废石用于采坑回填，不二次转运；</w:t>
                  </w:r>
                  <w:r>
                    <w:rPr>
                      <w:rFonts w:hint="default" w:ascii="Times New Roman" w:hAnsi="Times New Roman" w:eastAsia="宋体"/>
                      <w:sz w:val="21"/>
                    </w:rPr>
                    <w:t>堆场内装卸、运输等作业过程中，采取遮盖、洒水降尘措施，密闭输送物料措施</w:t>
                  </w:r>
                  <w:r>
                    <w:rPr>
                      <w:rFonts w:hint="eastAsia"/>
                      <w:sz w:val="21"/>
                      <w:lang w:eastAsia="zh-CN"/>
                    </w:rPr>
                    <w:t>。</w:t>
                  </w:r>
                </w:p>
              </w:tc>
              <w:tc>
                <w:tcPr>
                  <w:tcW w:w="466" w:type="pct"/>
                  <w:vAlign w:val="center"/>
                </w:tcPr>
                <w:p w14:paraId="151686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符合</w:t>
                  </w:r>
                </w:p>
              </w:tc>
            </w:tr>
            <w:tr w14:paraId="7AB2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7D5E4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 w:val="21"/>
                      <w:vertAlign w:val="baseline"/>
                    </w:rPr>
                  </w:pPr>
                  <w:r>
                    <w:rPr>
                      <w:rFonts w:hint="default" w:ascii="Times New Roman" w:hAnsi="Times New Roman" w:eastAsia="宋体"/>
                      <w:sz w:val="21"/>
                    </w:rPr>
                    <w:t>《工业料堆场扬尘整治规范》</w:t>
                  </w:r>
                  <w:r>
                    <w:rPr>
                      <w:rFonts w:hint="eastAsia"/>
                      <w:sz w:val="21"/>
                      <w:lang w:val="en-US" w:eastAsia="zh-CN"/>
                    </w:rPr>
                    <w:t>中</w:t>
                  </w:r>
                  <w:r>
                    <w:rPr>
                      <w:rFonts w:hint="default" w:ascii="Times New Roman" w:hAnsi="Times New Roman" w:eastAsia="宋体"/>
                      <w:sz w:val="21"/>
                      <w:vertAlign w:val="baseline"/>
                      <w:lang w:val="en-US" w:eastAsia="zh-CN"/>
                    </w:rPr>
                    <w:t>表1工业料堆场类型划分</w:t>
                  </w:r>
                  <w:r>
                    <w:rPr>
                      <w:rFonts w:hint="eastAsia"/>
                      <w:sz w:val="21"/>
                      <w:vertAlign w:val="baseline"/>
                      <w:lang w:val="en-US" w:eastAsia="zh-CN"/>
                    </w:rPr>
                    <w:t>。</w:t>
                  </w:r>
                </w:p>
              </w:tc>
              <w:tc>
                <w:tcPr>
                  <w:tcW w:w="2033" w:type="pct"/>
                  <w:vAlign w:val="center"/>
                </w:tcPr>
                <w:p w14:paraId="51CC9B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 w:val="21"/>
                      <w:vertAlign w:val="baseline"/>
                    </w:rPr>
                  </w:pPr>
                  <w:r>
                    <w:rPr>
                      <w:rFonts w:hint="eastAsia"/>
                      <w:sz w:val="21"/>
                      <w:vertAlign w:val="baseline"/>
                      <w:lang w:val="en-US" w:eastAsia="zh-CN"/>
                    </w:rPr>
                    <w:t>本项目临时堆料场中堆存待售成品，占地面积为0.7公顷，符合Ⅱ</w:t>
                  </w:r>
                  <w:r>
                    <w:rPr>
                      <w:rFonts w:hint="default" w:ascii="Times New Roman" w:hAnsi="Times New Roman" w:eastAsia="宋体"/>
                      <w:sz w:val="21"/>
                      <w:vertAlign w:val="baseline"/>
                      <w:lang w:val="en-US" w:eastAsia="zh-CN"/>
                    </w:rPr>
                    <w:t>类堆场</w:t>
                  </w:r>
                  <w:r>
                    <w:rPr>
                      <w:rFonts w:hint="eastAsia"/>
                      <w:sz w:val="21"/>
                      <w:vertAlign w:val="baseline"/>
                      <w:lang w:val="en-US" w:eastAsia="zh-CN"/>
                    </w:rPr>
                    <w:t>，</w:t>
                  </w:r>
                  <w:r>
                    <w:rPr>
                      <w:rFonts w:hint="eastAsia" w:ascii="Times New Roman"/>
                      <w:color w:val="000000" w:themeColor="text1"/>
                      <w:sz w:val="21"/>
                      <w:lang w:val="en-US" w:eastAsia="zh-CN"/>
                      <w14:textFill>
                        <w14:solidFill>
                          <w14:schemeClr w14:val="tx1"/>
                        </w14:solidFill>
                      </w14:textFill>
                    </w:rPr>
                    <w:t>采取防尘抑尘网（墙）加洒水抑尘</w:t>
                  </w:r>
                  <w:r>
                    <w:rPr>
                      <w:rFonts w:hint="eastAsia"/>
                      <w:color w:val="000000" w:themeColor="text1"/>
                      <w:sz w:val="21"/>
                      <w:lang w:val="en-US" w:eastAsia="zh-CN"/>
                      <w14:textFill>
                        <w14:solidFill>
                          <w14:schemeClr w14:val="tx1"/>
                        </w14:solidFill>
                      </w14:textFill>
                    </w:rPr>
                    <w:t>措施</w:t>
                  </w:r>
                  <w:r>
                    <w:rPr>
                      <w:rFonts w:hint="default" w:ascii="Times New Roman" w:hAnsi="Times New Roman" w:eastAsia="宋体"/>
                      <w:sz w:val="21"/>
                      <w:vertAlign w:val="baseline"/>
                      <w:lang w:val="en-US" w:eastAsia="zh-CN"/>
                    </w:rPr>
                    <w:t>。</w:t>
                  </w:r>
                </w:p>
              </w:tc>
              <w:tc>
                <w:tcPr>
                  <w:tcW w:w="466" w:type="pct"/>
                  <w:vAlign w:val="center"/>
                </w:tcPr>
                <w:p w14:paraId="4C27AD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符合</w:t>
                  </w:r>
                </w:p>
              </w:tc>
            </w:tr>
          </w:tbl>
          <w:p w14:paraId="6BBE8B61">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b/>
                <w:bCs/>
                <w:sz w:val="24"/>
                <w:lang w:val="zh-CN" w:eastAsia="zh-CN"/>
              </w:rPr>
            </w:pPr>
            <w:r>
              <w:rPr>
                <w:rFonts w:hint="default"/>
                <w:b/>
                <w:bCs/>
                <w:sz w:val="24"/>
                <w:lang w:val="zh-CN" w:eastAsia="zh-CN"/>
              </w:rPr>
              <w:t>《关于加快推进露天矿山综合整治工作实施意见的函》（自然资办函〔2019〕819号）</w:t>
            </w:r>
            <w:r>
              <w:rPr>
                <w:rFonts w:hint="eastAsia"/>
                <w:b/>
                <w:bCs/>
                <w:sz w:val="24"/>
                <w:lang w:val="zh-CN" w:eastAsia="zh-CN"/>
              </w:rPr>
              <w:t>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3"/>
              <w:gridCol w:w="3518"/>
              <w:gridCol w:w="739"/>
            </w:tblGrid>
            <w:tr w14:paraId="2B05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9" w:type="pct"/>
                  <w:vAlign w:val="center"/>
                </w:tcPr>
                <w:p w14:paraId="3B432D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文件要求</w:t>
                  </w:r>
                </w:p>
              </w:tc>
              <w:tc>
                <w:tcPr>
                  <w:tcW w:w="2223" w:type="pct"/>
                  <w:vAlign w:val="center"/>
                </w:tcPr>
                <w:p w14:paraId="76C8E5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项目情况</w:t>
                  </w:r>
                </w:p>
              </w:tc>
              <w:tc>
                <w:tcPr>
                  <w:tcW w:w="467" w:type="pct"/>
                  <w:vAlign w:val="center"/>
                </w:tcPr>
                <w:p w14:paraId="26D17F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符合性</w:t>
                  </w:r>
                  <w:r>
                    <w:rPr>
                      <w:rFonts w:hint="eastAsia"/>
                      <w:sz w:val="21"/>
                      <w:vertAlign w:val="baseline"/>
                      <w:lang w:val="en-US" w:eastAsia="zh-CN"/>
                    </w:rPr>
                    <w:t>分析</w:t>
                  </w:r>
                </w:p>
              </w:tc>
            </w:tr>
            <w:tr w14:paraId="1E71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9" w:type="pct"/>
                  <w:vAlign w:val="center"/>
                </w:tcPr>
                <w:p w14:paraId="5430B7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rPr>
                  </w:pPr>
                  <w:r>
                    <w:rPr>
                      <w:rFonts w:hint="eastAsia" w:ascii="Times New Roman" w:hAnsi="Times New Roman" w:eastAsia="宋体"/>
                      <w:sz w:val="21"/>
                      <w:vertAlign w:val="baseline"/>
                    </w:rPr>
                    <w:t>依法开展露天矿山综合整治。依法关闭违反资源环境法律法规、规划，污染环境、破坏生态、乱采滥挖的露天矿山；对污染治理不规范的露天矿山，依法责令停产整治，经相关部门组织验收合格后方可恢复生产，对拒不停产或擅自恢复生产的依法强制关闭；对责任主体灭失的露天矿山，因地制宜加强修复绿化，减少和抑制大气扬尘。全面加强</w:t>
                  </w:r>
                  <w:r>
                    <w:rPr>
                      <w:rFonts w:hint="eastAsia" w:ascii="Times New Roman" w:hAnsi="Times New Roman" w:eastAsia="宋体"/>
                      <w:sz w:val="21"/>
                      <w:vertAlign w:val="baseline"/>
                      <w:lang w:val="en-US" w:eastAsia="zh-CN"/>
                    </w:rPr>
                    <w:t>矿</w:t>
                  </w:r>
                  <w:r>
                    <w:rPr>
                      <w:rFonts w:hint="eastAsia" w:ascii="Times New Roman" w:hAnsi="Times New Roman" w:eastAsia="宋体"/>
                      <w:sz w:val="21"/>
                      <w:vertAlign w:val="baseline"/>
                    </w:rPr>
                    <w:t>山综合治理，消除自燃和冒烟现象。</w:t>
                  </w:r>
                </w:p>
              </w:tc>
              <w:tc>
                <w:tcPr>
                  <w:tcW w:w="2223" w:type="pct"/>
                  <w:vAlign w:val="center"/>
                </w:tcPr>
                <w:p w14:paraId="1C31E0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本项目为新建矿山，不属于</w:t>
                  </w:r>
                  <w:r>
                    <w:rPr>
                      <w:rFonts w:hint="eastAsia" w:ascii="Times New Roman" w:hAnsi="Times New Roman" w:eastAsia="宋体"/>
                      <w:sz w:val="21"/>
                      <w:vertAlign w:val="baseline"/>
                    </w:rPr>
                    <w:t>违反资源环境法律法规、规划，污染环境、破坏生态、乱采滥挖</w:t>
                  </w:r>
                  <w:r>
                    <w:rPr>
                      <w:rFonts w:hint="eastAsia"/>
                      <w:sz w:val="21"/>
                      <w:vertAlign w:val="baseline"/>
                      <w:lang w:eastAsia="zh-CN"/>
                    </w:rPr>
                    <w:t>、</w:t>
                  </w:r>
                  <w:r>
                    <w:rPr>
                      <w:rFonts w:hint="eastAsia" w:ascii="Times New Roman" w:hAnsi="Times New Roman" w:eastAsia="宋体"/>
                      <w:sz w:val="21"/>
                      <w:vertAlign w:val="baseline"/>
                    </w:rPr>
                    <w:t>污染治理不规范的露天矿山</w:t>
                  </w:r>
                  <w:r>
                    <w:rPr>
                      <w:rFonts w:hint="eastAsia"/>
                      <w:sz w:val="21"/>
                      <w:vertAlign w:val="baseline"/>
                      <w:lang w:eastAsia="zh-CN"/>
                    </w:rPr>
                    <w:t>。</w:t>
                  </w:r>
                </w:p>
              </w:tc>
              <w:tc>
                <w:tcPr>
                  <w:tcW w:w="467" w:type="pct"/>
                  <w:vAlign w:val="center"/>
                </w:tcPr>
                <w:p w14:paraId="707723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rPr>
                  </w:pPr>
                  <w:r>
                    <w:rPr>
                      <w:rFonts w:hint="eastAsia" w:ascii="Times New Roman" w:hAnsi="Times New Roman" w:eastAsia="宋体"/>
                      <w:sz w:val="21"/>
                      <w:vertAlign w:val="baseline"/>
                      <w:lang w:val="en-US" w:eastAsia="zh-CN"/>
                    </w:rPr>
                    <w:t>符合</w:t>
                  </w:r>
                </w:p>
              </w:tc>
            </w:tr>
            <w:tr w14:paraId="771B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9" w:type="pct"/>
                  <w:vAlign w:val="center"/>
                </w:tcPr>
                <w:p w14:paraId="3A4EB2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rPr>
                  </w:pPr>
                  <w:r>
                    <w:rPr>
                      <w:rFonts w:hint="eastAsia" w:ascii="Times New Roman" w:hAnsi="Times New Roman" w:eastAsia="宋体"/>
                      <w:sz w:val="21"/>
                      <w:vertAlign w:val="baseline"/>
                    </w:rPr>
                    <w:t>加强露天矿山生态修复。按照“谁开采、谁治理，边开采、边治理”原则，引导矿山按照绿色矿山建设行业标准，以环境影响报告书及批复、矿山地质环境保护与土地复垦方案等要求，开展生态修复。对责任主体灭失的露天矿山，按照“谁治理、谁受益”的原则，充分发挥财政资金的引导带动作用，大力探索构建“政府主导、政策扶持、社会参与、开发式治理、市场化运作”的矿山地质环境恢复和综合治理新模式，加快生态修复进度。</w:t>
                  </w:r>
                </w:p>
              </w:tc>
              <w:tc>
                <w:tcPr>
                  <w:tcW w:w="2223" w:type="pct"/>
                  <w:vAlign w:val="center"/>
                </w:tcPr>
                <w:p w14:paraId="7DB4AC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本项目按照文件要求实行</w:t>
                  </w:r>
                  <w:r>
                    <w:rPr>
                      <w:rFonts w:hint="eastAsia" w:ascii="Times New Roman" w:hAnsi="Times New Roman" w:eastAsia="宋体"/>
                      <w:sz w:val="21"/>
                      <w:vertAlign w:val="baseline"/>
                    </w:rPr>
                    <w:t>“谁开采、谁治理，边开采、边治理”</w:t>
                  </w:r>
                  <w:r>
                    <w:rPr>
                      <w:rFonts w:hint="eastAsia"/>
                      <w:sz w:val="21"/>
                      <w:vertAlign w:val="baseline"/>
                      <w:lang w:val="en-US" w:eastAsia="zh-CN"/>
                    </w:rPr>
                    <w:t>原则、按照</w:t>
                  </w:r>
                  <w:r>
                    <w:rPr>
                      <w:rFonts w:hint="eastAsia" w:ascii="Times New Roman" w:hAnsi="Times New Roman" w:eastAsia="宋体"/>
                      <w:sz w:val="21"/>
                      <w:vertAlign w:val="baseline"/>
                    </w:rPr>
                    <w:t>环境影响报告及批复、矿山地质环境保护与土地复垦方案等要求</w:t>
                  </w:r>
                  <w:r>
                    <w:rPr>
                      <w:rFonts w:hint="eastAsia"/>
                      <w:sz w:val="21"/>
                      <w:vertAlign w:val="baseline"/>
                      <w:lang w:val="en-US" w:eastAsia="zh-CN"/>
                    </w:rPr>
                    <w:t>建设矿山，进行土地复垦；</w:t>
                  </w:r>
                  <w:r>
                    <w:rPr>
                      <w:rFonts w:hint="eastAsia" w:ascii="Times New Roman" w:hAnsi="Times New Roman" w:eastAsia="宋体"/>
                      <w:sz w:val="21"/>
                      <w:vertAlign w:val="baseline"/>
                      <w:lang w:val="en-US" w:eastAsia="zh-CN"/>
                    </w:rPr>
                    <w:t>本项目</w:t>
                  </w:r>
                  <w:r>
                    <w:rPr>
                      <w:rFonts w:hint="eastAsia"/>
                      <w:sz w:val="21"/>
                      <w:vertAlign w:val="baseline"/>
                      <w:lang w:val="en-US" w:eastAsia="zh-CN"/>
                    </w:rPr>
                    <w:t>为新建矿山，</w:t>
                  </w:r>
                  <w:r>
                    <w:rPr>
                      <w:rFonts w:hint="eastAsia" w:ascii="Times New Roman" w:hAnsi="Times New Roman" w:eastAsia="宋体"/>
                      <w:color w:val="000000" w:themeColor="text1"/>
                      <w14:textFill>
                        <w14:solidFill>
                          <w14:schemeClr w14:val="tx1"/>
                        </w14:solidFill>
                      </w14:textFill>
                    </w:rPr>
                    <w:t>项目采取边</w:t>
                  </w:r>
                  <w:r>
                    <w:rPr>
                      <w:rFonts w:hint="eastAsia" w:ascii="Times New Roman" w:hAnsi="Times New Roman" w:eastAsia="宋体"/>
                      <w:color w:val="000000" w:themeColor="text1"/>
                      <w:lang w:val="en-US" w:eastAsia="zh-CN"/>
                      <w14:textFill>
                        <w14:solidFill>
                          <w14:schemeClr w14:val="tx1"/>
                        </w14:solidFill>
                      </w14:textFill>
                    </w:rPr>
                    <w:t>开采，边治理</w:t>
                  </w:r>
                  <w:r>
                    <w:rPr>
                      <w:rFonts w:hint="eastAsia" w:ascii="Times New Roman" w:hAnsi="Times New Roman" w:eastAsia="宋体"/>
                      <w:color w:val="000000" w:themeColor="text1"/>
                      <w14:textFill>
                        <w14:solidFill>
                          <w14:schemeClr w14:val="tx1"/>
                        </w14:solidFill>
                      </w14:textFill>
                    </w:rPr>
                    <w:t>的开采方式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人工恢复结合自然恢复，利用排土场内的废土、废石</w:t>
                  </w:r>
                  <w:r>
                    <w:rPr>
                      <w:rFonts w:hint="eastAsia" w:ascii="Times New Roman" w:hAnsi="Times New Roman" w:eastAsia="宋体"/>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开采过程中产生的采坑进行回填平整。</w:t>
                  </w:r>
                </w:p>
              </w:tc>
              <w:tc>
                <w:tcPr>
                  <w:tcW w:w="467" w:type="pct"/>
                  <w:vAlign w:val="center"/>
                </w:tcPr>
                <w:p w14:paraId="5DE474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rPr>
                  </w:pPr>
                  <w:r>
                    <w:rPr>
                      <w:rFonts w:hint="eastAsia" w:ascii="Times New Roman" w:hAnsi="Times New Roman" w:eastAsia="宋体"/>
                      <w:sz w:val="21"/>
                      <w:vertAlign w:val="baseline"/>
                      <w:lang w:val="en-US" w:eastAsia="zh-CN"/>
                    </w:rPr>
                    <w:t>符合</w:t>
                  </w:r>
                </w:p>
              </w:tc>
            </w:tr>
            <w:tr w14:paraId="537E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9" w:type="pct"/>
                  <w:vAlign w:val="center"/>
                </w:tcPr>
                <w:p w14:paraId="4AC33A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rPr>
                  </w:pPr>
                  <w:r>
                    <w:rPr>
                      <w:rFonts w:hint="eastAsia" w:ascii="Times New Roman" w:hAnsi="Times New Roman" w:eastAsia="宋体"/>
                      <w:sz w:val="21"/>
                      <w:vertAlign w:val="baseline"/>
                    </w:rPr>
                    <w:t>严格控制新建露天矿山建设项目。严格贯彻国发〔2018〕22号文件有关要求，重点区域原则上禁止新建露天矿山建设项目，国发〔2018〕22号文件下发前环境影响评价文件已经批复的重点区域露天矿山，确需建设的，在严格落实生态环境保护、矿产资源规划和绿色矿山建设行业标准等要求前提下可继续批准建设。其他区域新建露天矿山建设项目，也应严格执行生态环境保护、矿产资源规划和绿色矿山建设行业标准等要求。</w:t>
                  </w:r>
                </w:p>
              </w:tc>
              <w:tc>
                <w:tcPr>
                  <w:tcW w:w="2223" w:type="pct"/>
                  <w:vAlign w:val="center"/>
                </w:tcPr>
                <w:p w14:paraId="7FC398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rPr>
                  </w:pPr>
                  <w:r>
                    <w:rPr>
                      <w:rFonts w:hint="eastAsia" w:ascii="Times New Roman" w:hAnsi="Times New Roman" w:eastAsia="宋体"/>
                      <w:sz w:val="21"/>
                      <w:vertAlign w:val="baseline"/>
                    </w:rPr>
                    <w:t>本项目</w:t>
                  </w:r>
                  <w:r>
                    <w:rPr>
                      <w:rFonts w:hint="eastAsia" w:ascii="Times New Roman" w:hAnsi="Times New Roman" w:eastAsia="宋体"/>
                      <w:sz w:val="21"/>
                      <w:vertAlign w:val="baseline"/>
                      <w:lang w:val="en-US" w:eastAsia="zh-CN"/>
                    </w:rPr>
                    <w:t>为新建</w:t>
                  </w:r>
                  <w:r>
                    <w:rPr>
                      <w:rFonts w:hint="eastAsia" w:ascii="Times New Roman" w:hAnsi="Times New Roman" w:eastAsia="宋体"/>
                      <w:sz w:val="21"/>
                      <w:vertAlign w:val="baseline"/>
                    </w:rPr>
                    <w:t>矿山</w:t>
                  </w:r>
                  <w:r>
                    <w:rPr>
                      <w:rFonts w:hint="eastAsia"/>
                      <w:sz w:val="21"/>
                      <w:vertAlign w:val="baseline"/>
                      <w:lang w:eastAsia="zh-CN"/>
                    </w:rPr>
                    <w:t>，</w:t>
                  </w:r>
                  <w:r>
                    <w:rPr>
                      <w:rFonts w:hint="eastAsia" w:ascii="Times New Roman" w:hAnsi="Times New Roman" w:eastAsia="宋体"/>
                      <w:sz w:val="21"/>
                      <w:vertAlign w:val="baseline"/>
                    </w:rPr>
                    <w:t>采用露天开采方式</w:t>
                  </w:r>
                  <w:r>
                    <w:rPr>
                      <w:rFonts w:hint="eastAsia"/>
                      <w:sz w:val="21"/>
                      <w:vertAlign w:val="baseline"/>
                      <w:lang w:eastAsia="zh-CN"/>
                    </w:rPr>
                    <w:t>，</w:t>
                  </w:r>
                  <w:r>
                    <w:rPr>
                      <w:rFonts w:hint="eastAsia"/>
                      <w:sz w:val="21"/>
                      <w:vertAlign w:val="baseline"/>
                      <w:lang w:val="en-US" w:eastAsia="zh-CN"/>
                    </w:rPr>
                    <w:t>项目区不</w:t>
                  </w:r>
                  <w:r>
                    <w:rPr>
                      <w:rFonts w:hint="eastAsia" w:ascii="Times New Roman" w:hAnsi="Times New Roman" w:eastAsia="宋体"/>
                      <w:sz w:val="21"/>
                      <w:vertAlign w:val="baseline"/>
                    </w:rPr>
                    <w:t>属于</w:t>
                  </w:r>
                  <w:r>
                    <w:rPr>
                      <w:rFonts w:hint="eastAsia" w:ascii="Times New Roman" w:hAnsi="Times New Roman" w:eastAsia="宋体"/>
                      <w:sz w:val="21"/>
                      <w:vertAlign w:val="baseline"/>
                      <w:lang w:val="en-US" w:eastAsia="zh-CN"/>
                    </w:rPr>
                    <w:t>文件中的重点</w:t>
                  </w:r>
                  <w:r>
                    <w:rPr>
                      <w:rFonts w:hint="eastAsia" w:ascii="Times New Roman" w:hAnsi="Times New Roman" w:eastAsia="宋体"/>
                      <w:sz w:val="21"/>
                      <w:vertAlign w:val="baseline"/>
                    </w:rPr>
                    <w:t>区域</w:t>
                  </w:r>
                  <w:r>
                    <w:rPr>
                      <w:rFonts w:hint="eastAsia" w:ascii="Times New Roman" w:hAnsi="Times New Roman" w:eastAsia="宋体"/>
                      <w:sz w:val="21"/>
                      <w:vertAlign w:val="baseline"/>
                      <w:lang w:eastAsia="zh-CN"/>
                    </w:rPr>
                    <w:t>，</w:t>
                  </w:r>
                  <w:r>
                    <w:rPr>
                      <w:rFonts w:hint="eastAsia" w:ascii="Times New Roman" w:hAnsi="Times New Roman" w:eastAsia="宋体"/>
                      <w:sz w:val="21"/>
                      <w:vertAlign w:val="baseline"/>
                      <w:lang w:val="en-US" w:eastAsia="zh-CN"/>
                    </w:rPr>
                    <w:t>矿山</w:t>
                  </w:r>
                  <w:r>
                    <w:rPr>
                      <w:rFonts w:hint="eastAsia" w:ascii="Times New Roman" w:hAnsi="Times New Roman" w:eastAsia="宋体"/>
                      <w:sz w:val="21"/>
                      <w:vertAlign w:val="baseline"/>
                    </w:rPr>
                    <w:t>严格</w:t>
                  </w:r>
                  <w:r>
                    <w:rPr>
                      <w:rFonts w:hint="eastAsia"/>
                      <w:sz w:val="21"/>
                      <w:vertAlign w:val="baseline"/>
                      <w:lang w:val="en-US" w:eastAsia="zh-CN"/>
                    </w:rPr>
                    <w:t>按照</w:t>
                  </w:r>
                  <w:r>
                    <w:rPr>
                      <w:rFonts w:hint="eastAsia" w:ascii="Times New Roman" w:hAnsi="Times New Roman" w:eastAsia="宋体"/>
                      <w:sz w:val="21"/>
                      <w:vertAlign w:val="baseline"/>
                    </w:rPr>
                    <w:t>矿产资源规划</w:t>
                  </w:r>
                  <w:r>
                    <w:rPr>
                      <w:rFonts w:hint="eastAsia" w:ascii="Times New Roman" w:hAnsi="Times New Roman" w:eastAsia="宋体"/>
                      <w:sz w:val="21"/>
                      <w:vertAlign w:val="baseline"/>
                      <w:lang w:val="en-US" w:eastAsia="zh-CN"/>
                    </w:rPr>
                    <w:t>建设</w:t>
                  </w:r>
                  <w:r>
                    <w:rPr>
                      <w:rFonts w:hint="eastAsia"/>
                      <w:sz w:val="21"/>
                      <w:vertAlign w:val="baseline"/>
                      <w:lang w:val="en-US" w:eastAsia="zh-CN"/>
                    </w:rPr>
                    <w:t>；矿山</w:t>
                  </w:r>
                  <w:r>
                    <w:rPr>
                      <w:rFonts w:hint="eastAsia" w:ascii="Times New Roman" w:hAnsi="Times New Roman" w:eastAsia="宋体"/>
                      <w:color w:val="000000" w:themeColor="text1"/>
                      <w14:textFill>
                        <w14:solidFill>
                          <w14:schemeClr w14:val="tx1"/>
                        </w14:solidFill>
                      </w14:textFill>
                    </w:rPr>
                    <w:t>采取边</w:t>
                  </w:r>
                  <w:r>
                    <w:rPr>
                      <w:rFonts w:hint="eastAsia" w:ascii="Times New Roman" w:hAnsi="Times New Roman" w:eastAsia="宋体"/>
                      <w:color w:val="000000" w:themeColor="text1"/>
                      <w:lang w:val="en-US" w:eastAsia="zh-CN"/>
                      <w14:textFill>
                        <w14:solidFill>
                          <w14:schemeClr w14:val="tx1"/>
                        </w14:solidFill>
                      </w14:textFill>
                    </w:rPr>
                    <w:t>开采，边治理</w:t>
                  </w:r>
                  <w:r>
                    <w:rPr>
                      <w:rFonts w:hint="eastAsia" w:ascii="Times New Roman" w:hAnsi="Times New Roman" w:eastAsia="宋体"/>
                      <w:color w:val="000000" w:themeColor="text1"/>
                      <w14:textFill>
                        <w14:solidFill>
                          <w14:schemeClr w14:val="tx1"/>
                        </w14:solidFill>
                      </w14:textFill>
                    </w:rPr>
                    <w:t>的开采方式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人工恢复结合自然恢复，利用排土场内的废土、废石</w:t>
                  </w:r>
                  <w:r>
                    <w:rPr>
                      <w:rFonts w:hint="eastAsia" w:ascii="Times New Roman" w:hAnsi="Times New Roman" w:eastAsia="宋体"/>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开采过程中产生的采坑进行回填平整，减少对生态环境的破坏；</w:t>
                  </w:r>
                  <w:r>
                    <w:rPr>
                      <w:rFonts w:hint="default" w:ascii="Times New Roman" w:hAnsi="Times New Roman" w:eastAsia="宋体"/>
                      <w:color w:val="000000" w:themeColor="text1"/>
                      <w14:textFill>
                        <w14:solidFill>
                          <w14:schemeClr w14:val="tx1"/>
                        </w14:solidFill>
                      </w14:textFill>
                    </w:rPr>
                    <w:t>按照土地复垦及环评要求逐步开展复垦工作并达到复垦要求</w:t>
                  </w:r>
                  <w:r>
                    <w:rPr>
                      <w:rFonts w:hint="eastAsia" w:ascii="Times New Roman" w:hAnsi="Times New Roman" w:eastAsia="宋体"/>
                      <w:color w:val="000000" w:themeColor="text1"/>
                      <w14:textFill>
                        <w14:solidFill>
                          <w14:schemeClr w14:val="tx1"/>
                        </w14:solidFill>
                      </w14:textFill>
                    </w:rPr>
                    <w:t>，符合绿色矿山建设要求</w:t>
                  </w:r>
                  <w:r>
                    <w:rPr>
                      <w:rFonts w:hint="eastAsia" w:ascii="Times New Roman" w:hAnsi="Times New Roman" w:eastAsia="宋体"/>
                      <w:sz w:val="21"/>
                      <w:vertAlign w:val="baseline"/>
                    </w:rPr>
                    <w:t>。</w:t>
                  </w:r>
                </w:p>
              </w:tc>
              <w:tc>
                <w:tcPr>
                  <w:tcW w:w="467" w:type="pct"/>
                  <w:vAlign w:val="center"/>
                </w:tcPr>
                <w:p w14:paraId="479827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 w:val="21"/>
                      <w:vertAlign w:val="baseline"/>
                    </w:rPr>
                  </w:pPr>
                  <w:r>
                    <w:rPr>
                      <w:rFonts w:hint="eastAsia" w:ascii="Times New Roman" w:hAnsi="Times New Roman" w:eastAsia="宋体"/>
                      <w:sz w:val="21"/>
                      <w:vertAlign w:val="baseline"/>
                      <w:lang w:val="en-US" w:eastAsia="zh-CN"/>
                    </w:rPr>
                    <w:t>符合</w:t>
                  </w:r>
                </w:p>
              </w:tc>
            </w:tr>
          </w:tbl>
          <w:p w14:paraId="4AA31A59">
            <w:pPr>
              <w:keepNext w:val="0"/>
              <w:keepLines w:val="0"/>
              <w:suppressLineNumbers w:val="0"/>
              <w:adjustRightInd w:val="0"/>
              <w:snapToGrid w:val="0"/>
              <w:spacing w:before="0" w:beforeAutospacing="0" w:after="0" w:afterAutospacing="0" w:line="520" w:lineRule="exact"/>
              <w:ind w:left="0" w:right="0" w:firstLine="420" w:firstLineChars="200"/>
              <w:rPr>
                <w:rFonts w:hint="default" w:ascii="宋体" w:hAnsi="宋体" w:cs="宋体"/>
                <w:kern w:val="0"/>
                <w:szCs w:val="21"/>
              </w:rPr>
            </w:pPr>
          </w:p>
        </w:tc>
      </w:tr>
    </w:tbl>
    <w:p w14:paraId="23DC65C2">
      <w:pPr>
        <w:spacing w:line="360" w:lineRule="auto"/>
        <w:outlineLvl w:val="0"/>
        <w:rPr>
          <w:rFonts w:eastAsia="黑体"/>
          <w:sz w:val="30"/>
        </w:rPr>
        <w:sectPr>
          <w:footerReference r:id="rId5" w:type="default"/>
          <w:footerReference r:id="rId6" w:type="even"/>
          <w:pgSz w:w="11906" w:h="16838"/>
          <w:pgMar w:top="1701" w:right="1531" w:bottom="1701" w:left="1531" w:header="851" w:footer="1077" w:gutter="0"/>
          <w:pgNumType w:fmt="decimal" w:start="1"/>
          <w:cols w:space="720" w:num="1"/>
          <w:docGrid w:linePitch="312" w:charSpace="0"/>
        </w:sectPr>
      </w:pPr>
    </w:p>
    <w:p w14:paraId="25D418BB">
      <w:pPr>
        <w:widowControl/>
        <w:spacing w:line="360" w:lineRule="auto"/>
        <w:jc w:val="center"/>
        <w:outlineLvl w:val="0"/>
        <w:rPr>
          <w:rFonts w:ascii="黑体" w:hAnsi="黑体" w:eastAsia="黑体"/>
          <w:snapToGrid w:val="0"/>
          <w:sz w:val="30"/>
          <w:szCs w:val="30"/>
        </w:rPr>
      </w:pPr>
      <w:r>
        <w:rPr>
          <w:rFonts w:hint="eastAsia" w:ascii="黑体" w:hAnsi="黑体" w:eastAsia="黑体"/>
          <w:snapToGrid w:val="0"/>
          <w:sz w:val="30"/>
          <w:szCs w:val="30"/>
        </w:rPr>
        <w:t>二、建设内容</w:t>
      </w:r>
    </w:p>
    <w:tbl>
      <w:tblPr>
        <w:tblStyle w:val="23"/>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34"/>
        <w:gridCol w:w="8421"/>
      </w:tblGrid>
      <w:tr w14:paraId="49BCE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62" w:hRule="atLeast"/>
          <w:jc w:val="center"/>
        </w:trPr>
        <w:tc>
          <w:tcPr>
            <w:tcW w:w="245" w:type="pct"/>
            <w:vAlign w:val="center"/>
          </w:tcPr>
          <w:p w14:paraId="281352B2">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地理位置</w:t>
            </w:r>
          </w:p>
        </w:tc>
        <w:tc>
          <w:tcPr>
            <w:tcW w:w="4754" w:type="pct"/>
          </w:tcPr>
          <w:p w14:paraId="46D1FB79">
            <w:pPr>
              <w:keepNext w:val="0"/>
              <w:keepLines w:val="0"/>
              <w:suppressLineNumbers w:val="0"/>
              <w:adjustRightInd w:val="0"/>
              <w:snapToGrid w:val="0"/>
              <w:spacing w:before="0" w:beforeAutospacing="0" w:after="0" w:afterAutospacing="0" w:line="520" w:lineRule="exact"/>
              <w:ind w:left="0" w:right="0" w:firstLine="480"/>
              <w:jc w:val="left"/>
              <w:rPr>
                <w:rFonts w:hint="default"/>
                <w:sz w:val="24"/>
              </w:rPr>
            </w:pPr>
            <w:r>
              <w:rPr>
                <w:rFonts w:hint="default"/>
                <w:sz w:val="24"/>
              </w:rPr>
              <w:t>项目区位于新疆维吾尔自治区</w:t>
            </w:r>
            <w:r>
              <w:rPr>
                <w:rFonts w:hint="eastAsia"/>
                <w:sz w:val="24"/>
              </w:rPr>
              <w:t>和静县城北西352°方位、直距约19.1km处，</w:t>
            </w:r>
            <w:r>
              <w:rPr>
                <w:rFonts w:hint="default"/>
                <w:sz w:val="24"/>
              </w:rPr>
              <w:t>隶属新疆</w:t>
            </w:r>
            <w:r>
              <w:rPr>
                <w:rFonts w:hint="eastAsia"/>
                <w:sz w:val="24"/>
              </w:rPr>
              <w:t>巴音郭楞</w:t>
            </w:r>
            <w:r>
              <w:rPr>
                <w:rFonts w:hint="default"/>
                <w:sz w:val="24"/>
              </w:rPr>
              <w:t>蒙古自治州</w:t>
            </w:r>
            <w:r>
              <w:rPr>
                <w:rFonts w:hint="eastAsia"/>
                <w:sz w:val="24"/>
              </w:rPr>
              <w:t>和静</w:t>
            </w:r>
            <w:r>
              <w:rPr>
                <w:rFonts w:hint="default"/>
                <w:sz w:val="24"/>
              </w:rPr>
              <w:t>县管辖。</w:t>
            </w:r>
            <w:r>
              <w:rPr>
                <w:rFonts w:hint="eastAsia"/>
                <w:sz w:val="24"/>
              </w:rPr>
              <w:t>矿区中心地理坐标</w:t>
            </w:r>
            <w:r>
              <w:rPr>
                <w:rFonts w:hint="default"/>
                <w:sz w:val="24"/>
              </w:rPr>
              <w:t>：</w:t>
            </w:r>
            <w:r>
              <w:rPr>
                <w:rFonts w:hint="eastAsia"/>
                <w:sz w:val="24"/>
              </w:rPr>
              <w:t>东经86°20′47″；北纬42°29′37″</w:t>
            </w:r>
            <w:r>
              <w:rPr>
                <w:rFonts w:hint="default"/>
                <w:sz w:val="24"/>
              </w:rPr>
              <w:t>，</w:t>
            </w:r>
            <w:r>
              <w:rPr>
                <w:rFonts w:hint="eastAsia"/>
                <w:sz w:val="24"/>
              </w:rPr>
              <w:t>采矿权</w:t>
            </w:r>
            <w:r>
              <w:rPr>
                <w:rFonts w:hint="default"/>
                <w:sz w:val="24"/>
              </w:rPr>
              <w:t>范围由</w:t>
            </w:r>
            <w:r>
              <w:rPr>
                <w:rFonts w:hint="eastAsia"/>
                <w:sz w:val="24"/>
                <w:lang w:val="en-US" w:eastAsia="zh-CN"/>
              </w:rPr>
              <w:t>8</w:t>
            </w:r>
            <w:r>
              <w:rPr>
                <w:rFonts w:hint="default"/>
                <w:sz w:val="24"/>
              </w:rPr>
              <w:t>个拐点圈闭，面积</w:t>
            </w:r>
            <w:r>
              <w:rPr>
                <w:rFonts w:hint="eastAsia"/>
                <w:sz w:val="24"/>
              </w:rPr>
              <w:t>0.</w:t>
            </w:r>
            <w:r>
              <w:rPr>
                <w:rFonts w:hint="eastAsia"/>
                <w:sz w:val="24"/>
                <w:lang w:val="en-US" w:eastAsia="zh-CN"/>
              </w:rPr>
              <w:t>2956</w:t>
            </w:r>
            <w:r>
              <w:rPr>
                <w:rFonts w:hint="eastAsia"/>
                <w:sz w:val="24"/>
              </w:rPr>
              <w:t>km</w:t>
            </w:r>
            <w:r>
              <w:rPr>
                <w:rFonts w:hint="eastAsia"/>
                <w:sz w:val="24"/>
                <w:vertAlign w:val="superscript"/>
              </w:rPr>
              <w:t>2</w:t>
            </w:r>
            <w:r>
              <w:rPr>
                <w:rFonts w:hint="default"/>
                <w:sz w:val="24"/>
              </w:rPr>
              <w:t>。</w:t>
            </w:r>
            <w:r>
              <w:rPr>
                <w:rFonts w:hint="eastAsia"/>
                <w:sz w:val="24"/>
              </w:rPr>
              <w:t>项目地理位置图</w:t>
            </w:r>
            <w:r>
              <w:rPr>
                <w:rFonts w:hint="default"/>
                <w:sz w:val="24"/>
              </w:rPr>
              <w:t>见附图</w:t>
            </w:r>
            <w:r>
              <w:rPr>
                <w:rFonts w:hint="eastAsia"/>
                <w:sz w:val="24"/>
                <w:lang w:val="en-US" w:eastAsia="zh-CN"/>
              </w:rPr>
              <w:t>1</w:t>
            </w:r>
            <w:r>
              <w:rPr>
                <w:rFonts w:hint="default"/>
                <w:sz w:val="24"/>
              </w:rPr>
              <w:t>。</w:t>
            </w:r>
          </w:p>
          <w:p w14:paraId="2A2D7E65">
            <w:pPr>
              <w:keepNext w:val="0"/>
              <w:keepLines w:val="0"/>
              <w:suppressLineNumbers w:val="0"/>
              <w:adjustRightInd w:val="0"/>
              <w:snapToGrid w:val="0"/>
              <w:spacing w:before="0" w:beforeAutospacing="0" w:after="0" w:afterAutospacing="0" w:line="520" w:lineRule="exact"/>
              <w:ind w:left="0" w:right="0"/>
              <w:jc w:val="center"/>
              <w:rPr>
                <w:rFonts w:hint="default"/>
              </w:rPr>
            </w:pPr>
            <w:r>
              <w:rPr>
                <w:rFonts w:hint="default"/>
                <w:b/>
                <w:bCs/>
                <w:sz w:val="24"/>
              </w:rPr>
              <w:t xml:space="preserve">表2-1  </w:t>
            </w:r>
            <w:r>
              <w:rPr>
                <w:rFonts w:hint="eastAsia"/>
                <w:b/>
                <w:bCs/>
                <w:sz w:val="24"/>
              </w:rPr>
              <w:t>采</w:t>
            </w:r>
            <w:r>
              <w:rPr>
                <w:rFonts w:hint="default"/>
                <w:b/>
                <w:bCs/>
                <w:sz w:val="24"/>
              </w:rPr>
              <w:t>矿权范围拐点坐标一览表</w:t>
            </w:r>
          </w:p>
          <w:tbl>
            <w:tblPr>
              <w:tblStyle w:val="23"/>
              <w:tblW w:w="4998" w:type="pct"/>
              <w:jc w:val="center"/>
              <w:tblLayout w:type="autofit"/>
              <w:tblCellMar>
                <w:top w:w="0" w:type="dxa"/>
                <w:left w:w="0" w:type="dxa"/>
                <w:bottom w:w="0" w:type="dxa"/>
                <w:right w:w="0" w:type="dxa"/>
              </w:tblCellMar>
            </w:tblPr>
            <w:tblGrid>
              <w:gridCol w:w="1042"/>
              <w:gridCol w:w="1849"/>
              <w:gridCol w:w="1928"/>
              <w:gridCol w:w="1883"/>
              <w:gridCol w:w="1701"/>
            </w:tblGrid>
            <w:tr w14:paraId="1C8A205F">
              <w:tblPrEx>
                <w:tblCellMar>
                  <w:top w:w="0" w:type="dxa"/>
                  <w:left w:w="0" w:type="dxa"/>
                  <w:bottom w:w="0" w:type="dxa"/>
                  <w:right w:w="0" w:type="dxa"/>
                </w:tblCellMar>
              </w:tblPrEx>
              <w:trPr>
                <w:trHeight w:val="0" w:hRule="atLeast"/>
                <w:jc w:val="center"/>
              </w:trPr>
              <w:tc>
                <w:tcPr>
                  <w:tcW w:w="620"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14:paraId="5E8599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default"/>
                    </w:rPr>
                    <w:t>拐点编号</w:t>
                  </w:r>
                </w:p>
              </w:tc>
              <w:tc>
                <w:tcPr>
                  <w:tcW w:w="2247"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918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default"/>
                    </w:rPr>
                    <w:t>经纬度</w:t>
                  </w:r>
                  <w:r>
                    <w:rPr>
                      <w:rFonts w:hint="eastAsia"/>
                    </w:rPr>
                    <w:t>（CGS2000）</w:t>
                  </w:r>
                </w:p>
              </w:tc>
              <w:tc>
                <w:tcPr>
                  <w:tcW w:w="2131"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200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eastAsia"/>
                    </w:rPr>
                    <w:t>直角坐标（CGS2000）</w:t>
                  </w:r>
                </w:p>
              </w:tc>
            </w:tr>
            <w:tr w14:paraId="1570E287">
              <w:tblPrEx>
                <w:tblCellMar>
                  <w:top w:w="0" w:type="dxa"/>
                  <w:left w:w="0" w:type="dxa"/>
                  <w:bottom w:w="0" w:type="dxa"/>
                  <w:right w:w="0" w:type="dxa"/>
                </w:tblCellMar>
              </w:tblPrEx>
              <w:trPr>
                <w:trHeight w:val="0" w:hRule="atLeast"/>
                <w:jc w:val="center"/>
              </w:trPr>
              <w:tc>
                <w:tcPr>
                  <w:tcW w:w="620"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14:paraId="65CB44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p>
              </w:tc>
              <w:tc>
                <w:tcPr>
                  <w:tcW w:w="11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3D21F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eastAsia"/>
                    </w:rPr>
                    <w:t>经度</w:t>
                  </w:r>
                </w:p>
              </w:tc>
              <w:tc>
                <w:tcPr>
                  <w:tcW w:w="1146"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23B22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eastAsia"/>
                    </w:rPr>
                    <w:t>纬度</w:t>
                  </w:r>
                </w:p>
              </w:tc>
              <w:tc>
                <w:tcPr>
                  <w:tcW w:w="11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91A60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default"/>
                    </w:rPr>
                    <w:t>X</w:t>
                  </w:r>
                </w:p>
              </w:tc>
              <w:tc>
                <w:tcPr>
                  <w:tcW w:w="10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A0F1D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default"/>
                    </w:rPr>
                    <w:t>Y</w:t>
                  </w:r>
                </w:p>
              </w:tc>
            </w:tr>
            <w:tr w14:paraId="6E652898">
              <w:tblPrEx>
                <w:tblCellMar>
                  <w:top w:w="0" w:type="dxa"/>
                  <w:left w:w="0" w:type="dxa"/>
                  <w:bottom w:w="0" w:type="dxa"/>
                  <w:right w:w="0" w:type="dxa"/>
                </w:tblCellMar>
              </w:tblPrEx>
              <w:trPr>
                <w:trHeight w:val="0" w:hRule="atLeast"/>
                <w:jc w:val="center"/>
              </w:trPr>
              <w:tc>
                <w:tcPr>
                  <w:tcW w:w="6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3560F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default"/>
                    </w:rPr>
                    <w:t>1</w:t>
                  </w:r>
                </w:p>
              </w:tc>
              <w:tc>
                <w:tcPr>
                  <w:tcW w:w="11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1AC48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86°20′23.34"</w:t>
                  </w:r>
                </w:p>
              </w:tc>
              <w:tc>
                <w:tcPr>
                  <w:tcW w:w="1146"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FC7CAA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42°29′40.54"</w:t>
                  </w:r>
                </w:p>
              </w:tc>
              <w:tc>
                <w:tcPr>
                  <w:tcW w:w="11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E3497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4706786.70</w:t>
                  </w:r>
                </w:p>
              </w:tc>
              <w:tc>
                <w:tcPr>
                  <w:tcW w:w="10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5604881">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29445728.80</w:t>
                  </w:r>
                </w:p>
              </w:tc>
            </w:tr>
            <w:tr w14:paraId="52686CF0">
              <w:tblPrEx>
                <w:tblCellMar>
                  <w:top w:w="0" w:type="dxa"/>
                  <w:left w:w="0" w:type="dxa"/>
                  <w:bottom w:w="0" w:type="dxa"/>
                  <w:right w:w="0" w:type="dxa"/>
                </w:tblCellMar>
              </w:tblPrEx>
              <w:trPr>
                <w:trHeight w:val="0" w:hRule="atLeast"/>
                <w:jc w:val="center"/>
              </w:trPr>
              <w:tc>
                <w:tcPr>
                  <w:tcW w:w="6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5890E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default"/>
                    </w:rPr>
                    <w:t>2</w:t>
                  </w:r>
                </w:p>
              </w:tc>
              <w:tc>
                <w:tcPr>
                  <w:tcW w:w="11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04B9D8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86°20′55.85"</w:t>
                  </w:r>
                </w:p>
              </w:tc>
              <w:tc>
                <w:tcPr>
                  <w:tcW w:w="1146"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A1B166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42°29′40.74"</w:t>
                  </w:r>
                </w:p>
              </w:tc>
              <w:tc>
                <w:tcPr>
                  <w:tcW w:w="11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CEA790D">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4706787.14</w:t>
                  </w:r>
                </w:p>
              </w:tc>
              <w:tc>
                <w:tcPr>
                  <w:tcW w:w="10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D943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29446471.22</w:t>
                  </w:r>
                </w:p>
              </w:tc>
            </w:tr>
            <w:tr w14:paraId="41222176">
              <w:tblPrEx>
                <w:tblCellMar>
                  <w:top w:w="0" w:type="dxa"/>
                  <w:left w:w="0" w:type="dxa"/>
                  <w:bottom w:w="0" w:type="dxa"/>
                  <w:right w:w="0" w:type="dxa"/>
                </w:tblCellMar>
              </w:tblPrEx>
              <w:trPr>
                <w:trHeight w:val="0" w:hRule="atLeast"/>
                <w:jc w:val="center"/>
              </w:trPr>
              <w:tc>
                <w:tcPr>
                  <w:tcW w:w="6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91EB9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default"/>
                    </w:rPr>
                    <w:t>3</w:t>
                  </w:r>
                </w:p>
              </w:tc>
              <w:tc>
                <w:tcPr>
                  <w:tcW w:w="11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768DAC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86°20′55.85"</w:t>
                  </w:r>
                </w:p>
              </w:tc>
              <w:tc>
                <w:tcPr>
                  <w:tcW w:w="1146"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C53531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42°29′43.09"</w:t>
                  </w:r>
                </w:p>
              </w:tc>
              <w:tc>
                <w:tcPr>
                  <w:tcW w:w="11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5534E8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4706859.65</w:t>
                  </w:r>
                </w:p>
              </w:tc>
              <w:tc>
                <w:tcPr>
                  <w:tcW w:w="10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E0915F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29446471.78</w:t>
                  </w:r>
                </w:p>
              </w:tc>
            </w:tr>
            <w:tr w14:paraId="65635D07">
              <w:tblPrEx>
                <w:tblCellMar>
                  <w:top w:w="0" w:type="dxa"/>
                  <w:left w:w="0" w:type="dxa"/>
                  <w:bottom w:w="0" w:type="dxa"/>
                  <w:right w:w="0" w:type="dxa"/>
                </w:tblCellMar>
              </w:tblPrEx>
              <w:trPr>
                <w:trHeight w:val="0" w:hRule="atLeast"/>
                <w:jc w:val="center"/>
              </w:trPr>
              <w:tc>
                <w:tcPr>
                  <w:tcW w:w="6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6035B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default"/>
                    </w:rPr>
                    <w:t>4</w:t>
                  </w:r>
                </w:p>
              </w:tc>
              <w:tc>
                <w:tcPr>
                  <w:tcW w:w="11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B732CC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86°21′04.47"</w:t>
                  </w:r>
                </w:p>
              </w:tc>
              <w:tc>
                <w:tcPr>
                  <w:tcW w:w="1146"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2ED4E8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42°29′43.16"</w:t>
                  </w:r>
                </w:p>
              </w:tc>
              <w:tc>
                <w:tcPr>
                  <w:tcW w:w="11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CFE57A6">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4706860.30</w:t>
                  </w:r>
                </w:p>
              </w:tc>
              <w:tc>
                <w:tcPr>
                  <w:tcW w:w="10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176033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29446668.63</w:t>
                  </w:r>
                </w:p>
              </w:tc>
            </w:tr>
            <w:tr w14:paraId="05F2A4D0">
              <w:tblPrEx>
                <w:tblCellMar>
                  <w:top w:w="0" w:type="dxa"/>
                  <w:left w:w="0" w:type="dxa"/>
                  <w:bottom w:w="0" w:type="dxa"/>
                  <w:right w:w="0" w:type="dxa"/>
                </w:tblCellMar>
              </w:tblPrEx>
              <w:trPr>
                <w:trHeight w:val="0" w:hRule="atLeast"/>
                <w:jc w:val="center"/>
              </w:trPr>
              <w:tc>
                <w:tcPr>
                  <w:tcW w:w="6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1370A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eastAsia"/>
                    </w:rPr>
                    <w:t>5</w:t>
                  </w:r>
                </w:p>
              </w:tc>
              <w:tc>
                <w:tcPr>
                  <w:tcW w:w="11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5AD9DF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86°21′04.47"</w:t>
                  </w:r>
                </w:p>
              </w:tc>
              <w:tc>
                <w:tcPr>
                  <w:tcW w:w="1146"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13683B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42°29′43.84"</w:t>
                  </w:r>
                </w:p>
              </w:tc>
              <w:tc>
                <w:tcPr>
                  <w:tcW w:w="11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2D8F8E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4706881.28</w:t>
                  </w:r>
                </w:p>
              </w:tc>
              <w:tc>
                <w:tcPr>
                  <w:tcW w:w="10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FD0B89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29446668.79</w:t>
                  </w:r>
                </w:p>
              </w:tc>
            </w:tr>
            <w:tr w14:paraId="34403807">
              <w:tblPrEx>
                <w:tblCellMar>
                  <w:top w:w="0" w:type="dxa"/>
                  <w:left w:w="0" w:type="dxa"/>
                  <w:bottom w:w="0" w:type="dxa"/>
                  <w:right w:w="0" w:type="dxa"/>
                </w:tblCellMar>
              </w:tblPrEx>
              <w:trPr>
                <w:trHeight w:val="0" w:hRule="atLeast"/>
                <w:jc w:val="center"/>
              </w:trPr>
              <w:tc>
                <w:tcPr>
                  <w:tcW w:w="6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E6758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lang w:val="en-US" w:eastAsia="zh-CN"/>
                    </w:rPr>
                  </w:pPr>
                  <w:r>
                    <w:rPr>
                      <w:rFonts w:hint="eastAsia"/>
                      <w:lang w:val="en-US" w:eastAsia="zh-CN"/>
                    </w:rPr>
                    <w:t>6</w:t>
                  </w:r>
                </w:p>
              </w:tc>
              <w:tc>
                <w:tcPr>
                  <w:tcW w:w="11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F7B717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86°21′10.10"</w:t>
                  </w:r>
                </w:p>
              </w:tc>
              <w:tc>
                <w:tcPr>
                  <w:tcW w:w="1146"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002BC6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42°29′43.86"</w:t>
                  </w:r>
                </w:p>
              </w:tc>
              <w:tc>
                <w:tcPr>
                  <w:tcW w:w="11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FC25A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4706880.92</w:t>
                  </w:r>
                </w:p>
              </w:tc>
              <w:tc>
                <w:tcPr>
                  <w:tcW w:w="10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072D19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29446797.36</w:t>
                  </w:r>
                </w:p>
              </w:tc>
            </w:tr>
            <w:tr w14:paraId="5F67EF5F">
              <w:tblPrEx>
                <w:tblCellMar>
                  <w:top w:w="0" w:type="dxa"/>
                  <w:left w:w="0" w:type="dxa"/>
                  <w:bottom w:w="0" w:type="dxa"/>
                  <w:right w:w="0" w:type="dxa"/>
                </w:tblCellMar>
              </w:tblPrEx>
              <w:trPr>
                <w:trHeight w:val="0" w:hRule="atLeast"/>
                <w:jc w:val="center"/>
              </w:trPr>
              <w:tc>
                <w:tcPr>
                  <w:tcW w:w="6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28BF5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lang w:val="en-US" w:eastAsia="zh-CN"/>
                    </w:rPr>
                  </w:pPr>
                  <w:r>
                    <w:rPr>
                      <w:rFonts w:hint="eastAsia"/>
                      <w:lang w:val="en-US" w:eastAsia="zh-CN"/>
                    </w:rPr>
                    <w:t>7</w:t>
                  </w:r>
                </w:p>
              </w:tc>
              <w:tc>
                <w:tcPr>
                  <w:tcW w:w="11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03CE35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86°21′10.22"</w:t>
                  </w:r>
                </w:p>
              </w:tc>
              <w:tc>
                <w:tcPr>
                  <w:tcW w:w="1146"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A899376">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42°29′32.65"</w:t>
                  </w:r>
                </w:p>
              </w:tc>
              <w:tc>
                <w:tcPr>
                  <w:tcW w:w="11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831EB5A">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4706534.99</w:t>
                  </w:r>
                </w:p>
              </w:tc>
              <w:tc>
                <w:tcPr>
                  <w:tcW w:w="10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FEC559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29446797.46</w:t>
                  </w:r>
                </w:p>
              </w:tc>
            </w:tr>
            <w:tr w14:paraId="2955A2C4">
              <w:tblPrEx>
                <w:tblCellMar>
                  <w:top w:w="0" w:type="dxa"/>
                  <w:left w:w="0" w:type="dxa"/>
                  <w:bottom w:w="0" w:type="dxa"/>
                  <w:right w:w="0" w:type="dxa"/>
                </w:tblCellMar>
              </w:tblPrEx>
              <w:trPr>
                <w:trHeight w:val="0" w:hRule="atLeast"/>
                <w:jc w:val="center"/>
              </w:trPr>
              <w:tc>
                <w:tcPr>
                  <w:tcW w:w="6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C3D1E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lang w:val="en-US" w:eastAsia="zh-CN"/>
                    </w:rPr>
                  </w:pPr>
                  <w:r>
                    <w:rPr>
                      <w:rFonts w:hint="eastAsia"/>
                      <w:lang w:val="en-US" w:eastAsia="zh-CN"/>
                    </w:rPr>
                    <w:t>8</w:t>
                  </w:r>
                </w:p>
              </w:tc>
              <w:tc>
                <w:tcPr>
                  <w:tcW w:w="11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E5680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86°20′23.42"</w:t>
                  </w:r>
                </w:p>
              </w:tc>
              <w:tc>
                <w:tcPr>
                  <w:tcW w:w="1146"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5BBB36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42°29′32.39"</w:t>
                  </w:r>
                </w:p>
              </w:tc>
              <w:tc>
                <w:tcPr>
                  <w:tcW w:w="11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E0BB9A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4706535.21</w:t>
                  </w:r>
                </w:p>
              </w:tc>
              <w:tc>
                <w:tcPr>
                  <w:tcW w:w="10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661322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29445728.67</w:t>
                  </w:r>
                </w:p>
              </w:tc>
            </w:tr>
            <w:tr w14:paraId="00C43F86">
              <w:tblPrEx>
                <w:tblCellMar>
                  <w:top w:w="0" w:type="dxa"/>
                  <w:left w:w="0" w:type="dxa"/>
                  <w:bottom w:w="0" w:type="dxa"/>
                  <w:right w:w="0" w:type="dxa"/>
                </w:tblCellMar>
              </w:tblPrEx>
              <w:trPr>
                <w:trHeight w:val="0" w:hRule="atLeast"/>
                <w:jc w:val="center"/>
              </w:trPr>
              <w:tc>
                <w:tcPr>
                  <w:tcW w:w="6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8B124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eastAsia"/>
                    </w:rPr>
                    <w:t>面积</w:t>
                  </w:r>
                </w:p>
              </w:tc>
              <w:tc>
                <w:tcPr>
                  <w:tcW w:w="4379" w:type="pct"/>
                  <w:gridSpan w:val="4"/>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6EC57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eastAsia"/>
                    </w:rPr>
                    <w:t>0.</w:t>
                  </w:r>
                  <w:r>
                    <w:rPr>
                      <w:rFonts w:hint="eastAsia"/>
                      <w:lang w:val="en-US" w:eastAsia="zh-CN"/>
                    </w:rPr>
                    <w:t>2956</w:t>
                  </w:r>
                  <w:r>
                    <w:rPr>
                      <w:rFonts w:hint="eastAsia"/>
                    </w:rPr>
                    <w:t>平方千米</w:t>
                  </w:r>
                </w:p>
              </w:tc>
            </w:tr>
          </w:tbl>
          <w:p w14:paraId="0CB80ECF">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 w:val="15"/>
                <w:szCs w:val="15"/>
              </w:rPr>
            </w:pPr>
          </w:p>
        </w:tc>
      </w:tr>
      <w:tr w14:paraId="69906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5" w:type="pct"/>
            <w:vAlign w:val="center"/>
          </w:tcPr>
          <w:p w14:paraId="15B4C18D">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项目组成及规模</w:t>
            </w:r>
          </w:p>
        </w:tc>
        <w:tc>
          <w:tcPr>
            <w:tcW w:w="4754" w:type="pct"/>
            <w:vAlign w:val="center"/>
          </w:tcPr>
          <w:p w14:paraId="73F68D9F">
            <w:pPr>
              <w:pStyle w:val="19"/>
              <w:keepNext w:val="0"/>
              <w:keepLines w:val="0"/>
              <w:suppressLineNumbers w:val="0"/>
              <w:spacing w:before="0" w:beforeAutospacing="0" w:after="0" w:afterAutospacing="0" w:line="520" w:lineRule="exact"/>
              <w:ind w:left="482" w:right="0" w:hanging="482"/>
              <w:rPr>
                <w:rFonts w:hint="default"/>
                <w:b/>
                <w:bCs/>
              </w:rPr>
            </w:pPr>
            <w:r>
              <w:rPr>
                <w:rFonts w:hint="eastAsia"/>
                <w:b/>
                <w:bCs/>
              </w:rPr>
              <w:t>1项目背景</w:t>
            </w:r>
          </w:p>
          <w:p w14:paraId="0AD4A2EF">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eastAsia"/>
                <w:sz w:val="24"/>
              </w:rPr>
              <w:t>巴州泽丰矿业有限责任公司于202</w:t>
            </w:r>
            <w:r>
              <w:rPr>
                <w:rFonts w:hint="eastAsia"/>
                <w:sz w:val="24"/>
                <w:lang w:val="en-US" w:eastAsia="zh-CN"/>
              </w:rPr>
              <w:t>4</w:t>
            </w:r>
            <w:r>
              <w:rPr>
                <w:rFonts w:hint="eastAsia"/>
                <w:sz w:val="24"/>
              </w:rPr>
              <w:t>年</w:t>
            </w:r>
            <w:r>
              <w:rPr>
                <w:rFonts w:hint="eastAsia"/>
                <w:sz w:val="24"/>
                <w:lang w:val="en-US" w:eastAsia="zh-CN"/>
              </w:rPr>
              <w:t>9</w:t>
            </w:r>
            <w:r>
              <w:rPr>
                <w:rFonts w:hint="eastAsia"/>
                <w:sz w:val="24"/>
              </w:rPr>
              <w:t>月取得夏翁沟口水泥用石灰岩矿采矿证（采矿证编号C6528</w:t>
            </w:r>
            <w:r>
              <w:rPr>
                <w:rFonts w:hint="eastAsia"/>
                <w:sz w:val="24"/>
                <w:lang w:val="en-US" w:eastAsia="zh-CN"/>
              </w:rPr>
              <w:t>002024097110157392</w:t>
            </w:r>
            <w:r>
              <w:rPr>
                <w:rFonts w:hint="eastAsia"/>
                <w:sz w:val="24"/>
              </w:rPr>
              <w:t>），并委托乌鲁木齐瑞丰</w:t>
            </w:r>
            <w:r>
              <w:rPr>
                <w:rFonts w:hint="eastAsia"/>
                <w:sz w:val="24"/>
                <w:lang w:eastAsia="zh-CN"/>
              </w:rPr>
              <w:t>源</w:t>
            </w:r>
            <w:r>
              <w:rPr>
                <w:rFonts w:hint="eastAsia"/>
                <w:sz w:val="24"/>
              </w:rPr>
              <w:t>矿业技术有限公司编制了《</w:t>
            </w:r>
            <w:r>
              <w:rPr>
                <w:rFonts w:hint="eastAsia"/>
                <w:sz w:val="24"/>
                <w:lang w:val="en-US" w:eastAsia="zh-CN"/>
              </w:rPr>
              <w:t>巴州泽丰矿业有限责任公司新疆和静夏翁沟口水泥用石灰岩矿矿产资源开发利用与生态保护修复方案</w:t>
            </w:r>
            <w:r>
              <w:rPr>
                <w:rFonts w:hint="default" w:ascii="Times New Roman" w:hAnsi="Times New Roman" w:cs="Times New Roman"/>
                <w:sz w:val="24"/>
              </w:rPr>
              <w:t>》，</w:t>
            </w:r>
            <w:r>
              <w:rPr>
                <w:rFonts w:hint="default" w:ascii="Times New Roman" w:hAnsi="Times New Roman" w:cs="Times New Roman"/>
                <w:color w:val="auto"/>
                <w:sz w:val="24"/>
              </w:rPr>
              <w:t>通过了专家评审</w:t>
            </w:r>
            <w:r>
              <w:rPr>
                <w:rFonts w:hint="default" w:ascii="Times New Roman" w:hAnsi="Times New Roman" w:cs="Times New Roman"/>
                <w:sz w:val="24"/>
              </w:rPr>
              <w:t>，</w:t>
            </w:r>
            <w:r>
              <w:rPr>
                <w:rFonts w:hint="default" w:ascii="Times New Roman" w:hAnsi="Times New Roman" w:cs="Times New Roman"/>
                <w:sz w:val="24"/>
                <w:lang w:val="en-US" w:eastAsia="zh-CN"/>
              </w:rPr>
              <w:t>本矿山属于新建矿山，开采矿种为水泥用石灰</w:t>
            </w:r>
            <w:r>
              <w:rPr>
                <w:rFonts w:hint="eastAsia" w:cs="Times New Roman"/>
                <w:sz w:val="24"/>
                <w:lang w:val="en-US" w:eastAsia="zh-CN"/>
              </w:rPr>
              <w:t>岩，</w:t>
            </w:r>
            <w:r>
              <w:rPr>
                <w:rFonts w:hint="default" w:ascii="Times New Roman" w:hAnsi="Times New Roman" w:cs="Times New Roman"/>
                <w:sz w:val="24"/>
              </w:rPr>
              <w:t>设计采选规模为：年</w:t>
            </w:r>
            <w:r>
              <w:rPr>
                <w:rFonts w:hint="eastAsia" w:cs="Times New Roman"/>
                <w:sz w:val="24"/>
                <w:lang w:eastAsia="zh-CN"/>
              </w:rPr>
              <w:t>开采</w:t>
            </w:r>
            <w:r>
              <w:rPr>
                <w:rFonts w:hint="eastAsia" w:cs="Times New Roman"/>
                <w:sz w:val="24"/>
                <w:lang w:val="en-US" w:eastAsia="zh-CN"/>
              </w:rPr>
              <w:t>50万t</w:t>
            </w:r>
            <w:r>
              <w:rPr>
                <w:rFonts w:hint="default" w:ascii="Times New Roman" w:hAnsi="Times New Roman" w:cs="Times New Roman"/>
                <w:sz w:val="24"/>
              </w:rPr>
              <w:t>，服务年限为</w:t>
            </w:r>
            <w:r>
              <w:rPr>
                <w:rFonts w:hint="eastAsia" w:cs="Times New Roman"/>
                <w:sz w:val="24"/>
                <w:lang w:val="en-US" w:eastAsia="zh-CN"/>
              </w:rPr>
              <w:t>19.79</w:t>
            </w:r>
            <w:r>
              <w:rPr>
                <w:rFonts w:hint="default" w:ascii="Times New Roman" w:hAnsi="Times New Roman" w:cs="Times New Roman"/>
                <w:sz w:val="24"/>
              </w:rPr>
              <w:t>年。</w:t>
            </w:r>
          </w:p>
          <w:p w14:paraId="43B7E047">
            <w:pPr>
              <w:pStyle w:val="48"/>
              <w:keepNext w:val="0"/>
              <w:keepLines w:val="0"/>
              <w:suppressLineNumbers w:val="0"/>
              <w:spacing w:before="0" w:beforeAutospacing="0" w:after="0" w:afterAutospacing="0"/>
              <w:ind w:left="0" w:right="0" w:firstLine="480"/>
              <w:rPr>
                <w:rFonts w:hint="default"/>
              </w:rPr>
            </w:pPr>
            <w:r>
              <w:rPr>
                <w:rFonts w:hint="default" w:ascii="Times New Roman" w:hAnsi="Times New Roman" w:cs="Times New Roman"/>
              </w:rPr>
              <w:t>按照《中华人民共和国环境保护法</w:t>
            </w:r>
            <w:r>
              <w:rPr>
                <w:rFonts w:hint="eastAsia" w:cs="Times New Roman"/>
                <w:lang w:eastAsia="zh-CN"/>
              </w:rPr>
              <w:t>》《</w:t>
            </w:r>
            <w:r>
              <w:rPr>
                <w:rFonts w:hint="default" w:ascii="Times New Roman" w:hAnsi="Times New Roman" w:cs="Times New Roman"/>
              </w:rPr>
              <w:t>建设项目环境保护管理条例》和《建设项目环境影响评价分类管理名录》等有关</w:t>
            </w:r>
            <w:r>
              <w:rPr>
                <w:rFonts w:hint="eastAsia" w:cs="Times New Roman"/>
                <w:lang w:eastAsia="zh-CN"/>
              </w:rPr>
              <w:t>法律法规的</w:t>
            </w:r>
            <w:r>
              <w:rPr>
                <w:rFonts w:hint="default" w:ascii="Times New Roman" w:hAnsi="Times New Roman" w:cs="Times New Roman"/>
              </w:rPr>
              <w:t>规定，项目属</w:t>
            </w:r>
            <w:r>
              <w:rPr>
                <w:rFonts w:hint="eastAsia" w:cs="Times New Roman"/>
                <w:lang w:val="en-US" w:eastAsia="zh-CN"/>
              </w:rPr>
              <w:t>于</w:t>
            </w:r>
            <w:r>
              <w:rPr>
                <w:rFonts w:hint="default" w:ascii="Times New Roman" w:hAnsi="Times New Roman" w:cs="Times New Roman"/>
              </w:rPr>
              <w:t>《名录》所列“八、非金属矿采选业 11土砂石开采 101（不含河道采砂项目）</w:t>
            </w:r>
            <w:r>
              <w:rPr>
                <w:rFonts w:hint="eastAsia" w:cs="Times New Roman"/>
                <w:lang w:eastAsia="zh-CN"/>
              </w:rPr>
              <w:t>－</w:t>
            </w:r>
            <w:r>
              <w:rPr>
                <w:rFonts w:hint="default" w:ascii="Times New Roman" w:hAnsi="Times New Roman" w:cs="Times New Roman"/>
              </w:rPr>
              <w:t>其他”，应编制环境影响报告表。受建设单位委托，新疆领畅环保科技有限公司承担了本项目的环境影响评价工作。接受委托后，环评单位在现场踏勘和资料收集的基础上，编制完成了《</w:t>
            </w:r>
            <w:r>
              <w:rPr>
                <w:rFonts w:hint="default" w:ascii="Times New Roman" w:hAnsi="Times New Roman" w:cs="Times New Roman"/>
                <w:lang w:val="en-US" w:eastAsia="zh-CN"/>
              </w:rPr>
              <w:t>新疆和静县夏翁沟口水泥用石灰岩矿建设项目环境影响报告表</w:t>
            </w:r>
            <w:r>
              <w:rPr>
                <w:rFonts w:hint="default"/>
              </w:rPr>
              <w:t>》，审批后作为环保部门和该企业进行环境管理的依据。</w:t>
            </w:r>
          </w:p>
          <w:p w14:paraId="28EFADC1">
            <w:pPr>
              <w:pStyle w:val="19"/>
              <w:keepNext w:val="0"/>
              <w:keepLines w:val="0"/>
              <w:suppressLineNumbers w:val="0"/>
              <w:spacing w:before="0" w:beforeAutospacing="0" w:after="0" w:afterAutospacing="0" w:line="520" w:lineRule="exact"/>
              <w:ind w:left="482" w:right="0" w:hanging="482"/>
              <w:rPr>
                <w:rFonts w:hint="default"/>
                <w:b/>
                <w:bCs/>
              </w:rPr>
            </w:pPr>
            <w:r>
              <w:rPr>
                <w:rFonts w:hint="eastAsia"/>
                <w:b/>
                <w:bCs/>
              </w:rPr>
              <w:t>2建设内容</w:t>
            </w:r>
          </w:p>
          <w:p w14:paraId="3EA841BC">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本项目主要建设内容包括主体工程（露天采矿场</w:t>
            </w:r>
            <w:r>
              <w:rPr>
                <w:rFonts w:hint="eastAsia" w:ascii="Times New Roman" w:hAnsi="Times New Roman" w:eastAsia="宋体" w:cs="Times New Roman"/>
                <w:sz w:val="24"/>
                <w:lang w:val="en-US" w:eastAsia="zh-CN"/>
              </w:rPr>
              <w:t>、破碎筛分场地</w:t>
            </w:r>
            <w:r>
              <w:rPr>
                <w:rFonts w:hint="default" w:ascii="Times New Roman" w:hAnsi="Times New Roman" w:eastAsia="宋体" w:cs="Times New Roman"/>
                <w:sz w:val="24"/>
              </w:rPr>
              <w:t>）、储运工程（</w:t>
            </w:r>
            <w:r>
              <w:rPr>
                <w:rFonts w:hint="eastAsia" w:ascii="Times New Roman" w:hAnsi="Times New Roman" w:eastAsia="宋体" w:cs="Times New Roman"/>
                <w:sz w:val="24"/>
                <w:lang w:val="en-US" w:eastAsia="zh-CN"/>
              </w:rPr>
              <w:t>排土</w:t>
            </w:r>
            <w:r>
              <w:rPr>
                <w:rFonts w:hint="eastAsia" w:ascii="Times New Roman" w:hAnsi="Times New Roman" w:eastAsia="宋体" w:cs="Times New Roman"/>
                <w:sz w:val="24"/>
              </w:rPr>
              <w:t>场</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临时</w:t>
            </w:r>
            <w:r>
              <w:rPr>
                <w:rFonts w:hint="eastAsia" w:cs="Times New Roman"/>
                <w:sz w:val="24"/>
                <w:lang w:val="en-US" w:eastAsia="zh-CN"/>
              </w:rPr>
              <w:t>堆</w:t>
            </w:r>
            <w:r>
              <w:rPr>
                <w:rFonts w:hint="eastAsia" w:ascii="Times New Roman" w:hAnsi="Times New Roman" w:eastAsia="宋体" w:cs="Times New Roman"/>
                <w:sz w:val="24"/>
                <w:lang w:val="en-US" w:eastAsia="zh-CN"/>
              </w:rPr>
              <w:t>料场</w:t>
            </w:r>
            <w:r>
              <w:rPr>
                <w:rFonts w:hint="default" w:ascii="Times New Roman" w:hAnsi="Times New Roman" w:eastAsia="宋体" w:cs="Times New Roman"/>
                <w:sz w:val="24"/>
              </w:rPr>
              <w:t>）、辅助工程（办公生活区）、公用工程（给水工程、排水工程、供电工程）、运输道路和环保工程等</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建设规模为年</w:t>
            </w:r>
            <w:r>
              <w:rPr>
                <w:rFonts w:hint="eastAsia" w:cs="Times New Roman"/>
                <w:sz w:val="24"/>
                <w:lang w:val="en-US" w:eastAsia="zh-CN"/>
              </w:rPr>
              <w:t>开采</w:t>
            </w:r>
            <w:r>
              <w:rPr>
                <w:rFonts w:hint="eastAsia" w:ascii="Times New Roman" w:hAnsi="Times New Roman" w:eastAsia="宋体" w:cs="Times New Roman"/>
                <w:sz w:val="24"/>
                <w:lang w:val="en-US" w:eastAsia="zh-CN"/>
              </w:rPr>
              <w:t>水泥用石灰石50</w:t>
            </w:r>
            <w:r>
              <w:rPr>
                <w:rFonts w:hint="eastAsia" w:cs="Times New Roman"/>
                <w:sz w:val="24"/>
                <w:lang w:val="en-US" w:eastAsia="zh-CN"/>
              </w:rPr>
              <w:t>万t</w:t>
            </w:r>
            <w:r>
              <w:rPr>
                <w:rFonts w:hint="default" w:ascii="Times New Roman" w:hAnsi="Times New Roman" w:eastAsia="宋体" w:cs="Times New Roman"/>
                <w:sz w:val="24"/>
              </w:rPr>
              <w:t>。</w:t>
            </w:r>
          </w:p>
          <w:p w14:paraId="794EA3C3">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项目主要建设内容见表2-2。</w:t>
            </w:r>
          </w:p>
          <w:p w14:paraId="559E85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sz w:val="24"/>
              </w:rPr>
            </w:pPr>
            <w:r>
              <w:rPr>
                <w:rFonts w:hint="default"/>
                <w:b/>
                <w:bCs/>
                <w:sz w:val="24"/>
              </w:rPr>
              <w:t>表2-2    主要建设内容一览表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99"/>
              <w:gridCol w:w="1019"/>
              <w:gridCol w:w="5680"/>
              <w:gridCol w:w="1195"/>
            </w:tblGrid>
            <w:tr w14:paraId="6E73FA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904" w:type="pct"/>
                  <w:gridSpan w:val="2"/>
                  <w:vAlign w:val="center"/>
                </w:tcPr>
                <w:p w14:paraId="0C525E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rPr>
                    <w:t>项目类别</w:t>
                  </w:r>
                </w:p>
              </w:tc>
              <w:tc>
                <w:tcPr>
                  <w:tcW w:w="3383" w:type="pct"/>
                  <w:vAlign w:val="center"/>
                </w:tcPr>
                <w:p w14:paraId="5ADF6D6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建设内容及规模</w:t>
                  </w:r>
                </w:p>
              </w:tc>
              <w:tc>
                <w:tcPr>
                  <w:tcW w:w="712" w:type="pct"/>
                  <w:vAlign w:val="center"/>
                </w:tcPr>
                <w:p w14:paraId="7AABCF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备注</w:t>
                  </w:r>
                </w:p>
              </w:tc>
            </w:tr>
            <w:tr w14:paraId="43D8ED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297" w:type="pct"/>
                  <w:vMerge w:val="restart"/>
                  <w:vAlign w:val="center"/>
                </w:tcPr>
                <w:p w14:paraId="030BE73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主体工程</w:t>
                  </w:r>
                </w:p>
              </w:tc>
              <w:tc>
                <w:tcPr>
                  <w:tcW w:w="606" w:type="pct"/>
                  <w:vAlign w:val="center"/>
                </w:tcPr>
                <w:p w14:paraId="6F847A5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rPr>
                    <w:t>露天</w:t>
                  </w:r>
                  <w:r>
                    <w:rPr>
                      <w:rFonts w:hint="default" w:ascii="Times New Roman" w:hAnsi="Times New Roman" w:eastAsia="宋体"/>
                      <w:szCs w:val="21"/>
                    </w:rPr>
                    <w:t>采矿场</w:t>
                  </w:r>
                </w:p>
              </w:tc>
              <w:tc>
                <w:tcPr>
                  <w:tcW w:w="3383" w:type="pct"/>
                  <w:vAlign w:val="center"/>
                </w:tcPr>
                <w:p w14:paraId="470C26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rPr>
                    <w:t>项目采取</w:t>
                  </w:r>
                  <w:r>
                    <w:rPr>
                      <w:rFonts w:hint="default" w:ascii="Times New Roman" w:hAnsi="Times New Roman" w:eastAsia="宋体"/>
                      <w:szCs w:val="21"/>
                    </w:rPr>
                    <w:t>露天开采</w:t>
                  </w:r>
                  <w:r>
                    <w:rPr>
                      <w:rFonts w:hint="eastAsia" w:ascii="Times New Roman" w:hAnsi="Times New Roman" w:eastAsia="宋体"/>
                      <w:szCs w:val="21"/>
                    </w:rPr>
                    <w:t>方式</w:t>
                  </w:r>
                  <w:r>
                    <w:rPr>
                      <w:rFonts w:hint="default" w:ascii="Times New Roman" w:hAnsi="Times New Roman" w:eastAsia="宋体"/>
                      <w:szCs w:val="21"/>
                    </w:rPr>
                    <w:t>，采矿</w:t>
                  </w:r>
                  <w:r>
                    <w:rPr>
                      <w:rFonts w:hint="eastAsia"/>
                      <w:szCs w:val="21"/>
                      <w:lang w:val="en-US" w:eastAsia="zh-CN"/>
                    </w:rPr>
                    <w:t>区</w:t>
                  </w:r>
                  <w:r>
                    <w:rPr>
                      <w:rFonts w:hint="default" w:ascii="Times New Roman" w:hAnsi="Times New Roman" w:eastAsia="宋体"/>
                      <w:szCs w:val="21"/>
                    </w:rPr>
                    <w:t>面积为</w:t>
                  </w:r>
                  <w:r>
                    <w:rPr>
                      <w:rFonts w:hint="eastAsia"/>
                      <w:szCs w:val="21"/>
                      <w:lang w:val="en-US" w:eastAsia="zh-CN"/>
                    </w:rPr>
                    <w:t>29.56</w:t>
                  </w:r>
                  <w:r>
                    <w:rPr>
                      <w:rFonts w:hint="eastAsia" w:ascii="Times New Roman" w:hAnsi="Times New Roman" w:eastAsia="宋体"/>
                      <w:szCs w:val="21"/>
                      <w:lang w:val="en-US" w:eastAsia="zh-CN"/>
                    </w:rPr>
                    <w:t>hm</w:t>
                  </w:r>
                  <w:r>
                    <w:rPr>
                      <w:rFonts w:hint="eastAsia" w:ascii="Times New Roman" w:hAnsi="Times New Roman" w:eastAsia="宋体"/>
                      <w:szCs w:val="21"/>
                      <w:vertAlign w:val="superscript"/>
                      <w:lang w:val="en-US" w:eastAsia="zh-CN"/>
                    </w:rPr>
                    <w:t>2</w:t>
                  </w:r>
                  <w:r>
                    <w:rPr>
                      <w:rFonts w:hint="eastAsia"/>
                      <w:szCs w:val="21"/>
                      <w:lang w:eastAsia="zh-CN"/>
                    </w:rPr>
                    <w:t>，</w:t>
                  </w:r>
                  <w:r>
                    <w:rPr>
                      <w:rFonts w:hint="eastAsia"/>
                      <w:lang w:val="en-US" w:eastAsia="zh-CN"/>
                    </w:rPr>
                    <w:t>开采标高为1920—2062m</w:t>
                  </w:r>
                  <w:r>
                    <w:rPr>
                      <w:rFonts w:hint="eastAsia" w:ascii="Times New Roman" w:hAnsi="Times New Roman" w:eastAsia="宋体"/>
                      <w:szCs w:val="21"/>
                    </w:rPr>
                    <w:t>。</w:t>
                  </w:r>
                </w:p>
              </w:tc>
              <w:tc>
                <w:tcPr>
                  <w:tcW w:w="712" w:type="pct"/>
                  <w:vAlign w:val="center"/>
                </w:tcPr>
                <w:p w14:paraId="3C05164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eastAsia="zh-CN"/>
                    </w:rPr>
                  </w:pPr>
                  <w:r>
                    <w:rPr>
                      <w:rFonts w:hint="eastAsia" w:ascii="Times New Roman" w:hAnsi="Times New Roman" w:eastAsia="宋体"/>
                      <w:szCs w:val="21"/>
                      <w:lang w:eastAsia="zh-CN"/>
                    </w:rPr>
                    <w:t>新建</w:t>
                  </w:r>
                </w:p>
              </w:tc>
            </w:tr>
            <w:tr w14:paraId="221819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297" w:type="pct"/>
                  <w:vMerge w:val="continue"/>
                  <w:vAlign w:val="center"/>
                </w:tcPr>
                <w:p w14:paraId="7AFC284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shd w:val="clear" w:color="auto" w:fill="auto"/>
                  <w:vAlign w:val="center"/>
                </w:tcPr>
                <w:p w14:paraId="1DFDB08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olor w:val="000000" w:themeColor="text1"/>
                      <w:szCs w:val="21"/>
                      <w:lang w:val="en-US" w:eastAsia="zh-CN"/>
                      <w14:textFill>
                        <w14:solidFill>
                          <w14:schemeClr w14:val="tx1"/>
                        </w14:solidFill>
                      </w14:textFill>
                    </w:rPr>
                    <w:t>破碎筛分厂房</w:t>
                  </w:r>
                </w:p>
              </w:tc>
              <w:tc>
                <w:tcPr>
                  <w:tcW w:w="3383" w:type="pct"/>
                  <w:shd w:val="clear" w:color="auto" w:fill="auto"/>
                  <w:vAlign w:val="center"/>
                </w:tcPr>
                <w:p w14:paraId="6C01FB6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000000" w:themeColor="text1"/>
                      <w:szCs w:val="21"/>
                      <w14:textFill>
                        <w14:solidFill>
                          <w14:schemeClr w14:val="tx1"/>
                        </w14:solidFill>
                      </w14:textFill>
                    </w:rPr>
                    <w:t>位于生活区东北侧80m处</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占地面积</w:t>
                  </w:r>
                  <w:r>
                    <w:rPr>
                      <w:rFonts w:hint="eastAsia" w:cs="Times New Roman"/>
                      <w:color w:val="000000" w:themeColor="text1"/>
                      <w:szCs w:val="21"/>
                      <w:lang w:val="en-US" w:eastAsia="zh-CN"/>
                      <w14:textFill>
                        <w14:solidFill>
                          <w14:schemeClr w14:val="tx1"/>
                        </w14:solidFill>
                      </w14:textFill>
                    </w:rPr>
                    <w:t>0.3</w:t>
                  </w:r>
                  <w:r>
                    <w:rPr>
                      <w:rFonts w:hint="eastAsia" w:ascii="Times New Roman" w:hAnsi="Times New Roman" w:eastAsia="宋体" w:cs="Times New Roman"/>
                      <w:color w:val="000000" w:themeColor="text1"/>
                      <w:szCs w:val="21"/>
                      <w:lang w:val="en-US" w:eastAsia="zh-CN"/>
                      <w14:textFill>
                        <w14:solidFill>
                          <w14:schemeClr w14:val="tx1"/>
                        </w14:solidFill>
                      </w14:textFill>
                    </w:rPr>
                    <w:t>hm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设计</w:t>
                  </w:r>
                  <w:r>
                    <w:rPr>
                      <w:rFonts w:hint="eastAsia" w:ascii="Times New Roman" w:hAnsi="Times New Roman" w:eastAsia="宋体"/>
                      <w:lang w:val="en-US" w:eastAsia="zh-CN"/>
                    </w:rPr>
                    <w:t>破碎、筛分</w:t>
                  </w:r>
                  <w:r>
                    <w:rPr>
                      <w:rFonts w:hint="eastAsia"/>
                      <w:lang w:val="en-US" w:eastAsia="zh-CN"/>
                    </w:rPr>
                    <w:t>工段</w:t>
                  </w:r>
                  <w:r>
                    <w:rPr>
                      <w:rFonts w:hint="eastAsia" w:cs="Times New Roman"/>
                      <w:color w:val="000000"/>
                      <w:kern w:val="144"/>
                      <w:sz w:val="21"/>
                      <w:szCs w:val="21"/>
                      <w:lang w:val="en-US" w:eastAsia="zh-CN"/>
                    </w:rPr>
                    <w:t>露天布置</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712" w:type="pct"/>
                  <w:shd w:val="clear" w:color="auto" w:fill="auto"/>
                  <w:vAlign w:val="center"/>
                </w:tcPr>
                <w:p w14:paraId="0B990C2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lang w:val="en-US" w:eastAsia="zh-CN"/>
                    </w:rPr>
                    <w:t>新建</w:t>
                  </w:r>
                </w:p>
              </w:tc>
            </w:tr>
            <w:tr w14:paraId="1681A4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7" w:type="pct"/>
                  <w:vMerge w:val="restart"/>
                  <w:vAlign w:val="center"/>
                </w:tcPr>
                <w:p w14:paraId="1D16250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辅助工程</w:t>
                  </w:r>
                </w:p>
              </w:tc>
              <w:tc>
                <w:tcPr>
                  <w:tcW w:w="606" w:type="pct"/>
                  <w:vAlign w:val="center"/>
                </w:tcPr>
                <w:p w14:paraId="6FB3BF3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生活</w:t>
                  </w:r>
                  <w:r>
                    <w:rPr>
                      <w:rFonts w:hint="eastAsia" w:ascii="Times New Roman" w:hAnsi="Times New Roman" w:eastAsia="宋体"/>
                      <w:szCs w:val="21"/>
                      <w:lang w:val="en-US" w:eastAsia="zh-CN"/>
                    </w:rPr>
                    <w:t>办公</w:t>
                  </w:r>
                  <w:r>
                    <w:rPr>
                      <w:rFonts w:hint="default" w:ascii="Times New Roman" w:hAnsi="Times New Roman" w:eastAsia="宋体"/>
                      <w:szCs w:val="21"/>
                    </w:rPr>
                    <w:t>区</w:t>
                  </w:r>
                </w:p>
              </w:tc>
              <w:tc>
                <w:tcPr>
                  <w:tcW w:w="3383" w:type="pct"/>
                  <w:vAlign w:val="center"/>
                </w:tcPr>
                <w:p w14:paraId="1003807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default" w:ascii="Times New Roman" w:hAnsi="Times New Roman" w:eastAsia="宋体"/>
                      <w:szCs w:val="21"/>
                    </w:rPr>
                    <w:t>规划矿部生活区位于矿</w:t>
                  </w:r>
                  <w:r>
                    <w:rPr>
                      <w:rFonts w:hint="eastAsia" w:ascii="Times New Roman" w:hAnsi="Times New Roman" w:eastAsia="宋体"/>
                      <w:szCs w:val="21"/>
                      <w:lang w:eastAsia="zh-CN"/>
                    </w:rPr>
                    <w:t>山</w:t>
                  </w:r>
                  <w:r>
                    <w:rPr>
                      <w:rFonts w:hint="eastAsia" w:ascii="Times New Roman" w:hAnsi="Times New Roman" w:eastAsia="宋体"/>
                      <w:szCs w:val="21"/>
                    </w:rPr>
                    <w:t>南侧距采场368m处</w:t>
                  </w:r>
                  <w:r>
                    <w:rPr>
                      <w:rFonts w:hint="default" w:ascii="Times New Roman" w:hAnsi="Times New Roman" w:eastAsia="宋体"/>
                      <w:szCs w:val="21"/>
                    </w:rPr>
                    <w:t>，地形坡度</w:t>
                  </w:r>
                  <w:r>
                    <w:rPr>
                      <w:rFonts w:hint="eastAsia" w:ascii="Times New Roman" w:hAnsi="Times New Roman" w:eastAsia="宋体"/>
                      <w:szCs w:val="21"/>
                      <w:lang w:val="en-US" w:eastAsia="zh-CN"/>
                    </w:rPr>
                    <w:t>14</w:t>
                  </w:r>
                  <w:r>
                    <w:rPr>
                      <w:rFonts w:hint="default" w:ascii="Times New Roman" w:hAnsi="Times New Roman" w:eastAsia="宋体"/>
                      <w:szCs w:val="21"/>
                    </w:rPr>
                    <w:t>°～</w:t>
                  </w:r>
                  <w:r>
                    <w:rPr>
                      <w:rFonts w:hint="eastAsia" w:ascii="Times New Roman" w:hAnsi="Times New Roman" w:eastAsia="宋体"/>
                      <w:szCs w:val="21"/>
                      <w:lang w:val="en-US" w:eastAsia="zh-CN"/>
                    </w:rPr>
                    <w:t>16</w:t>
                  </w:r>
                  <w:r>
                    <w:rPr>
                      <w:rFonts w:hint="default" w:ascii="Times New Roman" w:hAnsi="Times New Roman" w:eastAsia="宋体"/>
                      <w:szCs w:val="21"/>
                    </w:rPr>
                    <w:t>°，</w:t>
                  </w:r>
                  <w:r>
                    <w:rPr>
                      <w:rFonts w:hint="eastAsia" w:ascii="Times New Roman" w:hAnsi="Times New Roman" w:eastAsia="宋体"/>
                      <w:szCs w:val="21"/>
                    </w:rPr>
                    <w:t>占地</w:t>
                  </w:r>
                  <w:r>
                    <w:rPr>
                      <w:rFonts w:hint="default" w:ascii="Times New Roman" w:hAnsi="Times New Roman" w:eastAsia="宋体"/>
                      <w:szCs w:val="21"/>
                    </w:rPr>
                    <w:t>面积</w:t>
                  </w:r>
                  <w:r>
                    <w:rPr>
                      <w:rFonts w:hint="eastAsia" w:ascii="Times New Roman" w:hAnsi="Times New Roman" w:eastAsia="宋体"/>
                      <w:szCs w:val="21"/>
                      <w:lang w:val="en-US" w:eastAsia="zh-CN"/>
                    </w:rPr>
                    <w:t>0.</w:t>
                  </w:r>
                  <w:r>
                    <w:rPr>
                      <w:rFonts w:hint="eastAsia"/>
                      <w:szCs w:val="21"/>
                      <w:lang w:val="en-US" w:eastAsia="zh-CN"/>
                    </w:rPr>
                    <w:t>0942</w:t>
                  </w:r>
                  <w:r>
                    <w:rPr>
                      <w:rFonts w:hint="eastAsia" w:ascii="Times New Roman" w:hAnsi="Times New Roman" w:eastAsia="宋体"/>
                      <w:szCs w:val="21"/>
                      <w:lang w:val="en-US" w:eastAsia="zh-CN"/>
                    </w:rPr>
                    <w:t>hm</w:t>
                  </w:r>
                  <w:r>
                    <w:rPr>
                      <w:rFonts w:hint="eastAsia" w:ascii="Times New Roman" w:hAnsi="Times New Roman" w:eastAsia="宋体"/>
                      <w:szCs w:val="21"/>
                      <w:vertAlign w:val="superscript"/>
                      <w:lang w:val="en-US" w:eastAsia="zh-CN"/>
                    </w:rPr>
                    <w:t>2</w:t>
                  </w:r>
                  <w:r>
                    <w:rPr>
                      <w:rFonts w:hint="default" w:ascii="Times New Roman" w:hAnsi="Times New Roman" w:eastAsia="宋体"/>
                      <w:szCs w:val="21"/>
                    </w:rPr>
                    <w:t>，包括办公室、宿舍、食堂、</w:t>
                  </w:r>
                  <w:r>
                    <w:rPr>
                      <w:rFonts w:hint="eastAsia" w:ascii="Times New Roman" w:hAnsi="Times New Roman" w:eastAsia="宋体"/>
                      <w:szCs w:val="21"/>
                      <w:lang w:eastAsia="zh-CN"/>
                    </w:rPr>
                    <w:t>库房</w:t>
                  </w:r>
                  <w:r>
                    <w:rPr>
                      <w:rFonts w:hint="default" w:ascii="Times New Roman" w:hAnsi="Times New Roman" w:eastAsia="宋体"/>
                      <w:szCs w:val="21"/>
                    </w:rPr>
                    <w:t>等建筑物</w:t>
                  </w:r>
                  <w:r>
                    <w:rPr>
                      <w:rFonts w:hint="eastAsia" w:ascii="Times New Roman" w:hAnsi="Times New Roman" w:eastAsia="宋体"/>
                      <w:szCs w:val="21"/>
                      <w:lang w:eastAsia="zh-CN"/>
                    </w:rPr>
                    <w:t>。</w:t>
                  </w:r>
                </w:p>
              </w:tc>
              <w:tc>
                <w:tcPr>
                  <w:tcW w:w="712" w:type="pct"/>
                  <w:vAlign w:val="center"/>
                </w:tcPr>
                <w:p w14:paraId="7B688C4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rPr>
                    <w:t>新建</w:t>
                  </w:r>
                </w:p>
              </w:tc>
            </w:tr>
            <w:tr w14:paraId="028FC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7" w:type="pct"/>
                  <w:vMerge w:val="continue"/>
                  <w:vAlign w:val="center"/>
                </w:tcPr>
                <w:p w14:paraId="7B48BCC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4116CC8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lang w:val="en-US" w:eastAsia="zh-CN"/>
                    </w:rPr>
                    <w:t>机修间</w:t>
                  </w:r>
                </w:p>
              </w:tc>
              <w:tc>
                <w:tcPr>
                  <w:tcW w:w="3383" w:type="pct"/>
                  <w:vAlign w:val="center"/>
                </w:tcPr>
                <w:p w14:paraId="11C2B5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规划于矿区工业场地建机汽修间，承担矿山生产设备的简单维修和小修，并储存部分油料、材料和机械设备，占地面积为90m</w:t>
                  </w:r>
                  <w:r>
                    <w:rPr>
                      <w:rFonts w:hint="eastAsia" w:ascii="Times New Roman" w:hAnsi="Times New Roman" w:eastAsia="宋体"/>
                      <w:szCs w:val="21"/>
                      <w:vertAlign w:val="superscript"/>
                      <w:lang w:val="en-US" w:eastAsia="zh-CN"/>
                    </w:rPr>
                    <w:t>2</w:t>
                  </w:r>
                  <w:r>
                    <w:rPr>
                      <w:rFonts w:hint="eastAsia" w:ascii="Times New Roman" w:hAnsi="Times New Roman" w:eastAsia="宋体"/>
                      <w:szCs w:val="21"/>
                      <w:lang w:val="en-US" w:eastAsia="zh-CN"/>
                    </w:rPr>
                    <w:t>。</w:t>
                  </w:r>
                </w:p>
              </w:tc>
              <w:tc>
                <w:tcPr>
                  <w:tcW w:w="712" w:type="pct"/>
                  <w:vAlign w:val="center"/>
                </w:tcPr>
                <w:p w14:paraId="4D94F3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新建</w:t>
                  </w:r>
                </w:p>
              </w:tc>
            </w:tr>
            <w:tr w14:paraId="152068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7" w:type="pct"/>
                  <w:vMerge w:val="continue"/>
                  <w:vAlign w:val="center"/>
                </w:tcPr>
                <w:p w14:paraId="066855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05FD46F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危险废物暂存间</w:t>
                  </w:r>
                </w:p>
              </w:tc>
              <w:tc>
                <w:tcPr>
                  <w:tcW w:w="3383" w:type="pct"/>
                  <w:vAlign w:val="center"/>
                </w:tcPr>
                <w:p w14:paraId="77B54C7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规划于矿区工业场地建机汽修间周围建设危险废物暂存间，暂时储存机修产生的废润滑油，占地面积为10m</w:t>
                  </w:r>
                  <w:r>
                    <w:rPr>
                      <w:rFonts w:hint="eastAsia" w:ascii="Times New Roman" w:hAnsi="Times New Roman" w:eastAsia="宋体"/>
                      <w:szCs w:val="21"/>
                      <w:vertAlign w:val="superscript"/>
                      <w:lang w:val="en-US" w:eastAsia="zh-CN"/>
                    </w:rPr>
                    <w:t>2</w:t>
                  </w:r>
                  <w:r>
                    <w:rPr>
                      <w:rFonts w:hint="eastAsia" w:ascii="Times New Roman" w:hAnsi="Times New Roman" w:eastAsia="宋体"/>
                      <w:szCs w:val="21"/>
                      <w:lang w:val="en-US" w:eastAsia="zh-CN"/>
                    </w:rPr>
                    <w:t>。</w:t>
                  </w:r>
                </w:p>
              </w:tc>
              <w:tc>
                <w:tcPr>
                  <w:tcW w:w="712" w:type="pct"/>
                  <w:vAlign w:val="center"/>
                </w:tcPr>
                <w:p w14:paraId="78F8E05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新建</w:t>
                  </w:r>
                </w:p>
              </w:tc>
            </w:tr>
            <w:tr w14:paraId="27C3B3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97" w:type="pct"/>
                  <w:vMerge w:val="restart"/>
                  <w:vAlign w:val="center"/>
                </w:tcPr>
                <w:p w14:paraId="6B268F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rPr>
                    <w:t>储运工程</w:t>
                  </w:r>
                </w:p>
              </w:tc>
              <w:tc>
                <w:tcPr>
                  <w:tcW w:w="606" w:type="pct"/>
                  <w:vAlign w:val="center"/>
                </w:tcPr>
                <w:p w14:paraId="74CC9C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lang w:val="en-US" w:eastAsia="zh-CN"/>
                    </w:rPr>
                    <w:t>排土</w:t>
                  </w:r>
                  <w:r>
                    <w:rPr>
                      <w:rFonts w:hint="eastAsia" w:ascii="Times New Roman" w:hAnsi="Times New Roman" w:eastAsia="宋体"/>
                      <w:szCs w:val="21"/>
                    </w:rPr>
                    <w:t>场</w:t>
                  </w:r>
                </w:p>
              </w:tc>
              <w:tc>
                <w:tcPr>
                  <w:tcW w:w="3383" w:type="pct"/>
                  <w:vAlign w:val="center"/>
                </w:tcPr>
                <w:p w14:paraId="49FA9C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位于矿山西南侧30m处，占地面积为</w:t>
                  </w:r>
                  <w:r>
                    <w:rPr>
                      <w:rFonts w:hint="eastAsia"/>
                      <w:szCs w:val="21"/>
                      <w:lang w:val="en-US" w:eastAsia="zh-CN"/>
                    </w:rPr>
                    <w:t>0.3419</w:t>
                  </w:r>
                  <w:r>
                    <w:rPr>
                      <w:rFonts w:hint="eastAsia" w:ascii="Times New Roman" w:hAnsi="Times New Roman" w:eastAsia="宋体"/>
                      <w:szCs w:val="21"/>
                      <w:lang w:val="en-US" w:eastAsia="zh-CN"/>
                    </w:rPr>
                    <w:t>hm</w:t>
                  </w:r>
                  <w:r>
                    <w:rPr>
                      <w:rFonts w:hint="eastAsia" w:ascii="Times New Roman" w:hAnsi="Times New Roman" w:eastAsia="宋体"/>
                      <w:szCs w:val="21"/>
                      <w:vertAlign w:val="superscript"/>
                      <w:lang w:val="en-US" w:eastAsia="zh-CN"/>
                    </w:rPr>
                    <w:t>2</w:t>
                  </w:r>
                  <w:r>
                    <w:rPr>
                      <w:rFonts w:hint="default" w:ascii="Times New Roman" w:hAnsi="Times New Roman" w:eastAsia="宋体"/>
                      <w:szCs w:val="21"/>
                    </w:rPr>
                    <w:t>，</w:t>
                  </w:r>
                  <w:r>
                    <w:rPr>
                      <w:rFonts w:hint="eastAsia" w:ascii="Times New Roman" w:hAnsi="Times New Roman" w:eastAsia="宋体"/>
                      <w:szCs w:val="21"/>
                      <w:lang w:val="en-US" w:eastAsia="zh-CN"/>
                    </w:rPr>
                    <w:t>最大</w:t>
                  </w:r>
                  <w:r>
                    <w:rPr>
                      <w:rFonts w:hint="default" w:ascii="Times New Roman" w:hAnsi="Times New Roman" w:eastAsia="宋体"/>
                      <w:szCs w:val="21"/>
                    </w:rPr>
                    <w:t>堆置高度25米</w:t>
                  </w:r>
                  <w:r>
                    <w:rPr>
                      <w:rFonts w:hint="eastAsia" w:ascii="Times New Roman" w:hAnsi="Times New Roman" w:eastAsia="宋体"/>
                      <w:szCs w:val="21"/>
                      <w:lang w:eastAsia="zh-CN"/>
                    </w:rPr>
                    <w:t>，</w:t>
                  </w:r>
                  <w:r>
                    <w:rPr>
                      <w:rFonts w:hint="default" w:ascii="Times New Roman" w:hAnsi="Times New Roman" w:eastAsia="宋体" w:cs="Times New Roman"/>
                      <w:b w:val="0"/>
                      <w:bCs w:val="0"/>
                      <w:color w:val="auto"/>
                    </w:rPr>
                    <w:t>堆放坡度35°</w:t>
                  </w:r>
                  <w:r>
                    <w:rPr>
                      <w:rFonts w:hint="eastAsia" w:ascii="Times New Roman" w:hAnsi="Times New Roman" w:eastAsia="宋体"/>
                      <w:szCs w:val="21"/>
                    </w:rPr>
                    <w:t>。</w:t>
                  </w:r>
                </w:p>
              </w:tc>
              <w:tc>
                <w:tcPr>
                  <w:tcW w:w="712" w:type="pct"/>
                  <w:vAlign w:val="center"/>
                </w:tcPr>
                <w:p w14:paraId="33D79D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lang w:eastAsia="zh-CN"/>
                    </w:rPr>
                    <w:t>新</w:t>
                  </w:r>
                  <w:r>
                    <w:rPr>
                      <w:rFonts w:hint="eastAsia" w:ascii="Times New Roman" w:hAnsi="Times New Roman" w:eastAsia="宋体"/>
                      <w:szCs w:val="21"/>
                    </w:rPr>
                    <w:t>建</w:t>
                  </w:r>
                </w:p>
              </w:tc>
            </w:tr>
            <w:tr w14:paraId="35F00C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97" w:type="pct"/>
                  <w:vMerge w:val="continue"/>
                  <w:vAlign w:val="center"/>
                </w:tcPr>
                <w:p w14:paraId="6A5C5F2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549E4A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临时堆料场</w:t>
                  </w:r>
                </w:p>
              </w:tc>
              <w:tc>
                <w:tcPr>
                  <w:tcW w:w="3383" w:type="pct"/>
                  <w:vAlign w:val="center"/>
                </w:tcPr>
                <w:p w14:paraId="4159FD4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eastAsia" w:cs="Times New Roman"/>
                      <w:szCs w:val="21"/>
                      <w:lang w:val="en-US" w:eastAsia="zh-CN"/>
                    </w:rPr>
                    <w:t>用于临时堆存待售成品，</w:t>
                  </w:r>
                  <w:r>
                    <w:rPr>
                      <w:rFonts w:hint="default" w:ascii="Times New Roman" w:hAnsi="Times New Roman" w:eastAsia="宋体" w:cs="Times New Roman"/>
                      <w:szCs w:val="21"/>
                    </w:rPr>
                    <w:t>位于矿</w:t>
                  </w:r>
                  <w:r>
                    <w:rPr>
                      <w:rFonts w:hint="eastAsia" w:ascii="Times New Roman" w:hAnsi="Times New Roman" w:eastAsia="宋体" w:cs="Times New Roman"/>
                      <w:szCs w:val="21"/>
                      <w:lang w:eastAsia="zh-CN"/>
                    </w:rPr>
                    <w:t>山</w:t>
                  </w:r>
                  <w:r>
                    <w:rPr>
                      <w:rFonts w:hint="eastAsia" w:ascii="Times New Roman" w:hAnsi="Times New Roman" w:eastAsia="宋体" w:cs="Times New Roman"/>
                      <w:szCs w:val="21"/>
                    </w:rPr>
                    <w:t>南侧</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占用土地类型为</w:t>
                  </w:r>
                  <w:r>
                    <w:rPr>
                      <w:rFonts w:hint="default" w:ascii="Times New Roman" w:hAnsi="Times New Roman" w:eastAsia="宋体" w:cs="Times New Roman"/>
                      <w:szCs w:val="21"/>
                      <w:lang w:val="en-US" w:eastAsia="zh-CN"/>
                    </w:rPr>
                    <w:t>裸岩石砾地</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rPr>
                    <w:t>原始地形坡度1-5°</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占地面积0.7hm</w:t>
                  </w:r>
                  <w:r>
                    <w:rPr>
                      <w:rFonts w:hint="eastAsia" w:ascii="Times New Roman" w:hAnsi="Times New Roman" w:eastAsia="宋体" w:cs="Times New Roman"/>
                      <w:szCs w:val="21"/>
                      <w:vertAlign w:val="superscript"/>
                      <w:lang w:val="en-US" w:eastAsia="zh-CN"/>
                    </w:rPr>
                    <w:t>2</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堆放高度最大4米</w:t>
                  </w:r>
                  <w:r>
                    <w:rPr>
                      <w:rFonts w:hint="eastAsia" w:ascii="Times New Roman" w:hAnsi="Times New Roman" w:eastAsia="宋体" w:cs="Times New Roman"/>
                      <w:szCs w:val="21"/>
                      <w:lang w:eastAsia="zh-CN"/>
                    </w:rPr>
                    <w:t>。</w:t>
                  </w:r>
                </w:p>
              </w:tc>
              <w:tc>
                <w:tcPr>
                  <w:tcW w:w="712" w:type="pct"/>
                  <w:vAlign w:val="center"/>
                </w:tcPr>
                <w:p w14:paraId="255B85B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rPr>
                  </w:pPr>
                  <w:r>
                    <w:rPr>
                      <w:rFonts w:hint="eastAsia" w:ascii="Times New Roman" w:hAnsi="Times New Roman" w:eastAsia="宋体"/>
                      <w:szCs w:val="21"/>
                      <w:lang w:eastAsia="zh-CN"/>
                    </w:rPr>
                    <w:t>新</w:t>
                  </w:r>
                  <w:r>
                    <w:rPr>
                      <w:rFonts w:hint="eastAsia" w:ascii="Times New Roman" w:hAnsi="Times New Roman" w:eastAsia="宋体"/>
                      <w:szCs w:val="21"/>
                    </w:rPr>
                    <w:t>建</w:t>
                  </w:r>
                </w:p>
              </w:tc>
            </w:tr>
            <w:tr w14:paraId="25DBD5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97" w:type="pct"/>
                  <w:vMerge w:val="continue"/>
                  <w:vAlign w:val="center"/>
                </w:tcPr>
                <w:p w14:paraId="0B46818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7A21E8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矿山道路</w:t>
                  </w:r>
                </w:p>
              </w:tc>
              <w:tc>
                <w:tcPr>
                  <w:tcW w:w="3383" w:type="pct"/>
                  <w:vAlign w:val="center"/>
                </w:tcPr>
                <w:p w14:paraId="64955FA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rPr>
                    <w:t>泥结碎石路面，设计主要路面宽6米，路基宽</w:t>
                  </w:r>
                  <w:r>
                    <w:rPr>
                      <w:rFonts w:hint="eastAsia" w:ascii="Times New Roman" w:hAnsi="Times New Roman" w:eastAsia="宋体"/>
                      <w:szCs w:val="21"/>
                      <w:lang w:val="en-US" w:eastAsia="zh-CN"/>
                    </w:rPr>
                    <w:t>7</w:t>
                  </w:r>
                  <w:r>
                    <w:rPr>
                      <w:rFonts w:hint="eastAsia" w:ascii="Times New Roman" w:hAnsi="Times New Roman" w:eastAsia="宋体"/>
                      <w:szCs w:val="21"/>
                    </w:rPr>
                    <w:t>米，路面最大纵坡8%，平均坡度小于</w:t>
                  </w:r>
                  <w:r>
                    <w:rPr>
                      <w:rFonts w:hint="eastAsia" w:ascii="Times New Roman" w:hAnsi="Times New Roman" w:eastAsia="宋体"/>
                      <w:szCs w:val="21"/>
                      <w:lang w:val="en-US" w:eastAsia="zh-CN"/>
                    </w:rPr>
                    <w:t>6.5</w:t>
                  </w:r>
                  <w:r>
                    <w:rPr>
                      <w:rFonts w:hint="eastAsia" w:ascii="Times New Roman" w:hAnsi="Times New Roman" w:eastAsia="宋体"/>
                      <w:szCs w:val="21"/>
                    </w:rPr>
                    <w:t>%，回头最小曲率半径不小于</w:t>
                  </w:r>
                  <w:r>
                    <w:rPr>
                      <w:rFonts w:hint="eastAsia" w:ascii="Times New Roman" w:hAnsi="Times New Roman" w:eastAsia="宋体"/>
                      <w:szCs w:val="21"/>
                      <w:lang w:val="en-US" w:eastAsia="zh-CN"/>
                    </w:rPr>
                    <w:t>18</w:t>
                  </w:r>
                  <w:r>
                    <w:rPr>
                      <w:rFonts w:hint="eastAsia" w:ascii="Times New Roman" w:hAnsi="Times New Roman" w:eastAsia="宋体"/>
                      <w:szCs w:val="21"/>
                    </w:rPr>
                    <w:t>米。</w:t>
                  </w:r>
                  <w:r>
                    <w:rPr>
                      <w:rFonts w:hint="default" w:ascii="Times New Roman" w:hAnsi="Times New Roman" w:eastAsia="宋体" w:cs="Times New Roman"/>
                      <w:b w:val="0"/>
                      <w:bCs w:val="0"/>
                      <w:color w:val="auto"/>
                    </w:rPr>
                    <w:t>新建矿山道路</w:t>
                  </w:r>
                  <w:r>
                    <w:rPr>
                      <w:rFonts w:hint="eastAsia" w:cs="Times New Roman"/>
                      <w:b w:val="0"/>
                      <w:bCs w:val="0"/>
                      <w:color w:val="auto"/>
                      <w:lang w:val="en-US" w:eastAsia="zh-CN"/>
                    </w:rPr>
                    <w:t>240</w:t>
                  </w:r>
                  <w:r>
                    <w:rPr>
                      <w:rFonts w:hint="default" w:ascii="Times New Roman" w:hAnsi="Times New Roman" w:eastAsia="宋体" w:cs="Times New Roman"/>
                      <w:b w:val="0"/>
                      <w:bCs w:val="0"/>
                      <w:color w:val="auto"/>
                    </w:rPr>
                    <w:t>米</w:t>
                  </w:r>
                  <w:r>
                    <w:rPr>
                      <w:rFonts w:hint="eastAsia" w:ascii="Times New Roman" w:hAnsi="Times New Roman" w:eastAsia="宋体" w:cs="Times New Roman"/>
                      <w:b w:val="0"/>
                      <w:bCs w:val="0"/>
                      <w:color w:val="auto"/>
                      <w:lang w:eastAsia="zh-CN"/>
                    </w:rPr>
                    <w:t>，</w:t>
                  </w:r>
                  <w:r>
                    <w:rPr>
                      <w:rFonts w:hint="eastAsia" w:ascii="Times New Roman" w:hAnsi="Times New Roman" w:eastAsia="宋体"/>
                      <w:szCs w:val="21"/>
                    </w:rPr>
                    <w:t>占地面积约</w:t>
                  </w:r>
                  <w:r>
                    <w:rPr>
                      <w:rFonts w:hint="eastAsia"/>
                      <w:szCs w:val="21"/>
                      <w:lang w:val="en-US" w:eastAsia="zh-CN"/>
                    </w:rPr>
                    <w:t>0.3309</w:t>
                  </w:r>
                  <w:r>
                    <w:rPr>
                      <w:rFonts w:hint="eastAsia" w:ascii="Times New Roman" w:hAnsi="Times New Roman" w:eastAsia="宋体"/>
                      <w:szCs w:val="21"/>
                      <w:lang w:val="en-US" w:eastAsia="zh-CN"/>
                    </w:rPr>
                    <w:t>h</w:t>
                  </w:r>
                  <w:r>
                    <w:rPr>
                      <w:rFonts w:hint="default" w:ascii="Times New Roman" w:hAnsi="Times New Roman" w:eastAsia="宋体"/>
                      <w:szCs w:val="21"/>
                    </w:rPr>
                    <w:t>m</w:t>
                  </w:r>
                  <w:r>
                    <w:rPr>
                      <w:rFonts w:hint="default" w:ascii="Times New Roman" w:hAnsi="Times New Roman" w:eastAsia="宋体"/>
                      <w:szCs w:val="21"/>
                      <w:vertAlign w:val="superscript"/>
                    </w:rPr>
                    <w:t>2</w:t>
                  </w:r>
                  <w:r>
                    <w:rPr>
                      <w:rFonts w:hint="eastAsia" w:ascii="Times New Roman" w:hAnsi="Times New Roman" w:eastAsia="宋体"/>
                      <w:szCs w:val="21"/>
                    </w:rPr>
                    <w:t>。</w:t>
                  </w:r>
                </w:p>
              </w:tc>
              <w:tc>
                <w:tcPr>
                  <w:tcW w:w="712" w:type="pct"/>
                  <w:vAlign w:val="center"/>
                </w:tcPr>
                <w:p w14:paraId="36E550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新建</w:t>
                  </w:r>
                  <w:r>
                    <w:rPr>
                      <w:rFonts w:hint="eastAsia"/>
                      <w:szCs w:val="21"/>
                      <w:lang w:val="en-US" w:eastAsia="zh-CN"/>
                    </w:rPr>
                    <w:t>240</w:t>
                  </w:r>
                  <w:r>
                    <w:rPr>
                      <w:rFonts w:hint="eastAsia" w:ascii="Times New Roman" w:hAnsi="Times New Roman" w:eastAsia="宋体"/>
                      <w:szCs w:val="21"/>
                      <w:lang w:val="en-US" w:eastAsia="zh-CN"/>
                    </w:rPr>
                    <w:t>m</w:t>
                  </w:r>
                </w:p>
              </w:tc>
            </w:tr>
            <w:tr w14:paraId="3EE20D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297" w:type="pct"/>
                  <w:vMerge w:val="restart"/>
                  <w:vAlign w:val="center"/>
                </w:tcPr>
                <w:p w14:paraId="674B7A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公用工程</w:t>
                  </w:r>
                </w:p>
              </w:tc>
              <w:tc>
                <w:tcPr>
                  <w:tcW w:w="606" w:type="pct"/>
                  <w:vAlign w:val="center"/>
                </w:tcPr>
                <w:p w14:paraId="76AD734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供水</w:t>
                  </w:r>
                </w:p>
              </w:tc>
              <w:tc>
                <w:tcPr>
                  <w:tcW w:w="3383" w:type="pct"/>
                  <w:vAlign w:val="center"/>
                </w:tcPr>
                <w:p w14:paraId="7215DD4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default" w:ascii="Times New Roman" w:hAnsi="Times New Roman" w:eastAsia="宋体"/>
                      <w:szCs w:val="21"/>
                    </w:rPr>
                    <w:t>矿山生产</w:t>
                  </w:r>
                  <w:r>
                    <w:rPr>
                      <w:rFonts w:hint="eastAsia" w:ascii="Times New Roman" w:hAnsi="Times New Roman" w:eastAsia="宋体"/>
                      <w:szCs w:val="21"/>
                      <w:lang w:eastAsia="zh-CN"/>
                    </w:rPr>
                    <w:t>、</w:t>
                  </w:r>
                  <w:r>
                    <w:rPr>
                      <w:rFonts w:hint="default" w:ascii="Times New Roman" w:hAnsi="Times New Roman" w:eastAsia="宋体"/>
                      <w:szCs w:val="21"/>
                    </w:rPr>
                    <w:t>生活用水主要是从</w:t>
                  </w:r>
                  <w:r>
                    <w:rPr>
                      <w:rFonts w:hint="eastAsia"/>
                      <w:szCs w:val="21"/>
                      <w:lang w:val="en-US" w:eastAsia="zh-CN"/>
                    </w:rPr>
                    <w:t>和静县拉运至</w:t>
                  </w:r>
                  <w:r>
                    <w:rPr>
                      <w:rFonts w:hint="eastAsia" w:ascii="Times New Roman" w:hAnsi="Times New Roman" w:eastAsia="宋体"/>
                      <w:szCs w:val="21"/>
                    </w:rPr>
                    <w:t>矿区</w:t>
                  </w:r>
                  <w:r>
                    <w:rPr>
                      <w:rFonts w:hint="eastAsia"/>
                      <w:szCs w:val="21"/>
                      <w:lang w:eastAsia="zh-CN"/>
                    </w:rPr>
                    <w:t>。</w:t>
                  </w:r>
                </w:p>
              </w:tc>
              <w:tc>
                <w:tcPr>
                  <w:tcW w:w="712" w:type="pct"/>
                  <w:vAlign w:val="center"/>
                </w:tcPr>
                <w:p w14:paraId="27723A4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eastAsia"/>
                      <w:szCs w:val="21"/>
                      <w:lang w:val="en-US" w:eastAsia="zh-CN"/>
                    </w:rPr>
                    <w:t>/</w:t>
                  </w:r>
                </w:p>
              </w:tc>
            </w:tr>
            <w:tr w14:paraId="400445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297" w:type="pct"/>
                  <w:vMerge w:val="continue"/>
                  <w:vAlign w:val="center"/>
                </w:tcPr>
                <w:p w14:paraId="3FAFDA9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0751474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排水</w:t>
                  </w:r>
                </w:p>
              </w:tc>
              <w:tc>
                <w:tcPr>
                  <w:tcW w:w="3383" w:type="pct"/>
                  <w:vAlign w:val="center"/>
                </w:tcPr>
                <w:p w14:paraId="143E5AD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生活污水排入防渗化粪池预处理后定期拉运处理，生产用水为喷洒用水，喷洒用水抑尘后完全蒸发。</w:t>
                  </w:r>
                </w:p>
              </w:tc>
              <w:tc>
                <w:tcPr>
                  <w:tcW w:w="712" w:type="pct"/>
                  <w:vAlign w:val="center"/>
                </w:tcPr>
                <w:p w14:paraId="4936FA6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新</w:t>
                  </w:r>
                  <w:r>
                    <w:rPr>
                      <w:rFonts w:hint="eastAsia" w:ascii="Times New Roman" w:hAnsi="Times New Roman" w:eastAsia="宋体"/>
                      <w:szCs w:val="21"/>
                    </w:rPr>
                    <w:t>建</w:t>
                  </w:r>
                  <w:r>
                    <w:rPr>
                      <w:rFonts w:hint="eastAsia" w:ascii="Times New Roman" w:hAnsi="Times New Roman" w:eastAsia="宋体"/>
                      <w:szCs w:val="21"/>
                      <w:lang w:val="en-US" w:eastAsia="zh-CN"/>
                    </w:rPr>
                    <w:t>化粪池</w:t>
                  </w:r>
                </w:p>
              </w:tc>
            </w:tr>
            <w:tr w14:paraId="5F8B31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297" w:type="pct"/>
                  <w:vMerge w:val="continue"/>
                  <w:vAlign w:val="center"/>
                </w:tcPr>
                <w:p w14:paraId="42343A6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0EC0E4A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供电</w:t>
                  </w:r>
                </w:p>
              </w:tc>
              <w:tc>
                <w:tcPr>
                  <w:tcW w:w="3383" w:type="pct"/>
                  <w:vAlign w:val="center"/>
                </w:tcPr>
                <w:p w14:paraId="4CA7F78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矿山</w:t>
                  </w:r>
                  <w:r>
                    <w:rPr>
                      <w:rFonts w:hint="eastAsia" w:ascii="Times New Roman" w:hAnsi="Times New Roman" w:eastAsia="宋体"/>
                      <w:szCs w:val="21"/>
                      <w:lang w:val="en-US" w:eastAsia="zh-CN"/>
                    </w:rPr>
                    <w:t>附近</w:t>
                  </w:r>
                  <w:r>
                    <w:rPr>
                      <w:rFonts w:hint="default" w:ascii="Times New Roman" w:hAnsi="Times New Roman" w:eastAsia="宋体"/>
                      <w:szCs w:val="21"/>
                    </w:rPr>
                    <w:t>有10KVA供电线路引入矿区，作为生产生活电源。矿区设置</w:t>
                  </w:r>
                  <w:r>
                    <w:rPr>
                      <w:rFonts w:hint="eastAsia" w:ascii="Times New Roman" w:hAnsi="Times New Roman" w:eastAsia="宋体"/>
                      <w:szCs w:val="21"/>
                    </w:rPr>
                    <w:t>1台S13-1000/10型变压器</w:t>
                  </w:r>
                  <w:r>
                    <w:rPr>
                      <w:rFonts w:hint="default" w:ascii="Times New Roman" w:hAnsi="Times New Roman" w:eastAsia="宋体"/>
                      <w:szCs w:val="21"/>
                    </w:rPr>
                    <w:t>。</w:t>
                  </w:r>
                </w:p>
              </w:tc>
              <w:tc>
                <w:tcPr>
                  <w:tcW w:w="712" w:type="pct"/>
                  <w:vAlign w:val="center"/>
                </w:tcPr>
                <w:p w14:paraId="667AC9B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szCs w:val="21"/>
                      <w:lang w:val="en-US" w:eastAsia="zh-CN"/>
                    </w:rPr>
                    <w:t>/</w:t>
                  </w:r>
                </w:p>
              </w:tc>
            </w:tr>
            <w:tr w14:paraId="7C249E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297" w:type="pct"/>
                  <w:vMerge w:val="continue"/>
                  <w:vAlign w:val="center"/>
                </w:tcPr>
                <w:p w14:paraId="2587E6D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528CFDD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供热</w:t>
                  </w:r>
                </w:p>
              </w:tc>
              <w:tc>
                <w:tcPr>
                  <w:tcW w:w="3383" w:type="pct"/>
                  <w:vAlign w:val="center"/>
                </w:tcPr>
                <w:p w14:paraId="288A8FE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rPr>
                    <w:t>项目冬季生产</w:t>
                  </w:r>
                  <w:r>
                    <w:rPr>
                      <w:rFonts w:hint="eastAsia" w:ascii="Times New Roman" w:hAnsi="Times New Roman" w:eastAsia="宋体"/>
                      <w:szCs w:val="21"/>
                      <w:lang w:eastAsia="zh-CN"/>
                    </w:rPr>
                    <w:t>、</w:t>
                  </w:r>
                  <w:r>
                    <w:rPr>
                      <w:rFonts w:hint="eastAsia" w:ascii="Times New Roman" w:hAnsi="Times New Roman" w:eastAsia="宋体"/>
                      <w:szCs w:val="21"/>
                    </w:rPr>
                    <w:t>生活供热</w:t>
                  </w:r>
                  <w:r>
                    <w:rPr>
                      <w:rFonts w:hint="eastAsia" w:ascii="Times New Roman" w:hAnsi="Times New Roman" w:eastAsia="宋体"/>
                      <w:szCs w:val="21"/>
                      <w:lang w:val="en-US" w:eastAsia="zh-CN"/>
                    </w:rPr>
                    <w:t>采取电采暖</w:t>
                  </w:r>
                  <w:r>
                    <w:rPr>
                      <w:rFonts w:hint="eastAsia" w:ascii="Times New Roman" w:hAnsi="Times New Roman" w:eastAsia="宋体"/>
                      <w:szCs w:val="21"/>
                    </w:rPr>
                    <w:t>。</w:t>
                  </w:r>
                </w:p>
              </w:tc>
              <w:tc>
                <w:tcPr>
                  <w:tcW w:w="712" w:type="pct"/>
                  <w:vAlign w:val="center"/>
                </w:tcPr>
                <w:p w14:paraId="66F4A6C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rPr>
                    <w:t>/</w:t>
                  </w:r>
                </w:p>
              </w:tc>
            </w:tr>
            <w:tr w14:paraId="5BF209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31" w:hRule="atLeast"/>
                <w:jc w:val="center"/>
              </w:trPr>
              <w:tc>
                <w:tcPr>
                  <w:tcW w:w="297" w:type="pct"/>
                  <w:vMerge w:val="restart"/>
                  <w:vAlign w:val="center"/>
                </w:tcPr>
                <w:p w14:paraId="553BF2E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环保工程</w:t>
                  </w:r>
                </w:p>
              </w:tc>
              <w:tc>
                <w:tcPr>
                  <w:tcW w:w="606" w:type="pct"/>
                  <w:vAlign w:val="center"/>
                </w:tcPr>
                <w:p w14:paraId="42DCFD7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废气治理措施</w:t>
                  </w:r>
                </w:p>
              </w:tc>
              <w:tc>
                <w:tcPr>
                  <w:tcW w:w="3383" w:type="pct"/>
                  <w:vAlign w:val="center"/>
                </w:tcPr>
                <w:p w14:paraId="6B81FB06">
                  <w:pPr>
                    <w:keepNext w:val="0"/>
                    <w:keepLines w:val="0"/>
                    <w:widowControl w:val="0"/>
                    <w:suppressLineNumbers w:val="0"/>
                    <w:spacing w:before="0" w:beforeAutospacing="0" w:after="0" w:afterAutospacing="0"/>
                    <w:ind w:left="0" w:right="0"/>
                    <w:jc w:val="both"/>
                    <w:rPr>
                      <w:rFonts w:hint="default" w:ascii="Times New Roman" w:hAnsi="Times New Roman" w:eastAsia="宋体"/>
                      <w:szCs w:val="21"/>
                      <w:lang w:val="en-US" w:eastAsia="zh-CN"/>
                    </w:rPr>
                  </w:pPr>
                  <w:r>
                    <w:rPr>
                      <w:rFonts w:hint="default" w:ascii="Times New Roman" w:hAnsi="Times New Roman" w:eastAsia="宋体"/>
                      <w:color w:val="000000" w:themeColor="text1"/>
                      <w:szCs w:val="21"/>
                      <w14:textFill>
                        <w14:solidFill>
                          <w14:schemeClr w14:val="tx1"/>
                        </w14:solidFill>
                      </w14:textFill>
                    </w:rPr>
                    <w:t>开采扬尘</w:t>
                  </w:r>
                  <w:r>
                    <w:rPr>
                      <w:rFonts w:hint="eastAsia" w:ascii="Times New Roman" w:hAnsi="Times New Roman" w:eastAsia="宋体"/>
                      <w:color w:val="000000" w:themeColor="text1"/>
                      <w:szCs w:val="21"/>
                      <w:lang w:eastAsia="zh-CN"/>
                      <w14:textFill>
                        <w14:solidFill>
                          <w14:schemeClr w14:val="tx1"/>
                        </w14:solidFill>
                      </w14:textFill>
                    </w:rPr>
                    <w:t>：</w:t>
                  </w:r>
                  <w:r>
                    <w:rPr>
                      <w:rFonts w:hint="default" w:ascii="Times New Roman" w:hAnsi="Times New Roman" w:eastAsia="宋体"/>
                      <w:color w:val="000000" w:themeColor="text1"/>
                      <w:szCs w:val="21"/>
                      <w14:textFill>
                        <w14:solidFill>
                          <w14:schemeClr w14:val="tx1"/>
                        </w14:solidFill>
                      </w14:textFill>
                    </w:rPr>
                    <w:t>本项目</w:t>
                  </w:r>
                  <w:r>
                    <w:rPr>
                      <w:rFonts w:hint="eastAsia" w:ascii="Times New Roman" w:hAnsi="Times New Roman" w:eastAsia="宋体"/>
                      <w:color w:val="000000" w:themeColor="text1"/>
                      <w:szCs w:val="21"/>
                      <w:lang w:val="en-US" w:eastAsia="zh-CN"/>
                      <w14:textFill>
                        <w14:solidFill>
                          <w14:schemeClr w14:val="tx1"/>
                        </w14:solidFill>
                      </w14:textFill>
                    </w:rPr>
                    <w:t>设置</w:t>
                  </w:r>
                  <w:r>
                    <w:rPr>
                      <w:rFonts w:hint="default" w:ascii="Times New Roman" w:hAnsi="Times New Roman" w:eastAsia="宋体"/>
                      <w:color w:val="000000" w:themeColor="text1"/>
                      <w:szCs w:val="21"/>
                      <w14:textFill>
                        <w14:solidFill>
                          <w14:schemeClr w14:val="tx1"/>
                        </w14:solidFill>
                      </w14:textFill>
                    </w:rPr>
                    <w:t>洒水车，采用洒水车洒水降尘</w:t>
                  </w:r>
                  <w:r>
                    <w:rPr>
                      <w:rFonts w:hint="eastAsia" w:ascii="Times New Roman" w:hAnsi="Times New Roman" w:eastAsia="宋体"/>
                      <w:color w:val="000000" w:themeColor="text1"/>
                      <w:szCs w:val="21"/>
                      <w14:textFill>
                        <w14:solidFill>
                          <w14:schemeClr w14:val="tx1"/>
                        </w14:solidFill>
                      </w14:textFill>
                    </w:rPr>
                    <w:t>；</w:t>
                  </w:r>
                  <w:r>
                    <w:rPr>
                      <w:rFonts w:hint="eastAsia" w:ascii="Times New Roman" w:hAnsi="Times New Roman" w:eastAsia="宋体"/>
                      <w:color w:val="000000" w:themeColor="text1"/>
                      <w:szCs w:val="21"/>
                      <w:lang w:eastAsia="zh-CN"/>
                      <w14:textFill>
                        <w14:solidFill>
                          <w14:schemeClr w14:val="tx1"/>
                        </w14:solidFill>
                      </w14:textFill>
                    </w:rPr>
                    <w:t>（</w:t>
                  </w:r>
                  <w:r>
                    <w:rPr>
                      <w:rFonts w:hint="eastAsia" w:ascii="Times New Roman" w:hAnsi="Times New Roman" w:eastAsia="宋体"/>
                      <w:color w:val="000000" w:themeColor="text1"/>
                      <w:szCs w:val="21"/>
                      <w:lang w:val="en-US" w:eastAsia="zh-CN"/>
                      <w14:textFill>
                        <w14:solidFill>
                          <w14:schemeClr w14:val="tx1"/>
                        </w14:solidFill>
                      </w14:textFill>
                    </w:rPr>
                    <w:t>2</w:t>
                  </w:r>
                  <w:r>
                    <w:rPr>
                      <w:rFonts w:hint="eastAsia"/>
                      <w:color w:val="000000" w:themeColor="text1"/>
                      <w:szCs w:val="21"/>
                      <w:lang w:val="en-US" w:eastAsia="zh-CN"/>
                      <w14:textFill>
                        <w14:solidFill>
                          <w14:schemeClr w14:val="tx1"/>
                        </w14:solidFill>
                      </w14:textFill>
                    </w:rPr>
                    <w:t>）</w:t>
                  </w:r>
                  <w:r>
                    <w:rPr>
                      <w:rFonts w:hint="default" w:ascii="Times New Roman" w:hAnsi="Times New Roman" w:eastAsia="宋体"/>
                      <w:b w:val="0"/>
                      <w:bCs w:val="0"/>
                      <w:color w:val="000000" w:themeColor="text1"/>
                      <w14:textFill>
                        <w14:solidFill>
                          <w14:schemeClr w14:val="tx1"/>
                        </w14:solidFill>
                      </w14:textFill>
                    </w:rPr>
                    <w:t>运输道路</w:t>
                  </w:r>
                  <w:r>
                    <w:rPr>
                      <w:rFonts w:hint="eastAsia" w:ascii="Times New Roman" w:hAnsi="Times New Roman" w:eastAsia="宋体"/>
                      <w:lang w:val="en-US" w:eastAsia="zh-CN"/>
                    </w:rPr>
                    <w:t>中产生的</w:t>
                  </w:r>
                  <w:r>
                    <w:rPr>
                      <w:rFonts w:hint="default" w:ascii="Times New Roman" w:hAnsi="Times New Roman" w:eastAsia="宋体"/>
                      <w:b w:val="0"/>
                      <w:bCs w:val="0"/>
                      <w:color w:val="000000" w:themeColor="text1"/>
                      <w14:textFill>
                        <w14:solidFill>
                          <w14:schemeClr w14:val="tx1"/>
                        </w14:solidFill>
                      </w14:textFill>
                    </w:rPr>
                    <w:t>扬尘</w:t>
                  </w:r>
                  <w:r>
                    <w:rPr>
                      <w:rFonts w:hint="eastAsia" w:ascii="Times New Roman" w:hAnsi="Times New Roman" w:eastAsia="宋体"/>
                      <w:b w:val="0"/>
                      <w:bCs w:val="0"/>
                      <w:color w:val="000000" w:themeColor="text1"/>
                      <w:lang w:val="en-US" w:eastAsia="zh-CN"/>
                      <w14:textFill>
                        <w14:solidFill>
                          <w14:schemeClr w14:val="tx1"/>
                        </w14:solidFill>
                      </w14:textFill>
                    </w:rPr>
                    <w:t>采用车辆篷布覆盖，道路洒水抑尘</w:t>
                  </w:r>
                  <w:r>
                    <w:rPr>
                      <w:rFonts w:hint="eastAsia" w:ascii="Times New Roman" w:hAnsi="Times New Roman" w:eastAsia="宋体"/>
                      <w:b w:val="0"/>
                      <w:bCs w:val="0"/>
                      <w:color w:val="000000" w:themeColor="text1"/>
                      <w:lang w:eastAsia="zh-CN"/>
                      <w14:textFill>
                        <w14:solidFill>
                          <w14:schemeClr w14:val="tx1"/>
                        </w14:solidFill>
                      </w14:textFill>
                    </w:rPr>
                    <w:t>；（</w:t>
                  </w:r>
                  <w:r>
                    <w:rPr>
                      <w:rFonts w:hint="eastAsia" w:ascii="Times New Roman" w:hAnsi="Times New Roman" w:eastAsia="宋体"/>
                      <w:b w:val="0"/>
                      <w:bCs w:val="0"/>
                      <w:color w:val="000000" w:themeColor="text1"/>
                      <w:lang w:val="en-US" w:eastAsia="zh-CN"/>
                      <w14:textFill>
                        <w14:solidFill>
                          <w14:schemeClr w14:val="tx1"/>
                        </w14:solidFill>
                      </w14:textFill>
                    </w:rPr>
                    <w:t>3</w:t>
                  </w:r>
                  <w:r>
                    <w:rPr>
                      <w:rFonts w:hint="eastAsia" w:ascii="Times New Roman" w:hAnsi="Times New Roman" w:eastAsia="宋体"/>
                      <w:b w:val="0"/>
                      <w:bCs w:val="0"/>
                      <w:color w:val="000000" w:themeColor="text1"/>
                      <w:lang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破碎</w:t>
                  </w:r>
                  <w:r>
                    <w:rPr>
                      <w:rFonts w:hint="eastAsia"/>
                      <w:color w:val="000000" w:themeColor="text1"/>
                      <w:szCs w:val="21"/>
                      <w:lang w:eastAsia="zh-CN"/>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筛</w:t>
                  </w:r>
                  <w:r>
                    <w:rPr>
                      <w:rFonts w:hint="eastAsia" w:ascii="Times New Roman" w:hAnsi="Times New Roman" w:eastAsia="宋体"/>
                      <w:color w:val="000000" w:themeColor="text1"/>
                      <w:szCs w:val="21"/>
                      <w:lang w:val="en-US" w:eastAsia="zh-CN"/>
                      <w14:textFill>
                        <w14:solidFill>
                          <w14:schemeClr w14:val="tx1"/>
                        </w14:solidFill>
                      </w14:textFill>
                    </w:rPr>
                    <w:t>分</w:t>
                  </w:r>
                  <w:r>
                    <w:rPr>
                      <w:rFonts w:hint="eastAsia" w:ascii="Times New Roman" w:hAnsi="Times New Roman" w:eastAsia="宋体"/>
                      <w:color w:val="000000" w:themeColor="text1"/>
                      <w:szCs w:val="21"/>
                      <w14:textFill>
                        <w14:solidFill>
                          <w14:schemeClr w14:val="tx1"/>
                        </w14:solidFill>
                      </w14:textFill>
                    </w:rPr>
                    <w:t>工序</w:t>
                  </w:r>
                  <w:r>
                    <w:rPr>
                      <w:rFonts w:hint="eastAsia" w:ascii="Times New Roman"/>
                      <w:color w:val="000000" w:themeColor="text1"/>
                      <w:sz w:val="21"/>
                      <w:lang w:val="en-US" w:eastAsia="zh-CN"/>
                      <w14:textFill>
                        <w14:solidFill>
                          <w14:schemeClr w14:val="tx1"/>
                        </w14:solidFill>
                      </w14:textFill>
                    </w:rPr>
                    <w:t>在</w:t>
                  </w:r>
                  <w:r>
                    <w:rPr>
                      <w:rFonts w:hint="eastAsia" w:ascii="宋体" w:hAnsi="宋体" w:eastAsia="宋体" w:cs="宋体"/>
                      <w:color w:val="000000"/>
                      <w:kern w:val="144"/>
                      <w:sz w:val="21"/>
                      <w:szCs w:val="21"/>
                      <w:lang w:val="en-US" w:eastAsia="zh-CN" w:bidi="ar"/>
                    </w:rPr>
                    <w:t>彩钢建筑内</w:t>
                  </w:r>
                  <w:r>
                    <w:rPr>
                      <w:rFonts w:hint="eastAsia" w:ascii="Times New Roman"/>
                      <w:color w:val="000000" w:themeColor="text1"/>
                      <w:sz w:val="21"/>
                      <w:lang w:val="en-US" w:eastAsia="zh-CN"/>
                      <w14:textFill>
                        <w14:solidFill>
                          <w14:schemeClr w14:val="tx1"/>
                        </w14:solidFill>
                      </w14:textFill>
                    </w:rPr>
                    <w:t>进行</w:t>
                  </w:r>
                  <w:r>
                    <w:rPr>
                      <w:rFonts w:hint="eastAsia"/>
                      <w:color w:val="000000" w:themeColor="text1"/>
                      <w:sz w:val="21"/>
                      <w:lang w:val="en-US" w:eastAsia="zh-CN"/>
                      <w14:textFill>
                        <w14:solidFill>
                          <w14:schemeClr w14:val="tx1"/>
                        </w14:solidFill>
                      </w14:textFill>
                    </w:rPr>
                    <w:t>，采取封闭式输送带，</w:t>
                  </w:r>
                  <w:r>
                    <w:rPr>
                      <w:rFonts w:hint="eastAsia" w:ascii="Times New Roman" w:hAnsi="Times New Roman" w:eastAsia="宋体"/>
                      <w:color w:val="000000" w:themeColor="text1"/>
                      <w:szCs w:val="21"/>
                      <w:shd w:val="clear"/>
                      <w:lang w:val="en-US" w:eastAsia="zh-CN"/>
                      <w14:textFill>
                        <w14:solidFill>
                          <w14:schemeClr w14:val="tx1"/>
                        </w14:solidFill>
                      </w14:textFill>
                    </w:rPr>
                    <w:t>产生的粉尘经</w:t>
                  </w:r>
                  <w:r>
                    <w:rPr>
                      <w:rFonts w:hint="eastAsia"/>
                      <w:color w:val="000000" w:themeColor="text1"/>
                      <w:szCs w:val="21"/>
                      <w:shd w:val="clear"/>
                      <w:lang w:val="en-US" w:eastAsia="zh-CN"/>
                      <w14:textFill>
                        <w14:solidFill>
                          <w14:schemeClr w14:val="tx1"/>
                        </w14:solidFill>
                      </w14:textFill>
                    </w:rPr>
                    <w:t>集气罩收集后，通过</w:t>
                  </w:r>
                  <w:r>
                    <w:rPr>
                      <w:rFonts w:hint="eastAsia" w:ascii="Times New Roman" w:hAnsi="Times New Roman" w:eastAsia="宋体"/>
                      <w:color w:val="000000" w:themeColor="text1"/>
                      <w:szCs w:val="21"/>
                      <w:shd w:val="clear"/>
                      <w14:textFill>
                        <w14:solidFill>
                          <w14:schemeClr w14:val="tx1"/>
                        </w14:solidFill>
                      </w14:textFill>
                    </w:rPr>
                    <w:t>袋式除尘器处理</w:t>
                  </w:r>
                  <w:r>
                    <w:rPr>
                      <w:rFonts w:hint="eastAsia"/>
                      <w:color w:val="000000" w:themeColor="text1"/>
                      <w:szCs w:val="21"/>
                      <w:shd w:val="clear"/>
                      <w:lang w:val="en-US" w:eastAsia="zh-CN"/>
                      <w14:textFill>
                        <w14:solidFill>
                          <w14:schemeClr w14:val="tx1"/>
                        </w14:solidFill>
                      </w14:textFill>
                    </w:rPr>
                    <w:t>达标后</w:t>
                  </w:r>
                  <w:r>
                    <w:rPr>
                      <w:rFonts w:hint="eastAsia"/>
                      <w:color w:val="000000" w:themeColor="text1"/>
                      <w:szCs w:val="21"/>
                      <w:shd w:val="clear"/>
                      <w:lang w:eastAsia="zh-CN"/>
                      <w14:textFill>
                        <w14:solidFill>
                          <w14:schemeClr w14:val="tx1"/>
                        </w14:solidFill>
                      </w14:textFill>
                    </w:rPr>
                    <w:t>，</w:t>
                  </w:r>
                  <w:r>
                    <w:rPr>
                      <w:rFonts w:hint="eastAsia" w:ascii="Times New Roman" w:hAnsi="Times New Roman" w:eastAsia="宋体"/>
                      <w:color w:val="000000" w:themeColor="text1"/>
                      <w:sz w:val="21"/>
                      <w:shd w:val="clear"/>
                      <w:lang w:val="en-US" w:eastAsia="zh-CN"/>
                      <w14:textFill>
                        <w14:solidFill>
                          <w14:schemeClr w14:val="tx1"/>
                        </w14:solidFill>
                      </w14:textFill>
                    </w:rPr>
                    <w:t>经1根15m</w:t>
                  </w:r>
                  <w:r>
                    <w:rPr>
                      <w:rFonts w:hint="eastAsia"/>
                      <w:color w:val="000000" w:themeColor="text1"/>
                      <w:sz w:val="21"/>
                      <w:shd w:val="clear"/>
                      <w:lang w:val="en-US" w:eastAsia="zh-CN"/>
                      <w14:textFill>
                        <w14:solidFill>
                          <w14:schemeClr w14:val="tx1"/>
                        </w14:solidFill>
                      </w14:textFill>
                    </w:rPr>
                    <w:t>高</w:t>
                  </w:r>
                  <w:r>
                    <w:rPr>
                      <w:rFonts w:hint="eastAsia" w:ascii="Times New Roman" w:hAnsi="Times New Roman" w:eastAsia="宋体"/>
                      <w:color w:val="000000" w:themeColor="text1"/>
                      <w:sz w:val="21"/>
                      <w:shd w:val="clear"/>
                      <w:lang w:val="en-US" w:eastAsia="zh-CN"/>
                      <w14:textFill>
                        <w14:solidFill>
                          <w14:schemeClr w14:val="tx1"/>
                        </w14:solidFill>
                      </w14:textFill>
                    </w:rPr>
                    <w:t>排气筒排放（DA001）</w:t>
                  </w:r>
                  <w:r>
                    <w:rPr>
                      <w:rFonts w:hint="eastAsia" w:ascii="Times New Roman" w:hAnsi="Times New Roman" w:eastAsia="宋体"/>
                      <w:color w:val="000000" w:themeColor="text1"/>
                      <w:szCs w:val="21"/>
                      <w:lang w:eastAsia="zh-CN"/>
                      <w14:textFill>
                        <w14:solidFill>
                          <w14:schemeClr w14:val="tx1"/>
                        </w14:solidFill>
                      </w14:textFill>
                    </w:rPr>
                    <w:t>；</w:t>
                  </w:r>
                  <w:r>
                    <w:rPr>
                      <w:rFonts w:hint="eastAsia" w:ascii="Times New Roman" w:hAnsi="Times New Roman" w:eastAsia="宋体"/>
                      <w:lang w:eastAsia="zh-CN"/>
                    </w:rPr>
                    <w:t>（</w:t>
                  </w:r>
                  <w:r>
                    <w:rPr>
                      <w:rFonts w:hint="eastAsia" w:ascii="Times New Roman" w:hAnsi="Times New Roman" w:eastAsia="宋体"/>
                      <w:lang w:val="en-US" w:eastAsia="zh-CN"/>
                    </w:rPr>
                    <w:t>4</w:t>
                  </w:r>
                  <w:r>
                    <w:rPr>
                      <w:rFonts w:hint="eastAsia" w:ascii="Times New Roman" w:hAnsi="Times New Roman" w:eastAsia="宋体"/>
                      <w:lang w:eastAsia="zh-CN"/>
                    </w:rPr>
                    <w:t>）</w:t>
                  </w:r>
                  <w:r>
                    <w:rPr>
                      <w:rFonts w:hint="eastAsia"/>
                      <w:color w:val="000000" w:themeColor="text1"/>
                      <w:szCs w:val="21"/>
                      <w:lang w:val="en-US" w:eastAsia="zh-CN"/>
                      <w14:textFill>
                        <w14:solidFill>
                          <w14:schemeClr w14:val="tx1"/>
                        </w14:solidFill>
                      </w14:textFill>
                    </w:rPr>
                    <w:t>排土</w:t>
                  </w:r>
                  <w:r>
                    <w:rPr>
                      <w:rFonts w:hint="eastAsia" w:ascii="Times New Roman" w:hAnsi="Times New Roman" w:eastAsia="宋体"/>
                      <w:color w:val="000000" w:themeColor="text1"/>
                      <w:szCs w:val="21"/>
                      <w14:textFill>
                        <w14:solidFill>
                          <w14:schemeClr w14:val="tx1"/>
                        </w14:solidFill>
                      </w14:textFill>
                    </w:rPr>
                    <w:t>场</w:t>
                  </w:r>
                  <w:r>
                    <w:rPr>
                      <w:rFonts w:hint="eastAsia"/>
                      <w:color w:val="000000" w:themeColor="text1"/>
                      <w:szCs w:val="21"/>
                      <w:lang w:eastAsia="zh-CN"/>
                      <w14:textFill>
                        <w14:solidFill>
                          <w14:schemeClr w14:val="tx1"/>
                        </w14:solidFill>
                      </w14:textFill>
                    </w:rPr>
                    <w:t>、</w:t>
                  </w:r>
                  <w:r>
                    <w:rPr>
                      <w:rFonts w:hint="eastAsia"/>
                      <w:lang w:val="en-US" w:eastAsia="zh-CN"/>
                    </w:rPr>
                    <w:t>临时堆料场</w:t>
                  </w:r>
                  <w:r>
                    <w:rPr>
                      <w:rFonts w:hint="eastAsia" w:ascii="Times New Roman" w:hAnsi="Times New Roman" w:eastAsia="宋体"/>
                      <w:lang w:val="en-US" w:eastAsia="zh-CN"/>
                    </w:rPr>
                    <w:t>产生的废气采取防尘抑尘网（墙）加洒水抑尘措施。</w:t>
                  </w:r>
                </w:p>
              </w:tc>
              <w:tc>
                <w:tcPr>
                  <w:tcW w:w="712" w:type="pct"/>
                  <w:vAlign w:val="center"/>
                </w:tcPr>
                <w:p w14:paraId="45FB17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eastAsia="zh-CN"/>
                    </w:rPr>
                  </w:pPr>
                  <w:r>
                    <w:rPr>
                      <w:rFonts w:hint="eastAsia"/>
                      <w:szCs w:val="21"/>
                      <w:lang w:val="en-US" w:eastAsia="zh-CN"/>
                    </w:rPr>
                    <w:t>/</w:t>
                  </w:r>
                </w:p>
              </w:tc>
            </w:tr>
            <w:tr w14:paraId="40684B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297" w:type="pct"/>
                  <w:vMerge w:val="continue"/>
                  <w:vAlign w:val="center"/>
                </w:tcPr>
                <w:p w14:paraId="391B51C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3FA3EA2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废水治理措施</w:t>
                  </w:r>
                </w:p>
              </w:tc>
              <w:tc>
                <w:tcPr>
                  <w:tcW w:w="3383" w:type="pct"/>
                  <w:vAlign w:val="center"/>
                </w:tcPr>
                <w:p w14:paraId="13FF01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color w:val="000000" w:themeColor="text1"/>
                      <w:szCs w:val="21"/>
                      <w14:textFill>
                        <w14:solidFill>
                          <w14:schemeClr w14:val="tx1"/>
                        </w14:solidFill>
                      </w14:textFill>
                    </w:rPr>
                    <w:t>矿山</w:t>
                  </w:r>
                  <w:r>
                    <w:rPr>
                      <w:rFonts w:hint="eastAsia" w:ascii="Times New Roman" w:hAnsi="Times New Roman" w:eastAsia="宋体"/>
                      <w:color w:val="000000" w:themeColor="text1"/>
                      <w:lang w:val="en-US" w:eastAsia="zh-CN"/>
                      <w14:textFill>
                        <w14:solidFill>
                          <w14:schemeClr w14:val="tx1"/>
                        </w14:solidFill>
                      </w14:textFill>
                    </w:rPr>
                    <w:t>新建</w:t>
                  </w:r>
                  <w:r>
                    <w:rPr>
                      <w:rFonts w:hint="eastAsia" w:ascii="Times New Roman" w:hAnsi="Times New Roman" w:eastAsia="宋体"/>
                      <w:color w:val="000000" w:themeColor="text1"/>
                      <w:szCs w:val="21"/>
                      <w:lang w:val="en-US" w:eastAsia="zh-CN"/>
                      <w14:textFill>
                        <w14:solidFill>
                          <w14:schemeClr w14:val="tx1"/>
                        </w14:solidFill>
                      </w14:textFill>
                    </w:rPr>
                    <w:t>18m³化粪</w:t>
                  </w:r>
                  <w:r>
                    <w:rPr>
                      <w:rFonts w:hint="default" w:ascii="Times New Roman" w:hAnsi="Times New Roman" w:eastAsia="宋体"/>
                      <w:color w:val="000000" w:themeColor="text1"/>
                      <w:szCs w:val="21"/>
                      <w14:textFill>
                        <w14:solidFill>
                          <w14:schemeClr w14:val="tx1"/>
                        </w14:solidFill>
                      </w14:textFill>
                    </w:rPr>
                    <w:t>池</w:t>
                  </w:r>
                  <w:r>
                    <w:rPr>
                      <w:rFonts w:hint="eastAsia" w:ascii="Times New Roman" w:hAnsi="Times New Roman" w:eastAsia="宋体"/>
                      <w:color w:val="000000" w:themeColor="text1"/>
                      <w:szCs w:val="21"/>
                      <w:lang w:eastAsia="zh-CN"/>
                      <w14:textFill>
                        <w14:solidFill>
                          <w14:schemeClr w14:val="tx1"/>
                        </w14:solidFill>
                      </w14:textFill>
                    </w:rPr>
                    <w:t>。</w:t>
                  </w:r>
                  <w:r>
                    <w:rPr>
                      <w:rFonts w:hint="default" w:ascii="Times New Roman" w:hAnsi="Times New Roman" w:eastAsia="宋体"/>
                      <w:color w:val="000000" w:themeColor="text1"/>
                      <w:szCs w:val="21"/>
                      <w14:textFill>
                        <w14:solidFill>
                          <w14:schemeClr w14:val="tx1"/>
                        </w14:solidFill>
                      </w14:textFill>
                    </w:rPr>
                    <w:t>生活污水</w:t>
                  </w:r>
                  <w:r>
                    <w:rPr>
                      <w:rFonts w:hint="eastAsia" w:ascii="Times New Roman" w:hAnsi="Times New Roman" w:eastAsia="宋体"/>
                      <w:color w:val="000000" w:themeColor="text1"/>
                      <w:szCs w:val="21"/>
                      <w:lang w:val="en-US" w:eastAsia="zh-CN"/>
                      <w14:textFill>
                        <w14:solidFill>
                          <w14:schemeClr w14:val="tx1"/>
                        </w14:solidFill>
                      </w14:textFill>
                    </w:rPr>
                    <w:t>排入防渗化粪池预处理后定期拉运至和静县污水处理厂处理</w:t>
                  </w:r>
                  <w:r>
                    <w:rPr>
                      <w:rFonts w:hint="eastAsia" w:ascii="Times New Roman" w:hAnsi="Times New Roman" w:eastAsia="宋体" w:cs="Times New Roman"/>
                      <w:color w:val="000000" w:themeColor="text1"/>
                      <w14:textFill>
                        <w14:solidFill>
                          <w14:schemeClr w14:val="tx1"/>
                        </w14:solidFill>
                      </w14:textFill>
                    </w:rPr>
                    <w:t>。</w:t>
                  </w:r>
                </w:p>
              </w:tc>
              <w:tc>
                <w:tcPr>
                  <w:tcW w:w="712" w:type="pct"/>
                  <w:vAlign w:val="center"/>
                </w:tcPr>
                <w:p w14:paraId="406244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lang w:val="en-US" w:eastAsia="zh-CN"/>
                    </w:rPr>
                    <w:t>/</w:t>
                  </w:r>
                </w:p>
              </w:tc>
            </w:tr>
            <w:tr w14:paraId="7CD4CF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297" w:type="pct"/>
                  <w:vMerge w:val="continue"/>
                  <w:vAlign w:val="center"/>
                </w:tcPr>
                <w:p w14:paraId="4820BC0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1A6D05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噪声治理措施</w:t>
                  </w:r>
                </w:p>
              </w:tc>
              <w:tc>
                <w:tcPr>
                  <w:tcW w:w="3383" w:type="pct"/>
                  <w:vAlign w:val="center"/>
                </w:tcPr>
                <w:p w14:paraId="4259510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default" w:ascii="Times New Roman" w:hAnsi="Times New Roman" w:eastAsia="宋体"/>
                      <w:szCs w:val="21"/>
                    </w:rPr>
                    <w:t>加强项目区内机械设备的日常管理保养与维护，对于进出矿区的成品运输车辆应通过限速、禁止鸣笛等措施来降低其影响</w:t>
                  </w:r>
                  <w:r>
                    <w:rPr>
                      <w:rFonts w:hint="eastAsia" w:ascii="Times New Roman" w:hAnsi="Times New Roman" w:eastAsia="宋体" w:cs="Times New Roman"/>
                    </w:rPr>
                    <w:t>。破碎</w:t>
                  </w:r>
                  <w:r>
                    <w:rPr>
                      <w:rFonts w:hint="eastAsia" w:cs="Times New Roman"/>
                      <w:lang w:eastAsia="zh-CN"/>
                    </w:rPr>
                    <w:t>、</w:t>
                  </w:r>
                  <w:r>
                    <w:rPr>
                      <w:rFonts w:hint="eastAsia" w:ascii="Times New Roman" w:hAnsi="Times New Roman" w:eastAsia="宋体" w:cs="Times New Roman"/>
                    </w:rPr>
                    <w:t>筛</w:t>
                  </w:r>
                  <w:r>
                    <w:rPr>
                      <w:rFonts w:hint="eastAsia" w:ascii="Times New Roman" w:hAnsi="Times New Roman" w:eastAsia="宋体" w:cs="Times New Roman"/>
                      <w:lang w:val="en-US" w:eastAsia="zh-CN"/>
                    </w:rPr>
                    <w:t>分产生的噪声</w:t>
                  </w:r>
                  <w:r>
                    <w:rPr>
                      <w:rFonts w:hint="eastAsia" w:ascii="Times New Roman" w:hAnsi="Times New Roman" w:eastAsia="宋体"/>
                    </w:rPr>
                    <w:t>利用建筑隔音</w:t>
                  </w:r>
                  <w:r>
                    <w:rPr>
                      <w:rFonts w:hint="eastAsia" w:ascii="Times New Roman" w:hAnsi="Times New Roman" w:eastAsia="宋体"/>
                      <w:lang w:eastAsia="zh-CN"/>
                    </w:rPr>
                    <w:t>、</w:t>
                  </w:r>
                  <w:r>
                    <w:rPr>
                      <w:rFonts w:hint="eastAsia" w:ascii="Times New Roman" w:hAnsi="Times New Roman" w:eastAsia="宋体"/>
                    </w:rPr>
                    <w:t>设备</w:t>
                  </w:r>
                  <w:r>
                    <w:rPr>
                      <w:rFonts w:hint="eastAsia" w:ascii="Times New Roman" w:hAnsi="Times New Roman" w:eastAsia="宋体"/>
                      <w:lang w:val="en-US" w:eastAsia="zh-CN"/>
                    </w:rPr>
                    <w:t>上</w:t>
                  </w:r>
                  <w:r>
                    <w:rPr>
                      <w:rFonts w:hint="eastAsia" w:ascii="Times New Roman" w:hAnsi="Times New Roman" w:eastAsia="宋体"/>
                    </w:rPr>
                    <w:t>尽量选用低噪音</w:t>
                  </w:r>
                  <w:r>
                    <w:rPr>
                      <w:rFonts w:hint="eastAsia" w:ascii="Times New Roman" w:hAnsi="Times New Roman" w:eastAsia="宋体"/>
                      <w:lang w:val="en-US" w:eastAsia="zh-CN"/>
                    </w:rPr>
                    <w:t>设备。</w:t>
                  </w:r>
                </w:p>
              </w:tc>
              <w:tc>
                <w:tcPr>
                  <w:tcW w:w="712" w:type="pct"/>
                  <w:vAlign w:val="center"/>
                </w:tcPr>
                <w:p w14:paraId="6703844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lang w:val="en-US" w:eastAsia="zh-CN"/>
                    </w:rPr>
                    <w:t>/</w:t>
                  </w:r>
                </w:p>
              </w:tc>
            </w:tr>
            <w:tr w14:paraId="72C56D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297" w:type="pct"/>
                  <w:vMerge w:val="continue"/>
                  <w:vAlign w:val="center"/>
                </w:tcPr>
                <w:p w14:paraId="1E47728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249042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color w:val="auto"/>
                      <w:szCs w:val="21"/>
                    </w:rPr>
                    <w:t>固体废物治理措施</w:t>
                  </w:r>
                </w:p>
              </w:tc>
              <w:tc>
                <w:tcPr>
                  <w:tcW w:w="3383" w:type="pct"/>
                  <w:vAlign w:val="center"/>
                </w:tcPr>
                <w:p w14:paraId="58B61F40">
                  <w:pPr>
                    <w:pStyle w:val="9"/>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 w:val="21"/>
                      <w:szCs w:val="21"/>
                    </w:rPr>
                    <w:t>生活区设置生活垃圾箱，由运输车辆带出矿区交由当地环卫部门统一处理</w:t>
                  </w:r>
                  <w:r>
                    <w:rPr>
                      <w:rFonts w:hint="default"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产生的</w:t>
                  </w:r>
                  <w:r>
                    <w:rPr>
                      <w:rFonts w:hint="eastAsia"/>
                      <w:color w:val="auto"/>
                      <w:sz w:val="21"/>
                      <w:szCs w:val="21"/>
                      <w:lang w:val="en-US" w:eastAsia="zh-CN"/>
                    </w:rPr>
                    <w:t>废土、废石暂存于排土场</w:t>
                  </w:r>
                  <w:r>
                    <w:rPr>
                      <w:rFonts w:hint="eastAsia" w:ascii="Times New Roman" w:hAnsi="Times New Roman" w:eastAsia="宋体"/>
                      <w:color w:val="auto"/>
                      <w:sz w:val="21"/>
                      <w:szCs w:val="21"/>
                      <w:lang w:val="en-US" w:eastAsia="zh-CN"/>
                    </w:rPr>
                    <w:t>，</w:t>
                  </w:r>
                  <w:r>
                    <w:rPr>
                      <w:rFonts w:hint="eastAsia" w:ascii="Times New Roman" w:hAnsi="Times New Roman" w:eastAsia="宋体"/>
                      <w:color w:val="000000" w:themeColor="text1"/>
                      <w:sz w:val="21"/>
                      <w:szCs w:val="21"/>
                      <w:lang w:val="en-US" w:eastAsia="zh-CN"/>
                      <w14:textFill>
                        <w14:solidFill>
                          <w14:schemeClr w14:val="tx1"/>
                        </w14:solidFill>
                      </w14:textFill>
                    </w:rPr>
                    <w:t>用于</w:t>
                  </w:r>
                  <w:r>
                    <w:rPr>
                      <w:rFonts w:hint="eastAsia" w:ascii="Times New Roman" w:hAnsi="Times New Roman" w:eastAsia="宋体"/>
                      <w:color w:val="000000" w:themeColor="text1"/>
                      <w:sz w:val="21"/>
                      <w:szCs w:val="21"/>
                      <w14:textFill>
                        <w14:solidFill>
                          <w14:schemeClr w14:val="tx1"/>
                        </w14:solidFill>
                      </w14:textFill>
                    </w:rPr>
                    <w:t>回填采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坑</w:t>
                  </w:r>
                  <w:r>
                    <w:rPr>
                      <w:rFonts w:hint="eastAsia"/>
                      <w:sz w:val="21"/>
                      <w:szCs w:val="21"/>
                      <w:lang w:val="en-US" w:eastAsia="zh-CN"/>
                    </w:rPr>
                    <w:t>；</w:t>
                  </w:r>
                  <w:r>
                    <w:rPr>
                      <w:rFonts w:hint="eastAsia" w:cs="Times New Roman"/>
                      <w:bCs/>
                      <w:color w:val="auto"/>
                      <w:sz w:val="21"/>
                    </w:rPr>
                    <w:t>矿山道路</w:t>
                  </w:r>
                  <w:r>
                    <w:rPr>
                      <w:rFonts w:hint="eastAsia" w:cs="Times New Roman"/>
                      <w:bCs/>
                      <w:color w:val="auto"/>
                      <w:sz w:val="21"/>
                      <w:lang w:eastAsia="zh-CN"/>
                    </w:rPr>
                    <w:t>、</w:t>
                  </w:r>
                  <w:r>
                    <w:rPr>
                      <w:rFonts w:hint="eastAsia" w:cs="Times New Roman"/>
                      <w:bCs/>
                      <w:color w:val="auto"/>
                      <w:sz w:val="21"/>
                    </w:rPr>
                    <w:t>生活区</w:t>
                  </w:r>
                  <w:r>
                    <w:rPr>
                      <w:rFonts w:hint="eastAsia" w:cs="Times New Roman"/>
                      <w:bCs/>
                      <w:color w:val="auto"/>
                      <w:sz w:val="21"/>
                      <w:lang w:eastAsia="zh-CN"/>
                    </w:rPr>
                    <w:t>、</w:t>
                  </w:r>
                  <w:r>
                    <w:rPr>
                      <w:rFonts w:hint="eastAsia" w:cs="Times New Roman"/>
                      <w:bCs/>
                      <w:color w:val="auto"/>
                      <w:sz w:val="21"/>
                    </w:rPr>
                    <w:t>排土场</w:t>
                  </w:r>
                  <w:r>
                    <w:rPr>
                      <w:rFonts w:hint="eastAsia" w:cs="Times New Roman"/>
                      <w:bCs/>
                      <w:color w:val="auto"/>
                      <w:sz w:val="21"/>
                      <w:lang w:eastAsia="zh-CN"/>
                    </w:rPr>
                    <w:t>、</w:t>
                  </w:r>
                  <w:r>
                    <w:rPr>
                      <w:rFonts w:hint="eastAsia" w:cs="Times New Roman"/>
                      <w:bCs/>
                      <w:color w:val="auto"/>
                      <w:sz w:val="21"/>
                      <w:lang w:val="en-US" w:eastAsia="zh-CN"/>
                    </w:rPr>
                    <w:t>临时堆料场与</w:t>
                  </w:r>
                  <w:r>
                    <w:rPr>
                      <w:rFonts w:hint="eastAsia" w:cs="Times New Roman"/>
                      <w:bCs/>
                      <w:color w:val="auto"/>
                      <w:sz w:val="21"/>
                    </w:rPr>
                    <w:t>破碎</w:t>
                  </w:r>
                  <w:r>
                    <w:rPr>
                      <w:rFonts w:hint="eastAsia" w:cs="Times New Roman"/>
                      <w:bCs/>
                      <w:color w:val="auto"/>
                      <w:sz w:val="21"/>
                      <w:lang w:val="en-US" w:eastAsia="zh-CN"/>
                    </w:rPr>
                    <w:t>筛分</w:t>
                  </w:r>
                  <w:r>
                    <w:rPr>
                      <w:rFonts w:hint="eastAsia" w:cs="Times New Roman"/>
                      <w:bCs/>
                      <w:color w:val="auto"/>
                      <w:sz w:val="21"/>
                    </w:rPr>
                    <w:t>场地</w:t>
                  </w:r>
                  <w:r>
                    <w:rPr>
                      <w:rFonts w:hint="eastAsia" w:cs="Times New Roman"/>
                      <w:bCs/>
                      <w:color w:val="auto"/>
                      <w:sz w:val="21"/>
                      <w:lang w:eastAsia="zh-CN"/>
                    </w:rPr>
                    <w:t>，</w:t>
                  </w:r>
                  <w:r>
                    <w:rPr>
                      <w:rFonts w:hint="default" w:cs="Times New Roman"/>
                      <w:bCs/>
                      <w:color w:val="auto"/>
                      <w:sz w:val="21"/>
                    </w:rPr>
                    <w:t>在基建前对地表表土进行剥离</w:t>
                  </w:r>
                  <w:r>
                    <w:rPr>
                      <w:rFonts w:hint="eastAsia" w:cs="Times New Roman"/>
                      <w:bCs/>
                      <w:color w:val="auto"/>
                      <w:sz w:val="21"/>
                      <w:lang w:eastAsia="zh-CN"/>
                    </w:rPr>
                    <w:t>；</w:t>
                  </w:r>
                  <w:r>
                    <w:rPr>
                      <w:rFonts w:hint="eastAsia" w:cs="Times New Roman"/>
                      <w:bCs/>
                      <w:color w:val="auto"/>
                      <w:sz w:val="21"/>
                    </w:rPr>
                    <w:t>露天采场</w:t>
                  </w:r>
                  <w:r>
                    <w:rPr>
                      <w:rFonts w:hint="eastAsia" w:cs="Times New Roman"/>
                      <w:bCs/>
                      <w:color w:val="auto"/>
                      <w:sz w:val="21"/>
                      <w:lang w:val="en-US" w:eastAsia="zh-CN"/>
                    </w:rPr>
                    <w:t>矿体直接露出地表，不进行表土剥离，</w:t>
                  </w:r>
                  <w:r>
                    <w:rPr>
                      <w:rFonts w:hint="default" w:cs="Times New Roman"/>
                      <w:bCs/>
                      <w:color w:val="auto"/>
                      <w:sz w:val="21"/>
                    </w:rPr>
                    <w:t>表土剥离平均厚度0.</w:t>
                  </w:r>
                  <w:r>
                    <w:rPr>
                      <w:rFonts w:hint="eastAsia" w:cs="Times New Roman"/>
                      <w:bCs/>
                      <w:color w:val="auto"/>
                      <w:sz w:val="21"/>
                      <w:lang w:val="en-US" w:eastAsia="zh-CN"/>
                    </w:rPr>
                    <w:t>3</w:t>
                  </w:r>
                  <w:r>
                    <w:rPr>
                      <w:rFonts w:hint="default" w:cs="Times New Roman"/>
                      <w:bCs/>
                      <w:color w:val="auto"/>
                      <w:sz w:val="21"/>
                    </w:rPr>
                    <w:t>米，剥离区总面积</w:t>
                  </w:r>
                  <w:r>
                    <w:rPr>
                      <w:rFonts w:hint="eastAsia" w:cs="Times New Roman"/>
                      <w:bCs/>
                      <w:color w:val="auto"/>
                      <w:sz w:val="21"/>
                      <w:lang w:val="en-US" w:eastAsia="zh-CN"/>
                    </w:rPr>
                    <w:t>5.774</w:t>
                  </w:r>
                  <w:r>
                    <w:rPr>
                      <w:rFonts w:hint="default" w:cs="Times New Roman"/>
                      <w:bCs/>
                      <w:color w:val="auto"/>
                      <w:sz w:val="21"/>
                    </w:rPr>
                    <w:t>公顷，剥离表土量</w:t>
                  </w:r>
                  <w:r>
                    <w:rPr>
                      <w:rFonts w:hint="eastAsia" w:cs="Times New Roman"/>
                      <w:bCs/>
                      <w:color w:val="auto"/>
                      <w:sz w:val="21"/>
                      <w:lang w:val="en-US" w:eastAsia="zh-CN"/>
                    </w:rPr>
                    <w:t>5300</w:t>
                  </w:r>
                  <w:r>
                    <w:rPr>
                      <w:rFonts w:hint="default" w:cs="Times New Roman"/>
                      <w:bCs/>
                      <w:color w:val="auto"/>
                      <w:sz w:val="21"/>
                    </w:rPr>
                    <w:t>立方米</w:t>
                  </w:r>
                  <w:r>
                    <w:rPr>
                      <w:rFonts w:hint="eastAsia" w:cs="Times New Roman"/>
                      <w:bCs/>
                      <w:color w:val="auto"/>
                      <w:sz w:val="21"/>
                      <w:lang w:eastAsia="zh-CN"/>
                    </w:rPr>
                    <w:t>（扣除3%的损耗率</w:t>
                  </w:r>
                  <w:r>
                    <w:rPr>
                      <w:rFonts w:hint="eastAsia" w:cs="Times New Roman"/>
                      <w:bCs/>
                      <w:color w:val="auto"/>
                      <w:sz w:val="21"/>
                      <w:lang w:val="en-US" w:eastAsia="zh-CN"/>
                    </w:rPr>
                    <w:t>后为5141立方米</w:t>
                  </w:r>
                  <w:r>
                    <w:rPr>
                      <w:rFonts w:hint="eastAsia" w:cs="Times New Roman"/>
                      <w:bCs/>
                      <w:color w:val="auto"/>
                      <w:sz w:val="21"/>
                      <w:lang w:eastAsia="zh-CN"/>
                    </w:rPr>
                    <w:t>）</w:t>
                  </w:r>
                  <w:r>
                    <w:rPr>
                      <w:rFonts w:hint="default" w:cs="Times New Roman"/>
                      <w:bCs/>
                      <w:color w:val="auto"/>
                      <w:sz w:val="21"/>
                    </w:rPr>
                    <w:t>，剥离后表土全部堆放于排土场</w:t>
                  </w:r>
                  <w:r>
                    <w:rPr>
                      <w:rFonts w:hint="eastAsia" w:cs="Times New Roman"/>
                      <w:bCs/>
                      <w:color w:val="auto"/>
                      <w:sz w:val="21"/>
                      <w:lang w:val="en-US" w:eastAsia="zh-CN"/>
                    </w:rPr>
                    <w:t>内</w:t>
                  </w:r>
                  <w:r>
                    <w:rPr>
                      <w:rFonts w:hint="eastAsia" w:cs="Times New Roman"/>
                      <w:bCs/>
                      <w:color w:val="auto"/>
                      <w:sz w:val="21"/>
                      <w:lang w:eastAsia="zh-CN"/>
                    </w:rPr>
                    <w:t>，</w:t>
                  </w:r>
                  <w:r>
                    <w:rPr>
                      <w:rFonts w:hint="eastAsia" w:cs="Times New Roman"/>
                      <w:bCs/>
                      <w:color w:val="auto"/>
                      <w:sz w:val="21"/>
                      <w:lang w:val="en-US" w:eastAsia="zh-CN"/>
                    </w:rPr>
                    <w:t>采矿结束之后回填采坑</w:t>
                  </w:r>
                  <w:r>
                    <w:rPr>
                      <w:rFonts w:hint="eastAsia" w:ascii="Times New Roman" w:hAnsi="Times New Roman" w:eastAsia="宋体"/>
                      <w:sz w:val="21"/>
                      <w:szCs w:val="21"/>
                      <w:lang w:val="en-US" w:eastAsia="zh-CN"/>
                    </w:rPr>
                    <w:t>；设备检修、维护时产生的废机油，属于危险废物，统一收集，存放在10m</w:t>
                  </w:r>
                  <w:r>
                    <w:rPr>
                      <w:rFonts w:hint="eastAsia" w:ascii="Times New Roman" w:hAnsi="Times New Roman" w:eastAsia="宋体"/>
                      <w:sz w:val="21"/>
                      <w:szCs w:val="21"/>
                      <w:vertAlign w:val="superscript"/>
                      <w:lang w:val="en-US" w:eastAsia="zh-CN"/>
                    </w:rPr>
                    <w:t>2</w:t>
                  </w:r>
                  <w:r>
                    <w:rPr>
                      <w:rFonts w:hint="eastAsia"/>
                      <w:sz w:val="21"/>
                      <w:szCs w:val="21"/>
                      <w:lang w:val="en-US" w:eastAsia="zh-CN"/>
                    </w:rPr>
                    <w:t>危废贮存间</w:t>
                  </w:r>
                  <w:r>
                    <w:rPr>
                      <w:rFonts w:hint="eastAsia" w:ascii="Times New Roman" w:hAnsi="Times New Roman" w:eastAsia="宋体"/>
                      <w:sz w:val="21"/>
                      <w:szCs w:val="21"/>
                      <w:lang w:val="en-US" w:eastAsia="zh-CN"/>
                    </w:rPr>
                    <w:t>，交由有资质单位处理</w:t>
                  </w:r>
                  <w:r>
                    <w:rPr>
                      <w:rFonts w:hint="eastAsia" w:cs="Times New Roman"/>
                      <w:bCs/>
                      <w:color w:val="auto"/>
                      <w:sz w:val="21"/>
                      <w:lang w:val="en-US" w:eastAsia="zh-CN"/>
                    </w:rPr>
                    <w:t>。</w:t>
                  </w:r>
                </w:p>
              </w:tc>
              <w:tc>
                <w:tcPr>
                  <w:tcW w:w="712" w:type="pct"/>
                  <w:vAlign w:val="center"/>
                </w:tcPr>
                <w:p w14:paraId="36F5515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w:t>
                  </w:r>
                </w:p>
              </w:tc>
            </w:tr>
            <w:tr w14:paraId="5A0FC1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297" w:type="pct"/>
                  <w:vMerge w:val="continue"/>
                  <w:vAlign w:val="center"/>
                </w:tcPr>
                <w:p w14:paraId="6E2044E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p>
              </w:tc>
              <w:tc>
                <w:tcPr>
                  <w:tcW w:w="606" w:type="pct"/>
                  <w:vAlign w:val="center"/>
                </w:tcPr>
                <w:p w14:paraId="3803BE6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生态环境保护措施</w:t>
                  </w:r>
                </w:p>
              </w:tc>
              <w:tc>
                <w:tcPr>
                  <w:tcW w:w="3383" w:type="pct"/>
                  <w:vAlign w:val="center"/>
                </w:tcPr>
                <w:p w14:paraId="1532B4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严格按照复垦方案执行，边开采</w:t>
                  </w:r>
                  <w:r>
                    <w:rPr>
                      <w:rFonts w:hint="default" w:cs="Times New Roman"/>
                      <w:color w:val="auto"/>
                      <w:kern w:val="0"/>
                      <w:szCs w:val="22"/>
                      <w:lang w:bidi="ar"/>
                    </w:rPr>
                    <w:t>边</w:t>
                  </w:r>
                  <w:r>
                    <w:rPr>
                      <w:rFonts w:hint="default" w:ascii="Times New Roman" w:hAnsi="Times New Roman" w:eastAsia="宋体"/>
                      <w:szCs w:val="21"/>
                    </w:rPr>
                    <w:t>复垦</w:t>
                  </w:r>
                  <w:r>
                    <w:rPr>
                      <w:rFonts w:hint="eastAsia"/>
                      <w:lang w:eastAsia="zh-CN"/>
                    </w:rPr>
                    <w:t>，</w:t>
                  </w:r>
                  <w:r>
                    <w:rPr>
                      <w:rFonts w:hint="eastAsia"/>
                      <w:szCs w:val="21"/>
                      <w:lang w:val="en-US" w:eastAsia="zh-CN"/>
                    </w:rPr>
                    <w:t>严格控制排土场</w:t>
                  </w:r>
                  <w:r>
                    <w:rPr>
                      <w:rFonts w:hint="default" w:ascii="Times New Roman" w:hAnsi="Times New Roman" w:eastAsia="宋体"/>
                      <w:szCs w:val="21"/>
                    </w:rPr>
                    <w:t>占地，禁止破坏项目区外的植被；</w:t>
                  </w:r>
                  <w:r>
                    <w:rPr>
                      <w:rFonts w:hint="eastAsia"/>
                      <w:szCs w:val="21"/>
                      <w:lang w:val="en-US" w:eastAsia="zh-CN"/>
                    </w:rPr>
                    <w:t>排土场内的废土、废石用于矿坑回填；</w:t>
                  </w:r>
                  <w:r>
                    <w:rPr>
                      <w:rFonts w:hint="default" w:ascii="Times New Roman" w:hAnsi="Times New Roman" w:eastAsia="宋体"/>
                      <w:szCs w:val="21"/>
                    </w:rPr>
                    <w:t>合理安排开采时间，避免夜间开采对野生动物的影响，加强开采员工对野生动物的保护意识，禁止捕捉野生动物，减少作业人员在矿区作业区以外活动区域，避免惊吓野生动物；在矿区修建</w:t>
                  </w:r>
                  <w:r>
                    <w:rPr>
                      <w:rFonts w:hint="eastAsia" w:ascii="Times New Roman" w:hAnsi="Times New Roman" w:eastAsia="宋体"/>
                      <w:szCs w:val="21"/>
                      <w:lang w:val="en-US" w:eastAsia="zh-CN"/>
                    </w:rPr>
                    <w:t>截</w:t>
                  </w:r>
                  <w:r>
                    <w:rPr>
                      <w:rFonts w:hint="default" w:ascii="Times New Roman" w:hAnsi="Times New Roman" w:eastAsia="宋体"/>
                      <w:szCs w:val="21"/>
                    </w:rPr>
                    <w:t>排水沟，</w:t>
                  </w:r>
                  <w:r>
                    <w:rPr>
                      <w:rFonts w:hint="eastAsia" w:ascii="Times New Roman" w:hAnsi="Times New Roman" w:eastAsia="宋体"/>
                      <w:szCs w:val="21"/>
                      <w:lang w:val="en-US" w:eastAsia="zh-CN"/>
                    </w:rPr>
                    <w:t>排土场</w:t>
                  </w:r>
                  <w:r>
                    <w:rPr>
                      <w:rFonts w:hint="default" w:ascii="Times New Roman" w:hAnsi="Times New Roman" w:eastAsia="宋体"/>
                      <w:szCs w:val="21"/>
                    </w:rPr>
                    <w:t>修建排水沟。</w:t>
                  </w:r>
                </w:p>
              </w:tc>
              <w:tc>
                <w:tcPr>
                  <w:tcW w:w="712" w:type="pct"/>
                  <w:vAlign w:val="center"/>
                </w:tcPr>
                <w:p w14:paraId="650C106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szCs w:val="21"/>
                    </w:rPr>
                  </w:pPr>
                  <w:r>
                    <w:rPr>
                      <w:rFonts w:hint="eastAsia" w:ascii="Times New Roman" w:hAnsi="Times New Roman" w:eastAsia="宋体"/>
                      <w:szCs w:val="21"/>
                    </w:rPr>
                    <w:t>/</w:t>
                  </w:r>
                </w:p>
              </w:tc>
            </w:tr>
          </w:tbl>
          <w:p w14:paraId="34C620FE">
            <w:pPr>
              <w:keepNext w:val="0"/>
              <w:keepLines w:val="0"/>
              <w:suppressLineNumbers w:val="0"/>
              <w:spacing w:before="0" w:beforeAutospacing="0" w:after="0" w:afterAutospacing="0" w:line="520" w:lineRule="exact"/>
              <w:ind w:left="0" w:right="0" w:firstLine="480" w:firstLineChars="200"/>
              <w:jc w:val="left"/>
              <w:rPr>
                <w:rFonts w:hint="default"/>
                <w:bCs/>
                <w:kern w:val="0"/>
                <w:sz w:val="24"/>
                <w:lang w:val="en-US"/>
              </w:rPr>
            </w:pPr>
            <w:r>
              <w:rPr>
                <w:rFonts w:hint="eastAsia"/>
                <w:bCs/>
                <w:kern w:val="0"/>
                <w:sz w:val="24"/>
              </w:rPr>
              <w:t>主要采矿设备见表2-3。主要资源用量见表2-4。</w:t>
            </w:r>
            <w:r>
              <w:rPr>
                <w:rFonts w:hint="eastAsia"/>
                <w:sz w:val="24"/>
                <w:lang w:val="en-US" w:eastAsia="zh-CN"/>
              </w:rPr>
              <w:t>矿区建构筑物一览见表2-5。</w:t>
            </w:r>
          </w:p>
          <w:p w14:paraId="6085AD60">
            <w:pPr>
              <w:pStyle w:val="19"/>
              <w:keepNext w:val="0"/>
              <w:keepLines w:val="0"/>
              <w:suppressLineNumbers w:val="0"/>
              <w:spacing w:before="0" w:beforeAutospacing="0" w:after="0" w:afterAutospacing="0" w:line="520" w:lineRule="exact"/>
              <w:ind w:left="482" w:right="0" w:hanging="482"/>
              <w:jc w:val="center"/>
              <w:rPr>
                <w:rFonts w:hint="eastAsia" w:ascii="Times New Roman" w:hAnsi="Times New Roman" w:eastAsia="宋体" w:cs="Times New Roman"/>
                <w:b/>
                <w:bCs/>
              </w:rPr>
            </w:pPr>
            <w:r>
              <w:rPr>
                <w:rFonts w:hint="eastAsia" w:ascii="Times New Roman" w:hAnsi="Times New Roman" w:eastAsia="宋体" w:cs="Times New Roman"/>
                <w:b/>
                <w:bCs/>
              </w:rPr>
              <w:t>表2-3  主要生产设备清单</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600"/>
              <w:gridCol w:w="3424"/>
              <w:gridCol w:w="744"/>
              <w:gridCol w:w="719"/>
              <w:gridCol w:w="1283"/>
            </w:tblGrid>
            <w:tr w14:paraId="1D27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71" w:type="pct"/>
                  <w:vAlign w:val="center"/>
                </w:tcPr>
                <w:p w14:paraId="34961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lang w:val="zh-CN"/>
                    </w:rPr>
                    <w:t>序号</w:t>
                  </w:r>
                </w:p>
              </w:tc>
              <w:tc>
                <w:tcPr>
                  <w:tcW w:w="953" w:type="pct"/>
                  <w:vAlign w:val="center"/>
                </w:tcPr>
                <w:p w14:paraId="0AE7DD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lang w:val="zh-CN"/>
                    </w:rPr>
                  </w:pPr>
                  <w:r>
                    <w:rPr>
                      <w:rFonts w:hint="default" w:ascii="Times New Roman" w:hAnsi="Times New Roman" w:eastAsia="宋体"/>
                      <w:szCs w:val="21"/>
                      <w:lang w:val="zh-CN"/>
                    </w:rPr>
                    <w:t>设备名称</w:t>
                  </w:r>
                </w:p>
              </w:tc>
              <w:tc>
                <w:tcPr>
                  <w:tcW w:w="2039" w:type="pct"/>
                  <w:vAlign w:val="center"/>
                </w:tcPr>
                <w:p w14:paraId="36A7C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default" w:ascii="Times New Roman" w:hAnsi="Times New Roman" w:eastAsia="宋体"/>
                      <w:szCs w:val="21"/>
                    </w:rPr>
                    <w:t>型号</w:t>
                  </w:r>
                  <w:r>
                    <w:rPr>
                      <w:rFonts w:hint="eastAsia" w:ascii="Times New Roman" w:hAnsi="Times New Roman" w:eastAsia="宋体"/>
                      <w:szCs w:val="21"/>
                      <w:lang w:val="en-US" w:eastAsia="zh-CN"/>
                    </w:rPr>
                    <w:t>规格</w:t>
                  </w:r>
                </w:p>
              </w:tc>
              <w:tc>
                <w:tcPr>
                  <w:tcW w:w="443" w:type="pct"/>
                  <w:vAlign w:val="center"/>
                </w:tcPr>
                <w:p w14:paraId="3E504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lang w:val="zh-CN"/>
                    </w:rPr>
                  </w:pPr>
                  <w:r>
                    <w:rPr>
                      <w:rFonts w:hint="default" w:ascii="Times New Roman" w:hAnsi="Times New Roman" w:eastAsia="宋体"/>
                      <w:szCs w:val="21"/>
                      <w:lang w:val="zh-CN"/>
                    </w:rPr>
                    <w:t>单位</w:t>
                  </w:r>
                </w:p>
              </w:tc>
              <w:tc>
                <w:tcPr>
                  <w:tcW w:w="428" w:type="pct"/>
                  <w:vAlign w:val="center"/>
                </w:tcPr>
                <w:p w14:paraId="1C739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lang w:val="zh-CN"/>
                    </w:rPr>
                    <w:t>数量</w:t>
                  </w:r>
                </w:p>
              </w:tc>
              <w:tc>
                <w:tcPr>
                  <w:tcW w:w="764" w:type="pct"/>
                  <w:vAlign w:val="center"/>
                </w:tcPr>
                <w:p w14:paraId="32B5A3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备注</w:t>
                  </w:r>
                </w:p>
              </w:tc>
            </w:tr>
            <w:tr w14:paraId="36A7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Align w:val="center"/>
                </w:tcPr>
                <w:p w14:paraId="0F26C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1</w:t>
                  </w:r>
                </w:p>
              </w:tc>
              <w:tc>
                <w:tcPr>
                  <w:tcW w:w="953" w:type="pct"/>
                  <w:vAlign w:val="center"/>
                </w:tcPr>
                <w:p w14:paraId="34A24D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rPr>
                  </w:pPr>
                  <w:r>
                    <w:rPr>
                      <w:rFonts w:hint="default" w:ascii="Times New Roman" w:hAnsi="Times New Roman" w:eastAsia="宋体"/>
                      <w:kern w:val="0"/>
                      <w:szCs w:val="21"/>
                    </w:rPr>
                    <w:t>露天潜孔钻机</w:t>
                  </w:r>
                </w:p>
              </w:tc>
              <w:tc>
                <w:tcPr>
                  <w:tcW w:w="2039" w:type="pct"/>
                  <w:vAlign w:val="center"/>
                </w:tcPr>
                <w:p w14:paraId="1B66D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rPr>
                  </w:pPr>
                  <w:r>
                    <w:rPr>
                      <w:rFonts w:hint="default" w:ascii="Times New Roman" w:hAnsi="Times New Roman" w:eastAsia="宋体" w:cs="Times New Roman"/>
                      <w:color w:val="auto"/>
                      <w:kern w:val="144"/>
                      <w:sz w:val="21"/>
                      <w:szCs w:val="21"/>
                    </w:rPr>
                    <w:t>CLG-361，孔径105</w:t>
                  </w:r>
                  <w:r>
                    <w:rPr>
                      <w:rFonts w:hint="eastAsia" w:cs="Times New Roman"/>
                      <w:color w:val="auto"/>
                      <w:kern w:val="144"/>
                      <w:sz w:val="21"/>
                      <w:szCs w:val="21"/>
                      <w:lang w:eastAsia="zh-CN"/>
                    </w:rPr>
                    <w:t>—</w:t>
                  </w:r>
                  <w:r>
                    <w:rPr>
                      <w:rFonts w:hint="default" w:ascii="Times New Roman" w:hAnsi="Times New Roman" w:eastAsia="宋体" w:cs="Times New Roman"/>
                      <w:color w:val="auto"/>
                      <w:kern w:val="144"/>
                      <w:sz w:val="21"/>
                      <w:szCs w:val="21"/>
                    </w:rPr>
                    <w:t>165mm，孔深20m，风量17-21m</w:t>
                  </w:r>
                  <w:r>
                    <w:rPr>
                      <w:rFonts w:hint="default" w:ascii="Times New Roman" w:hAnsi="Times New Roman" w:eastAsia="宋体" w:cs="Times New Roman"/>
                      <w:color w:val="auto"/>
                      <w:kern w:val="144"/>
                      <w:sz w:val="21"/>
                      <w:szCs w:val="21"/>
                      <w:vertAlign w:val="superscript"/>
                    </w:rPr>
                    <w:t>3</w:t>
                  </w:r>
                  <w:r>
                    <w:rPr>
                      <w:rFonts w:hint="default" w:ascii="Times New Roman" w:hAnsi="Times New Roman" w:eastAsia="宋体" w:cs="Times New Roman"/>
                      <w:color w:val="auto"/>
                      <w:kern w:val="144"/>
                      <w:sz w:val="21"/>
                      <w:szCs w:val="21"/>
                    </w:rPr>
                    <w:t>/min，风压1.05-2.46MPa。</w:t>
                  </w:r>
                </w:p>
              </w:tc>
              <w:tc>
                <w:tcPr>
                  <w:tcW w:w="443" w:type="pct"/>
                  <w:vAlign w:val="center"/>
                </w:tcPr>
                <w:p w14:paraId="54AC1B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zh-CN"/>
                    </w:rPr>
                  </w:pPr>
                  <w:r>
                    <w:rPr>
                      <w:rFonts w:hint="default" w:ascii="Times New Roman" w:hAnsi="Times New Roman" w:eastAsia="宋体"/>
                      <w:kern w:val="0"/>
                      <w:szCs w:val="21"/>
                    </w:rPr>
                    <w:t>台</w:t>
                  </w:r>
                </w:p>
              </w:tc>
              <w:tc>
                <w:tcPr>
                  <w:tcW w:w="428" w:type="pct"/>
                  <w:vAlign w:val="center"/>
                </w:tcPr>
                <w:p w14:paraId="7AF47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kern w:val="0"/>
                      <w:szCs w:val="21"/>
                      <w:lang w:eastAsia="zh-CN"/>
                    </w:rPr>
                  </w:pPr>
                  <w:r>
                    <w:rPr>
                      <w:rFonts w:hint="eastAsia" w:ascii="Times New Roman" w:hAnsi="Times New Roman" w:eastAsia="宋体"/>
                      <w:kern w:val="0"/>
                      <w:szCs w:val="21"/>
                      <w:lang w:val="en-US" w:eastAsia="zh-CN"/>
                    </w:rPr>
                    <w:t>2</w:t>
                  </w:r>
                </w:p>
              </w:tc>
              <w:tc>
                <w:tcPr>
                  <w:tcW w:w="764" w:type="pct"/>
                  <w:vAlign w:val="center"/>
                </w:tcPr>
                <w:p w14:paraId="1D8EED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lang w:val="en-US"/>
                    </w:rPr>
                  </w:pPr>
                  <w:r>
                    <w:rPr>
                      <w:rFonts w:hint="eastAsia" w:ascii="Times New Roman" w:hAnsi="Times New Roman" w:eastAsia="宋体" w:cs="Times New Roman"/>
                      <w:color w:val="000000" w:themeColor="text1"/>
                      <w:kern w:val="144"/>
                      <w:sz w:val="21"/>
                      <w:szCs w:val="21"/>
                      <w:lang w:val="en-US" w:eastAsia="zh-CN"/>
                      <w14:textFill>
                        <w14:solidFill>
                          <w14:schemeClr w14:val="tx1"/>
                        </w14:solidFill>
                      </w14:textFill>
                    </w:rPr>
                    <w:t>1用1备</w:t>
                  </w:r>
                  <w:r>
                    <w:rPr>
                      <w:rFonts w:hint="eastAsia" w:cs="Times New Roman"/>
                      <w:color w:val="000000" w:themeColor="text1"/>
                      <w:kern w:val="144"/>
                      <w:sz w:val="21"/>
                      <w:szCs w:val="21"/>
                      <w:lang w:val="en-US" w:eastAsia="zh-CN"/>
                      <w14:textFill>
                        <w14:solidFill>
                          <w14:schemeClr w14:val="tx1"/>
                        </w14:solidFill>
                      </w14:textFill>
                    </w:rPr>
                    <w:t>，露天布置。</w:t>
                  </w:r>
                </w:p>
              </w:tc>
            </w:tr>
            <w:tr w14:paraId="6341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Align w:val="center"/>
                </w:tcPr>
                <w:p w14:paraId="111FEE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2</w:t>
                  </w:r>
                </w:p>
              </w:tc>
              <w:tc>
                <w:tcPr>
                  <w:tcW w:w="953" w:type="pct"/>
                  <w:vAlign w:val="center"/>
                </w:tcPr>
                <w:p w14:paraId="19243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zh-CN"/>
                    </w:rPr>
                  </w:pPr>
                  <w:r>
                    <w:rPr>
                      <w:rFonts w:hint="default" w:ascii="Times New Roman" w:hAnsi="Times New Roman" w:eastAsia="宋体"/>
                      <w:kern w:val="0"/>
                      <w:szCs w:val="21"/>
                      <w:lang w:val="zh-CN"/>
                    </w:rPr>
                    <w:t>全液压挖掘机</w:t>
                  </w:r>
                </w:p>
              </w:tc>
              <w:tc>
                <w:tcPr>
                  <w:tcW w:w="2039" w:type="pct"/>
                  <w:vAlign w:val="center"/>
                </w:tcPr>
                <w:p w14:paraId="709A1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rPr>
                  </w:pPr>
                  <w:r>
                    <w:rPr>
                      <w:rFonts w:hint="default" w:ascii="Times New Roman" w:hAnsi="Times New Roman" w:eastAsia="宋体" w:cs="Times New Roman"/>
                      <w:color w:val="auto"/>
                      <w:kern w:val="144"/>
                      <w:sz w:val="21"/>
                      <w:szCs w:val="21"/>
                    </w:rPr>
                    <w:t>CAT336，斗容</w:t>
                  </w:r>
                  <w:r>
                    <w:rPr>
                      <w:rFonts w:hint="default" w:ascii="Times New Roman" w:hAnsi="Times New Roman" w:eastAsia="宋体" w:cs="Times New Roman"/>
                      <w:color w:val="auto"/>
                      <w:kern w:val="144"/>
                      <w:sz w:val="21"/>
                      <w:szCs w:val="21"/>
                      <w:lang w:val="en-US" w:eastAsia="zh-CN"/>
                    </w:rPr>
                    <w:t>1.6</w:t>
                  </w:r>
                  <w:r>
                    <w:rPr>
                      <w:rFonts w:hint="default" w:ascii="Times New Roman" w:hAnsi="Times New Roman" w:eastAsia="宋体" w:cs="Times New Roman"/>
                      <w:color w:val="auto"/>
                      <w:kern w:val="144"/>
                      <w:sz w:val="21"/>
                      <w:szCs w:val="21"/>
                    </w:rPr>
                    <w:t>m</w:t>
                  </w:r>
                  <w:r>
                    <w:rPr>
                      <w:rFonts w:hint="default" w:ascii="Times New Roman" w:hAnsi="Times New Roman" w:eastAsia="宋体" w:cs="Times New Roman"/>
                      <w:color w:val="auto"/>
                      <w:kern w:val="144"/>
                      <w:sz w:val="21"/>
                      <w:szCs w:val="21"/>
                      <w:vertAlign w:val="superscript"/>
                    </w:rPr>
                    <w:t>3</w:t>
                  </w:r>
                  <w:r>
                    <w:rPr>
                      <w:rFonts w:hint="default" w:ascii="Times New Roman" w:hAnsi="Times New Roman" w:eastAsia="宋体" w:cs="Times New Roman"/>
                      <w:color w:val="auto"/>
                      <w:kern w:val="144"/>
                      <w:sz w:val="21"/>
                      <w:szCs w:val="21"/>
                    </w:rPr>
                    <w:t>，最大挖掘高度10.24m，功率234kW。</w:t>
                  </w:r>
                </w:p>
              </w:tc>
              <w:tc>
                <w:tcPr>
                  <w:tcW w:w="443" w:type="pct"/>
                  <w:vAlign w:val="center"/>
                </w:tcPr>
                <w:p w14:paraId="41369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zh-CN"/>
                    </w:rPr>
                  </w:pPr>
                  <w:r>
                    <w:rPr>
                      <w:rFonts w:hint="default" w:ascii="Times New Roman" w:hAnsi="Times New Roman" w:eastAsia="宋体"/>
                      <w:kern w:val="0"/>
                      <w:szCs w:val="21"/>
                    </w:rPr>
                    <w:t>台</w:t>
                  </w:r>
                </w:p>
              </w:tc>
              <w:tc>
                <w:tcPr>
                  <w:tcW w:w="428" w:type="pct"/>
                  <w:vAlign w:val="center"/>
                </w:tcPr>
                <w:p w14:paraId="574C04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2</w:t>
                  </w:r>
                </w:p>
              </w:tc>
              <w:tc>
                <w:tcPr>
                  <w:tcW w:w="764" w:type="pct"/>
                  <w:vAlign w:val="center"/>
                </w:tcPr>
                <w:p w14:paraId="19D040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themeColor="text1"/>
                      <w:kern w:val="144"/>
                      <w:sz w:val="21"/>
                      <w:szCs w:val="21"/>
                      <w:lang w:val="en-US" w:eastAsia="zh-CN"/>
                      <w14:textFill>
                        <w14:solidFill>
                          <w14:schemeClr w14:val="tx1"/>
                        </w14:solidFill>
                      </w14:textFill>
                    </w:rPr>
                    <w:t>露天布置</w:t>
                  </w:r>
                </w:p>
              </w:tc>
            </w:tr>
            <w:tr w14:paraId="2A46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1BD3E4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default" w:ascii="Times New Roman" w:hAnsi="Times New Roman" w:eastAsia="宋体"/>
                      <w:szCs w:val="21"/>
                    </w:rPr>
                    <w:t>3</w:t>
                  </w:r>
                </w:p>
              </w:tc>
              <w:tc>
                <w:tcPr>
                  <w:tcW w:w="953" w:type="pct"/>
                  <w:vAlign w:val="center"/>
                </w:tcPr>
                <w:p w14:paraId="1A39A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zh-CN"/>
                    </w:rPr>
                  </w:pPr>
                  <w:r>
                    <w:rPr>
                      <w:rFonts w:hint="default" w:ascii="Times New Roman" w:hAnsi="Times New Roman" w:eastAsia="宋体" w:cs="Times New Roman"/>
                      <w:color w:val="auto"/>
                      <w:kern w:val="144"/>
                      <w:sz w:val="21"/>
                      <w:szCs w:val="21"/>
                    </w:rPr>
                    <w:t>液压碎石机</w:t>
                  </w:r>
                </w:p>
              </w:tc>
              <w:tc>
                <w:tcPr>
                  <w:tcW w:w="2039" w:type="pct"/>
                  <w:vAlign w:val="center"/>
                </w:tcPr>
                <w:p w14:paraId="48511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rPr>
                  </w:pPr>
                  <w:r>
                    <w:rPr>
                      <w:rFonts w:hint="default" w:ascii="Times New Roman" w:hAnsi="Times New Roman" w:eastAsia="宋体"/>
                      <w:kern w:val="0"/>
                      <w:szCs w:val="21"/>
                    </w:rPr>
                    <w:t>CE220-6型全液压挖掘机，配置GB220E液压破碎器，功率125kW。</w:t>
                  </w:r>
                </w:p>
              </w:tc>
              <w:tc>
                <w:tcPr>
                  <w:tcW w:w="443" w:type="pct"/>
                  <w:vAlign w:val="center"/>
                </w:tcPr>
                <w:p w14:paraId="7BA0D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zh-CN"/>
                    </w:rPr>
                  </w:pPr>
                  <w:r>
                    <w:rPr>
                      <w:rFonts w:hint="default" w:ascii="Times New Roman" w:hAnsi="Times New Roman" w:eastAsia="宋体"/>
                      <w:kern w:val="0"/>
                      <w:szCs w:val="21"/>
                    </w:rPr>
                    <w:t>台</w:t>
                  </w:r>
                </w:p>
              </w:tc>
              <w:tc>
                <w:tcPr>
                  <w:tcW w:w="428" w:type="pct"/>
                  <w:vAlign w:val="center"/>
                </w:tcPr>
                <w:p w14:paraId="7A96A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1</w:t>
                  </w:r>
                </w:p>
              </w:tc>
              <w:tc>
                <w:tcPr>
                  <w:tcW w:w="764" w:type="pct"/>
                  <w:vAlign w:val="center"/>
                </w:tcPr>
                <w:p w14:paraId="469B44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themeColor="text1"/>
                      <w:kern w:val="144"/>
                      <w:sz w:val="21"/>
                      <w:szCs w:val="21"/>
                      <w:lang w:val="en-US" w:eastAsia="zh-CN"/>
                      <w14:textFill>
                        <w14:solidFill>
                          <w14:schemeClr w14:val="tx1"/>
                        </w14:solidFill>
                      </w14:textFill>
                    </w:rPr>
                    <w:t>露天布置</w:t>
                  </w:r>
                </w:p>
              </w:tc>
            </w:tr>
            <w:tr w14:paraId="5EBF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1CFBD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4</w:t>
                  </w:r>
                </w:p>
              </w:tc>
              <w:tc>
                <w:tcPr>
                  <w:tcW w:w="953" w:type="pct"/>
                  <w:vAlign w:val="center"/>
                </w:tcPr>
                <w:p w14:paraId="4CB1A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144"/>
                      <w:sz w:val="21"/>
                      <w:szCs w:val="21"/>
                      <w:lang w:val="en-US"/>
                    </w:rPr>
                  </w:pPr>
                  <w:r>
                    <w:rPr>
                      <w:rFonts w:hint="eastAsia" w:ascii="Times New Roman" w:hAnsi="Times New Roman" w:eastAsia="宋体"/>
                      <w:lang w:val="en-US" w:eastAsia="zh-CN"/>
                    </w:rPr>
                    <w:t>给料</w:t>
                  </w:r>
                  <w:r>
                    <w:rPr>
                      <w:rFonts w:hint="eastAsia"/>
                      <w:lang w:val="en-US" w:eastAsia="zh-CN"/>
                    </w:rPr>
                    <w:t>机</w:t>
                  </w:r>
                </w:p>
              </w:tc>
              <w:tc>
                <w:tcPr>
                  <w:tcW w:w="2039" w:type="pct"/>
                  <w:vAlign w:val="center"/>
                </w:tcPr>
                <w:p w14:paraId="7594B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kern w:val="0"/>
                      <w:szCs w:val="21"/>
                      <w:lang w:val="en-US" w:eastAsia="zh-CN"/>
                    </w:rPr>
                  </w:pPr>
                  <w:r>
                    <w:rPr>
                      <w:rFonts w:hint="default" w:ascii="Times New Roman" w:hAnsi="Times New Roman" w:eastAsia="宋体" w:cs="Times New Roman"/>
                      <w:color w:val="auto"/>
                      <w:sz w:val="21"/>
                      <w:szCs w:val="21"/>
                    </w:rPr>
                    <w:t>GBZ240-4重板给料机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宋体"/>
                      <w:kern w:val="2"/>
                      <w:sz w:val="21"/>
                      <w:szCs w:val="21"/>
                      <w:lang w:val="en-US" w:eastAsia="zh-CN" w:bidi="ar"/>
                    </w:rPr>
                    <w:t>功率</w:t>
                  </w:r>
                  <w:r>
                    <w:rPr>
                      <w:rFonts w:hint="eastAsia" w:ascii="Times New Roman" w:hAnsi="Times New Roman" w:eastAsia="宋体" w:cs="Times New Roman"/>
                      <w:color w:val="auto"/>
                      <w:sz w:val="21"/>
                      <w:szCs w:val="21"/>
                      <w:lang w:val="en-US" w:eastAsia="zh-CN"/>
                    </w:rPr>
                    <w:t>29</w:t>
                  </w:r>
                  <w:r>
                    <w:rPr>
                      <w:rFonts w:hint="default" w:ascii="Times New Roman" w:hAnsi="Times New Roman" w:eastAsia="宋体" w:cs="Times New Roman"/>
                      <w:kern w:val="0"/>
                      <w:sz w:val="21"/>
                      <w:szCs w:val="21"/>
                      <w:lang w:val="en-US" w:eastAsia="zh-CN" w:bidi="ar"/>
                    </w:rPr>
                    <w:t>kW</w:t>
                  </w:r>
                  <w:r>
                    <w:rPr>
                      <w:rFonts w:hint="eastAsia" w:ascii="Times New Roman" w:hAnsi="Times New Roman" w:eastAsia="宋体" w:cs="Times New Roman"/>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上方配置原矿仓</w:t>
                  </w:r>
                  <w:r>
                    <w:rPr>
                      <w:rFonts w:hint="eastAsia" w:cs="Times New Roman"/>
                      <w:color w:val="auto"/>
                      <w:kern w:val="0"/>
                      <w:sz w:val="21"/>
                      <w:szCs w:val="21"/>
                      <w:lang w:val="en-US" w:eastAsia="zh-CN" w:bidi="ar"/>
                    </w:rPr>
                    <w:t>。</w:t>
                  </w:r>
                </w:p>
              </w:tc>
              <w:tc>
                <w:tcPr>
                  <w:tcW w:w="443" w:type="pct"/>
                  <w:vAlign w:val="center"/>
                </w:tcPr>
                <w:p w14:paraId="26FBC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台</w:t>
                  </w:r>
                </w:p>
              </w:tc>
              <w:tc>
                <w:tcPr>
                  <w:tcW w:w="428" w:type="pct"/>
                  <w:vAlign w:val="center"/>
                </w:tcPr>
                <w:p w14:paraId="7B236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1</w:t>
                  </w:r>
                </w:p>
              </w:tc>
              <w:tc>
                <w:tcPr>
                  <w:tcW w:w="764" w:type="pct"/>
                  <w:vAlign w:val="center"/>
                </w:tcPr>
                <w:p w14:paraId="15058B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lang w:val="en-US"/>
                    </w:rPr>
                  </w:pPr>
                  <w:r>
                    <w:rPr>
                      <w:rFonts w:hint="eastAsia" w:cs="Times New Roman"/>
                      <w:color w:val="000000"/>
                      <w:kern w:val="144"/>
                      <w:sz w:val="21"/>
                      <w:szCs w:val="21"/>
                      <w:lang w:val="en-US" w:eastAsia="zh-CN"/>
                    </w:rPr>
                    <w:t>露天布置</w:t>
                  </w:r>
                </w:p>
              </w:tc>
            </w:tr>
            <w:tr w14:paraId="51BD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371" w:type="pct"/>
                  <w:vMerge w:val="restart"/>
                  <w:vAlign w:val="center"/>
                </w:tcPr>
                <w:p w14:paraId="7ADCA6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5</w:t>
                  </w:r>
                </w:p>
              </w:tc>
              <w:tc>
                <w:tcPr>
                  <w:tcW w:w="953" w:type="pct"/>
                  <w:vMerge w:val="restart"/>
                  <w:vAlign w:val="center"/>
                </w:tcPr>
                <w:p w14:paraId="7ACC2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lang w:val="en-US" w:eastAsia="zh-CN"/>
                    </w:rPr>
                  </w:pPr>
                  <w:r>
                    <w:rPr>
                      <w:rFonts w:hint="eastAsia" w:ascii="Times New Roman" w:hAnsi="Times New Roman" w:eastAsia="宋体"/>
                      <w:lang w:val="en-US" w:eastAsia="zh-CN"/>
                    </w:rPr>
                    <w:t>破碎</w:t>
                  </w:r>
                  <w:r>
                    <w:rPr>
                      <w:rFonts w:hint="eastAsia"/>
                      <w:lang w:val="en-US" w:eastAsia="zh-CN"/>
                    </w:rPr>
                    <w:t>机</w:t>
                  </w:r>
                </w:p>
              </w:tc>
              <w:tc>
                <w:tcPr>
                  <w:tcW w:w="2039" w:type="pct"/>
                  <w:vAlign w:val="center"/>
                </w:tcPr>
                <w:p w14:paraId="24123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PE-870×1060颚式破碎机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功率160</w:t>
                  </w:r>
                  <w:r>
                    <w:rPr>
                      <w:rFonts w:hint="default" w:ascii="Times New Roman" w:hAnsi="Times New Roman" w:eastAsia="宋体"/>
                      <w:kern w:val="0"/>
                      <w:szCs w:val="21"/>
                    </w:rPr>
                    <w:t>kW</w:t>
                  </w:r>
                  <w:r>
                    <w:rPr>
                      <w:rFonts w:hint="eastAsia"/>
                      <w:kern w:val="0"/>
                      <w:szCs w:val="21"/>
                      <w:lang w:eastAsia="zh-CN"/>
                    </w:rPr>
                    <w:t>。</w:t>
                  </w:r>
                </w:p>
              </w:tc>
              <w:tc>
                <w:tcPr>
                  <w:tcW w:w="443" w:type="pct"/>
                  <w:vAlign w:val="center"/>
                </w:tcPr>
                <w:p w14:paraId="48D00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台</w:t>
                  </w:r>
                </w:p>
              </w:tc>
              <w:tc>
                <w:tcPr>
                  <w:tcW w:w="428" w:type="pct"/>
                  <w:vAlign w:val="center"/>
                </w:tcPr>
                <w:p w14:paraId="66419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2</w:t>
                  </w:r>
                </w:p>
              </w:tc>
              <w:tc>
                <w:tcPr>
                  <w:tcW w:w="764" w:type="pct"/>
                  <w:vAlign w:val="center"/>
                </w:tcPr>
                <w:p w14:paraId="4DA016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kern w:val="144"/>
                      <w:sz w:val="21"/>
                      <w:szCs w:val="21"/>
                      <w:lang w:val="en-US" w:eastAsia="zh-CN"/>
                    </w:rPr>
                    <w:t>露天布置</w:t>
                  </w:r>
                </w:p>
              </w:tc>
            </w:tr>
            <w:tr w14:paraId="7EC7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vAlign w:val="center"/>
                </w:tcPr>
                <w:p w14:paraId="7AC97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szCs w:val="21"/>
                      <w:lang w:val="en-US" w:eastAsia="zh-CN"/>
                    </w:rPr>
                  </w:pPr>
                </w:p>
              </w:tc>
              <w:tc>
                <w:tcPr>
                  <w:tcW w:w="953" w:type="pct"/>
                  <w:vMerge w:val="continue"/>
                  <w:vAlign w:val="center"/>
                </w:tcPr>
                <w:p w14:paraId="4C4FF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lang w:val="en-US" w:eastAsia="zh-CN"/>
                    </w:rPr>
                  </w:pPr>
                </w:p>
              </w:tc>
              <w:tc>
                <w:tcPr>
                  <w:tcW w:w="2039" w:type="pct"/>
                  <w:vAlign w:val="center"/>
                </w:tcPr>
                <w:p w14:paraId="1A9BD6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GP200立式破碎机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功率132</w:t>
                  </w:r>
                  <w:r>
                    <w:rPr>
                      <w:rFonts w:hint="default" w:ascii="Times New Roman" w:hAnsi="Times New Roman" w:eastAsia="宋体"/>
                      <w:kern w:val="0"/>
                      <w:szCs w:val="21"/>
                    </w:rPr>
                    <w:t>kW</w:t>
                  </w:r>
                  <w:r>
                    <w:rPr>
                      <w:rFonts w:hint="eastAsia"/>
                      <w:kern w:val="0"/>
                      <w:szCs w:val="21"/>
                      <w:lang w:eastAsia="zh-CN"/>
                    </w:rPr>
                    <w:t>。</w:t>
                  </w:r>
                </w:p>
              </w:tc>
              <w:tc>
                <w:tcPr>
                  <w:tcW w:w="443" w:type="pct"/>
                  <w:vAlign w:val="center"/>
                </w:tcPr>
                <w:p w14:paraId="07CFB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台</w:t>
                  </w:r>
                </w:p>
              </w:tc>
              <w:tc>
                <w:tcPr>
                  <w:tcW w:w="428" w:type="pct"/>
                  <w:vAlign w:val="center"/>
                </w:tcPr>
                <w:p w14:paraId="309B8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2</w:t>
                  </w:r>
                </w:p>
              </w:tc>
              <w:tc>
                <w:tcPr>
                  <w:tcW w:w="764" w:type="pct"/>
                  <w:vAlign w:val="center"/>
                </w:tcPr>
                <w:p w14:paraId="2DFC67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kern w:val="144"/>
                      <w:sz w:val="21"/>
                      <w:szCs w:val="21"/>
                      <w:lang w:val="en-US" w:eastAsia="zh-CN"/>
                    </w:rPr>
                    <w:t>露天布置</w:t>
                  </w:r>
                </w:p>
              </w:tc>
            </w:tr>
            <w:tr w14:paraId="0602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7884F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6</w:t>
                  </w:r>
                </w:p>
              </w:tc>
              <w:tc>
                <w:tcPr>
                  <w:tcW w:w="953" w:type="pct"/>
                  <w:vAlign w:val="center"/>
                </w:tcPr>
                <w:p w14:paraId="31592A1F">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lang w:val="en-US" w:eastAsia="zh-CN"/>
                    </w:rPr>
                  </w:pPr>
                  <w:r>
                    <w:rPr>
                      <w:rFonts w:hint="eastAsia" w:ascii="宋体" w:hAnsi="宋体" w:eastAsia="宋体" w:cs="宋体"/>
                      <w:kern w:val="2"/>
                      <w:sz w:val="21"/>
                      <w:szCs w:val="21"/>
                      <w:lang w:val="en-US" w:eastAsia="zh-CN" w:bidi="ar"/>
                    </w:rPr>
                    <w:t>筛分</w:t>
                  </w:r>
                  <w:r>
                    <w:rPr>
                      <w:rFonts w:hint="eastAsia" w:ascii="宋体" w:hAnsi="宋体" w:cs="宋体"/>
                      <w:kern w:val="2"/>
                      <w:sz w:val="21"/>
                      <w:szCs w:val="21"/>
                      <w:lang w:val="en-US" w:eastAsia="zh-CN" w:bidi="ar"/>
                    </w:rPr>
                    <w:t>机</w:t>
                  </w:r>
                </w:p>
              </w:tc>
              <w:tc>
                <w:tcPr>
                  <w:tcW w:w="2039" w:type="pct"/>
                  <w:vAlign w:val="center"/>
                </w:tcPr>
                <w:p w14:paraId="5C580E36">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2"/>
                      <w:sz w:val="21"/>
                      <w:szCs w:val="21"/>
                      <w:lang w:val="en-US" w:eastAsia="zh-CN" w:bidi="ar"/>
                    </w:rPr>
                    <w:t>SZZ1800×4800</w:t>
                  </w:r>
                  <w:r>
                    <w:rPr>
                      <w:rFonts w:hint="eastAsia" w:ascii="宋体" w:hAnsi="宋体" w:eastAsia="宋体" w:cs="宋体"/>
                      <w:kern w:val="2"/>
                      <w:sz w:val="21"/>
                      <w:szCs w:val="21"/>
                      <w:lang w:val="en-US" w:eastAsia="zh-CN" w:bidi="ar"/>
                    </w:rPr>
                    <w:t>直线振动筛（三层），单机功率</w:t>
                  </w:r>
                  <w:r>
                    <w:rPr>
                      <w:rFonts w:hint="default" w:ascii="Times New Roman" w:hAnsi="Times New Roman" w:eastAsia="宋体" w:cs="Times New Roman"/>
                      <w:kern w:val="2"/>
                      <w:sz w:val="21"/>
                      <w:szCs w:val="21"/>
                      <w:lang w:val="en-US" w:eastAsia="zh-CN" w:bidi="ar"/>
                    </w:rPr>
                    <w:t>15</w:t>
                  </w:r>
                  <w:r>
                    <w:rPr>
                      <w:rFonts w:hint="default" w:ascii="Times New Roman" w:hAnsi="Times New Roman" w:eastAsia="宋体" w:cs="Times New Roman"/>
                      <w:kern w:val="0"/>
                      <w:sz w:val="21"/>
                      <w:szCs w:val="21"/>
                      <w:lang w:val="en-US" w:eastAsia="zh-CN" w:bidi="ar"/>
                    </w:rPr>
                    <w:t>kW</w:t>
                  </w:r>
                  <w:r>
                    <w:rPr>
                      <w:rFonts w:hint="eastAsia" w:ascii="宋体" w:hAnsi="宋体" w:eastAsia="宋体" w:cs="宋体"/>
                      <w:kern w:val="0"/>
                      <w:sz w:val="21"/>
                      <w:szCs w:val="21"/>
                      <w:lang w:val="en-US" w:eastAsia="zh-CN" w:bidi="ar"/>
                    </w:rPr>
                    <w:t>。</w:t>
                  </w:r>
                </w:p>
              </w:tc>
              <w:tc>
                <w:tcPr>
                  <w:tcW w:w="443" w:type="pct"/>
                  <w:vAlign w:val="center"/>
                </w:tcPr>
                <w:p w14:paraId="186B6C89">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eastAsia" w:ascii="Times New Roman" w:hAnsi="Times New Roman" w:eastAsia="宋体"/>
                      <w:kern w:val="0"/>
                      <w:szCs w:val="21"/>
                      <w:lang w:val="en-US" w:eastAsia="zh-CN"/>
                    </w:rPr>
                  </w:pPr>
                  <w:r>
                    <w:rPr>
                      <w:rFonts w:hint="eastAsia" w:ascii="宋体" w:hAnsi="宋体" w:eastAsia="宋体" w:cs="宋体"/>
                      <w:kern w:val="0"/>
                      <w:sz w:val="21"/>
                      <w:szCs w:val="21"/>
                      <w:lang w:val="en-US" w:eastAsia="zh-CN" w:bidi="ar"/>
                    </w:rPr>
                    <w:t>台</w:t>
                  </w:r>
                </w:p>
              </w:tc>
              <w:tc>
                <w:tcPr>
                  <w:tcW w:w="428" w:type="pct"/>
                  <w:vAlign w:val="center"/>
                </w:tcPr>
                <w:p w14:paraId="4F75FEF3">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kern w:val="0"/>
                      <w:szCs w:val="21"/>
                      <w:lang w:val="en-US" w:eastAsia="zh-CN"/>
                    </w:rPr>
                  </w:pPr>
                  <w:r>
                    <w:rPr>
                      <w:rFonts w:hint="default" w:ascii="Times New Roman" w:hAnsi="Times New Roman" w:eastAsia="宋体" w:cs="Times New Roman"/>
                      <w:kern w:val="0"/>
                      <w:sz w:val="21"/>
                      <w:szCs w:val="21"/>
                      <w:lang w:val="en-US" w:eastAsia="zh-CN" w:bidi="ar"/>
                    </w:rPr>
                    <w:t>2</w:t>
                  </w:r>
                </w:p>
              </w:tc>
              <w:tc>
                <w:tcPr>
                  <w:tcW w:w="764" w:type="pct"/>
                  <w:vAlign w:val="center"/>
                </w:tcPr>
                <w:p w14:paraId="52AAD8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kern w:val="144"/>
                      <w:sz w:val="21"/>
                      <w:szCs w:val="21"/>
                      <w:lang w:val="en-US" w:eastAsia="zh-CN"/>
                    </w:rPr>
                    <w:t>露天布置</w:t>
                  </w:r>
                </w:p>
              </w:tc>
            </w:tr>
            <w:tr w14:paraId="1433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5E153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w:t>
                  </w:r>
                </w:p>
              </w:tc>
              <w:tc>
                <w:tcPr>
                  <w:tcW w:w="953" w:type="pct"/>
                  <w:vAlign w:val="center"/>
                </w:tcPr>
                <w:p w14:paraId="7DC18C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lang w:val="en-US" w:eastAsia="zh-CN"/>
                    </w:rPr>
                  </w:pPr>
                  <w:r>
                    <w:rPr>
                      <w:rFonts w:hint="default" w:ascii="Times New Roman" w:hAnsi="Times New Roman" w:eastAsia="宋体" w:cs="Times New Roman"/>
                      <w:color w:val="auto"/>
                      <w:sz w:val="21"/>
                      <w:szCs w:val="21"/>
                    </w:rPr>
                    <w:t>运输</w:t>
                  </w:r>
                  <w:r>
                    <w:rPr>
                      <w:rFonts w:hint="eastAsia" w:cs="Times New Roman"/>
                      <w:color w:val="auto"/>
                      <w:sz w:val="21"/>
                      <w:szCs w:val="21"/>
                      <w:lang w:val="en-US" w:eastAsia="zh-CN"/>
                    </w:rPr>
                    <w:t>机</w:t>
                  </w:r>
                </w:p>
              </w:tc>
              <w:tc>
                <w:tcPr>
                  <w:tcW w:w="2039" w:type="pct"/>
                  <w:vAlign w:val="center"/>
                </w:tcPr>
                <w:p w14:paraId="1B038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1200mm胶带运输机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宋体"/>
                      <w:kern w:val="2"/>
                      <w:sz w:val="21"/>
                      <w:szCs w:val="21"/>
                      <w:lang w:val="en-US" w:eastAsia="zh-CN" w:bidi="ar"/>
                    </w:rPr>
                    <w:t>功率20</w:t>
                  </w:r>
                  <w:r>
                    <w:rPr>
                      <w:rFonts w:hint="default" w:ascii="Times New Roman" w:hAnsi="Times New Roman" w:eastAsia="宋体" w:cs="Times New Roman"/>
                      <w:kern w:val="0"/>
                      <w:sz w:val="21"/>
                      <w:szCs w:val="21"/>
                      <w:lang w:val="en-US" w:eastAsia="zh-CN" w:bidi="ar"/>
                    </w:rPr>
                    <w:t>kW</w:t>
                  </w:r>
                  <w:r>
                    <w:rPr>
                      <w:rFonts w:hint="eastAsia" w:cs="Times New Roman"/>
                      <w:kern w:val="0"/>
                      <w:sz w:val="21"/>
                      <w:szCs w:val="21"/>
                      <w:lang w:val="en-US" w:eastAsia="zh-CN" w:bidi="ar"/>
                    </w:rPr>
                    <w:t>。</w:t>
                  </w:r>
                </w:p>
              </w:tc>
              <w:tc>
                <w:tcPr>
                  <w:tcW w:w="443" w:type="pct"/>
                  <w:vAlign w:val="center"/>
                </w:tcPr>
                <w:p w14:paraId="7186A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台</w:t>
                  </w:r>
                </w:p>
              </w:tc>
              <w:tc>
                <w:tcPr>
                  <w:tcW w:w="428" w:type="pct"/>
                  <w:vAlign w:val="center"/>
                </w:tcPr>
                <w:p w14:paraId="1A1AC3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4</w:t>
                  </w:r>
                </w:p>
              </w:tc>
              <w:tc>
                <w:tcPr>
                  <w:tcW w:w="764" w:type="pct"/>
                  <w:vAlign w:val="center"/>
                </w:tcPr>
                <w:p w14:paraId="41DC6D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kern w:val="144"/>
                      <w:sz w:val="21"/>
                      <w:szCs w:val="21"/>
                      <w:lang w:val="en-US" w:eastAsia="zh-CN"/>
                    </w:rPr>
                    <w:t>露天布置</w:t>
                  </w:r>
                </w:p>
              </w:tc>
            </w:tr>
            <w:tr w14:paraId="2719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05B1A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8</w:t>
                  </w:r>
                </w:p>
              </w:tc>
              <w:tc>
                <w:tcPr>
                  <w:tcW w:w="953" w:type="pct"/>
                  <w:vAlign w:val="center"/>
                </w:tcPr>
                <w:p w14:paraId="6E817B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rPr>
                  </w:pPr>
                  <w:r>
                    <w:rPr>
                      <w:rFonts w:hint="default" w:ascii="Times New Roman" w:hAnsi="Times New Roman" w:eastAsia="宋体"/>
                      <w:kern w:val="0"/>
                      <w:szCs w:val="21"/>
                    </w:rPr>
                    <w:t>轮胎式装载机</w:t>
                  </w:r>
                </w:p>
              </w:tc>
              <w:tc>
                <w:tcPr>
                  <w:tcW w:w="2039" w:type="pct"/>
                  <w:vAlign w:val="center"/>
                </w:tcPr>
                <w:p w14:paraId="778FF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vertAlign w:val="superscript"/>
                    </w:rPr>
                  </w:pPr>
                  <w:r>
                    <w:rPr>
                      <w:rFonts w:hint="default" w:ascii="Times New Roman" w:hAnsi="Times New Roman" w:eastAsia="宋体" w:cs="Times New Roman"/>
                      <w:color w:val="auto"/>
                      <w:kern w:val="144"/>
                      <w:sz w:val="21"/>
                      <w:szCs w:val="21"/>
                    </w:rPr>
                    <w:t>ZL50，斗容3m</w:t>
                  </w:r>
                  <w:r>
                    <w:rPr>
                      <w:rFonts w:hint="default" w:ascii="Times New Roman" w:hAnsi="Times New Roman" w:eastAsia="宋体" w:cs="Times New Roman"/>
                      <w:color w:val="auto"/>
                      <w:kern w:val="144"/>
                      <w:sz w:val="21"/>
                      <w:szCs w:val="21"/>
                      <w:vertAlign w:val="superscript"/>
                    </w:rPr>
                    <w:t>3</w:t>
                  </w:r>
                  <w:r>
                    <w:rPr>
                      <w:rFonts w:hint="default" w:ascii="Times New Roman" w:hAnsi="Times New Roman" w:eastAsia="宋体" w:cs="Times New Roman"/>
                      <w:color w:val="auto"/>
                      <w:kern w:val="144"/>
                      <w:sz w:val="21"/>
                      <w:szCs w:val="21"/>
                    </w:rPr>
                    <w:t>，功率160kW。</w:t>
                  </w:r>
                </w:p>
              </w:tc>
              <w:tc>
                <w:tcPr>
                  <w:tcW w:w="443" w:type="pct"/>
                  <w:vAlign w:val="center"/>
                </w:tcPr>
                <w:p w14:paraId="065F5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rPr>
                  </w:pPr>
                  <w:r>
                    <w:rPr>
                      <w:rFonts w:hint="default" w:ascii="Times New Roman" w:hAnsi="Times New Roman" w:eastAsia="宋体"/>
                      <w:kern w:val="0"/>
                      <w:szCs w:val="21"/>
                    </w:rPr>
                    <w:t>台</w:t>
                  </w:r>
                </w:p>
              </w:tc>
              <w:tc>
                <w:tcPr>
                  <w:tcW w:w="428" w:type="pct"/>
                  <w:vAlign w:val="center"/>
                </w:tcPr>
                <w:p w14:paraId="62F14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kern w:val="0"/>
                      <w:szCs w:val="21"/>
                      <w:lang w:eastAsia="zh-CN"/>
                    </w:rPr>
                  </w:pPr>
                  <w:r>
                    <w:rPr>
                      <w:rFonts w:hint="eastAsia" w:ascii="Times New Roman" w:hAnsi="Times New Roman" w:eastAsia="宋体"/>
                      <w:kern w:val="0"/>
                      <w:szCs w:val="21"/>
                      <w:lang w:val="en-US" w:eastAsia="zh-CN"/>
                    </w:rPr>
                    <w:t>1</w:t>
                  </w:r>
                </w:p>
              </w:tc>
              <w:tc>
                <w:tcPr>
                  <w:tcW w:w="764" w:type="pct"/>
                  <w:vAlign w:val="center"/>
                </w:tcPr>
                <w:p w14:paraId="288E34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themeColor="text1"/>
                      <w:kern w:val="144"/>
                      <w:sz w:val="21"/>
                      <w:szCs w:val="21"/>
                      <w:lang w:val="en-US" w:eastAsia="zh-CN"/>
                      <w14:textFill>
                        <w14:solidFill>
                          <w14:schemeClr w14:val="tx1"/>
                        </w14:solidFill>
                      </w14:textFill>
                    </w:rPr>
                    <w:t>露天布置</w:t>
                  </w:r>
                </w:p>
              </w:tc>
            </w:tr>
            <w:tr w14:paraId="305B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73BA7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9</w:t>
                  </w:r>
                </w:p>
              </w:tc>
              <w:tc>
                <w:tcPr>
                  <w:tcW w:w="953" w:type="pct"/>
                  <w:vAlign w:val="center"/>
                </w:tcPr>
                <w:p w14:paraId="78B495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rPr>
                  </w:pPr>
                  <w:r>
                    <w:rPr>
                      <w:rFonts w:hint="default" w:ascii="Times New Roman" w:hAnsi="Times New Roman" w:eastAsia="宋体" w:cs="Times New Roman"/>
                      <w:color w:val="auto"/>
                      <w:kern w:val="144"/>
                      <w:sz w:val="21"/>
                      <w:szCs w:val="21"/>
                    </w:rPr>
                    <w:t>自卸汽车</w:t>
                  </w:r>
                </w:p>
              </w:tc>
              <w:tc>
                <w:tcPr>
                  <w:tcW w:w="2039" w:type="pct"/>
                  <w:vAlign w:val="center"/>
                </w:tcPr>
                <w:p w14:paraId="7A526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144"/>
                      <w:sz w:val="21"/>
                      <w:szCs w:val="21"/>
                      <w:lang w:eastAsia="zh-CN"/>
                    </w:rPr>
                  </w:pPr>
                  <w:r>
                    <w:rPr>
                      <w:rFonts w:hint="default" w:ascii="Times New Roman" w:hAnsi="Times New Roman" w:eastAsia="宋体" w:cs="Times New Roman"/>
                      <w:color w:val="auto"/>
                      <w:kern w:val="144"/>
                      <w:sz w:val="21"/>
                      <w:szCs w:val="21"/>
                    </w:rPr>
                    <w:t>BZKD20，载重20t，功率187kW</w:t>
                  </w:r>
                  <w:r>
                    <w:rPr>
                      <w:rFonts w:hint="eastAsia" w:cs="Times New Roman"/>
                      <w:color w:val="auto"/>
                      <w:kern w:val="144"/>
                      <w:sz w:val="21"/>
                      <w:szCs w:val="21"/>
                      <w:lang w:eastAsia="zh-CN"/>
                    </w:rPr>
                    <w:t>。</w:t>
                  </w:r>
                </w:p>
              </w:tc>
              <w:tc>
                <w:tcPr>
                  <w:tcW w:w="443" w:type="pct"/>
                  <w:vAlign w:val="center"/>
                </w:tcPr>
                <w:p w14:paraId="07669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rPr>
                  </w:pPr>
                  <w:r>
                    <w:rPr>
                      <w:rFonts w:hint="default" w:ascii="Times New Roman" w:hAnsi="Times New Roman" w:eastAsia="宋体" w:cs="Times New Roman"/>
                      <w:color w:val="auto"/>
                      <w:kern w:val="144"/>
                      <w:sz w:val="21"/>
                      <w:szCs w:val="21"/>
                    </w:rPr>
                    <w:t>辆</w:t>
                  </w:r>
                </w:p>
              </w:tc>
              <w:tc>
                <w:tcPr>
                  <w:tcW w:w="428" w:type="pct"/>
                  <w:vAlign w:val="center"/>
                </w:tcPr>
                <w:p w14:paraId="6F5E7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3</w:t>
                  </w:r>
                </w:p>
              </w:tc>
              <w:tc>
                <w:tcPr>
                  <w:tcW w:w="764" w:type="pct"/>
                  <w:vAlign w:val="center"/>
                </w:tcPr>
                <w:p w14:paraId="6C1964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themeColor="text1"/>
                      <w:kern w:val="144"/>
                      <w:sz w:val="21"/>
                      <w:szCs w:val="21"/>
                      <w:lang w:val="en-US" w:eastAsia="zh-CN"/>
                      <w14:textFill>
                        <w14:solidFill>
                          <w14:schemeClr w14:val="tx1"/>
                        </w14:solidFill>
                      </w14:textFill>
                    </w:rPr>
                    <w:t>露天布置</w:t>
                  </w:r>
                </w:p>
              </w:tc>
            </w:tr>
            <w:tr w14:paraId="4B72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2E381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lang w:val="en-US" w:eastAsia="zh-CN"/>
                    </w:rPr>
                  </w:pPr>
                  <w:r>
                    <w:rPr>
                      <w:rFonts w:hint="eastAsia"/>
                      <w:szCs w:val="21"/>
                      <w:lang w:val="en-US" w:eastAsia="zh-CN"/>
                    </w:rPr>
                    <w:t>10</w:t>
                  </w:r>
                </w:p>
              </w:tc>
              <w:tc>
                <w:tcPr>
                  <w:tcW w:w="953" w:type="pct"/>
                  <w:vAlign w:val="center"/>
                </w:tcPr>
                <w:p w14:paraId="76423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144"/>
                      <w:sz w:val="21"/>
                      <w:szCs w:val="21"/>
                      <w:lang w:val="en-US" w:eastAsia="zh-CN"/>
                    </w:rPr>
                  </w:pPr>
                  <w:r>
                    <w:rPr>
                      <w:rFonts w:hint="eastAsia" w:cs="Times New Roman"/>
                      <w:color w:val="auto"/>
                      <w:kern w:val="144"/>
                      <w:sz w:val="21"/>
                      <w:szCs w:val="21"/>
                      <w:lang w:val="en-US" w:eastAsia="zh-CN"/>
                    </w:rPr>
                    <w:t>挖机</w:t>
                  </w:r>
                </w:p>
              </w:tc>
              <w:tc>
                <w:tcPr>
                  <w:tcW w:w="2039" w:type="pct"/>
                  <w:vAlign w:val="center"/>
                </w:tcPr>
                <w:p w14:paraId="7F34E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144"/>
                      <w:sz w:val="21"/>
                      <w:szCs w:val="21"/>
                      <w:lang w:val="en-US" w:eastAsia="zh-CN"/>
                    </w:rPr>
                  </w:pPr>
                  <w:r>
                    <w:rPr>
                      <w:rFonts w:hint="eastAsia" w:cs="Times New Roman"/>
                      <w:color w:val="auto"/>
                      <w:kern w:val="144"/>
                      <w:sz w:val="21"/>
                      <w:szCs w:val="21"/>
                      <w:lang w:val="en-US" w:eastAsia="zh-CN"/>
                    </w:rPr>
                    <w:t>/</w:t>
                  </w:r>
                </w:p>
              </w:tc>
              <w:tc>
                <w:tcPr>
                  <w:tcW w:w="443" w:type="pct"/>
                  <w:vAlign w:val="center"/>
                </w:tcPr>
                <w:p w14:paraId="3C26B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144"/>
                      <w:sz w:val="21"/>
                      <w:szCs w:val="21"/>
                      <w:lang w:val="en-US" w:eastAsia="zh-CN"/>
                    </w:rPr>
                  </w:pPr>
                  <w:r>
                    <w:rPr>
                      <w:rFonts w:hint="eastAsia" w:cs="Times New Roman"/>
                      <w:color w:val="auto"/>
                      <w:kern w:val="144"/>
                      <w:sz w:val="21"/>
                      <w:szCs w:val="21"/>
                      <w:lang w:val="en-US" w:eastAsia="zh-CN"/>
                    </w:rPr>
                    <w:t>台</w:t>
                  </w:r>
                </w:p>
              </w:tc>
              <w:tc>
                <w:tcPr>
                  <w:tcW w:w="428" w:type="pct"/>
                  <w:vAlign w:val="center"/>
                </w:tcPr>
                <w:p w14:paraId="1203A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kern w:val="0"/>
                      <w:szCs w:val="21"/>
                      <w:lang w:val="en-US" w:eastAsia="zh-CN"/>
                    </w:rPr>
                  </w:pPr>
                  <w:r>
                    <w:rPr>
                      <w:rFonts w:hint="eastAsia"/>
                      <w:kern w:val="0"/>
                      <w:szCs w:val="21"/>
                      <w:lang w:val="en-US" w:eastAsia="zh-CN"/>
                    </w:rPr>
                    <w:t>2</w:t>
                  </w:r>
                </w:p>
              </w:tc>
              <w:tc>
                <w:tcPr>
                  <w:tcW w:w="764" w:type="pct"/>
                  <w:vAlign w:val="center"/>
                </w:tcPr>
                <w:p w14:paraId="3A3B54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themeColor="text1"/>
                      <w:kern w:val="144"/>
                      <w:sz w:val="21"/>
                      <w:szCs w:val="21"/>
                      <w:lang w:val="en-US" w:eastAsia="zh-CN"/>
                      <w14:textFill>
                        <w14:solidFill>
                          <w14:schemeClr w14:val="tx1"/>
                        </w14:solidFill>
                      </w14:textFill>
                    </w:rPr>
                    <w:t>露天布置</w:t>
                  </w:r>
                </w:p>
              </w:tc>
            </w:tr>
            <w:tr w14:paraId="3D06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55C4B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szCs w:val="21"/>
                      <w:lang w:val="en-US" w:eastAsia="zh-CN"/>
                    </w:rPr>
                  </w:pPr>
                  <w:r>
                    <w:rPr>
                      <w:rFonts w:hint="eastAsia"/>
                      <w:szCs w:val="21"/>
                      <w:lang w:val="en-US" w:eastAsia="zh-CN"/>
                    </w:rPr>
                    <w:t>11</w:t>
                  </w:r>
                </w:p>
              </w:tc>
              <w:tc>
                <w:tcPr>
                  <w:tcW w:w="953" w:type="pct"/>
                  <w:vAlign w:val="center"/>
                </w:tcPr>
                <w:p w14:paraId="5499E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color w:val="auto"/>
                      <w:kern w:val="144"/>
                      <w:sz w:val="21"/>
                      <w:szCs w:val="21"/>
                      <w:lang w:val="en-US" w:eastAsia="zh-CN"/>
                    </w:rPr>
                  </w:pPr>
                  <w:r>
                    <w:rPr>
                      <w:rFonts w:hint="eastAsia" w:cs="Times New Roman"/>
                      <w:color w:val="auto"/>
                      <w:kern w:val="144"/>
                      <w:sz w:val="21"/>
                      <w:szCs w:val="21"/>
                      <w:lang w:val="en-US" w:eastAsia="zh-CN"/>
                    </w:rPr>
                    <w:t>铲车</w:t>
                  </w:r>
                </w:p>
              </w:tc>
              <w:tc>
                <w:tcPr>
                  <w:tcW w:w="2039" w:type="pct"/>
                  <w:vAlign w:val="center"/>
                </w:tcPr>
                <w:p w14:paraId="68961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144"/>
                      <w:sz w:val="21"/>
                      <w:szCs w:val="21"/>
                      <w:lang w:val="en-US" w:eastAsia="zh-CN"/>
                    </w:rPr>
                  </w:pPr>
                  <w:r>
                    <w:rPr>
                      <w:rFonts w:hint="eastAsia" w:cs="Times New Roman"/>
                      <w:color w:val="auto"/>
                      <w:kern w:val="144"/>
                      <w:sz w:val="21"/>
                      <w:szCs w:val="21"/>
                      <w:lang w:val="en-US" w:eastAsia="zh-CN"/>
                    </w:rPr>
                    <w:t>/</w:t>
                  </w:r>
                </w:p>
              </w:tc>
              <w:tc>
                <w:tcPr>
                  <w:tcW w:w="443" w:type="pct"/>
                  <w:vAlign w:val="center"/>
                </w:tcPr>
                <w:p w14:paraId="19710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color w:val="auto"/>
                      <w:kern w:val="144"/>
                      <w:sz w:val="21"/>
                      <w:szCs w:val="21"/>
                      <w:lang w:val="en-US" w:eastAsia="zh-CN"/>
                    </w:rPr>
                  </w:pPr>
                  <w:r>
                    <w:rPr>
                      <w:rFonts w:hint="eastAsia" w:cs="Times New Roman"/>
                      <w:color w:val="auto"/>
                      <w:kern w:val="144"/>
                      <w:sz w:val="21"/>
                      <w:szCs w:val="21"/>
                      <w:lang w:val="en-US" w:eastAsia="zh-CN"/>
                    </w:rPr>
                    <w:t>台</w:t>
                  </w:r>
                </w:p>
              </w:tc>
              <w:tc>
                <w:tcPr>
                  <w:tcW w:w="428" w:type="pct"/>
                  <w:vAlign w:val="center"/>
                </w:tcPr>
                <w:p w14:paraId="3AF3C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kern w:val="0"/>
                      <w:szCs w:val="21"/>
                      <w:lang w:val="en-US" w:eastAsia="zh-CN"/>
                    </w:rPr>
                  </w:pPr>
                  <w:r>
                    <w:rPr>
                      <w:rFonts w:hint="eastAsia"/>
                      <w:kern w:val="0"/>
                      <w:szCs w:val="21"/>
                      <w:lang w:val="en-US" w:eastAsia="zh-CN"/>
                    </w:rPr>
                    <w:t>3</w:t>
                  </w:r>
                </w:p>
              </w:tc>
              <w:tc>
                <w:tcPr>
                  <w:tcW w:w="764" w:type="pct"/>
                  <w:vAlign w:val="center"/>
                </w:tcPr>
                <w:p w14:paraId="5B336E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szCs w:val="21"/>
                    </w:rPr>
                  </w:pPr>
                  <w:r>
                    <w:rPr>
                      <w:rFonts w:hint="eastAsia" w:cs="Times New Roman"/>
                      <w:color w:val="000000" w:themeColor="text1"/>
                      <w:kern w:val="144"/>
                      <w:sz w:val="21"/>
                      <w:szCs w:val="21"/>
                      <w:lang w:val="en-US" w:eastAsia="zh-CN"/>
                      <w14:textFill>
                        <w14:solidFill>
                          <w14:schemeClr w14:val="tx1"/>
                        </w14:solidFill>
                      </w14:textFill>
                    </w:rPr>
                    <w:t>露天布置</w:t>
                  </w:r>
                </w:p>
              </w:tc>
            </w:tr>
          </w:tbl>
          <w:p w14:paraId="0FAA69FC">
            <w:pPr>
              <w:pStyle w:val="19"/>
              <w:keepNext w:val="0"/>
              <w:keepLines w:val="0"/>
              <w:suppressLineNumbers w:val="0"/>
              <w:spacing w:before="0" w:beforeAutospacing="0" w:after="0" w:afterAutospacing="0" w:line="520" w:lineRule="exact"/>
              <w:ind w:left="482" w:right="0" w:hanging="482"/>
              <w:jc w:val="center"/>
              <w:rPr>
                <w:rFonts w:hint="default"/>
                <w:b/>
                <w:bCs/>
              </w:rPr>
            </w:pPr>
            <w:r>
              <w:rPr>
                <w:rFonts w:hint="eastAsia"/>
                <w:b/>
                <w:bCs/>
              </w:rPr>
              <w:t>表2-4  主要资源用量</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123"/>
              <w:gridCol w:w="1444"/>
              <w:gridCol w:w="1107"/>
              <w:gridCol w:w="3992"/>
            </w:tblGrid>
            <w:tr w14:paraId="2AB6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Align w:val="center"/>
                </w:tcPr>
                <w:p w14:paraId="2A55E4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default" w:ascii="Times New Roman" w:hAnsi="Times New Roman" w:eastAsia="宋体"/>
                      <w:szCs w:val="21"/>
                    </w:rPr>
                    <w:t>序号</w:t>
                  </w:r>
                </w:p>
              </w:tc>
              <w:tc>
                <w:tcPr>
                  <w:tcW w:w="669" w:type="pct"/>
                  <w:vAlign w:val="center"/>
                </w:tcPr>
                <w:p w14:paraId="15BC69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default" w:ascii="Times New Roman" w:hAnsi="Times New Roman" w:eastAsia="宋体"/>
                      <w:szCs w:val="21"/>
                    </w:rPr>
                    <w:t>名称</w:t>
                  </w:r>
                </w:p>
              </w:tc>
              <w:tc>
                <w:tcPr>
                  <w:tcW w:w="860" w:type="pct"/>
                  <w:vAlign w:val="center"/>
                </w:tcPr>
                <w:p w14:paraId="537C3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default" w:ascii="Times New Roman" w:hAnsi="Times New Roman" w:eastAsia="宋体"/>
                      <w:szCs w:val="21"/>
                    </w:rPr>
                    <w:t>用量</w:t>
                  </w:r>
                </w:p>
              </w:tc>
              <w:tc>
                <w:tcPr>
                  <w:tcW w:w="659" w:type="pct"/>
                  <w:vAlign w:val="center"/>
                </w:tcPr>
                <w:p w14:paraId="764D78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eastAsia" w:ascii="Times New Roman" w:hAnsi="Times New Roman" w:eastAsia="宋体"/>
                      <w:szCs w:val="21"/>
                    </w:rPr>
                    <w:t>单位</w:t>
                  </w:r>
                </w:p>
              </w:tc>
              <w:tc>
                <w:tcPr>
                  <w:tcW w:w="2377" w:type="pct"/>
                  <w:vAlign w:val="center"/>
                </w:tcPr>
                <w:p w14:paraId="69C5C0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eastAsia" w:ascii="Times New Roman" w:hAnsi="Times New Roman" w:eastAsia="宋体"/>
                      <w:szCs w:val="21"/>
                    </w:rPr>
                    <w:t>来源</w:t>
                  </w:r>
                </w:p>
              </w:tc>
            </w:tr>
            <w:tr w14:paraId="4078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33" w:type="pct"/>
                  <w:vAlign w:val="center"/>
                </w:tcPr>
                <w:p w14:paraId="7EE8A2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default" w:ascii="Times New Roman" w:hAnsi="Times New Roman" w:eastAsia="宋体"/>
                      <w:szCs w:val="21"/>
                    </w:rPr>
                    <w:t>1</w:t>
                  </w:r>
                </w:p>
              </w:tc>
              <w:tc>
                <w:tcPr>
                  <w:tcW w:w="669" w:type="pct"/>
                  <w:vAlign w:val="center"/>
                </w:tcPr>
                <w:p w14:paraId="61D44C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default" w:ascii="Times New Roman" w:hAnsi="Times New Roman" w:eastAsia="宋体"/>
                      <w:szCs w:val="21"/>
                    </w:rPr>
                    <w:t>电</w:t>
                  </w:r>
                </w:p>
              </w:tc>
              <w:tc>
                <w:tcPr>
                  <w:tcW w:w="860" w:type="pct"/>
                  <w:vAlign w:val="center"/>
                </w:tcPr>
                <w:p w14:paraId="62FFF8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41.5</w:t>
                  </w:r>
                </w:p>
              </w:tc>
              <w:tc>
                <w:tcPr>
                  <w:tcW w:w="659" w:type="pct"/>
                  <w:vAlign w:val="center"/>
                </w:tcPr>
                <w:p w14:paraId="4898AE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eastAsia" w:ascii="Times New Roman" w:hAnsi="Times New Roman" w:eastAsia="宋体"/>
                      <w:szCs w:val="21"/>
                    </w:rPr>
                    <w:t>万kW/a</w:t>
                  </w:r>
                </w:p>
              </w:tc>
              <w:tc>
                <w:tcPr>
                  <w:tcW w:w="2377" w:type="pct"/>
                  <w:vAlign w:val="center"/>
                </w:tcPr>
                <w:p w14:paraId="71CE63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Cs w:val="21"/>
                      <w:lang w:eastAsia="zh-CN"/>
                    </w:rPr>
                  </w:pPr>
                  <w:r>
                    <w:rPr>
                      <w:rFonts w:hint="eastAsia" w:ascii="Times New Roman" w:hAnsi="Times New Roman" w:eastAsia="宋体"/>
                      <w:szCs w:val="21"/>
                    </w:rPr>
                    <w:t>供电管网统一提供</w:t>
                  </w:r>
                  <w:r>
                    <w:rPr>
                      <w:rFonts w:hint="eastAsia"/>
                      <w:szCs w:val="21"/>
                      <w:lang w:eastAsia="zh-CN"/>
                    </w:rPr>
                    <w:t>。</w:t>
                  </w:r>
                </w:p>
              </w:tc>
            </w:tr>
            <w:tr w14:paraId="6F4C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33" w:type="pct"/>
                  <w:vAlign w:val="center"/>
                </w:tcPr>
                <w:p w14:paraId="0C655F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default" w:ascii="Times New Roman" w:hAnsi="Times New Roman" w:eastAsia="宋体"/>
                      <w:szCs w:val="21"/>
                    </w:rPr>
                    <w:t>2</w:t>
                  </w:r>
                </w:p>
              </w:tc>
              <w:tc>
                <w:tcPr>
                  <w:tcW w:w="669" w:type="pct"/>
                  <w:vAlign w:val="center"/>
                </w:tcPr>
                <w:p w14:paraId="4F00D5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default" w:ascii="Times New Roman" w:hAnsi="Times New Roman" w:eastAsia="宋体"/>
                      <w:szCs w:val="21"/>
                    </w:rPr>
                    <w:t>水</w:t>
                  </w:r>
                </w:p>
              </w:tc>
              <w:tc>
                <w:tcPr>
                  <w:tcW w:w="860" w:type="pct"/>
                  <w:vAlign w:val="center"/>
                </w:tcPr>
                <w:p w14:paraId="0D1D5A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lang w:val="en-US" w:eastAsia="zh-CN"/>
                    </w:rPr>
                  </w:pPr>
                  <w:r>
                    <w:rPr>
                      <w:rFonts w:hint="eastAsia"/>
                      <w:szCs w:val="21"/>
                      <w:lang w:val="en-US" w:eastAsia="zh-CN"/>
                    </w:rPr>
                    <w:t>4476</w:t>
                  </w:r>
                </w:p>
              </w:tc>
              <w:tc>
                <w:tcPr>
                  <w:tcW w:w="659" w:type="pct"/>
                  <w:vAlign w:val="center"/>
                </w:tcPr>
                <w:p w14:paraId="4E239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default" w:ascii="Times New Roman" w:hAnsi="Times New Roman" w:eastAsia="宋体"/>
                      <w:szCs w:val="21"/>
                    </w:rPr>
                    <w:t>m³/a</w:t>
                  </w:r>
                </w:p>
              </w:tc>
              <w:tc>
                <w:tcPr>
                  <w:tcW w:w="2377" w:type="pct"/>
                  <w:vAlign w:val="center"/>
                </w:tcPr>
                <w:p w14:paraId="39A320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eastAsia" w:ascii="Times New Roman" w:hAnsi="Times New Roman" w:eastAsia="宋体"/>
                      <w:szCs w:val="21"/>
                    </w:rPr>
                    <w:t>生产用水量为</w:t>
                  </w:r>
                  <w:r>
                    <w:rPr>
                      <w:rFonts w:hint="eastAsia"/>
                      <w:szCs w:val="21"/>
                      <w:lang w:val="en-US" w:eastAsia="zh-CN"/>
                    </w:rPr>
                    <w:t>30</w:t>
                  </w:r>
                  <w:r>
                    <w:rPr>
                      <w:rFonts w:hint="eastAsia" w:ascii="Times New Roman" w:hAnsi="Times New Roman" w:eastAsia="宋体"/>
                      <w:szCs w:val="21"/>
                      <w:lang w:val="en-US" w:eastAsia="zh-CN"/>
                    </w:rPr>
                    <w:t>00</w:t>
                  </w:r>
                  <w:r>
                    <w:rPr>
                      <w:rFonts w:hint="default" w:ascii="Times New Roman" w:hAnsi="Times New Roman" w:eastAsia="宋体"/>
                      <w:szCs w:val="21"/>
                    </w:rPr>
                    <w:t>m³/a</w:t>
                  </w:r>
                  <w:r>
                    <w:rPr>
                      <w:rFonts w:hint="eastAsia" w:ascii="Times New Roman" w:hAnsi="Times New Roman" w:eastAsia="宋体"/>
                      <w:szCs w:val="21"/>
                    </w:rPr>
                    <w:t>，生活用水量为</w:t>
                  </w:r>
                  <w:r>
                    <w:rPr>
                      <w:rFonts w:hint="eastAsia"/>
                      <w:szCs w:val="21"/>
                      <w:lang w:val="en-US" w:eastAsia="zh-CN"/>
                    </w:rPr>
                    <w:t>1476</w:t>
                  </w:r>
                  <w:r>
                    <w:rPr>
                      <w:rFonts w:hint="default" w:ascii="Times New Roman" w:hAnsi="Times New Roman" w:eastAsia="宋体"/>
                      <w:szCs w:val="21"/>
                    </w:rPr>
                    <w:t>m³/a</w:t>
                  </w:r>
                  <w:r>
                    <w:rPr>
                      <w:rFonts w:hint="eastAsia" w:ascii="Times New Roman" w:hAnsi="Times New Roman"/>
                      <w:szCs w:val="21"/>
                      <w:lang w:eastAsia="zh-CN"/>
                    </w:rPr>
                    <w:t>，</w:t>
                  </w:r>
                  <w:r>
                    <w:rPr>
                      <w:rFonts w:hint="eastAsia"/>
                      <w:szCs w:val="21"/>
                      <w:lang w:val="en-US" w:eastAsia="zh-CN"/>
                    </w:rPr>
                    <w:t>由县城</w:t>
                  </w:r>
                  <w:r>
                    <w:rPr>
                      <w:rFonts w:hint="eastAsia" w:ascii="Times New Roman" w:hAnsi="Times New Roman" w:eastAsia="宋体"/>
                      <w:szCs w:val="21"/>
                    </w:rPr>
                    <w:t>拉运</w:t>
                  </w:r>
                  <w:r>
                    <w:rPr>
                      <w:rFonts w:hint="eastAsia"/>
                      <w:szCs w:val="21"/>
                      <w:lang w:val="en-US" w:eastAsia="zh-CN"/>
                    </w:rPr>
                    <w:t>至矿区</w:t>
                  </w:r>
                  <w:r>
                    <w:rPr>
                      <w:rFonts w:hint="eastAsia"/>
                      <w:lang w:eastAsia="zh-CN"/>
                    </w:rPr>
                    <w:t>。</w:t>
                  </w:r>
                </w:p>
              </w:tc>
            </w:tr>
            <w:tr w14:paraId="6EB7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33" w:type="pct"/>
                  <w:vAlign w:val="center"/>
                </w:tcPr>
                <w:p w14:paraId="0555D9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eastAsia" w:ascii="Times New Roman" w:hAnsi="Times New Roman" w:eastAsia="宋体"/>
                      <w:szCs w:val="21"/>
                    </w:rPr>
                    <w:t>3</w:t>
                  </w:r>
                </w:p>
              </w:tc>
              <w:tc>
                <w:tcPr>
                  <w:tcW w:w="669" w:type="pct"/>
                  <w:vAlign w:val="center"/>
                </w:tcPr>
                <w:p w14:paraId="2D2158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eastAsia" w:ascii="Times New Roman" w:hAnsi="Times New Roman" w:eastAsia="宋体"/>
                      <w:szCs w:val="21"/>
                    </w:rPr>
                    <w:t>柴油</w:t>
                  </w:r>
                </w:p>
              </w:tc>
              <w:tc>
                <w:tcPr>
                  <w:tcW w:w="860" w:type="pct"/>
                  <w:vAlign w:val="center"/>
                </w:tcPr>
                <w:p w14:paraId="74E4CC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309.41</w:t>
                  </w:r>
                </w:p>
              </w:tc>
              <w:tc>
                <w:tcPr>
                  <w:tcW w:w="659" w:type="pct"/>
                  <w:vAlign w:val="center"/>
                </w:tcPr>
                <w:p w14:paraId="0CAB89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rPr>
                  </w:pPr>
                  <w:r>
                    <w:rPr>
                      <w:rFonts w:hint="eastAsia" w:ascii="Times New Roman" w:hAnsi="Times New Roman" w:eastAsia="宋体"/>
                      <w:szCs w:val="21"/>
                    </w:rPr>
                    <w:t>t</w:t>
                  </w:r>
                  <w:r>
                    <w:rPr>
                      <w:rFonts w:hint="default" w:ascii="Times New Roman" w:hAnsi="Times New Roman" w:eastAsia="宋体"/>
                      <w:szCs w:val="21"/>
                    </w:rPr>
                    <w:t>/a</w:t>
                  </w:r>
                </w:p>
              </w:tc>
              <w:tc>
                <w:tcPr>
                  <w:tcW w:w="2377" w:type="pct"/>
                  <w:vAlign w:val="center"/>
                </w:tcPr>
                <w:p w14:paraId="3606B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Cs w:val="21"/>
                      <w:lang w:eastAsia="zh-CN"/>
                    </w:rPr>
                  </w:pPr>
                  <w:r>
                    <w:rPr>
                      <w:rFonts w:hint="default" w:ascii="Times New Roman" w:hAnsi="Times New Roman" w:eastAsia="宋体"/>
                      <w:szCs w:val="21"/>
                    </w:rPr>
                    <w:t>矿山所需柴油由当地供油公司负责运输，矿山不设储油设施</w:t>
                  </w:r>
                  <w:r>
                    <w:rPr>
                      <w:rFonts w:hint="eastAsia"/>
                      <w:szCs w:val="21"/>
                      <w:lang w:eastAsia="zh-CN"/>
                    </w:rPr>
                    <w:t>。</w:t>
                  </w:r>
                </w:p>
              </w:tc>
            </w:tr>
            <w:tr w14:paraId="3938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33" w:type="pct"/>
                  <w:vAlign w:val="center"/>
                </w:tcPr>
                <w:p w14:paraId="4B00BD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Cs w:val="21"/>
                      <w:lang w:val="en-US" w:eastAsia="zh-CN"/>
                    </w:rPr>
                  </w:pPr>
                  <w:r>
                    <w:rPr>
                      <w:rFonts w:hint="eastAsia" w:ascii="Times New Roman" w:hAnsi="Times New Roman" w:eastAsia="宋体"/>
                      <w:szCs w:val="21"/>
                      <w:lang w:val="en-US" w:eastAsia="zh-CN"/>
                    </w:rPr>
                    <w:t>4</w:t>
                  </w:r>
                </w:p>
              </w:tc>
              <w:tc>
                <w:tcPr>
                  <w:tcW w:w="669" w:type="pct"/>
                  <w:vAlign w:val="center"/>
                </w:tcPr>
                <w:p w14:paraId="3EA8CC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Cs w:val="21"/>
                      <w:lang w:eastAsia="zh-CN"/>
                    </w:rPr>
                  </w:pPr>
                  <w:r>
                    <w:rPr>
                      <w:rFonts w:hint="eastAsia" w:ascii="Times New Roman" w:hAnsi="Times New Roman" w:eastAsia="宋体"/>
                      <w:color w:val="000000" w:themeColor="text1"/>
                      <w:lang w:val="en-US" w:eastAsia="zh-CN"/>
                      <w14:textFill>
                        <w14:solidFill>
                          <w14:schemeClr w14:val="tx1"/>
                        </w14:solidFill>
                      </w14:textFill>
                    </w:rPr>
                    <w:t>润滑油</w:t>
                  </w:r>
                </w:p>
              </w:tc>
              <w:tc>
                <w:tcPr>
                  <w:tcW w:w="860" w:type="pct"/>
                  <w:vAlign w:val="center"/>
                </w:tcPr>
                <w:p w14:paraId="056C20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3000</w:t>
                  </w:r>
                </w:p>
              </w:tc>
              <w:tc>
                <w:tcPr>
                  <w:tcW w:w="659" w:type="pct"/>
                  <w:vAlign w:val="center"/>
                </w:tcPr>
                <w:p w14:paraId="15A742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lang w:val="en-US" w:eastAsia="zh-CN"/>
                    </w:rPr>
                  </w:pPr>
                  <w:r>
                    <w:rPr>
                      <w:rFonts w:hint="eastAsia"/>
                      <w:szCs w:val="21"/>
                      <w:lang w:val="en-US" w:eastAsia="zh-CN"/>
                    </w:rPr>
                    <w:t>kg</w:t>
                  </w:r>
                  <w:r>
                    <w:rPr>
                      <w:rFonts w:hint="eastAsia" w:ascii="Times New Roman" w:hAnsi="Times New Roman" w:eastAsia="宋体"/>
                      <w:szCs w:val="21"/>
                      <w:lang w:val="en-US" w:eastAsia="zh-CN"/>
                    </w:rPr>
                    <w:t>/a</w:t>
                  </w:r>
                </w:p>
              </w:tc>
              <w:tc>
                <w:tcPr>
                  <w:tcW w:w="2377" w:type="pct"/>
                  <w:vAlign w:val="center"/>
                </w:tcPr>
                <w:p w14:paraId="75BCEA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szCs w:val="21"/>
                      <w:lang w:val="en-US" w:eastAsia="zh-CN"/>
                    </w:rPr>
                  </w:pPr>
                  <w:r>
                    <w:rPr>
                      <w:rFonts w:hint="eastAsia" w:ascii="Times New Roman" w:hAnsi="Times New Roman" w:eastAsia="宋体"/>
                      <w:lang w:val="en-US" w:eastAsia="zh-CN"/>
                    </w:rPr>
                    <w:t>外购，</w:t>
                  </w:r>
                  <w:r>
                    <w:rPr>
                      <w:rFonts w:hint="default" w:ascii="Times New Roman" w:hAnsi="Times New Roman" w:eastAsia="宋体"/>
                      <w:szCs w:val="21"/>
                    </w:rPr>
                    <w:t>矿山不设储油设施</w:t>
                  </w:r>
                  <w:r>
                    <w:rPr>
                      <w:rFonts w:hint="eastAsia"/>
                      <w:szCs w:val="21"/>
                      <w:lang w:eastAsia="zh-CN"/>
                    </w:rPr>
                    <w:t>。</w:t>
                  </w:r>
                </w:p>
              </w:tc>
            </w:tr>
            <w:tr w14:paraId="68B3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33" w:type="pct"/>
                  <w:vAlign w:val="center"/>
                </w:tcPr>
                <w:p w14:paraId="614B1E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lang w:val="en-US" w:eastAsia="zh-CN"/>
                    </w:rPr>
                  </w:pPr>
                  <w:r>
                    <w:rPr>
                      <w:rFonts w:hint="eastAsia"/>
                      <w:szCs w:val="21"/>
                      <w:lang w:val="en-US" w:eastAsia="zh-CN"/>
                    </w:rPr>
                    <w:t>5</w:t>
                  </w:r>
                </w:p>
              </w:tc>
              <w:tc>
                <w:tcPr>
                  <w:tcW w:w="669" w:type="pct"/>
                  <w:vAlign w:val="center"/>
                </w:tcPr>
                <w:p w14:paraId="0A5809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炸药</w:t>
                  </w:r>
                </w:p>
              </w:tc>
              <w:tc>
                <w:tcPr>
                  <w:tcW w:w="860" w:type="pct"/>
                  <w:vAlign w:val="center"/>
                </w:tcPr>
                <w:p w14:paraId="7239B4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szCs w:val="21"/>
                      <w:lang w:val="en-US" w:eastAsia="zh-CN"/>
                    </w:rPr>
                  </w:pPr>
                  <w:r>
                    <w:rPr>
                      <w:rFonts w:hint="eastAsia"/>
                      <w:szCs w:val="21"/>
                      <w:lang w:val="en-US" w:eastAsia="zh-CN"/>
                    </w:rPr>
                    <w:t>95000</w:t>
                  </w:r>
                </w:p>
              </w:tc>
              <w:tc>
                <w:tcPr>
                  <w:tcW w:w="659" w:type="pct"/>
                  <w:vAlign w:val="center"/>
                </w:tcPr>
                <w:p w14:paraId="406B80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szCs w:val="21"/>
                      <w:lang w:val="en-US" w:eastAsia="zh-CN"/>
                    </w:rPr>
                  </w:pPr>
                  <w:r>
                    <w:rPr>
                      <w:rFonts w:hint="eastAsia"/>
                      <w:szCs w:val="21"/>
                      <w:lang w:val="en-US" w:eastAsia="zh-CN"/>
                    </w:rPr>
                    <w:t>kg</w:t>
                  </w:r>
                  <w:r>
                    <w:rPr>
                      <w:rFonts w:hint="eastAsia" w:ascii="Times New Roman" w:hAnsi="Times New Roman" w:eastAsia="宋体"/>
                      <w:szCs w:val="21"/>
                      <w:lang w:val="en-US" w:eastAsia="zh-CN"/>
                    </w:rPr>
                    <w:t>/a</w:t>
                  </w:r>
                </w:p>
              </w:tc>
              <w:tc>
                <w:tcPr>
                  <w:tcW w:w="2377" w:type="pct"/>
                  <w:vAlign w:val="center"/>
                </w:tcPr>
                <w:p w14:paraId="2F27E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爆破工作委托专业的爆破公司，炸药不在项目区</w:t>
                  </w:r>
                  <w:r>
                    <w:rPr>
                      <w:rFonts w:hint="eastAsia"/>
                      <w:lang w:val="en-US" w:eastAsia="zh-CN"/>
                    </w:rPr>
                    <w:t>贮</w:t>
                  </w:r>
                  <w:r>
                    <w:rPr>
                      <w:rFonts w:hint="eastAsia" w:ascii="Times New Roman" w:hAnsi="Times New Roman" w:eastAsia="宋体"/>
                      <w:lang w:val="en-US" w:eastAsia="zh-CN"/>
                    </w:rPr>
                    <w:t>存</w:t>
                  </w:r>
                  <w:r>
                    <w:rPr>
                      <w:rFonts w:hint="eastAsia"/>
                      <w:lang w:val="en-US" w:eastAsia="zh-CN"/>
                    </w:rPr>
                    <w:t>。</w:t>
                  </w:r>
                </w:p>
              </w:tc>
            </w:tr>
          </w:tbl>
          <w:p w14:paraId="722B833A">
            <w:pPr>
              <w:pStyle w:val="19"/>
              <w:keepNext w:val="0"/>
              <w:keepLines w:val="0"/>
              <w:suppressLineNumbers w:val="0"/>
              <w:spacing w:before="0" w:beforeAutospacing="0" w:after="0" w:afterAutospacing="0" w:line="520" w:lineRule="exact"/>
              <w:ind w:left="482" w:right="0" w:hanging="482"/>
              <w:jc w:val="center"/>
              <w:rPr>
                <w:rFonts w:hint="eastAsia"/>
                <w:b/>
                <w:bCs/>
              </w:rPr>
            </w:pPr>
            <w:r>
              <w:rPr>
                <w:rFonts w:hint="eastAsia"/>
                <w:b/>
                <w:bCs/>
              </w:rPr>
              <w:t>表2-</w:t>
            </w:r>
            <w:r>
              <w:rPr>
                <w:rFonts w:hint="eastAsia"/>
                <w:b/>
                <w:bCs/>
                <w:lang w:val="en-US" w:eastAsia="zh-CN"/>
              </w:rPr>
              <w:t>5</w:t>
            </w:r>
            <w:r>
              <w:rPr>
                <w:rFonts w:hint="eastAsia"/>
                <w:b/>
                <w:bCs/>
              </w:rPr>
              <w:t xml:space="preserve">  </w:t>
            </w:r>
            <w:r>
              <w:rPr>
                <w:rFonts w:hint="eastAsia"/>
                <w:b/>
                <w:bCs/>
                <w:lang w:val="en-US" w:eastAsia="zh-CN"/>
              </w:rPr>
              <w:t>矿区建构筑物一览表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651"/>
              <w:gridCol w:w="1589"/>
              <w:gridCol w:w="1170"/>
              <w:gridCol w:w="3083"/>
            </w:tblGrid>
            <w:tr w14:paraId="7BE1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6" w:type="pct"/>
                  <w:vAlign w:val="center"/>
                </w:tcPr>
                <w:p w14:paraId="696643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eastAsia" w:ascii="Times New Roman" w:hAnsi="Times New Roman" w:eastAsia="宋体"/>
                      <w:b w:val="0"/>
                      <w:bCs/>
                      <w:sz w:val="21"/>
                      <w:vertAlign w:val="baseline"/>
                      <w:lang w:val="en-US" w:eastAsia="zh-CN"/>
                    </w:rPr>
                    <w:t>序号</w:t>
                  </w:r>
                </w:p>
              </w:tc>
              <w:tc>
                <w:tcPr>
                  <w:tcW w:w="983" w:type="pct"/>
                  <w:vAlign w:val="center"/>
                </w:tcPr>
                <w:p w14:paraId="0BB906E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eastAsia" w:ascii="Times New Roman" w:hAnsi="Times New Roman" w:eastAsia="宋体"/>
                      <w:b w:val="0"/>
                      <w:bCs/>
                      <w:sz w:val="21"/>
                      <w:vertAlign w:val="baseline"/>
                      <w:lang w:val="en-US" w:eastAsia="zh-CN"/>
                    </w:rPr>
                    <w:t>建筑名称</w:t>
                  </w:r>
                </w:p>
              </w:tc>
              <w:tc>
                <w:tcPr>
                  <w:tcW w:w="946" w:type="pct"/>
                  <w:vAlign w:val="center"/>
                </w:tcPr>
                <w:p w14:paraId="485322D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eastAsia" w:ascii="Times New Roman" w:hAnsi="Times New Roman" w:eastAsia="宋体"/>
                      <w:b w:val="0"/>
                      <w:bCs/>
                      <w:sz w:val="21"/>
                      <w:vertAlign w:val="baseline"/>
                      <w:lang w:val="en-US" w:eastAsia="zh-CN"/>
                    </w:rPr>
                    <w:t>建筑面积（m</w:t>
                  </w:r>
                  <w:r>
                    <w:rPr>
                      <w:rFonts w:hint="eastAsia" w:ascii="Times New Roman" w:hAnsi="Times New Roman" w:eastAsia="宋体"/>
                      <w:b w:val="0"/>
                      <w:bCs/>
                      <w:sz w:val="21"/>
                      <w:vertAlign w:val="superscript"/>
                      <w:lang w:val="en-US" w:eastAsia="zh-CN"/>
                    </w:rPr>
                    <w:t>2</w:t>
                  </w:r>
                  <w:r>
                    <w:rPr>
                      <w:rFonts w:hint="eastAsia" w:ascii="Times New Roman" w:hAnsi="Times New Roman" w:eastAsia="宋体"/>
                      <w:b w:val="0"/>
                      <w:bCs/>
                      <w:sz w:val="21"/>
                      <w:vertAlign w:val="baseline"/>
                      <w:lang w:val="en-US" w:eastAsia="zh-CN"/>
                    </w:rPr>
                    <w:t>）</w:t>
                  </w:r>
                </w:p>
              </w:tc>
              <w:tc>
                <w:tcPr>
                  <w:tcW w:w="697" w:type="pct"/>
                  <w:vAlign w:val="center"/>
                </w:tcPr>
                <w:p w14:paraId="1C16AF7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eastAsia" w:ascii="Times New Roman" w:hAnsi="Times New Roman" w:eastAsia="宋体"/>
                      <w:b w:val="0"/>
                      <w:bCs/>
                      <w:sz w:val="21"/>
                      <w:vertAlign w:val="baseline"/>
                      <w:lang w:val="en-US" w:eastAsia="zh-CN"/>
                    </w:rPr>
                    <w:t>结构类型</w:t>
                  </w:r>
                </w:p>
              </w:tc>
              <w:tc>
                <w:tcPr>
                  <w:tcW w:w="1836" w:type="pct"/>
                  <w:vAlign w:val="center"/>
                </w:tcPr>
                <w:p w14:paraId="49130CC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eastAsia" w:ascii="Times New Roman" w:hAnsi="Times New Roman" w:eastAsia="宋体"/>
                      <w:b w:val="0"/>
                      <w:bCs/>
                      <w:sz w:val="21"/>
                      <w:vertAlign w:val="baseline"/>
                      <w:lang w:val="en-US" w:eastAsia="zh-CN"/>
                    </w:rPr>
                    <w:t>备注</w:t>
                  </w:r>
                </w:p>
              </w:tc>
            </w:tr>
            <w:tr w14:paraId="2061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74B32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1</w:t>
                  </w:r>
                </w:p>
              </w:tc>
              <w:tc>
                <w:tcPr>
                  <w:tcW w:w="983" w:type="pct"/>
                  <w:vAlign w:val="center"/>
                </w:tcPr>
                <w:p w14:paraId="00A52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sz w:val="21"/>
                      <w:szCs w:val="21"/>
                      <w:lang w:val="en-US" w:eastAsia="zh-CN"/>
                    </w:rPr>
                    <w:t>机修间</w:t>
                  </w:r>
                </w:p>
              </w:tc>
              <w:tc>
                <w:tcPr>
                  <w:tcW w:w="946" w:type="pct"/>
                  <w:vAlign w:val="center"/>
                </w:tcPr>
                <w:p w14:paraId="554AA2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170" w:type="dxa"/>
                  <w:vAlign w:val="center"/>
                </w:tcPr>
                <w:p w14:paraId="74437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 w:val="0"/>
                      <w:bCs/>
                      <w:sz w:val="21"/>
                      <w:vertAlign w:val="baseline"/>
                      <w:lang w:val="en-US" w:eastAsia="zh-CN"/>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4AE75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eastAsia" w:ascii="Times New Roman" w:hAnsi="Times New Roman" w:eastAsia="宋体"/>
                      <w:b w:val="0"/>
                      <w:bCs/>
                      <w:sz w:val="21"/>
                      <w:vertAlign w:val="baseline"/>
                      <w:lang w:val="en-US" w:eastAsia="zh-CN"/>
                    </w:rPr>
                    <w:t>/</w:t>
                  </w:r>
                </w:p>
              </w:tc>
            </w:tr>
            <w:tr w14:paraId="00E9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75F17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2</w:t>
                  </w:r>
                </w:p>
              </w:tc>
              <w:tc>
                <w:tcPr>
                  <w:tcW w:w="983" w:type="pct"/>
                  <w:vAlign w:val="center"/>
                </w:tcPr>
                <w:p w14:paraId="63D58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sz w:val="21"/>
                      <w:szCs w:val="21"/>
                      <w:lang w:val="en-US" w:eastAsia="zh-CN"/>
                    </w:rPr>
                    <w:t>变配电室</w:t>
                  </w:r>
                </w:p>
              </w:tc>
              <w:tc>
                <w:tcPr>
                  <w:tcW w:w="946" w:type="pct"/>
                  <w:vAlign w:val="center"/>
                </w:tcPr>
                <w:p w14:paraId="34B47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170" w:type="dxa"/>
                  <w:vAlign w:val="center"/>
                </w:tcPr>
                <w:p w14:paraId="6E29A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6EC50E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eastAsia" w:ascii="Times New Roman" w:hAnsi="Times New Roman" w:eastAsia="宋体"/>
                      <w:b w:val="0"/>
                      <w:bCs/>
                      <w:sz w:val="21"/>
                      <w:vertAlign w:val="baseline"/>
                      <w:lang w:val="en-US" w:eastAsia="zh-CN"/>
                    </w:rPr>
                    <w:t>/</w:t>
                  </w:r>
                </w:p>
              </w:tc>
            </w:tr>
            <w:tr w14:paraId="2C2A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32BFC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3</w:t>
                  </w:r>
                </w:p>
              </w:tc>
              <w:tc>
                <w:tcPr>
                  <w:tcW w:w="983" w:type="pct"/>
                  <w:vAlign w:val="center"/>
                </w:tcPr>
                <w:p w14:paraId="47828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sz w:val="21"/>
                      <w:szCs w:val="21"/>
                      <w:lang w:val="en-US" w:eastAsia="zh-CN"/>
                    </w:rPr>
                    <w:t>材料库房</w:t>
                  </w:r>
                </w:p>
              </w:tc>
              <w:tc>
                <w:tcPr>
                  <w:tcW w:w="946" w:type="pct"/>
                  <w:vAlign w:val="center"/>
                </w:tcPr>
                <w:p w14:paraId="392B5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170" w:type="dxa"/>
                  <w:vAlign w:val="center"/>
                </w:tcPr>
                <w:p w14:paraId="7770AA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25010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01AB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6" w:type="pct"/>
                  <w:vAlign w:val="center"/>
                </w:tcPr>
                <w:p w14:paraId="53B08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4</w:t>
                  </w:r>
                </w:p>
              </w:tc>
              <w:tc>
                <w:tcPr>
                  <w:tcW w:w="983" w:type="pct"/>
                  <w:vAlign w:val="center"/>
                </w:tcPr>
                <w:p w14:paraId="0E90CF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sz w:val="21"/>
                      <w:szCs w:val="21"/>
                      <w:lang w:val="en-US" w:eastAsia="zh-CN"/>
                    </w:rPr>
                    <w:t>破碎筛分</w:t>
                  </w:r>
                  <w:r>
                    <w:rPr>
                      <w:rFonts w:hint="eastAsia" w:cs="Times New Roman"/>
                      <w:color w:val="auto"/>
                      <w:sz w:val="21"/>
                      <w:szCs w:val="21"/>
                      <w:lang w:val="en-US" w:eastAsia="zh-CN"/>
                    </w:rPr>
                    <w:t>场地</w:t>
                  </w:r>
                </w:p>
              </w:tc>
              <w:tc>
                <w:tcPr>
                  <w:tcW w:w="946" w:type="pct"/>
                  <w:vAlign w:val="center"/>
                </w:tcPr>
                <w:p w14:paraId="255C0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eastAsia" w:cs="Times New Roman"/>
                      <w:i w:val="0"/>
                      <w:iCs w:val="0"/>
                      <w:color w:val="auto"/>
                      <w:kern w:val="0"/>
                      <w:sz w:val="21"/>
                      <w:szCs w:val="21"/>
                      <w:u w:val="none"/>
                      <w:lang w:val="en-US" w:eastAsia="zh-CN" w:bidi="ar"/>
                    </w:rPr>
                    <w:t>30</w:t>
                  </w:r>
                  <w:r>
                    <w:rPr>
                      <w:rFonts w:hint="eastAsia"/>
                      <w:lang w:val="en-US" w:eastAsia="zh-CN"/>
                    </w:rPr>
                    <w:t>00</w:t>
                  </w:r>
                </w:p>
              </w:tc>
              <w:tc>
                <w:tcPr>
                  <w:tcW w:w="697" w:type="pct"/>
                  <w:vAlign w:val="center"/>
                </w:tcPr>
                <w:p w14:paraId="20BBB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default" w:ascii="Times New Roman" w:hAnsi="Times New Roman" w:cs="Times New Roman"/>
                      <w:color w:val="auto"/>
                      <w:sz w:val="21"/>
                      <w:szCs w:val="21"/>
                      <w:lang w:val="en-US" w:eastAsia="zh-CN"/>
                    </w:rPr>
                    <w:t>彩钢结构</w:t>
                  </w:r>
                </w:p>
              </w:tc>
              <w:tc>
                <w:tcPr>
                  <w:tcW w:w="1836" w:type="pct"/>
                  <w:vAlign w:val="center"/>
                </w:tcPr>
                <w:p w14:paraId="721A7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color w:val="auto"/>
                      <w:spacing w:val="-3"/>
                      <w:sz w:val="21"/>
                      <w:szCs w:val="21"/>
                      <w:highlight w:val="none"/>
                      <w:vertAlign w:val="baseline"/>
                      <w:lang w:val="en-US" w:eastAsia="zh-CN"/>
                    </w:rPr>
                    <w:t>破碎</w:t>
                  </w:r>
                  <w:r>
                    <w:rPr>
                      <w:rFonts w:hint="eastAsia"/>
                      <w:color w:val="auto"/>
                      <w:spacing w:val="-3"/>
                      <w:sz w:val="21"/>
                      <w:szCs w:val="21"/>
                      <w:highlight w:val="none"/>
                      <w:vertAlign w:val="baseline"/>
                      <w:lang w:val="en-US" w:eastAsia="zh-CN"/>
                    </w:rPr>
                    <w:t>、</w:t>
                  </w:r>
                  <w:r>
                    <w:rPr>
                      <w:rFonts w:hint="eastAsia" w:ascii="Times New Roman" w:hAnsi="Times New Roman" w:eastAsia="宋体"/>
                      <w:color w:val="auto"/>
                      <w:spacing w:val="-3"/>
                      <w:sz w:val="21"/>
                      <w:szCs w:val="21"/>
                      <w:highlight w:val="none"/>
                      <w:vertAlign w:val="baseline"/>
                      <w:lang w:val="en-US" w:eastAsia="zh-CN"/>
                    </w:rPr>
                    <w:t>筛分</w:t>
                  </w:r>
                  <w:r>
                    <w:rPr>
                      <w:rFonts w:hint="default" w:ascii="Times New Roman" w:hAnsi="Times New Roman" w:eastAsia="宋体"/>
                      <w:color w:val="auto"/>
                      <w:spacing w:val="-3"/>
                      <w:sz w:val="21"/>
                      <w:szCs w:val="21"/>
                      <w:highlight w:val="none"/>
                      <w:vertAlign w:val="baseline"/>
                    </w:rPr>
                    <w:t>过程</w:t>
                  </w:r>
                  <w:r>
                    <w:rPr>
                      <w:rFonts w:hint="default" w:ascii="Times New Roman" w:hAnsi="Times New Roman" w:eastAsia="宋体"/>
                      <w:color w:val="auto"/>
                      <w:spacing w:val="-3"/>
                      <w:sz w:val="21"/>
                      <w:szCs w:val="21"/>
                      <w:highlight w:val="none"/>
                      <w:vertAlign w:val="baseline"/>
                      <w:lang w:val="en-US" w:eastAsia="zh-CN"/>
                    </w:rPr>
                    <w:t>在破碎机</w:t>
                  </w:r>
                  <w:r>
                    <w:rPr>
                      <w:rFonts w:hint="eastAsia"/>
                      <w:color w:val="auto"/>
                      <w:spacing w:val="-3"/>
                      <w:sz w:val="21"/>
                      <w:szCs w:val="21"/>
                      <w:highlight w:val="none"/>
                      <w:vertAlign w:val="baseline"/>
                      <w:lang w:val="en-US" w:eastAsia="zh-CN"/>
                    </w:rPr>
                    <w:t>、</w:t>
                  </w:r>
                  <w:r>
                    <w:rPr>
                      <w:rFonts w:hint="eastAsia" w:ascii="Times New Roman" w:hAnsi="Times New Roman" w:eastAsia="宋体" w:cs="宋体"/>
                      <w:color w:val="auto"/>
                      <w:spacing w:val="-3"/>
                      <w:sz w:val="21"/>
                      <w:szCs w:val="21"/>
                      <w:highlight w:val="none"/>
                      <w:vertAlign w:val="baseline"/>
                      <w:lang w:val="en-US" w:eastAsia="zh-CN"/>
                    </w:rPr>
                    <w:t>振动筛</w:t>
                  </w:r>
                  <w:r>
                    <w:rPr>
                      <w:rFonts w:hint="default" w:ascii="Times New Roman" w:hAnsi="Times New Roman" w:eastAsia="宋体"/>
                      <w:color w:val="auto"/>
                      <w:spacing w:val="-3"/>
                      <w:sz w:val="21"/>
                      <w:szCs w:val="21"/>
                      <w:highlight w:val="none"/>
                      <w:vertAlign w:val="baseline"/>
                      <w:lang w:val="en-US" w:eastAsia="zh-CN"/>
                    </w:rPr>
                    <w:t>上方安装</w:t>
                  </w:r>
                  <w:r>
                    <w:rPr>
                      <w:rFonts w:hint="eastAsia" w:ascii="Times New Roman" w:hAnsi="Times New Roman" w:eastAsia="宋体"/>
                      <w:color w:val="auto"/>
                      <w:spacing w:val="-3"/>
                      <w:sz w:val="21"/>
                      <w:szCs w:val="21"/>
                      <w:highlight w:val="none"/>
                      <w:vertAlign w:val="baseline"/>
                      <w:lang w:val="en-US" w:eastAsia="zh-CN"/>
                    </w:rPr>
                    <w:t>集气罩</w:t>
                  </w:r>
                  <w:r>
                    <w:rPr>
                      <w:rFonts w:hint="default" w:ascii="Times New Roman" w:hAnsi="Times New Roman" w:eastAsia="宋体"/>
                      <w:color w:val="auto"/>
                      <w:spacing w:val="-3"/>
                      <w:sz w:val="21"/>
                      <w:szCs w:val="21"/>
                      <w:highlight w:val="none"/>
                      <w:vertAlign w:val="baseline"/>
                      <w:lang w:val="en-US" w:eastAsia="zh-CN"/>
                    </w:rPr>
                    <w:t>收集产生的粉尘，收集的粉尘经</w:t>
                  </w:r>
                  <w:r>
                    <w:rPr>
                      <w:rFonts w:hint="eastAsia" w:ascii="Times New Roman" w:hAnsi="Times New Roman" w:eastAsia="宋体"/>
                      <w:color w:val="auto"/>
                      <w:spacing w:val="-3"/>
                      <w:sz w:val="21"/>
                      <w:szCs w:val="21"/>
                      <w:highlight w:val="none"/>
                      <w:vertAlign w:val="baseline"/>
                      <w:lang w:val="en-US" w:eastAsia="zh-CN"/>
                    </w:rPr>
                    <w:t>集气罩收集</w:t>
                  </w:r>
                  <w:r>
                    <w:rPr>
                      <w:rFonts w:hint="default" w:ascii="Times New Roman" w:hAnsi="Times New Roman" w:eastAsia="宋体"/>
                      <w:color w:val="auto"/>
                      <w:spacing w:val="-3"/>
                      <w:sz w:val="21"/>
                      <w:szCs w:val="21"/>
                      <w:highlight w:val="none"/>
                      <w:vertAlign w:val="baseline"/>
                      <w:lang w:val="en-US" w:eastAsia="zh-CN"/>
                    </w:rPr>
                    <w:t>汇入</w:t>
                  </w:r>
                  <w:r>
                    <w:rPr>
                      <w:rFonts w:hint="eastAsia" w:ascii="Times New Roman" w:hAnsi="Times New Roman" w:eastAsia="宋体"/>
                      <w:color w:val="auto"/>
                      <w:spacing w:val="-3"/>
                      <w:sz w:val="21"/>
                      <w:szCs w:val="21"/>
                      <w:highlight w:val="none"/>
                      <w:vertAlign w:val="baseline"/>
                      <w:lang w:val="en-US" w:eastAsia="zh-CN"/>
                    </w:rPr>
                    <w:t>布袋除尘器</w:t>
                  </w:r>
                  <w:r>
                    <w:rPr>
                      <w:rFonts w:hint="eastAsia"/>
                      <w:color w:val="auto"/>
                      <w:spacing w:val="-3"/>
                      <w:sz w:val="21"/>
                      <w:szCs w:val="21"/>
                      <w:highlight w:val="none"/>
                      <w:vertAlign w:val="baseline"/>
                      <w:lang w:val="en-US" w:eastAsia="zh-CN"/>
                    </w:rPr>
                    <w:t>，处理</w:t>
                  </w:r>
                  <w:r>
                    <w:rPr>
                      <w:rFonts w:hint="eastAsia" w:ascii="Times New Roman" w:hAnsi="Times New Roman" w:eastAsia="宋体"/>
                      <w:color w:val="auto"/>
                      <w:spacing w:val="-3"/>
                      <w:sz w:val="21"/>
                      <w:szCs w:val="21"/>
                      <w:highlight w:val="none"/>
                      <w:vertAlign w:val="baseline"/>
                      <w:lang w:val="en-US" w:eastAsia="zh-CN"/>
                    </w:rPr>
                    <w:t>布袋除尘器</w:t>
                  </w:r>
                  <w:r>
                    <w:rPr>
                      <w:rFonts w:hint="eastAsia"/>
                      <w:color w:val="auto"/>
                      <w:spacing w:val="-3"/>
                      <w:sz w:val="21"/>
                      <w:szCs w:val="21"/>
                      <w:highlight w:val="none"/>
                      <w:vertAlign w:val="baseline"/>
                      <w:lang w:val="en-US" w:eastAsia="zh-CN"/>
                    </w:rPr>
                    <w:t>后经一根15m排气筒（D001）排放</w:t>
                  </w:r>
                  <w:r>
                    <w:rPr>
                      <w:rFonts w:hint="eastAsia" w:cs="Times New Roman"/>
                      <w:color w:val="auto"/>
                    </w:rPr>
                    <w:t>。</w:t>
                  </w:r>
                </w:p>
              </w:tc>
            </w:tr>
            <w:tr w14:paraId="20F6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3A3ED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5</w:t>
                  </w:r>
                </w:p>
              </w:tc>
              <w:tc>
                <w:tcPr>
                  <w:tcW w:w="983" w:type="pct"/>
                  <w:vAlign w:val="center"/>
                </w:tcPr>
                <w:p w14:paraId="72CC33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地磅房</w:t>
                  </w:r>
                </w:p>
              </w:tc>
              <w:tc>
                <w:tcPr>
                  <w:tcW w:w="946" w:type="pct"/>
                  <w:vAlign w:val="center"/>
                </w:tcPr>
                <w:p w14:paraId="54A31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70" w:type="dxa"/>
                  <w:vAlign w:val="center"/>
                </w:tcPr>
                <w:p w14:paraId="02859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4FEBE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0BFD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75C34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5</w:t>
                  </w:r>
                </w:p>
              </w:tc>
              <w:tc>
                <w:tcPr>
                  <w:tcW w:w="983" w:type="pct"/>
                  <w:vAlign w:val="center"/>
                </w:tcPr>
                <w:p w14:paraId="1894A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办公室</w:t>
                  </w:r>
                </w:p>
              </w:tc>
              <w:tc>
                <w:tcPr>
                  <w:tcW w:w="946" w:type="pct"/>
                  <w:vAlign w:val="center"/>
                </w:tcPr>
                <w:p w14:paraId="0FC9E3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1170" w:type="dxa"/>
                  <w:vAlign w:val="center"/>
                </w:tcPr>
                <w:p w14:paraId="254E6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4E5A5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73A9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3F5611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6</w:t>
                  </w:r>
                </w:p>
              </w:tc>
              <w:tc>
                <w:tcPr>
                  <w:tcW w:w="983" w:type="pct"/>
                  <w:vAlign w:val="center"/>
                </w:tcPr>
                <w:p w14:paraId="0EDD0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宿舍</w:t>
                  </w:r>
                </w:p>
              </w:tc>
              <w:tc>
                <w:tcPr>
                  <w:tcW w:w="946" w:type="pct"/>
                  <w:vAlign w:val="center"/>
                </w:tcPr>
                <w:p w14:paraId="75F275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70" w:type="dxa"/>
                  <w:vAlign w:val="center"/>
                </w:tcPr>
                <w:p w14:paraId="024B2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6274E6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155C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13A48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7</w:t>
                  </w:r>
                </w:p>
              </w:tc>
              <w:tc>
                <w:tcPr>
                  <w:tcW w:w="983" w:type="pct"/>
                  <w:vAlign w:val="center"/>
                </w:tcPr>
                <w:p w14:paraId="311E6E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食堂</w:t>
                  </w:r>
                </w:p>
              </w:tc>
              <w:tc>
                <w:tcPr>
                  <w:tcW w:w="946" w:type="pct"/>
                  <w:vAlign w:val="center"/>
                </w:tcPr>
                <w:p w14:paraId="45FCF5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lang w:val="en-US" w:eastAsia="zh-CN"/>
                    </w:rPr>
                  </w:pPr>
                  <w:r>
                    <w:rPr>
                      <w:rFonts w:hint="eastAsia" w:cs="Times New Roman"/>
                      <w:i w:val="0"/>
                      <w:iCs w:val="0"/>
                      <w:color w:val="auto"/>
                      <w:kern w:val="0"/>
                      <w:sz w:val="21"/>
                      <w:szCs w:val="21"/>
                      <w:u w:val="none"/>
                      <w:lang w:val="en-US" w:eastAsia="zh-CN" w:bidi="ar"/>
                    </w:rPr>
                    <w:t>300</w:t>
                  </w:r>
                </w:p>
              </w:tc>
              <w:tc>
                <w:tcPr>
                  <w:tcW w:w="1170" w:type="dxa"/>
                  <w:vAlign w:val="center"/>
                </w:tcPr>
                <w:p w14:paraId="64B6E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694849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4550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075B9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8</w:t>
                  </w:r>
                </w:p>
              </w:tc>
              <w:tc>
                <w:tcPr>
                  <w:tcW w:w="983" w:type="pct"/>
                  <w:vAlign w:val="center"/>
                </w:tcPr>
                <w:p w14:paraId="0CACB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浴室及锅炉房</w:t>
                  </w:r>
                </w:p>
              </w:tc>
              <w:tc>
                <w:tcPr>
                  <w:tcW w:w="946" w:type="pct"/>
                  <w:vAlign w:val="center"/>
                </w:tcPr>
                <w:p w14:paraId="23951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1170" w:type="dxa"/>
                  <w:vAlign w:val="center"/>
                </w:tcPr>
                <w:p w14:paraId="08146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54B38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4165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3CBA4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9</w:t>
                  </w:r>
                </w:p>
              </w:tc>
              <w:tc>
                <w:tcPr>
                  <w:tcW w:w="983" w:type="pct"/>
                  <w:vAlign w:val="center"/>
                </w:tcPr>
                <w:p w14:paraId="63DF4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保健室</w:t>
                  </w:r>
                </w:p>
              </w:tc>
              <w:tc>
                <w:tcPr>
                  <w:tcW w:w="946" w:type="pct"/>
                  <w:vAlign w:val="center"/>
                </w:tcPr>
                <w:p w14:paraId="445A2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170" w:type="dxa"/>
                  <w:vAlign w:val="center"/>
                </w:tcPr>
                <w:p w14:paraId="5E2B4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6D60D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3B86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4AA75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cs="Times New Roman"/>
                      <w:color w:val="auto"/>
                      <w:kern w:val="0"/>
                      <w:sz w:val="21"/>
                      <w:szCs w:val="21"/>
                    </w:rPr>
                    <w:t>10</w:t>
                  </w:r>
                </w:p>
              </w:tc>
              <w:tc>
                <w:tcPr>
                  <w:tcW w:w="983" w:type="pct"/>
                  <w:vAlign w:val="center"/>
                </w:tcPr>
                <w:p w14:paraId="04600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厕所</w:t>
                  </w:r>
                </w:p>
              </w:tc>
              <w:tc>
                <w:tcPr>
                  <w:tcW w:w="946" w:type="pct"/>
                  <w:vAlign w:val="center"/>
                </w:tcPr>
                <w:p w14:paraId="030F36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70" w:type="dxa"/>
                  <w:vAlign w:val="center"/>
                </w:tcPr>
                <w:p w14:paraId="1EA7B2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3BF09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42A5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4ADAE9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11</w:t>
                  </w:r>
                </w:p>
              </w:tc>
              <w:tc>
                <w:tcPr>
                  <w:tcW w:w="983" w:type="pct"/>
                  <w:vAlign w:val="center"/>
                </w:tcPr>
                <w:p w14:paraId="258FD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门卫室</w:t>
                  </w:r>
                </w:p>
              </w:tc>
              <w:tc>
                <w:tcPr>
                  <w:tcW w:w="946" w:type="pct"/>
                  <w:vAlign w:val="center"/>
                </w:tcPr>
                <w:p w14:paraId="0EE5E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70" w:type="dxa"/>
                  <w:vAlign w:val="center"/>
                </w:tcPr>
                <w:p w14:paraId="5E4FA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18D8B4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04B0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2F61D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12</w:t>
                  </w:r>
                </w:p>
              </w:tc>
              <w:tc>
                <w:tcPr>
                  <w:tcW w:w="983" w:type="pct"/>
                  <w:vAlign w:val="center"/>
                </w:tcPr>
                <w:p w14:paraId="08452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危废贮存间</w:t>
                  </w:r>
                </w:p>
              </w:tc>
              <w:tc>
                <w:tcPr>
                  <w:tcW w:w="946" w:type="pct"/>
                  <w:vAlign w:val="center"/>
                </w:tcPr>
                <w:p w14:paraId="7CAC6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w:t>
                  </w:r>
                </w:p>
              </w:tc>
              <w:tc>
                <w:tcPr>
                  <w:tcW w:w="1170" w:type="dxa"/>
                  <w:vAlign w:val="center"/>
                </w:tcPr>
                <w:p w14:paraId="619110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砖混</w:t>
                  </w:r>
                  <w:r>
                    <w:rPr>
                      <w:rFonts w:hint="default" w:ascii="Times New Roman" w:hAnsi="Times New Roman" w:cs="Times New Roman"/>
                      <w:color w:val="auto"/>
                      <w:sz w:val="21"/>
                      <w:szCs w:val="21"/>
                      <w:lang w:val="en-US" w:eastAsia="zh-CN"/>
                    </w:rPr>
                    <w:t>结构</w:t>
                  </w:r>
                </w:p>
              </w:tc>
              <w:tc>
                <w:tcPr>
                  <w:tcW w:w="1836" w:type="pct"/>
                  <w:vAlign w:val="center"/>
                </w:tcPr>
                <w:p w14:paraId="3F36C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r w14:paraId="040A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6" w:type="pct"/>
                  <w:vAlign w:val="center"/>
                </w:tcPr>
                <w:p w14:paraId="7C47A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kern w:val="0"/>
                      <w:sz w:val="21"/>
                      <w:szCs w:val="21"/>
                      <w:lang w:val="en-US" w:eastAsia="zh-CN"/>
                    </w:rPr>
                  </w:pPr>
                </w:p>
              </w:tc>
              <w:tc>
                <w:tcPr>
                  <w:tcW w:w="983" w:type="pct"/>
                  <w:vAlign w:val="center"/>
                </w:tcPr>
                <w:p w14:paraId="19F07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合计</w:t>
                  </w:r>
                </w:p>
              </w:tc>
              <w:tc>
                <w:tcPr>
                  <w:tcW w:w="946" w:type="pct"/>
                  <w:vAlign w:val="center"/>
                </w:tcPr>
                <w:p w14:paraId="30DCA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4265</w:t>
                  </w:r>
                </w:p>
              </w:tc>
              <w:tc>
                <w:tcPr>
                  <w:tcW w:w="697" w:type="pct"/>
                  <w:vAlign w:val="center"/>
                </w:tcPr>
                <w:p w14:paraId="7E482C0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val="0"/>
                      <w:bCs/>
                      <w:sz w:val="21"/>
                      <w:vertAlign w:val="baseline"/>
                      <w:lang w:val="en-US" w:eastAsia="zh-CN"/>
                    </w:rPr>
                  </w:pPr>
                  <w:r>
                    <w:rPr>
                      <w:rFonts w:hint="eastAsia" w:ascii="Times New Roman" w:hAnsi="Times New Roman" w:eastAsia="宋体"/>
                      <w:b w:val="0"/>
                      <w:bCs/>
                      <w:sz w:val="21"/>
                      <w:vertAlign w:val="baseline"/>
                      <w:lang w:val="en-US" w:eastAsia="zh-CN"/>
                    </w:rPr>
                    <w:t>/</w:t>
                  </w:r>
                </w:p>
              </w:tc>
              <w:tc>
                <w:tcPr>
                  <w:tcW w:w="1836" w:type="pct"/>
                  <w:vAlign w:val="center"/>
                </w:tcPr>
                <w:p w14:paraId="1E4D1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sz w:val="21"/>
                      <w:vertAlign w:val="baseline"/>
                    </w:rPr>
                  </w:pPr>
                  <w:r>
                    <w:rPr>
                      <w:rFonts w:hint="eastAsia" w:ascii="Times New Roman" w:hAnsi="Times New Roman" w:eastAsia="宋体"/>
                      <w:b w:val="0"/>
                      <w:bCs/>
                      <w:sz w:val="21"/>
                      <w:vertAlign w:val="baseline"/>
                      <w:lang w:val="en-US" w:eastAsia="zh-CN"/>
                    </w:rPr>
                    <w:t>/</w:t>
                  </w:r>
                </w:p>
              </w:tc>
            </w:tr>
          </w:tbl>
          <w:p w14:paraId="6E98AF7C">
            <w:pPr>
              <w:pStyle w:val="19"/>
              <w:keepNext w:val="0"/>
              <w:keepLines w:val="0"/>
              <w:suppressLineNumbers w:val="0"/>
              <w:spacing w:before="0" w:beforeAutospacing="0" w:after="0" w:afterAutospacing="0" w:line="520" w:lineRule="exact"/>
              <w:ind w:left="482" w:right="0" w:hanging="482"/>
              <w:rPr>
                <w:rFonts w:hint="default"/>
                <w:b/>
                <w:bCs/>
              </w:rPr>
            </w:pPr>
            <w:r>
              <w:rPr>
                <w:rFonts w:hint="default"/>
                <w:b/>
                <w:bCs/>
              </w:rPr>
              <w:t>3开采方案</w:t>
            </w:r>
          </w:p>
          <w:p w14:paraId="371F78B8">
            <w:pPr>
              <w:pStyle w:val="19"/>
              <w:keepNext w:val="0"/>
              <w:keepLines w:val="0"/>
              <w:suppressLineNumbers w:val="0"/>
              <w:spacing w:before="0" w:beforeAutospacing="0" w:after="0" w:afterAutospacing="0" w:line="520" w:lineRule="exact"/>
              <w:ind w:left="0" w:right="0" w:firstLine="482" w:firstLineChars="200"/>
              <w:rPr>
                <w:rFonts w:hint="default"/>
                <w:b/>
                <w:bCs/>
              </w:rPr>
            </w:pPr>
            <w:r>
              <w:rPr>
                <w:rFonts w:hint="default"/>
                <w:b/>
                <w:bCs/>
              </w:rPr>
              <w:t>3.1开采范围</w:t>
            </w:r>
          </w:p>
          <w:p w14:paraId="48CD066C">
            <w:pPr>
              <w:keepNext w:val="0"/>
              <w:keepLines w:val="0"/>
              <w:suppressLineNumbers w:val="0"/>
              <w:tabs>
                <w:tab w:val="left" w:pos="0"/>
              </w:tabs>
              <w:spacing w:before="0" w:beforeAutospacing="0" w:after="0" w:afterAutospacing="0" w:line="520" w:lineRule="exact"/>
              <w:ind w:left="0" w:right="0" w:firstLine="480" w:firstLineChars="200"/>
              <w:rPr>
                <w:rFonts w:hint="default"/>
                <w:sz w:val="24"/>
              </w:rPr>
            </w:pPr>
            <w:r>
              <w:rPr>
                <w:rFonts w:hint="default"/>
                <w:sz w:val="24"/>
              </w:rPr>
              <w:t>露天开采境界要素，详见</w:t>
            </w:r>
            <w:r>
              <w:rPr>
                <w:rFonts w:hint="eastAsia"/>
                <w:sz w:val="24"/>
                <w:lang w:val="en-US" w:eastAsia="zh-CN"/>
              </w:rPr>
              <w:t>下</w:t>
            </w:r>
            <w:r>
              <w:rPr>
                <w:rFonts w:hint="default"/>
                <w:sz w:val="24"/>
              </w:rPr>
              <w:t>表。</w:t>
            </w:r>
          </w:p>
          <w:p w14:paraId="2F7EACFA">
            <w:pPr>
              <w:keepNext w:val="0"/>
              <w:keepLines w:val="0"/>
              <w:suppressLineNumbers w:val="0"/>
              <w:adjustRightInd w:val="0"/>
              <w:snapToGrid w:val="0"/>
              <w:spacing w:before="0" w:beforeAutospacing="0" w:after="0" w:afterAutospacing="0" w:line="520" w:lineRule="exact"/>
              <w:ind w:left="0" w:right="0"/>
              <w:jc w:val="center"/>
              <w:rPr>
                <w:rFonts w:hint="default"/>
                <w:b/>
                <w:sz w:val="24"/>
              </w:rPr>
            </w:pPr>
            <w:r>
              <w:rPr>
                <w:rFonts w:hint="default"/>
                <w:b/>
                <w:sz w:val="24"/>
              </w:rPr>
              <w:t>表2-</w:t>
            </w:r>
            <w:r>
              <w:rPr>
                <w:rFonts w:hint="eastAsia"/>
                <w:b/>
                <w:sz w:val="24"/>
                <w:lang w:val="en-US" w:eastAsia="zh-CN"/>
              </w:rPr>
              <w:t>6</w:t>
            </w:r>
            <w:r>
              <w:rPr>
                <w:rFonts w:hint="default"/>
                <w:b/>
                <w:sz w:val="24"/>
              </w:rPr>
              <w:t xml:space="preserve">  露天开采境界要素表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8"/>
              <w:gridCol w:w="1874"/>
              <w:gridCol w:w="4941"/>
            </w:tblGrid>
            <w:tr w14:paraId="7C12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56" w:type="pct"/>
                  <w:gridSpan w:val="2"/>
                  <w:tcMar>
                    <w:top w:w="15" w:type="dxa"/>
                    <w:left w:w="15" w:type="dxa"/>
                    <w:right w:w="15" w:type="dxa"/>
                  </w:tcMar>
                  <w:vAlign w:val="center"/>
                </w:tcPr>
                <w:p w14:paraId="4A5F534F">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b/>
                      <w:szCs w:val="21"/>
                    </w:rPr>
                  </w:pPr>
                  <w:r>
                    <w:rPr>
                      <w:rFonts w:hint="default" w:ascii="Times New Roman" w:hAnsi="Times New Roman" w:eastAsia="宋体"/>
                      <w:b/>
                      <w:szCs w:val="21"/>
                      <w:lang w:bidi="ar"/>
                    </w:rPr>
                    <w:t>境界要素</w:t>
                  </w:r>
                </w:p>
              </w:tc>
              <w:tc>
                <w:tcPr>
                  <w:tcW w:w="2943" w:type="pct"/>
                  <w:tcMar>
                    <w:top w:w="15" w:type="dxa"/>
                    <w:left w:w="15" w:type="dxa"/>
                    <w:right w:w="15" w:type="dxa"/>
                  </w:tcMar>
                  <w:vAlign w:val="center"/>
                </w:tcPr>
                <w:p w14:paraId="41CFB8C5">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b/>
                      <w:szCs w:val="21"/>
                    </w:rPr>
                  </w:pPr>
                  <w:r>
                    <w:rPr>
                      <w:rFonts w:hint="default" w:ascii="Times New Roman" w:hAnsi="Times New Roman" w:eastAsia="宋体"/>
                      <w:b/>
                      <w:szCs w:val="21"/>
                      <w:lang w:bidi="ar"/>
                    </w:rPr>
                    <w:t>境界参数</w:t>
                  </w:r>
                </w:p>
              </w:tc>
            </w:tr>
            <w:tr w14:paraId="76A3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56" w:type="pct"/>
                  <w:gridSpan w:val="2"/>
                  <w:tcMar>
                    <w:top w:w="15" w:type="dxa"/>
                    <w:left w:w="15" w:type="dxa"/>
                    <w:right w:w="15" w:type="dxa"/>
                  </w:tcMar>
                  <w:vAlign w:val="center"/>
                </w:tcPr>
                <w:p w14:paraId="57B79292">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rPr>
                  </w:pPr>
                  <w:r>
                    <w:rPr>
                      <w:rFonts w:hint="default" w:ascii="Times New Roman" w:hAnsi="Times New Roman" w:eastAsia="宋体"/>
                      <w:szCs w:val="21"/>
                      <w:lang w:bidi="ar"/>
                    </w:rPr>
                    <w:t>最高开采标高（m）</w:t>
                  </w:r>
                </w:p>
              </w:tc>
              <w:tc>
                <w:tcPr>
                  <w:tcW w:w="2943" w:type="pct"/>
                  <w:tcMar>
                    <w:top w:w="15" w:type="dxa"/>
                    <w:left w:w="15" w:type="dxa"/>
                    <w:right w:w="15" w:type="dxa"/>
                  </w:tcMar>
                  <w:vAlign w:val="center"/>
                </w:tcPr>
                <w:p w14:paraId="3753706C">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2062</w:t>
                  </w:r>
                </w:p>
              </w:tc>
            </w:tr>
            <w:tr w14:paraId="3C49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56" w:type="pct"/>
                  <w:gridSpan w:val="2"/>
                  <w:tcMar>
                    <w:top w:w="15" w:type="dxa"/>
                    <w:left w:w="15" w:type="dxa"/>
                    <w:right w:w="15" w:type="dxa"/>
                  </w:tcMar>
                  <w:vAlign w:val="center"/>
                </w:tcPr>
                <w:p w14:paraId="19C435C9">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rPr>
                  </w:pPr>
                  <w:r>
                    <w:rPr>
                      <w:rFonts w:hint="default" w:ascii="Times New Roman" w:hAnsi="Times New Roman" w:eastAsia="宋体"/>
                      <w:szCs w:val="21"/>
                      <w:lang w:bidi="ar"/>
                    </w:rPr>
                    <w:t>最低开采标高（m）</w:t>
                  </w:r>
                </w:p>
              </w:tc>
              <w:tc>
                <w:tcPr>
                  <w:tcW w:w="2943" w:type="pct"/>
                  <w:tcMar>
                    <w:top w:w="15" w:type="dxa"/>
                    <w:left w:w="15" w:type="dxa"/>
                    <w:right w:w="15" w:type="dxa"/>
                  </w:tcMar>
                  <w:vAlign w:val="center"/>
                </w:tcPr>
                <w:p w14:paraId="612AEFAB">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1920</w:t>
                  </w:r>
                </w:p>
              </w:tc>
            </w:tr>
            <w:tr w14:paraId="0990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56" w:type="pct"/>
                  <w:gridSpan w:val="2"/>
                  <w:tcMar>
                    <w:top w:w="15" w:type="dxa"/>
                    <w:left w:w="15" w:type="dxa"/>
                    <w:right w:w="15" w:type="dxa"/>
                  </w:tcMar>
                  <w:vAlign w:val="center"/>
                </w:tcPr>
                <w:p w14:paraId="18B579E9">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bidi="ar"/>
                    </w:rPr>
                  </w:pPr>
                  <w:r>
                    <w:rPr>
                      <w:rFonts w:hint="eastAsia" w:ascii="Times New Roman" w:hAnsi="Times New Roman" w:eastAsia="宋体"/>
                      <w:szCs w:val="21"/>
                      <w:lang w:bidi="ar"/>
                    </w:rPr>
                    <w:t>最终台阶标高（m）</w:t>
                  </w:r>
                </w:p>
              </w:tc>
              <w:tc>
                <w:tcPr>
                  <w:tcW w:w="2943" w:type="pct"/>
                  <w:tcMar>
                    <w:top w:w="15" w:type="dxa"/>
                    <w:left w:w="15" w:type="dxa"/>
                    <w:right w:w="15" w:type="dxa"/>
                  </w:tcMar>
                  <w:vAlign w:val="center"/>
                </w:tcPr>
                <w:p w14:paraId="386FAD9A">
                  <w:pPr>
                    <w:keepNext w:val="0"/>
                    <w:keepLines w:val="0"/>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1920、1940、1960、1980、2000、2020、2040</w:t>
                  </w:r>
                </w:p>
              </w:tc>
            </w:tr>
            <w:tr w14:paraId="6ABF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56" w:type="pct"/>
                  <w:gridSpan w:val="2"/>
                  <w:tcMar>
                    <w:top w:w="15" w:type="dxa"/>
                    <w:left w:w="15" w:type="dxa"/>
                    <w:right w:w="15" w:type="dxa"/>
                  </w:tcMar>
                  <w:vAlign w:val="center"/>
                </w:tcPr>
                <w:p w14:paraId="361CEAB7">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bidi="ar"/>
                    </w:rPr>
                  </w:pPr>
                  <w:r>
                    <w:rPr>
                      <w:rFonts w:hint="default" w:ascii="Times New Roman" w:hAnsi="Times New Roman" w:eastAsia="宋体"/>
                      <w:szCs w:val="21"/>
                      <w:lang w:bidi="ar"/>
                    </w:rPr>
                    <w:t>最终</w:t>
                  </w:r>
                  <w:r>
                    <w:rPr>
                      <w:rFonts w:hint="default" w:ascii="Times New Roman" w:hAnsi="Times New Roman" w:eastAsia="宋体"/>
                      <w:szCs w:val="21"/>
                      <w:lang w:val="en-US" w:eastAsia="zh-CN" w:bidi="ar"/>
                    </w:rPr>
                    <w:t>台阶</w:t>
                  </w:r>
                  <w:r>
                    <w:rPr>
                      <w:rFonts w:hint="default" w:ascii="Times New Roman" w:hAnsi="Times New Roman" w:eastAsia="宋体"/>
                      <w:szCs w:val="21"/>
                      <w:lang w:bidi="ar"/>
                    </w:rPr>
                    <w:t>高度（</w:t>
                  </w:r>
                  <w:r>
                    <w:rPr>
                      <w:rFonts w:hint="eastAsia" w:ascii="Times New Roman" w:hAnsi="Times New Roman" w:eastAsia="宋体"/>
                      <w:szCs w:val="21"/>
                      <w:lang w:val="en-US" w:eastAsia="zh-CN" w:bidi="ar"/>
                    </w:rPr>
                    <w:t>m</w:t>
                  </w:r>
                  <w:r>
                    <w:rPr>
                      <w:rFonts w:hint="default" w:ascii="Times New Roman" w:hAnsi="Times New Roman" w:eastAsia="宋体"/>
                      <w:szCs w:val="21"/>
                      <w:lang w:bidi="ar"/>
                    </w:rPr>
                    <w:t>）</w:t>
                  </w:r>
                </w:p>
              </w:tc>
              <w:tc>
                <w:tcPr>
                  <w:tcW w:w="2943" w:type="pct"/>
                  <w:tcMar>
                    <w:top w:w="15" w:type="dxa"/>
                    <w:left w:w="15" w:type="dxa"/>
                    <w:right w:w="15" w:type="dxa"/>
                  </w:tcMar>
                  <w:vAlign w:val="center"/>
                </w:tcPr>
                <w:p w14:paraId="5781ED15">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20</w:t>
                  </w:r>
                </w:p>
              </w:tc>
            </w:tr>
            <w:tr w14:paraId="58D3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56" w:type="pct"/>
                  <w:gridSpan w:val="2"/>
                  <w:tcMar>
                    <w:top w:w="15" w:type="dxa"/>
                    <w:left w:w="15" w:type="dxa"/>
                    <w:right w:w="15" w:type="dxa"/>
                  </w:tcMar>
                  <w:vAlign w:val="center"/>
                </w:tcPr>
                <w:p w14:paraId="70DA4A47">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bidi="ar"/>
                    </w:rPr>
                  </w:pPr>
                  <w:r>
                    <w:rPr>
                      <w:rFonts w:hint="default" w:ascii="Times New Roman" w:hAnsi="Times New Roman" w:eastAsia="宋体" w:cs="Times New Roman"/>
                      <w:color w:val="auto"/>
                      <w:kern w:val="144"/>
                      <w:sz w:val="21"/>
                      <w:szCs w:val="21"/>
                    </w:rPr>
                    <w:t>最终帮坡角（</w:t>
                  </w:r>
                  <w:r>
                    <w:rPr>
                      <w:rFonts w:hint="eastAsia" w:ascii="Times New Roman" w:hAnsi="Times New Roman" w:eastAsia="宋体" w:cs="Times New Roman"/>
                      <w:color w:val="auto"/>
                      <w:kern w:val="144"/>
                      <w:sz w:val="21"/>
                      <w:szCs w:val="21"/>
                      <w:lang w:val="en-US" w:eastAsia="zh-CN"/>
                    </w:rPr>
                    <w:t>°</w:t>
                  </w:r>
                  <w:r>
                    <w:rPr>
                      <w:rFonts w:hint="default" w:ascii="Times New Roman" w:hAnsi="Times New Roman" w:eastAsia="宋体" w:cs="Times New Roman"/>
                      <w:color w:val="auto"/>
                      <w:kern w:val="144"/>
                      <w:sz w:val="21"/>
                      <w:szCs w:val="21"/>
                    </w:rPr>
                    <w:t>）</w:t>
                  </w:r>
                </w:p>
              </w:tc>
              <w:tc>
                <w:tcPr>
                  <w:tcW w:w="2943" w:type="pct"/>
                  <w:tcMar>
                    <w:top w:w="15" w:type="dxa"/>
                    <w:left w:w="15" w:type="dxa"/>
                    <w:right w:w="15" w:type="dxa"/>
                  </w:tcMar>
                  <w:vAlign w:val="center"/>
                </w:tcPr>
                <w:p w14:paraId="21E6CC8F">
                  <w:pPr>
                    <w:keepNext w:val="0"/>
                    <w:keepLines w:val="0"/>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szCs w:val="21"/>
                      <w:lang w:val="en-US" w:eastAsia="zh-CN"/>
                    </w:rPr>
                  </w:pPr>
                  <w:r>
                    <w:rPr>
                      <w:rFonts w:hint="eastAsia" w:cs="Times New Roman"/>
                      <w:color w:val="auto"/>
                      <w:kern w:val="144"/>
                      <w:sz w:val="21"/>
                      <w:szCs w:val="21"/>
                      <w:lang w:val="en-US" w:eastAsia="zh-CN"/>
                    </w:rPr>
                    <w:t>&lt;</w:t>
                  </w:r>
                  <w:r>
                    <w:rPr>
                      <w:rFonts w:hint="default" w:ascii="Times New Roman" w:hAnsi="Times New Roman" w:eastAsia="宋体" w:cs="Times New Roman"/>
                      <w:color w:val="auto"/>
                      <w:kern w:val="144"/>
                      <w:sz w:val="21"/>
                      <w:szCs w:val="21"/>
                      <w:lang w:val="en-US" w:eastAsia="zh-CN"/>
                    </w:rPr>
                    <w:t>52</w:t>
                  </w:r>
                  <w:r>
                    <w:rPr>
                      <w:rFonts w:hint="default" w:ascii="Times New Roman" w:hAnsi="Times New Roman" w:eastAsia="宋体" w:cs="Times New Roman"/>
                      <w:color w:val="auto"/>
                      <w:kern w:val="144"/>
                      <w:sz w:val="21"/>
                      <w:szCs w:val="21"/>
                    </w:rPr>
                    <w:t>°</w:t>
                  </w:r>
                </w:p>
              </w:tc>
            </w:tr>
            <w:tr w14:paraId="656A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56" w:type="pct"/>
                  <w:gridSpan w:val="2"/>
                  <w:tcMar>
                    <w:top w:w="15" w:type="dxa"/>
                    <w:left w:w="15" w:type="dxa"/>
                    <w:right w:w="15" w:type="dxa"/>
                  </w:tcMar>
                  <w:vAlign w:val="center"/>
                </w:tcPr>
                <w:p w14:paraId="4809317B">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val="en-US" w:eastAsia="zh-CN" w:bidi="ar"/>
                    </w:rPr>
                  </w:pPr>
                  <w:r>
                    <w:rPr>
                      <w:rFonts w:hint="default" w:ascii="Times New Roman" w:hAnsi="Times New Roman" w:eastAsia="宋体"/>
                      <w:szCs w:val="21"/>
                      <w:lang w:val="en-US" w:eastAsia="zh-CN" w:bidi="ar"/>
                    </w:rPr>
                    <w:t>安全</w:t>
                  </w:r>
                  <w:r>
                    <w:rPr>
                      <w:rFonts w:hint="default" w:ascii="Times New Roman" w:hAnsi="Times New Roman" w:eastAsia="宋体"/>
                      <w:szCs w:val="21"/>
                      <w:lang w:bidi="ar"/>
                    </w:rPr>
                    <w:t>平台宽度（</w:t>
                  </w:r>
                  <w:r>
                    <w:rPr>
                      <w:rFonts w:hint="eastAsia" w:ascii="Times New Roman" w:hAnsi="Times New Roman" w:eastAsia="宋体"/>
                      <w:szCs w:val="21"/>
                      <w:lang w:val="en-US" w:eastAsia="zh-CN" w:bidi="ar"/>
                    </w:rPr>
                    <w:t>m</w:t>
                  </w:r>
                  <w:r>
                    <w:rPr>
                      <w:rFonts w:hint="default" w:ascii="Times New Roman" w:hAnsi="Times New Roman" w:eastAsia="宋体"/>
                      <w:szCs w:val="21"/>
                      <w:lang w:bidi="ar"/>
                    </w:rPr>
                    <w:t>）</w:t>
                  </w:r>
                </w:p>
              </w:tc>
              <w:tc>
                <w:tcPr>
                  <w:tcW w:w="2943" w:type="pct"/>
                  <w:tcMar>
                    <w:top w:w="15" w:type="dxa"/>
                    <w:left w:w="15" w:type="dxa"/>
                    <w:right w:w="15" w:type="dxa"/>
                  </w:tcMar>
                  <w:vAlign w:val="center"/>
                </w:tcPr>
                <w:p w14:paraId="6A511152">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8</w:t>
                  </w:r>
                </w:p>
              </w:tc>
            </w:tr>
            <w:tr w14:paraId="7E7A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56" w:type="pct"/>
                  <w:gridSpan w:val="2"/>
                  <w:tcMar>
                    <w:top w:w="15" w:type="dxa"/>
                    <w:left w:w="15" w:type="dxa"/>
                    <w:right w:w="15" w:type="dxa"/>
                  </w:tcMar>
                  <w:vAlign w:val="center"/>
                </w:tcPr>
                <w:p w14:paraId="78F1970F">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val="en-US" w:eastAsia="zh-CN" w:bidi="ar"/>
                    </w:rPr>
                  </w:pPr>
                  <w:r>
                    <w:rPr>
                      <w:rFonts w:hint="default" w:ascii="Times New Roman" w:hAnsi="Times New Roman" w:eastAsia="宋体" w:cs="Times New Roman"/>
                      <w:color w:val="auto"/>
                      <w:kern w:val="144"/>
                      <w:sz w:val="21"/>
                      <w:szCs w:val="21"/>
                      <w:lang w:val="en-US" w:eastAsia="zh-CN"/>
                    </w:rPr>
                    <w:t>安全</w:t>
                  </w:r>
                  <w:r>
                    <w:rPr>
                      <w:rFonts w:hint="default" w:ascii="Times New Roman" w:hAnsi="Times New Roman" w:eastAsia="宋体" w:cs="Times New Roman"/>
                      <w:color w:val="auto"/>
                      <w:kern w:val="144"/>
                      <w:sz w:val="21"/>
                      <w:szCs w:val="21"/>
                    </w:rPr>
                    <w:t>清扫平台宽度（</w:t>
                  </w:r>
                  <w:r>
                    <w:rPr>
                      <w:rFonts w:hint="eastAsia" w:ascii="Times New Roman" w:hAnsi="Times New Roman" w:eastAsia="宋体" w:cs="Times New Roman"/>
                      <w:color w:val="auto"/>
                      <w:kern w:val="144"/>
                      <w:sz w:val="21"/>
                      <w:szCs w:val="21"/>
                      <w:lang w:val="en-US" w:eastAsia="zh-CN"/>
                    </w:rPr>
                    <w:t>m</w:t>
                  </w:r>
                  <w:r>
                    <w:rPr>
                      <w:rFonts w:hint="default" w:ascii="Times New Roman" w:hAnsi="Times New Roman" w:eastAsia="宋体" w:cs="Times New Roman"/>
                      <w:color w:val="auto"/>
                      <w:kern w:val="144"/>
                      <w:sz w:val="21"/>
                      <w:szCs w:val="21"/>
                    </w:rPr>
                    <w:t>）</w:t>
                  </w:r>
                </w:p>
              </w:tc>
              <w:tc>
                <w:tcPr>
                  <w:tcW w:w="2943" w:type="pct"/>
                  <w:tcMar>
                    <w:top w:w="15" w:type="dxa"/>
                    <w:left w:w="15" w:type="dxa"/>
                    <w:right w:w="15" w:type="dxa"/>
                  </w:tcMar>
                  <w:vAlign w:val="center"/>
                </w:tcPr>
                <w:p w14:paraId="01680C84">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8</w:t>
                  </w:r>
                </w:p>
              </w:tc>
            </w:tr>
            <w:tr w14:paraId="35A1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0" w:type="pct"/>
                  <w:vMerge w:val="restart"/>
                  <w:tcMar>
                    <w:top w:w="15" w:type="dxa"/>
                    <w:left w:w="15" w:type="dxa"/>
                    <w:right w:w="15" w:type="dxa"/>
                  </w:tcMar>
                  <w:vAlign w:val="center"/>
                </w:tcPr>
                <w:p w14:paraId="3BA247ED">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rPr>
                  </w:pPr>
                  <w:r>
                    <w:rPr>
                      <w:rFonts w:hint="default" w:ascii="Times New Roman" w:hAnsi="Times New Roman" w:eastAsia="宋体"/>
                      <w:szCs w:val="21"/>
                      <w:lang w:bidi="ar"/>
                    </w:rPr>
                    <w:t>地表境界</w:t>
                  </w:r>
                </w:p>
              </w:tc>
              <w:tc>
                <w:tcPr>
                  <w:tcW w:w="1115" w:type="pct"/>
                  <w:tcMar>
                    <w:top w:w="15" w:type="dxa"/>
                    <w:left w:w="15" w:type="dxa"/>
                    <w:right w:w="15" w:type="dxa"/>
                  </w:tcMar>
                  <w:vAlign w:val="center"/>
                </w:tcPr>
                <w:p w14:paraId="0F07FDAC">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rPr>
                  </w:pPr>
                  <w:r>
                    <w:rPr>
                      <w:rFonts w:hint="default" w:ascii="Times New Roman" w:hAnsi="Times New Roman" w:eastAsia="宋体"/>
                      <w:szCs w:val="21"/>
                      <w:lang w:bidi="ar"/>
                    </w:rPr>
                    <w:t>长（m）</w:t>
                  </w:r>
                </w:p>
              </w:tc>
              <w:tc>
                <w:tcPr>
                  <w:tcW w:w="2943" w:type="pct"/>
                  <w:tcMar>
                    <w:top w:w="15" w:type="dxa"/>
                    <w:left w:w="15" w:type="dxa"/>
                    <w:right w:w="15" w:type="dxa"/>
                  </w:tcMar>
                  <w:vAlign w:val="center"/>
                </w:tcPr>
                <w:p w14:paraId="3CCEDA59">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bidi="ar"/>
                    </w:rPr>
                  </w:pPr>
                  <w:r>
                    <w:rPr>
                      <w:rFonts w:hint="default" w:ascii="Times New Roman" w:hAnsi="Times New Roman" w:eastAsia="宋体"/>
                      <w:szCs w:val="21"/>
                      <w:lang w:val="en-US" w:eastAsia="zh-CN" w:bidi="ar"/>
                    </w:rPr>
                    <w:t>327-921</w:t>
                  </w:r>
                </w:p>
              </w:tc>
            </w:tr>
            <w:tr w14:paraId="4E7E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0" w:type="pct"/>
                  <w:vMerge w:val="continue"/>
                  <w:tcMar>
                    <w:top w:w="15" w:type="dxa"/>
                    <w:left w:w="15" w:type="dxa"/>
                    <w:right w:w="15" w:type="dxa"/>
                  </w:tcMar>
                  <w:vAlign w:val="center"/>
                </w:tcPr>
                <w:p w14:paraId="05F60B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p>
              </w:tc>
              <w:tc>
                <w:tcPr>
                  <w:tcW w:w="1115" w:type="pct"/>
                  <w:tcMar>
                    <w:top w:w="15" w:type="dxa"/>
                    <w:left w:w="15" w:type="dxa"/>
                    <w:right w:w="15" w:type="dxa"/>
                  </w:tcMar>
                  <w:vAlign w:val="center"/>
                </w:tcPr>
                <w:p w14:paraId="2B6A5809">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rPr>
                  </w:pPr>
                  <w:r>
                    <w:rPr>
                      <w:rFonts w:hint="default" w:ascii="Times New Roman" w:hAnsi="Times New Roman" w:eastAsia="宋体"/>
                      <w:szCs w:val="21"/>
                      <w:lang w:bidi="ar"/>
                    </w:rPr>
                    <w:t>宽（m）</w:t>
                  </w:r>
                </w:p>
              </w:tc>
              <w:tc>
                <w:tcPr>
                  <w:tcW w:w="2943" w:type="pct"/>
                  <w:tcMar>
                    <w:top w:w="15" w:type="dxa"/>
                    <w:left w:w="15" w:type="dxa"/>
                    <w:right w:w="15" w:type="dxa"/>
                  </w:tcMar>
                  <w:vAlign w:val="center"/>
                </w:tcPr>
                <w:p w14:paraId="2178C9C4">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bidi="ar"/>
                    </w:rPr>
                  </w:pPr>
                  <w:r>
                    <w:rPr>
                      <w:rFonts w:hint="default" w:ascii="Times New Roman" w:hAnsi="Times New Roman" w:eastAsia="宋体"/>
                      <w:szCs w:val="21"/>
                      <w:lang w:val="en-US" w:eastAsia="zh-CN" w:bidi="ar"/>
                    </w:rPr>
                    <w:t>84-167</w:t>
                  </w:r>
                </w:p>
              </w:tc>
            </w:tr>
            <w:tr w14:paraId="68B4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0" w:type="pct"/>
                  <w:vMerge w:val="restart"/>
                  <w:tcMar>
                    <w:top w:w="15" w:type="dxa"/>
                    <w:left w:w="15" w:type="dxa"/>
                    <w:right w:w="15" w:type="dxa"/>
                  </w:tcMar>
                  <w:vAlign w:val="center"/>
                </w:tcPr>
                <w:p w14:paraId="35201B11">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rPr>
                  </w:pPr>
                  <w:r>
                    <w:rPr>
                      <w:rFonts w:hint="default" w:ascii="Times New Roman" w:hAnsi="Times New Roman" w:eastAsia="宋体"/>
                      <w:szCs w:val="21"/>
                      <w:lang w:bidi="ar"/>
                    </w:rPr>
                    <w:t>底部境界</w:t>
                  </w:r>
                </w:p>
              </w:tc>
              <w:tc>
                <w:tcPr>
                  <w:tcW w:w="1115" w:type="pct"/>
                  <w:tcMar>
                    <w:top w:w="15" w:type="dxa"/>
                    <w:left w:w="15" w:type="dxa"/>
                    <w:right w:w="15" w:type="dxa"/>
                  </w:tcMar>
                  <w:vAlign w:val="center"/>
                </w:tcPr>
                <w:p w14:paraId="0ACDE9D5">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rPr>
                  </w:pPr>
                  <w:r>
                    <w:rPr>
                      <w:rFonts w:hint="default" w:ascii="Times New Roman" w:hAnsi="Times New Roman" w:eastAsia="宋体"/>
                      <w:szCs w:val="21"/>
                      <w:lang w:bidi="ar"/>
                    </w:rPr>
                    <w:t>长（m）</w:t>
                  </w:r>
                </w:p>
              </w:tc>
              <w:tc>
                <w:tcPr>
                  <w:tcW w:w="2943" w:type="pct"/>
                  <w:tcMar>
                    <w:top w:w="15" w:type="dxa"/>
                    <w:left w:w="15" w:type="dxa"/>
                    <w:right w:w="15" w:type="dxa"/>
                  </w:tcMar>
                  <w:vAlign w:val="center"/>
                </w:tcPr>
                <w:p w14:paraId="1C6364FB">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bidi="ar"/>
                    </w:rPr>
                  </w:pPr>
                  <w:r>
                    <w:rPr>
                      <w:rFonts w:hint="default" w:ascii="Times New Roman" w:hAnsi="Times New Roman" w:eastAsia="宋体" w:cs="Times New Roman"/>
                      <w:color w:val="auto"/>
                      <w:kern w:val="144"/>
                      <w:sz w:val="21"/>
                      <w:szCs w:val="21"/>
                      <w:lang w:val="en-US" w:eastAsia="zh-CN"/>
                    </w:rPr>
                    <w:t>345</w:t>
                  </w:r>
                </w:p>
              </w:tc>
            </w:tr>
            <w:tr w14:paraId="4E72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0" w:type="pct"/>
                  <w:vMerge w:val="continue"/>
                  <w:tcMar>
                    <w:top w:w="15" w:type="dxa"/>
                    <w:left w:w="15" w:type="dxa"/>
                    <w:right w:w="15" w:type="dxa"/>
                  </w:tcMar>
                  <w:vAlign w:val="center"/>
                </w:tcPr>
                <w:p w14:paraId="702D6A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p>
              </w:tc>
              <w:tc>
                <w:tcPr>
                  <w:tcW w:w="1115" w:type="pct"/>
                  <w:tcMar>
                    <w:top w:w="15" w:type="dxa"/>
                    <w:left w:w="15" w:type="dxa"/>
                    <w:right w:w="15" w:type="dxa"/>
                  </w:tcMar>
                  <w:vAlign w:val="center"/>
                </w:tcPr>
                <w:p w14:paraId="65A4D654">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rPr>
                  </w:pPr>
                  <w:r>
                    <w:rPr>
                      <w:rFonts w:hint="default" w:ascii="Times New Roman" w:hAnsi="Times New Roman" w:eastAsia="宋体"/>
                      <w:szCs w:val="21"/>
                      <w:lang w:bidi="ar"/>
                    </w:rPr>
                    <w:t>宽（m）</w:t>
                  </w:r>
                </w:p>
              </w:tc>
              <w:tc>
                <w:tcPr>
                  <w:tcW w:w="2943" w:type="pct"/>
                  <w:tcMar>
                    <w:top w:w="15" w:type="dxa"/>
                    <w:left w:w="15" w:type="dxa"/>
                    <w:right w:w="15" w:type="dxa"/>
                  </w:tcMar>
                  <w:vAlign w:val="center"/>
                </w:tcPr>
                <w:p w14:paraId="6417868D">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szCs w:val="21"/>
                      <w:lang w:bidi="ar"/>
                    </w:rPr>
                  </w:pPr>
                  <w:r>
                    <w:rPr>
                      <w:rFonts w:hint="default" w:ascii="Times New Roman" w:hAnsi="Times New Roman" w:eastAsia="宋体" w:cs="Times New Roman"/>
                      <w:color w:val="auto"/>
                      <w:kern w:val="144"/>
                      <w:sz w:val="21"/>
                      <w:szCs w:val="21"/>
                      <w:lang w:val="en-US" w:eastAsia="zh-CN"/>
                    </w:rPr>
                    <w:t>77</w:t>
                  </w:r>
                </w:p>
              </w:tc>
            </w:tr>
          </w:tbl>
          <w:p w14:paraId="035393D7">
            <w:pPr>
              <w:keepNext w:val="0"/>
              <w:keepLines w:val="0"/>
              <w:suppressLineNumbers w:val="0"/>
              <w:adjustRightInd w:val="0"/>
              <w:snapToGrid w:val="0"/>
              <w:spacing w:before="0" w:beforeAutospacing="0" w:after="0" w:afterAutospacing="0" w:line="520" w:lineRule="exact"/>
              <w:ind w:left="0" w:right="0"/>
              <w:jc w:val="center"/>
              <w:rPr>
                <w:rFonts w:hint="default"/>
                <w:b/>
                <w:sz w:val="24"/>
              </w:rPr>
            </w:pPr>
            <w:r>
              <w:rPr>
                <w:rFonts w:hint="default"/>
                <w:b/>
                <w:sz w:val="24"/>
              </w:rPr>
              <w:t>表2-</w:t>
            </w:r>
            <w:r>
              <w:rPr>
                <w:rFonts w:hint="eastAsia"/>
                <w:b/>
                <w:sz w:val="24"/>
                <w:lang w:val="en-US" w:eastAsia="zh-CN"/>
              </w:rPr>
              <w:t>7</w:t>
            </w:r>
            <w:r>
              <w:rPr>
                <w:rFonts w:hint="default"/>
                <w:b/>
                <w:sz w:val="24"/>
              </w:rPr>
              <w:t xml:space="preserve">   开采境界内矿石量</w:t>
            </w:r>
          </w:p>
          <w:tbl>
            <w:tblPr>
              <w:tblStyle w:val="23"/>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199"/>
              <w:gridCol w:w="1243"/>
              <w:gridCol w:w="1128"/>
              <w:gridCol w:w="1013"/>
              <w:gridCol w:w="1013"/>
              <w:gridCol w:w="897"/>
              <w:gridCol w:w="900"/>
            </w:tblGrid>
            <w:tr w14:paraId="216ECB7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vMerge w:val="restart"/>
                  <w:noWrap/>
                  <w:vAlign w:val="center"/>
                </w:tcPr>
                <w:p w14:paraId="23A565ED">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台阶标高（m）</w:t>
                  </w:r>
                </w:p>
              </w:tc>
              <w:tc>
                <w:tcPr>
                  <w:tcW w:w="1412" w:type="pct"/>
                  <w:gridSpan w:val="2"/>
                  <w:noWrap/>
                  <w:vAlign w:val="center"/>
                </w:tcPr>
                <w:p w14:paraId="0D69AB36">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矿石量</w:t>
                  </w:r>
                </w:p>
              </w:tc>
              <w:tc>
                <w:tcPr>
                  <w:tcW w:w="1206" w:type="pct"/>
                  <w:gridSpan w:val="2"/>
                  <w:noWrap/>
                  <w:vAlign w:val="center"/>
                </w:tcPr>
                <w:p w14:paraId="5C08DC95">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岩石量</w:t>
                  </w:r>
                </w:p>
              </w:tc>
              <w:tc>
                <w:tcPr>
                  <w:tcW w:w="1070" w:type="pct"/>
                  <w:gridSpan w:val="2"/>
                  <w:noWrap/>
                  <w:vAlign w:val="center"/>
                </w:tcPr>
                <w:p w14:paraId="15DF1CD0">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剥采比</w:t>
                  </w:r>
                </w:p>
              </w:tc>
            </w:tr>
            <w:tr w14:paraId="06AAC53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vMerge w:val="continue"/>
                  <w:noWrap/>
                  <w:vAlign w:val="center"/>
                </w:tcPr>
                <w:p w14:paraId="3D0A4270">
                  <w:pPr>
                    <w:pStyle w:val="67"/>
                    <w:keepNext w:val="0"/>
                    <w:keepLines w:val="0"/>
                    <w:suppressLineNumbers w:val="0"/>
                    <w:spacing w:before="0" w:beforeAutospacing="0" w:after="0" w:afterAutospacing="0"/>
                    <w:ind w:left="0" w:right="0"/>
                    <w:rPr>
                      <w:rFonts w:hint="default" w:ascii="Times New Roman" w:hAnsi="Times New Roman" w:eastAsia="宋体"/>
                    </w:rPr>
                  </w:pPr>
                </w:p>
              </w:tc>
              <w:tc>
                <w:tcPr>
                  <w:tcW w:w="740" w:type="pct"/>
                  <w:noWrap/>
                  <w:vAlign w:val="center"/>
                </w:tcPr>
                <w:p w14:paraId="75DD6AF8">
                  <w:pPr>
                    <w:pStyle w:val="67"/>
                    <w:keepNext w:val="0"/>
                    <w:keepLines w:val="0"/>
                    <w:suppressLineNumbers w:val="0"/>
                    <w:spacing w:before="0" w:beforeAutospacing="0" w:after="0" w:afterAutospacing="0"/>
                    <w:ind w:left="0" w:right="0"/>
                    <w:rPr>
                      <w:rFonts w:hint="eastAsia" w:ascii="Times New Roman" w:hAnsi="Times New Roman" w:eastAsia="宋体"/>
                    </w:rPr>
                  </w:pPr>
                  <w:r>
                    <w:rPr>
                      <w:rFonts w:hint="default" w:ascii="Times New Roman" w:hAnsi="Times New Roman" w:eastAsia="宋体"/>
                    </w:rPr>
                    <w:t>万</w:t>
                  </w:r>
                  <w:r>
                    <w:rPr>
                      <w:rFonts w:hint="eastAsia" w:ascii="Times New Roman" w:hAnsi="Times New Roman" w:eastAsia="宋体"/>
                    </w:rPr>
                    <w:t>t</w:t>
                  </w:r>
                </w:p>
              </w:tc>
              <w:tc>
                <w:tcPr>
                  <w:tcW w:w="672" w:type="pct"/>
                  <w:noWrap w:val="0"/>
                  <w:vAlign w:val="center"/>
                </w:tcPr>
                <w:p w14:paraId="034985A9">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万</w:t>
                  </w:r>
                  <w:r>
                    <w:rPr>
                      <w:rFonts w:hint="eastAsia" w:ascii="Times New Roman" w:hAnsi="Times New Roman" w:eastAsia="宋体"/>
                    </w:rPr>
                    <w:t>m</w:t>
                  </w:r>
                  <w:r>
                    <w:rPr>
                      <w:rFonts w:hint="eastAsia" w:ascii="Times New Roman" w:hAnsi="Times New Roman" w:eastAsia="宋体"/>
                      <w:vertAlign w:val="superscript"/>
                    </w:rPr>
                    <w:t>3</w:t>
                  </w:r>
                </w:p>
              </w:tc>
              <w:tc>
                <w:tcPr>
                  <w:tcW w:w="603" w:type="pct"/>
                  <w:noWrap/>
                  <w:vAlign w:val="center"/>
                </w:tcPr>
                <w:p w14:paraId="3653E637">
                  <w:pPr>
                    <w:pStyle w:val="67"/>
                    <w:keepNext w:val="0"/>
                    <w:keepLines w:val="0"/>
                    <w:suppressLineNumbers w:val="0"/>
                    <w:spacing w:before="0" w:beforeAutospacing="0" w:after="0" w:afterAutospacing="0"/>
                    <w:ind w:left="0" w:right="0"/>
                    <w:rPr>
                      <w:rFonts w:hint="eastAsia" w:ascii="Times New Roman" w:hAnsi="Times New Roman" w:eastAsia="宋体"/>
                    </w:rPr>
                  </w:pPr>
                  <w:r>
                    <w:rPr>
                      <w:rFonts w:hint="default" w:ascii="Times New Roman" w:hAnsi="Times New Roman" w:eastAsia="宋体"/>
                    </w:rPr>
                    <w:t>万</w:t>
                  </w:r>
                  <w:r>
                    <w:rPr>
                      <w:rFonts w:hint="eastAsia" w:ascii="Times New Roman" w:hAnsi="Times New Roman" w:eastAsia="宋体"/>
                    </w:rPr>
                    <w:t>t</w:t>
                  </w:r>
                </w:p>
              </w:tc>
              <w:tc>
                <w:tcPr>
                  <w:tcW w:w="603" w:type="pct"/>
                  <w:noWrap w:val="0"/>
                  <w:vAlign w:val="center"/>
                </w:tcPr>
                <w:p w14:paraId="58650F08">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万</w:t>
                  </w:r>
                  <w:r>
                    <w:rPr>
                      <w:rFonts w:hint="eastAsia" w:ascii="Times New Roman" w:hAnsi="Times New Roman" w:eastAsia="宋体"/>
                    </w:rPr>
                    <w:t>m</w:t>
                  </w:r>
                  <w:r>
                    <w:rPr>
                      <w:rFonts w:hint="eastAsia" w:ascii="Times New Roman" w:hAnsi="Times New Roman" w:eastAsia="宋体"/>
                      <w:vertAlign w:val="superscript"/>
                    </w:rPr>
                    <w:t>3</w:t>
                  </w:r>
                </w:p>
              </w:tc>
              <w:tc>
                <w:tcPr>
                  <w:tcW w:w="534" w:type="pct"/>
                  <w:noWrap/>
                  <w:vAlign w:val="center"/>
                </w:tcPr>
                <w:p w14:paraId="191D6DDE">
                  <w:pPr>
                    <w:pStyle w:val="67"/>
                    <w:keepNext w:val="0"/>
                    <w:keepLines w:val="0"/>
                    <w:suppressLineNumbers w:val="0"/>
                    <w:spacing w:before="0" w:beforeAutospacing="0" w:after="0" w:afterAutospacing="0"/>
                    <w:ind w:left="0" w:right="0"/>
                    <w:rPr>
                      <w:rFonts w:hint="eastAsia" w:ascii="Times New Roman" w:hAnsi="Times New Roman" w:eastAsia="宋体"/>
                    </w:rPr>
                  </w:pPr>
                  <w:r>
                    <w:rPr>
                      <w:rFonts w:hint="default" w:ascii="Times New Roman" w:hAnsi="Times New Roman" w:eastAsia="宋体"/>
                    </w:rPr>
                    <w:t>万</w:t>
                  </w:r>
                  <w:r>
                    <w:rPr>
                      <w:rFonts w:hint="eastAsia" w:ascii="Times New Roman" w:hAnsi="Times New Roman" w:eastAsia="宋体"/>
                    </w:rPr>
                    <w:t>t</w:t>
                  </w:r>
                </w:p>
              </w:tc>
              <w:tc>
                <w:tcPr>
                  <w:tcW w:w="536" w:type="pct"/>
                  <w:noWrap w:val="0"/>
                  <w:vAlign w:val="center"/>
                </w:tcPr>
                <w:p w14:paraId="6EE25EF6">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万</w:t>
                  </w:r>
                  <w:r>
                    <w:rPr>
                      <w:rFonts w:hint="eastAsia" w:ascii="Times New Roman" w:hAnsi="Times New Roman" w:eastAsia="宋体"/>
                    </w:rPr>
                    <w:t>m</w:t>
                  </w:r>
                  <w:r>
                    <w:rPr>
                      <w:rFonts w:hint="eastAsia" w:ascii="Times New Roman" w:hAnsi="Times New Roman" w:eastAsia="宋体"/>
                      <w:vertAlign w:val="superscript"/>
                    </w:rPr>
                    <w:t>3</w:t>
                  </w:r>
                </w:p>
              </w:tc>
            </w:tr>
            <w:tr w14:paraId="4BC185F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noWrap/>
                  <w:vAlign w:val="center"/>
                </w:tcPr>
                <w:p w14:paraId="79944FE7">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2040</w:t>
                  </w:r>
                </w:p>
              </w:tc>
              <w:tc>
                <w:tcPr>
                  <w:tcW w:w="740" w:type="pct"/>
                  <w:noWrap/>
                  <w:vAlign w:val="center"/>
                </w:tcPr>
                <w:p w14:paraId="1065F892">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8.37</w:t>
                  </w:r>
                </w:p>
              </w:tc>
              <w:tc>
                <w:tcPr>
                  <w:tcW w:w="672" w:type="pct"/>
                  <w:noWrap w:val="0"/>
                  <w:vAlign w:val="center"/>
                </w:tcPr>
                <w:p w14:paraId="26DCD001">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3.14</w:t>
                  </w:r>
                </w:p>
              </w:tc>
              <w:tc>
                <w:tcPr>
                  <w:tcW w:w="603" w:type="pct"/>
                  <w:noWrap/>
                  <w:vAlign w:val="center"/>
                </w:tcPr>
                <w:p w14:paraId="1E3B54DB">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2.68</w:t>
                  </w:r>
                </w:p>
              </w:tc>
              <w:tc>
                <w:tcPr>
                  <w:tcW w:w="603" w:type="pct"/>
                  <w:noWrap w:val="0"/>
                  <w:vAlign w:val="center"/>
                </w:tcPr>
                <w:p w14:paraId="2CD510B5">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0.99</w:t>
                  </w:r>
                </w:p>
              </w:tc>
              <w:tc>
                <w:tcPr>
                  <w:tcW w:w="534" w:type="pct"/>
                  <w:noWrap/>
                  <w:vAlign w:val="center"/>
                </w:tcPr>
                <w:p w14:paraId="31125CD4">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0.32</w:t>
                  </w:r>
                </w:p>
              </w:tc>
              <w:tc>
                <w:tcPr>
                  <w:tcW w:w="536" w:type="pct"/>
                  <w:noWrap w:val="0"/>
                  <w:vAlign w:val="center"/>
                </w:tcPr>
                <w:p w14:paraId="2584F2AF">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0.32</w:t>
                  </w:r>
                </w:p>
              </w:tc>
            </w:tr>
            <w:tr w14:paraId="72916C1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noWrap/>
                  <w:vAlign w:val="center"/>
                </w:tcPr>
                <w:p w14:paraId="184C323F">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2020</w:t>
                  </w:r>
                </w:p>
              </w:tc>
              <w:tc>
                <w:tcPr>
                  <w:tcW w:w="740" w:type="pct"/>
                  <w:noWrap/>
                  <w:vAlign w:val="center"/>
                </w:tcPr>
                <w:p w14:paraId="206145F6">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15.87</w:t>
                  </w:r>
                </w:p>
              </w:tc>
              <w:tc>
                <w:tcPr>
                  <w:tcW w:w="672" w:type="pct"/>
                  <w:noWrap w:val="0"/>
                  <w:vAlign w:val="center"/>
                </w:tcPr>
                <w:p w14:paraId="03A1D7D5">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5.95</w:t>
                  </w:r>
                </w:p>
              </w:tc>
              <w:tc>
                <w:tcPr>
                  <w:tcW w:w="603" w:type="pct"/>
                  <w:noWrap/>
                  <w:vAlign w:val="center"/>
                </w:tcPr>
                <w:p w14:paraId="1F229E40">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3.69</w:t>
                  </w:r>
                </w:p>
              </w:tc>
              <w:tc>
                <w:tcPr>
                  <w:tcW w:w="603" w:type="pct"/>
                  <w:noWrap w:val="0"/>
                  <w:vAlign w:val="center"/>
                </w:tcPr>
                <w:p w14:paraId="5B17735C">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1.36</w:t>
                  </w:r>
                </w:p>
              </w:tc>
              <w:tc>
                <w:tcPr>
                  <w:tcW w:w="534" w:type="pct"/>
                  <w:noWrap/>
                  <w:vAlign w:val="center"/>
                </w:tcPr>
                <w:p w14:paraId="43B1B913">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0.23</w:t>
                  </w:r>
                </w:p>
              </w:tc>
              <w:tc>
                <w:tcPr>
                  <w:tcW w:w="536" w:type="pct"/>
                  <w:noWrap w:val="0"/>
                  <w:vAlign w:val="center"/>
                </w:tcPr>
                <w:p w14:paraId="42844451">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0.23</w:t>
                  </w:r>
                </w:p>
              </w:tc>
            </w:tr>
            <w:tr w14:paraId="5045DCD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noWrap/>
                  <w:vAlign w:val="center"/>
                </w:tcPr>
                <w:p w14:paraId="06D8D36D">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2000</w:t>
                  </w:r>
                </w:p>
              </w:tc>
              <w:tc>
                <w:tcPr>
                  <w:tcW w:w="740" w:type="pct"/>
                  <w:noWrap/>
                  <w:vAlign w:val="center"/>
                </w:tcPr>
                <w:p w14:paraId="2B49D202">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161.59</w:t>
                  </w:r>
                </w:p>
              </w:tc>
              <w:tc>
                <w:tcPr>
                  <w:tcW w:w="672" w:type="pct"/>
                  <w:noWrap w:val="0"/>
                  <w:vAlign w:val="center"/>
                </w:tcPr>
                <w:p w14:paraId="6F197BAC">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60.52</w:t>
                  </w:r>
                </w:p>
              </w:tc>
              <w:tc>
                <w:tcPr>
                  <w:tcW w:w="603" w:type="pct"/>
                  <w:noWrap/>
                  <w:vAlign w:val="center"/>
                </w:tcPr>
                <w:p w14:paraId="7A64695F">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4.31</w:t>
                  </w:r>
                </w:p>
              </w:tc>
              <w:tc>
                <w:tcPr>
                  <w:tcW w:w="603" w:type="pct"/>
                  <w:noWrap w:val="0"/>
                  <w:vAlign w:val="center"/>
                </w:tcPr>
                <w:p w14:paraId="146C598B">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1.60</w:t>
                  </w:r>
                </w:p>
              </w:tc>
              <w:tc>
                <w:tcPr>
                  <w:tcW w:w="534" w:type="pct"/>
                  <w:noWrap/>
                  <w:vAlign w:val="center"/>
                </w:tcPr>
                <w:p w14:paraId="172EEFC2">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0.03</w:t>
                  </w:r>
                </w:p>
              </w:tc>
              <w:tc>
                <w:tcPr>
                  <w:tcW w:w="536" w:type="pct"/>
                  <w:noWrap w:val="0"/>
                  <w:vAlign w:val="center"/>
                </w:tcPr>
                <w:p w14:paraId="14886E25">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0.03</w:t>
                  </w:r>
                </w:p>
              </w:tc>
            </w:tr>
            <w:tr w14:paraId="72A96A6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noWrap/>
                  <w:vAlign w:val="center"/>
                </w:tcPr>
                <w:p w14:paraId="6B0A3428">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1980</w:t>
                  </w:r>
                </w:p>
              </w:tc>
              <w:tc>
                <w:tcPr>
                  <w:tcW w:w="740" w:type="pct"/>
                  <w:noWrap/>
                  <w:vAlign w:val="center"/>
                </w:tcPr>
                <w:p w14:paraId="70EEF220">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210.27</w:t>
                  </w:r>
                </w:p>
              </w:tc>
              <w:tc>
                <w:tcPr>
                  <w:tcW w:w="672" w:type="pct"/>
                  <w:noWrap w:val="0"/>
                  <w:vAlign w:val="center"/>
                </w:tcPr>
                <w:p w14:paraId="61F8EF21">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78.75</w:t>
                  </w:r>
                </w:p>
              </w:tc>
              <w:tc>
                <w:tcPr>
                  <w:tcW w:w="603" w:type="pct"/>
                  <w:noWrap/>
                  <w:vAlign w:val="center"/>
                </w:tcPr>
                <w:p w14:paraId="6C366906">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14.91</w:t>
                  </w:r>
                </w:p>
              </w:tc>
              <w:tc>
                <w:tcPr>
                  <w:tcW w:w="603" w:type="pct"/>
                  <w:noWrap w:val="0"/>
                  <w:vAlign w:val="center"/>
                </w:tcPr>
                <w:p w14:paraId="0C4A6683">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5.52</w:t>
                  </w:r>
                </w:p>
              </w:tc>
              <w:tc>
                <w:tcPr>
                  <w:tcW w:w="534" w:type="pct"/>
                  <w:noWrap/>
                  <w:vAlign w:val="center"/>
                </w:tcPr>
                <w:p w14:paraId="28C0030E">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0.07</w:t>
                  </w:r>
                </w:p>
              </w:tc>
              <w:tc>
                <w:tcPr>
                  <w:tcW w:w="536" w:type="pct"/>
                  <w:noWrap w:val="0"/>
                  <w:vAlign w:val="center"/>
                </w:tcPr>
                <w:p w14:paraId="7F2ABECF">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0.07</w:t>
                  </w:r>
                </w:p>
              </w:tc>
            </w:tr>
            <w:tr w14:paraId="37515BA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noWrap/>
                  <w:vAlign w:val="center"/>
                </w:tcPr>
                <w:p w14:paraId="40B96DD5">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1960</w:t>
                  </w:r>
                </w:p>
              </w:tc>
              <w:tc>
                <w:tcPr>
                  <w:tcW w:w="740" w:type="pct"/>
                  <w:noWrap/>
                  <w:vAlign w:val="center"/>
                </w:tcPr>
                <w:p w14:paraId="6C9F45E4">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242.13</w:t>
                  </w:r>
                </w:p>
              </w:tc>
              <w:tc>
                <w:tcPr>
                  <w:tcW w:w="672" w:type="pct"/>
                  <w:noWrap w:val="0"/>
                  <w:vAlign w:val="center"/>
                </w:tcPr>
                <w:p w14:paraId="348F7AC1">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90.69</w:t>
                  </w:r>
                </w:p>
              </w:tc>
              <w:tc>
                <w:tcPr>
                  <w:tcW w:w="603" w:type="pct"/>
                  <w:noWrap/>
                  <w:vAlign w:val="center"/>
                </w:tcPr>
                <w:p w14:paraId="08E30FE6">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15.71</w:t>
                  </w:r>
                </w:p>
              </w:tc>
              <w:tc>
                <w:tcPr>
                  <w:tcW w:w="603" w:type="pct"/>
                  <w:noWrap w:val="0"/>
                  <w:vAlign w:val="center"/>
                </w:tcPr>
                <w:p w14:paraId="1F9301E3">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5.82</w:t>
                  </w:r>
                </w:p>
              </w:tc>
              <w:tc>
                <w:tcPr>
                  <w:tcW w:w="534" w:type="pct"/>
                  <w:noWrap/>
                  <w:vAlign w:val="center"/>
                </w:tcPr>
                <w:p w14:paraId="39A3147D">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0.06</w:t>
                  </w:r>
                </w:p>
              </w:tc>
              <w:tc>
                <w:tcPr>
                  <w:tcW w:w="536" w:type="pct"/>
                  <w:noWrap w:val="0"/>
                  <w:vAlign w:val="center"/>
                </w:tcPr>
                <w:p w14:paraId="66FF16CE">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0.06</w:t>
                  </w:r>
                </w:p>
              </w:tc>
            </w:tr>
            <w:tr w14:paraId="3CB2508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noWrap/>
                  <w:vAlign w:val="center"/>
                </w:tcPr>
                <w:p w14:paraId="71A90285">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1940</w:t>
                  </w:r>
                </w:p>
              </w:tc>
              <w:tc>
                <w:tcPr>
                  <w:tcW w:w="740" w:type="pct"/>
                  <w:noWrap/>
                  <w:vAlign w:val="center"/>
                </w:tcPr>
                <w:p w14:paraId="692B415B">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231.13</w:t>
                  </w:r>
                </w:p>
              </w:tc>
              <w:tc>
                <w:tcPr>
                  <w:tcW w:w="672" w:type="pct"/>
                  <w:noWrap w:val="0"/>
                  <w:vAlign w:val="center"/>
                </w:tcPr>
                <w:p w14:paraId="3A5CBEE9">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86.56</w:t>
                  </w:r>
                </w:p>
              </w:tc>
              <w:tc>
                <w:tcPr>
                  <w:tcW w:w="603" w:type="pct"/>
                  <w:noWrap/>
                  <w:vAlign w:val="center"/>
                </w:tcPr>
                <w:p w14:paraId="6ADA4724">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20.56</w:t>
                  </w:r>
                </w:p>
              </w:tc>
              <w:tc>
                <w:tcPr>
                  <w:tcW w:w="603" w:type="pct"/>
                  <w:noWrap w:val="0"/>
                  <w:vAlign w:val="center"/>
                </w:tcPr>
                <w:p w14:paraId="4FCC59CB">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7.62</w:t>
                  </w:r>
                </w:p>
              </w:tc>
              <w:tc>
                <w:tcPr>
                  <w:tcW w:w="534" w:type="pct"/>
                  <w:noWrap/>
                  <w:vAlign w:val="center"/>
                </w:tcPr>
                <w:p w14:paraId="53AC46B9">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0.09</w:t>
                  </w:r>
                </w:p>
              </w:tc>
              <w:tc>
                <w:tcPr>
                  <w:tcW w:w="536" w:type="pct"/>
                  <w:noWrap w:val="0"/>
                  <w:vAlign w:val="center"/>
                </w:tcPr>
                <w:p w14:paraId="2753B7A6">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0.09</w:t>
                  </w:r>
                </w:p>
              </w:tc>
            </w:tr>
            <w:tr w14:paraId="162E90B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noWrap/>
                  <w:vAlign w:val="center"/>
                </w:tcPr>
                <w:p w14:paraId="353F9965">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1920</w:t>
                  </w:r>
                </w:p>
              </w:tc>
              <w:tc>
                <w:tcPr>
                  <w:tcW w:w="740" w:type="pct"/>
                  <w:noWrap/>
                  <w:vAlign w:val="center"/>
                </w:tcPr>
                <w:p w14:paraId="673F916A">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120.77</w:t>
                  </w:r>
                </w:p>
              </w:tc>
              <w:tc>
                <w:tcPr>
                  <w:tcW w:w="672" w:type="pct"/>
                  <w:noWrap w:val="0"/>
                  <w:vAlign w:val="center"/>
                </w:tcPr>
                <w:p w14:paraId="03DE47B9">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45.23</w:t>
                  </w:r>
                </w:p>
              </w:tc>
              <w:tc>
                <w:tcPr>
                  <w:tcW w:w="603" w:type="pct"/>
                  <w:noWrap/>
                  <w:vAlign w:val="center"/>
                </w:tcPr>
                <w:p w14:paraId="48F84947">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22.57</w:t>
                  </w:r>
                </w:p>
              </w:tc>
              <w:tc>
                <w:tcPr>
                  <w:tcW w:w="603" w:type="pct"/>
                  <w:noWrap w:val="0"/>
                  <w:vAlign w:val="center"/>
                </w:tcPr>
                <w:p w14:paraId="7C84004D">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8.36</w:t>
                  </w:r>
                </w:p>
              </w:tc>
              <w:tc>
                <w:tcPr>
                  <w:tcW w:w="534" w:type="pct"/>
                  <w:noWrap/>
                  <w:vAlign w:val="center"/>
                </w:tcPr>
                <w:p w14:paraId="0AD402FB">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0.19</w:t>
                  </w:r>
                </w:p>
              </w:tc>
              <w:tc>
                <w:tcPr>
                  <w:tcW w:w="536" w:type="pct"/>
                  <w:noWrap w:val="0"/>
                  <w:vAlign w:val="center"/>
                </w:tcPr>
                <w:p w14:paraId="569EB4AD">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0.18</w:t>
                  </w:r>
                </w:p>
              </w:tc>
            </w:tr>
            <w:tr w14:paraId="248C5CF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0" w:type="pct"/>
                  <w:noWrap/>
                  <w:vAlign w:val="center"/>
                </w:tcPr>
                <w:p w14:paraId="4C6BBA0F">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合计</w:t>
                  </w:r>
                </w:p>
              </w:tc>
              <w:tc>
                <w:tcPr>
                  <w:tcW w:w="740" w:type="pct"/>
                  <w:noWrap/>
                  <w:vAlign w:val="center"/>
                </w:tcPr>
                <w:p w14:paraId="38005DB2">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fldChar w:fldCharType="begin"/>
                  </w:r>
                  <w:r>
                    <w:rPr>
                      <w:rFonts w:hint="default" w:ascii="Times New Roman" w:hAnsi="Times New Roman" w:eastAsia="宋体"/>
                    </w:rPr>
                    <w:instrText xml:space="preserve"> =SUM(ABOVE) </w:instrText>
                  </w:r>
                  <w:r>
                    <w:rPr>
                      <w:rFonts w:hint="default" w:ascii="Times New Roman" w:hAnsi="Times New Roman" w:eastAsia="宋体"/>
                    </w:rPr>
                    <w:fldChar w:fldCharType="separate"/>
                  </w:r>
                  <w:r>
                    <w:rPr>
                      <w:rFonts w:hint="default" w:ascii="Times New Roman" w:hAnsi="Times New Roman" w:eastAsia="宋体"/>
                    </w:rPr>
                    <w:t>990.13</w:t>
                  </w:r>
                  <w:r>
                    <w:rPr>
                      <w:rFonts w:hint="default" w:ascii="Times New Roman" w:hAnsi="Times New Roman" w:eastAsia="宋体"/>
                    </w:rPr>
                    <w:fldChar w:fldCharType="end"/>
                  </w:r>
                </w:p>
              </w:tc>
              <w:tc>
                <w:tcPr>
                  <w:tcW w:w="672" w:type="pct"/>
                  <w:noWrap w:val="0"/>
                  <w:vAlign w:val="center"/>
                </w:tcPr>
                <w:p w14:paraId="25AD779B">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fldChar w:fldCharType="begin"/>
                  </w:r>
                  <w:r>
                    <w:rPr>
                      <w:rFonts w:hint="default" w:ascii="Times New Roman" w:hAnsi="Times New Roman" w:eastAsia="宋体"/>
                    </w:rPr>
                    <w:instrText xml:space="preserve"> =SUM(ABOVE) </w:instrText>
                  </w:r>
                  <w:r>
                    <w:rPr>
                      <w:rFonts w:hint="default" w:ascii="Times New Roman" w:hAnsi="Times New Roman" w:eastAsia="宋体"/>
                    </w:rPr>
                    <w:fldChar w:fldCharType="separate"/>
                  </w:r>
                  <w:r>
                    <w:rPr>
                      <w:rFonts w:hint="default" w:ascii="Times New Roman" w:hAnsi="Times New Roman" w:eastAsia="宋体"/>
                    </w:rPr>
                    <w:t>370.84</w:t>
                  </w:r>
                  <w:r>
                    <w:rPr>
                      <w:rFonts w:hint="default" w:ascii="Times New Roman" w:hAnsi="Times New Roman" w:eastAsia="宋体"/>
                    </w:rPr>
                    <w:fldChar w:fldCharType="end"/>
                  </w:r>
                </w:p>
              </w:tc>
              <w:tc>
                <w:tcPr>
                  <w:tcW w:w="603" w:type="pct"/>
                  <w:noWrap/>
                  <w:vAlign w:val="center"/>
                </w:tcPr>
                <w:p w14:paraId="76DEA4BF">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fldChar w:fldCharType="begin"/>
                  </w:r>
                  <w:r>
                    <w:rPr>
                      <w:rFonts w:hint="default" w:ascii="Times New Roman" w:hAnsi="Times New Roman" w:eastAsia="宋体"/>
                    </w:rPr>
                    <w:instrText xml:space="preserve"> </w:instrText>
                  </w:r>
                  <w:r>
                    <w:rPr>
                      <w:rFonts w:hint="eastAsia" w:ascii="Times New Roman" w:hAnsi="Times New Roman" w:eastAsia="宋体"/>
                    </w:rPr>
                    <w:instrText xml:space="preserve">=SUM(ABOVE)</w:instrText>
                  </w:r>
                  <w:r>
                    <w:rPr>
                      <w:rFonts w:hint="default" w:ascii="Times New Roman" w:hAnsi="Times New Roman" w:eastAsia="宋体"/>
                    </w:rPr>
                    <w:instrText xml:space="preserve"> </w:instrText>
                  </w:r>
                  <w:r>
                    <w:rPr>
                      <w:rFonts w:hint="default" w:ascii="Times New Roman" w:hAnsi="Times New Roman" w:eastAsia="宋体"/>
                    </w:rPr>
                    <w:fldChar w:fldCharType="separate"/>
                  </w:r>
                  <w:r>
                    <w:rPr>
                      <w:rFonts w:hint="default" w:ascii="Times New Roman" w:hAnsi="Times New Roman" w:eastAsia="宋体"/>
                    </w:rPr>
                    <w:t>84.43</w:t>
                  </w:r>
                  <w:r>
                    <w:rPr>
                      <w:rFonts w:hint="default" w:ascii="Times New Roman" w:hAnsi="Times New Roman" w:eastAsia="宋体"/>
                    </w:rPr>
                    <w:fldChar w:fldCharType="end"/>
                  </w:r>
                </w:p>
              </w:tc>
              <w:tc>
                <w:tcPr>
                  <w:tcW w:w="603" w:type="pct"/>
                  <w:noWrap w:val="0"/>
                  <w:vAlign w:val="center"/>
                </w:tcPr>
                <w:p w14:paraId="3443AE37">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fldChar w:fldCharType="begin"/>
                  </w:r>
                  <w:r>
                    <w:rPr>
                      <w:rFonts w:hint="default" w:ascii="Times New Roman" w:hAnsi="Times New Roman" w:eastAsia="宋体"/>
                    </w:rPr>
                    <w:instrText xml:space="preserve"> =SUM(ABOVE) </w:instrText>
                  </w:r>
                  <w:r>
                    <w:rPr>
                      <w:rFonts w:hint="default" w:ascii="Times New Roman" w:hAnsi="Times New Roman" w:eastAsia="宋体"/>
                    </w:rPr>
                    <w:fldChar w:fldCharType="separate"/>
                  </w:r>
                  <w:r>
                    <w:rPr>
                      <w:rFonts w:hint="default" w:ascii="Times New Roman" w:hAnsi="Times New Roman" w:eastAsia="宋体"/>
                    </w:rPr>
                    <w:t>31.27</w:t>
                  </w:r>
                  <w:r>
                    <w:rPr>
                      <w:rFonts w:hint="default" w:ascii="Times New Roman" w:hAnsi="Times New Roman" w:eastAsia="宋体"/>
                    </w:rPr>
                    <w:fldChar w:fldCharType="end"/>
                  </w:r>
                </w:p>
              </w:tc>
              <w:tc>
                <w:tcPr>
                  <w:tcW w:w="534" w:type="pct"/>
                  <w:noWrap/>
                  <w:vAlign w:val="center"/>
                </w:tcPr>
                <w:p w14:paraId="167B8473">
                  <w:pPr>
                    <w:pStyle w:val="67"/>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0.09</w:t>
                  </w:r>
                </w:p>
              </w:tc>
              <w:tc>
                <w:tcPr>
                  <w:tcW w:w="536" w:type="pct"/>
                  <w:noWrap w:val="0"/>
                  <w:vAlign w:val="center"/>
                </w:tcPr>
                <w:p w14:paraId="6B026A2D">
                  <w:pPr>
                    <w:pStyle w:val="67"/>
                    <w:keepNext w:val="0"/>
                    <w:keepLines w:val="0"/>
                    <w:suppressLineNumbers w:val="0"/>
                    <w:spacing w:before="0" w:beforeAutospacing="0" w:after="0" w:afterAutospacing="0"/>
                    <w:ind w:left="0" w:right="0"/>
                    <w:rPr>
                      <w:rFonts w:hint="eastAsia" w:ascii="Times New Roman" w:hAnsi="Times New Roman" w:eastAsia="宋体"/>
                    </w:rPr>
                  </w:pPr>
                  <w:r>
                    <w:rPr>
                      <w:rFonts w:hint="eastAsia" w:ascii="Times New Roman" w:hAnsi="Times New Roman" w:eastAsia="宋体"/>
                    </w:rPr>
                    <w:t>0.09</w:t>
                  </w:r>
                </w:p>
              </w:tc>
            </w:tr>
          </w:tbl>
          <w:p w14:paraId="41A45D8A">
            <w:pPr>
              <w:pStyle w:val="19"/>
              <w:keepNext w:val="0"/>
              <w:keepLines w:val="0"/>
              <w:suppressLineNumbers w:val="0"/>
              <w:spacing w:before="0" w:beforeAutospacing="0" w:after="0" w:afterAutospacing="0" w:line="520" w:lineRule="exact"/>
              <w:ind w:left="0" w:right="0" w:firstLine="480" w:firstLineChars="200"/>
              <w:rPr>
                <w:rFonts w:hint="default"/>
                <w:b/>
                <w:bCs/>
              </w:rPr>
            </w:pPr>
            <w:r>
              <w:rPr>
                <w:rFonts w:hint="eastAsia" w:cs="Times New Roman"/>
                <w:color w:val="auto"/>
                <w:kern w:val="2"/>
                <w:sz w:val="24"/>
                <w:szCs w:val="24"/>
                <w:highlight w:val="none"/>
                <w:lang w:val="en-US" w:eastAsia="zh-CN" w:bidi="ar-SA"/>
              </w:rPr>
              <w:t>根据本项目</w:t>
            </w:r>
            <w:r>
              <w:rPr>
                <w:rFonts w:hint="eastAsia" w:cs="Times New Roman"/>
                <w:color w:val="auto"/>
                <w:sz w:val="24"/>
                <w:szCs w:val="24"/>
                <w:highlight w:val="none"/>
                <w:lang w:val="en-US" w:eastAsia="zh-CN"/>
              </w:rPr>
              <w:t>《巴州泽丰矿业有限责任公司新疆和静夏翁沟口水泥用石灰岩矿矿产资源开发利用及生态保护修复方案》，开采境界内矿石量990.13万t，境界内废石84.43万t，全矿平均剥采比为0.09t/t。</w:t>
            </w:r>
          </w:p>
          <w:p w14:paraId="1A59AD49">
            <w:pPr>
              <w:pStyle w:val="19"/>
              <w:keepNext w:val="0"/>
              <w:keepLines w:val="0"/>
              <w:suppressLineNumbers w:val="0"/>
              <w:spacing w:before="0" w:beforeAutospacing="0" w:after="0" w:afterAutospacing="0" w:line="520" w:lineRule="exact"/>
              <w:ind w:left="0" w:right="0" w:firstLine="482" w:firstLineChars="200"/>
              <w:rPr>
                <w:rFonts w:hint="default"/>
                <w:b/>
                <w:bCs/>
              </w:rPr>
            </w:pPr>
            <w:r>
              <w:rPr>
                <w:rFonts w:hint="default"/>
                <w:b/>
                <w:bCs/>
              </w:rPr>
              <w:t>3.</w:t>
            </w:r>
            <w:r>
              <w:rPr>
                <w:rFonts w:hint="eastAsia"/>
                <w:b/>
                <w:bCs/>
              </w:rPr>
              <w:t>2</w:t>
            </w:r>
            <w:r>
              <w:rPr>
                <w:rFonts w:hint="default"/>
                <w:b/>
                <w:bCs/>
              </w:rPr>
              <w:t>采矿方案</w:t>
            </w:r>
          </w:p>
          <w:p w14:paraId="4E1BE9AE">
            <w:pPr>
              <w:keepNext w:val="0"/>
              <w:keepLines w:val="0"/>
              <w:suppressLineNumbers w:val="0"/>
              <w:spacing w:before="0" w:beforeAutospacing="0" w:after="0" w:afterAutospacing="0" w:line="520" w:lineRule="exact"/>
              <w:ind w:left="0" w:right="0" w:firstLine="480" w:firstLineChars="200"/>
              <w:rPr>
                <w:rFonts w:hint="default" w:eastAsia="宋体"/>
                <w:b/>
                <w:bCs/>
                <w:sz w:val="24"/>
                <w:lang w:val="en-US" w:eastAsia="zh-CN"/>
              </w:rPr>
            </w:pPr>
            <w:r>
              <w:rPr>
                <w:rFonts w:hint="default"/>
                <w:sz w:val="24"/>
              </w:rPr>
              <w:t>该矿矿体</w:t>
            </w:r>
            <w:r>
              <w:rPr>
                <w:rFonts w:hint="eastAsia"/>
                <w:sz w:val="24"/>
              </w:rPr>
              <w:t>分布于中泥盆统萨阿尔明组第三亚组</w:t>
            </w:r>
            <w:r>
              <w:rPr>
                <w:rFonts w:hint="eastAsia"/>
                <w:sz w:val="24"/>
                <w:lang w:eastAsia="zh-CN"/>
              </w:rPr>
              <w:t>（</w:t>
            </w:r>
            <w:r>
              <w:rPr>
                <w:rFonts w:hint="eastAsia"/>
                <w:sz w:val="24"/>
              </w:rPr>
              <w:t>D2sc</w:t>
            </w:r>
            <w:r>
              <w:rPr>
                <w:rFonts w:hint="eastAsia"/>
                <w:sz w:val="24"/>
                <w:lang w:eastAsia="zh-CN"/>
              </w:rPr>
              <w:t>）</w:t>
            </w:r>
            <w:r>
              <w:rPr>
                <w:rFonts w:hint="eastAsia"/>
                <w:sz w:val="24"/>
              </w:rPr>
              <w:t>灰色粉晶灰岩地层</w:t>
            </w:r>
            <w:r>
              <w:rPr>
                <w:rFonts w:hint="eastAsia"/>
                <w:sz w:val="24"/>
                <w:lang w:val="en-US" w:eastAsia="zh-CN"/>
              </w:rPr>
              <w:t>之</w:t>
            </w:r>
            <w:r>
              <w:rPr>
                <w:rFonts w:hint="eastAsia"/>
                <w:sz w:val="24"/>
              </w:rPr>
              <w:t>中</w:t>
            </w:r>
            <w:r>
              <w:rPr>
                <w:rFonts w:hint="eastAsia"/>
                <w:sz w:val="24"/>
                <w:lang w:eastAsia="zh-CN"/>
              </w:rPr>
              <w:t>，矿体直接出露地表</w:t>
            </w:r>
            <w:r>
              <w:rPr>
                <w:rFonts w:hint="default"/>
                <w:sz w:val="24"/>
              </w:rPr>
              <w:t>，露天开采条件好，设计采用露天开采方式。</w:t>
            </w:r>
            <w:r>
              <w:rPr>
                <w:rFonts w:hint="eastAsia"/>
                <w:sz w:val="24"/>
                <w:lang w:val="en-US" w:eastAsia="zh-CN"/>
              </w:rPr>
              <w:t>开采矿种为水泥用石灰岩，开采规模为：50万t/a。</w:t>
            </w:r>
          </w:p>
          <w:p w14:paraId="4B14A7E3">
            <w:pPr>
              <w:pStyle w:val="19"/>
              <w:keepNext w:val="0"/>
              <w:keepLines w:val="0"/>
              <w:suppressLineNumbers w:val="0"/>
              <w:spacing w:before="0" w:beforeAutospacing="0" w:after="0" w:afterAutospacing="0" w:line="520" w:lineRule="exact"/>
              <w:ind w:left="0" w:right="0" w:firstLine="482" w:firstLineChars="200"/>
              <w:rPr>
                <w:rFonts w:hint="default"/>
                <w:b/>
                <w:bCs/>
              </w:rPr>
            </w:pPr>
            <w:r>
              <w:rPr>
                <w:rFonts w:hint="default"/>
                <w:b/>
                <w:bCs/>
              </w:rPr>
              <w:t>3.</w:t>
            </w:r>
            <w:r>
              <w:rPr>
                <w:rFonts w:hint="eastAsia"/>
                <w:b/>
                <w:bCs/>
              </w:rPr>
              <w:t>3</w:t>
            </w:r>
            <w:r>
              <w:rPr>
                <w:rFonts w:hint="default"/>
                <w:b/>
                <w:bCs/>
              </w:rPr>
              <w:t>产品方案</w:t>
            </w:r>
          </w:p>
          <w:p w14:paraId="61B6DBF9">
            <w:pPr>
              <w:pStyle w:val="19"/>
              <w:keepNext w:val="0"/>
              <w:keepLines w:val="0"/>
              <w:suppressLineNumbers w:val="0"/>
              <w:spacing w:before="0" w:beforeAutospacing="0" w:after="0" w:afterAutospacing="0" w:line="520" w:lineRule="exact"/>
              <w:ind w:left="0" w:right="0" w:firstLine="480" w:firstLineChars="200"/>
              <w:rPr>
                <w:rFonts w:hint="default"/>
                <w:lang w:val="en-US"/>
              </w:rPr>
            </w:pPr>
            <w:r>
              <w:rPr>
                <w:rFonts w:hint="eastAsia"/>
                <w:sz w:val="24"/>
                <w:lang w:val="en-US" w:eastAsia="zh-CN"/>
              </w:rPr>
              <w:t>破碎后的原矿，块度≤80mm。</w:t>
            </w:r>
          </w:p>
          <w:p w14:paraId="38AE20BD">
            <w:pPr>
              <w:keepNext w:val="0"/>
              <w:keepLines w:val="0"/>
              <w:suppressLineNumbers w:val="0"/>
              <w:adjustRightInd w:val="0"/>
              <w:snapToGrid w:val="0"/>
              <w:spacing w:before="0" w:beforeAutospacing="0" w:after="0" w:afterAutospacing="0" w:line="520" w:lineRule="exact"/>
              <w:ind w:left="0" w:right="0"/>
              <w:rPr>
                <w:rFonts w:hint="default"/>
                <w:b/>
                <w:bCs/>
                <w:kern w:val="0"/>
                <w:sz w:val="24"/>
              </w:rPr>
            </w:pPr>
            <w:r>
              <w:rPr>
                <w:rFonts w:hint="eastAsia"/>
                <w:b/>
                <w:bCs/>
                <w:kern w:val="0"/>
                <w:sz w:val="24"/>
              </w:rPr>
              <w:t>4</w:t>
            </w:r>
            <w:r>
              <w:rPr>
                <w:rFonts w:hint="default"/>
                <w:b/>
                <w:bCs/>
                <w:kern w:val="0"/>
                <w:sz w:val="24"/>
              </w:rPr>
              <w:t>公用工程</w:t>
            </w:r>
          </w:p>
          <w:p w14:paraId="398B2E10">
            <w:pPr>
              <w:keepNext w:val="0"/>
              <w:keepLines w:val="0"/>
              <w:suppressLineNumbers w:val="0"/>
              <w:spacing w:before="0" w:beforeAutospacing="0" w:after="0" w:afterAutospacing="0" w:line="520" w:lineRule="exact"/>
              <w:ind w:left="0" w:right="0" w:firstLine="482" w:firstLineChars="200"/>
              <w:rPr>
                <w:rFonts w:hint="default"/>
                <w:b/>
                <w:bCs/>
                <w:sz w:val="24"/>
              </w:rPr>
            </w:pPr>
            <w:r>
              <w:rPr>
                <w:rFonts w:hint="eastAsia"/>
                <w:b/>
                <w:bCs/>
                <w:sz w:val="24"/>
              </w:rPr>
              <w:t>4</w:t>
            </w:r>
            <w:r>
              <w:rPr>
                <w:rFonts w:hint="default"/>
                <w:b/>
                <w:bCs/>
                <w:sz w:val="24"/>
              </w:rPr>
              <w:t>.1给水</w:t>
            </w:r>
          </w:p>
          <w:p w14:paraId="5FF2F3FE">
            <w:pPr>
              <w:pStyle w:val="19"/>
              <w:keepNext w:val="0"/>
              <w:keepLines w:val="0"/>
              <w:suppressLineNumbers w:val="0"/>
              <w:spacing w:before="0" w:beforeAutospacing="0" w:after="0" w:afterAutospacing="0" w:line="520" w:lineRule="exact"/>
              <w:ind w:left="0" w:right="0" w:firstLine="480" w:firstLineChars="200"/>
              <w:rPr>
                <w:rFonts w:hint="default"/>
              </w:rPr>
            </w:pPr>
            <w:r>
              <w:rPr>
                <w:rFonts w:hint="default"/>
              </w:rPr>
              <w:t>矿山生产</w:t>
            </w:r>
            <w:r>
              <w:rPr>
                <w:rFonts w:hint="eastAsia"/>
                <w:lang w:eastAsia="zh-CN"/>
              </w:rPr>
              <w:t>、</w:t>
            </w:r>
            <w:r>
              <w:rPr>
                <w:rFonts w:hint="default"/>
              </w:rPr>
              <w:t>生活用水主要是从</w:t>
            </w:r>
            <w:r>
              <w:rPr>
                <w:rFonts w:hint="eastAsia"/>
                <w:lang w:val="en-US" w:eastAsia="zh-CN"/>
              </w:rPr>
              <w:t>和静县拉运至</w:t>
            </w:r>
            <w:r>
              <w:rPr>
                <w:rFonts w:hint="eastAsia"/>
              </w:rPr>
              <w:t>矿区</w:t>
            </w:r>
            <w:r>
              <w:rPr>
                <w:rFonts w:hint="default"/>
                <w:color w:val="000000" w:themeColor="text1"/>
                <w14:textFill>
                  <w14:solidFill>
                    <w14:schemeClr w14:val="tx1"/>
                  </w14:solidFill>
                </w14:textFill>
              </w:rPr>
              <w:t>。</w:t>
            </w:r>
          </w:p>
          <w:p w14:paraId="75C5B5EC">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（1）生活用水</w:t>
            </w:r>
          </w:p>
          <w:p w14:paraId="53A289DB">
            <w:pPr>
              <w:pStyle w:val="48"/>
              <w:keepNext w:val="0"/>
              <w:keepLines w:val="0"/>
              <w:suppressLineNumbers w:val="0"/>
              <w:spacing w:before="0" w:beforeAutospacing="0" w:after="0" w:afterAutospacing="0"/>
              <w:ind w:left="0" w:right="0" w:firstLine="480"/>
              <w:rPr>
                <w:rFonts w:hint="default"/>
              </w:rPr>
            </w:pPr>
            <w:r>
              <w:rPr>
                <w:rFonts w:hint="default"/>
              </w:rPr>
              <w:t>本项目动定员约为</w:t>
            </w:r>
            <w:r>
              <w:rPr>
                <w:rFonts w:hint="eastAsia"/>
                <w:lang w:val="en-US" w:eastAsia="zh-CN"/>
              </w:rPr>
              <w:t>41</w:t>
            </w:r>
            <w:r>
              <w:rPr>
                <w:rFonts w:hint="default"/>
              </w:rPr>
              <w:t>人，职工均在矿区食宿，根据《新疆维吾尔自治区生活用水定额》生活用水量</w:t>
            </w:r>
            <w:r>
              <w:t>按</w:t>
            </w:r>
            <w:r>
              <w:rPr>
                <w:rFonts w:hint="eastAsia" w:cs="Times New Roman"/>
                <w:color w:val="auto"/>
              </w:rPr>
              <w:t>0.12m</w:t>
            </w:r>
            <w:r>
              <w:rPr>
                <w:rFonts w:hint="eastAsia" w:cs="Times New Roman"/>
                <w:color w:val="auto"/>
                <w:vertAlign w:val="superscript"/>
              </w:rPr>
              <w:t>3</w:t>
            </w:r>
            <w:r>
              <w:rPr>
                <w:rFonts w:hint="eastAsia" w:cs="Times New Roman"/>
                <w:color w:val="auto"/>
              </w:rPr>
              <w:t>/d</w:t>
            </w:r>
            <w:r>
              <w:rPr>
                <w:rFonts w:hint="default"/>
              </w:rPr>
              <w:t>人</w:t>
            </w:r>
            <w:r>
              <w:t>计</w:t>
            </w:r>
            <w:r>
              <w:rPr>
                <w:rFonts w:hint="default"/>
              </w:rPr>
              <w:t>，</w:t>
            </w:r>
            <w:r>
              <w:t>项目</w:t>
            </w:r>
            <w:r>
              <w:rPr>
                <w:rFonts w:hint="default"/>
              </w:rPr>
              <w:t>年工作</w:t>
            </w:r>
            <w:r>
              <w:rPr>
                <w:rFonts w:hint="eastAsia"/>
                <w:lang w:val="en-US" w:eastAsia="zh-CN"/>
              </w:rPr>
              <w:t>30</w:t>
            </w:r>
            <w:r>
              <w:rPr>
                <w:rFonts w:hint="default"/>
              </w:rPr>
              <w:t>0d，本项目生活用水量为</w:t>
            </w:r>
            <w:r>
              <w:rPr>
                <w:rFonts w:hint="eastAsia"/>
                <w:lang w:val="en-US" w:eastAsia="zh-CN"/>
              </w:rPr>
              <w:t>1476</w:t>
            </w:r>
            <w:r>
              <w:rPr>
                <w:rFonts w:hint="default"/>
              </w:rPr>
              <w:t>m</w:t>
            </w:r>
            <w:r>
              <w:rPr>
                <w:rFonts w:hint="default"/>
                <w:vertAlign w:val="superscript"/>
              </w:rPr>
              <w:t>3</w:t>
            </w:r>
            <w:r>
              <w:rPr>
                <w:rFonts w:hint="eastAsia"/>
                <w:lang w:val="en-US" w:eastAsia="zh-CN"/>
              </w:rPr>
              <w:t>/a（4.92</w:t>
            </w:r>
            <w:r>
              <w:rPr>
                <w:rFonts w:hint="default"/>
              </w:rPr>
              <w:t>m</w:t>
            </w:r>
            <w:r>
              <w:rPr>
                <w:rFonts w:hint="default"/>
                <w:vertAlign w:val="superscript"/>
              </w:rPr>
              <w:t>3</w:t>
            </w:r>
            <w:r>
              <w:rPr>
                <w:rFonts w:hint="eastAsia"/>
                <w:lang w:val="en-US" w:eastAsia="zh-CN"/>
              </w:rPr>
              <w:t>/d）</w:t>
            </w:r>
            <w:r>
              <w:rPr>
                <w:rFonts w:hint="default"/>
              </w:rPr>
              <w:t>。</w:t>
            </w:r>
          </w:p>
          <w:p w14:paraId="06195CE7">
            <w:pPr>
              <w:pStyle w:val="48"/>
              <w:keepNext w:val="0"/>
              <w:keepLines w:val="0"/>
              <w:suppressLineNumbers w:val="0"/>
              <w:spacing w:before="0" w:beforeAutospacing="0" w:after="0" w:afterAutospacing="0"/>
              <w:ind w:left="0" w:right="0" w:firstLine="480"/>
              <w:rPr>
                <w:rFonts w:hint="default"/>
              </w:rPr>
            </w:pPr>
            <w:r>
              <w:rPr>
                <w:rFonts w:hint="default"/>
              </w:rPr>
              <w:t>（2）生产用水</w:t>
            </w:r>
          </w:p>
          <w:p w14:paraId="466125DD">
            <w:pPr>
              <w:keepNext w:val="0"/>
              <w:keepLines w:val="0"/>
              <w:suppressLineNumbers w:val="0"/>
              <w:spacing w:before="0" w:beforeAutospacing="0" w:after="0" w:afterAutospacing="0" w:line="520" w:lineRule="exact"/>
              <w:ind w:left="0" w:right="0" w:firstLine="480" w:firstLineChars="200"/>
              <w:rPr>
                <w:rFonts w:hint="eastAsia"/>
                <w:sz w:val="24"/>
              </w:rPr>
            </w:pPr>
            <w:r>
              <w:rPr>
                <w:rFonts w:hint="eastAsia"/>
                <w:sz w:val="24"/>
              </w:rPr>
              <w:t>项目降尘用水量约为10</w:t>
            </w:r>
            <w:r>
              <w:rPr>
                <w:rFonts w:hint="default"/>
                <w:bCs/>
                <w:sz w:val="24"/>
              </w:rPr>
              <w:t>m</w:t>
            </w:r>
            <w:r>
              <w:rPr>
                <w:rFonts w:hint="default"/>
                <w:bCs/>
                <w:sz w:val="24"/>
                <w:vertAlign w:val="superscript"/>
              </w:rPr>
              <w:t>3</w:t>
            </w:r>
            <w:r>
              <w:rPr>
                <w:rFonts w:hint="default"/>
                <w:bCs/>
                <w:sz w:val="24"/>
              </w:rPr>
              <w:t>/d</w:t>
            </w:r>
            <w:r>
              <w:rPr>
                <w:rFonts w:hint="eastAsia"/>
                <w:bCs/>
                <w:sz w:val="24"/>
              </w:rPr>
              <w:t>（</w:t>
            </w:r>
            <w:r>
              <w:rPr>
                <w:rFonts w:hint="eastAsia"/>
                <w:bCs/>
                <w:sz w:val="24"/>
                <w:lang w:val="en-US" w:eastAsia="zh-CN"/>
              </w:rPr>
              <w:t>30</w:t>
            </w:r>
            <w:r>
              <w:rPr>
                <w:rFonts w:hint="eastAsia"/>
                <w:bCs/>
                <w:sz w:val="24"/>
              </w:rPr>
              <w:t>00</w:t>
            </w:r>
            <w:r>
              <w:rPr>
                <w:rFonts w:hint="default"/>
                <w:bCs/>
                <w:sz w:val="24"/>
              </w:rPr>
              <w:t>m</w:t>
            </w:r>
            <w:r>
              <w:rPr>
                <w:rFonts w:hint="default"/>
                <w:bCs/>
                <w:sz w:val="24"/>
                <w:vertAlign w:val="superscript"/>
              </w:rPr>
              <w:t>3</w:t>
            </w:r>
            <w:r>
              <w:rPr>
                <w:rFonts w:hint="default"/>
                <w:bCs/>
                <w:sz w:val="24"/>
              </w:rPr>
              <w:t>/</w:t>
            </w:r>
            <w:r>
              <w:rPr>
                <w:rFonts w:hint="eastAsia"/>
                <w:bCs/>
                <w:sz w:val="24"/>
              </w:rPr>
              <w:t>a）</w:t>
            </w:r>
            <w:r>
              <w:rPr>
                <w:rFonts w:hint="eastAsia"/>
                <w:sz w:val="24"/>
              </w:rPr>
              <w:t>，降尘废水全部自然蒸发。</w:t>
            </w:r>
          </w:p>
          <w:p w14:paraId="012860D0">
            <w:pPr>
              <w:keepNext w:val="0"/>
              <w:keepLines w:val="0"/>
              <w:suppressLineNumbers w:val="0"/>
              <w:spacing w:before="0" w:beforeAutospacing="0" w:after="0" w:afterAutospacing="0" w:line="520" w:lineRule="exact"/>
              <w:ind w:left="0" w:right="0" w:firstLine="482" w:firstLineChars="200"/>
              <w:rPr>
                <w:rFonts w:hint="default"/>
                <w:b/>
                <w:bCs/>
                <w:sz w:val="24"/>
              </w:rPr>
            </w:pPr>
            <w:r>
              <w:rPr>
                <w:rFonts w:hint="eastAsia"/>
                <w:b/>
                <w:bCs/>
                <w:sz w:val="24"/>
              </w:rPr>
              <w:t>4</w:t>
            </w:r>
            <w:r>
              <w:rPr>
                <w:rFonts w:hint="default"/>
                <w:b/>
                <w:bCs/>
                <w:sz w:val="24"/>
              </w:rPr>
              <w:t>.2排水</w:t>
            </w:r>
          </w:p>
          <w:p w14:paraId="420C464B">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（1）生活污水</w:t>
            </w:r>
          </w:p>
          <w:p w14:paraId="1D2A0DF5">
            <w:pPr>
              <w:keepNext w:val="0"/>
              <w:keepLines w:val="0"/>
              <w:suppressLineNumbers w:val="0"/>
              <w:spacing w:before="0" w:beforeAutospacing="0" w:after="0" w:afterAutospacing="0" w:line="520" w:lineRule="exact"/>
              <w:ind w:left="0" w:right="0" w:firstLine="482" w:firstLineChars="200"/>
              <w:jc w:val="center"/>
              <w:rPr>
                <w:rFonts w:hint="default"/>
                <w:b/>
                <w:bCs/>
                <w:sz w:val="24"/>
              </w:rPr>
            </w:pPr>
            <w:r>
              <w:rPr>
                <w:rFonts w:hint="eastAsia" w:eastAsia="宋体"/>
                <w:b/>
                <w:bCs/>
                <w:sz w:val="24"/>
                <w:lang w:eastAsia="zh-CN"/>
              </w:rPr>
              <w:drawing>
                <wp:anchor distT="0" distB="0" distL="114300" distR="114300" simplePos="0" relativeHeight="251665408" behindDoc="0" locked="0" layoutInCell="1" allowOverlap="1">
                  <wp:simplePos x="0" y="0"/>
                  <wp:positionH relativeFrom="column">
                    <wp:posOffset>4445</wp:posOffset>
                  </wp:positionH>
                  <wp:positionV relativeFrom="paragraph">
                    <wp:posOffset>46990</wp:posOffset>
                  </wp:positionV>
                  <wp:extent cx="5327015" cy="1990725"/>
                  <wp:effectExtent l="0" t="0" r="0" b="0"/>
                  <wp:wrapTopAndBottom/>
                  <wp:docPr id="2" name="图片 2" descr="绘图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绘图2(1)"/>
                          <pic:cNvPicPr>
                            <a:picLocks noChangeAspect="1"/>
                          </pic:cNvPicPr>
                        </pic:nvPicPr>
                        <pic:blipFill>
                          <a:blip r:embed="rId8"/>
                          <a:srcRect t="21628" b="25523"/>
                          <a:stretch>
                            <a:fillRect/>
                          </a:stretch>
                        </pic:blipFill>
                        <pic:spPr>
                          <a:xfrm>
                            <a:off x="0" y="0"/>
                            <a:ext cx="5327015" cy="1990725"/>
                          </a:xfrm>
                          <a:prstGeom prst="rect">
                            <a:avLst/>
                          </a:prstGeom>
                        </pic:spPr>
                      </pic:pic>
                    </a:graphicData>
                  </a:graphic>
                </wp:anchor>
              </w:drawing>
            </w:r>
            <w:r>
              <w:rPr>
                <w:rFonts w:hint="default"/>
                <w:b/>
                <w:bCs/>
                <w:sz w:val="24"/>
              </w:rPr>
              <w:t>图2</w:t>
            </w:r>
            <w:r>
              <w:rPr>
                <w:rFonts w:hint="eastAsia"/>
                <w:b/>
                <w:bCs/>
                <w:sz w:val="24"/>
              </w:rPr>
              <w:t>-</w:t>
            </w:r>
            <w:r>
              <w:rPr>
                <w:rFonts w:hint="eastAsia"/>
                <w:b/>
                <w:bCs/>
                <w:sz w:val="24"/>
                <w:lang w:val="en-US" w:eastAsia="zh-CN"/>
              </w:rPr>
              <w:t>1</w:t>
            </w:r>
            <w:r>
              <w:rPr>
                <w:rFonts w:hint="default"/>
                <w:b/>
                <w:bCs/>
                <w:sz w:val="24"/>
              </w:rPr>
              <w:t xml:space="preserve">  项目水平衡（单位m</w:t>
            </w:r>
            <w:r>
              <w:rPr>
                <w:rFonts w:hint="default"/>
                <w:b/>
                <w:bCs/>
                <w:sz w:val="24"/>
                <w:vertAlign w:val="superscript"/>
              </w:rPr>
              <w:t>3</w:t>
            </w:r>
            <w:r>
              <w:rPr>
                <w:rFonts w:hint="default"/>
                <w:b/>
                <w:bCs/>
                <w:sz w:val="24"/>
              </w:rPr>
              <w:t>/</w:t>
            </w:r>
            <w:r>
              <w:rPr>
                <w:rFonts w:hint="eastAsia"/>
                <w:b/>
                <w:bCs/>
                <w:sz w:val="24"/>
              </w:rPr>
              <w:t>a</w:t>
            </w:r>
            <w:r>
              <w:rPr>
                <w:rFonts w:hint="default"/>
                <w:b/>
                <w:bCs/>
                <w:sz w:val="24"/>
              </w:rPr>
              <w:t>）</w:t>
            </w:r>
          </w:p>
          <w:p w14:paraId="053BEB9F">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color w:val="000000" w:themeColor="text1"/>
                <w:sz w:val="24"/>
                <w:lang w:eastAsia="zh-CN"/>
                <w14:textFill>
                  <w14:solidFill>
                    <w14:schemeClr w14:val="tx1"/>
                  </w14:solidFill>
                </w14:textFill>
              </w:rPr>
              <w:t>生活污水量以生活用水量的80%计</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生活污水</w:t>
            </w:r>
            <w:r>
              <w:rPr>
                <w:rFonts w:hint="eastAsia" w:ascii="Times New Roman" w:hAnsi="Times New Roman" w:cs="Times New Roman"/>
                <w:color w:val="000000" w:themeColor="text1"/>
                <w:sz w:val="24"/>
                <w:lang w:val="en-US" w:eastAsia="zh-CN"/>
                <w14:textFill>
                  <w14:solidFill>
                    <w14:schemeClr w14:val="tx1"/>
                  </w14:solidFill>
                </w14:textFill>
              </w:rPr>
              <w:t>排入防渗化粪池预处理后定期拉运处理</w:t>
            </w:r>
            <w:r>
              <w:rPr>
                <w:rFonts w:hint="default" w:ascii="Times New Roman" w:hAnsi="Times New Roman" w:cs="Times New Roman"/>
                <w:color w:val="000000" w:themeColor="text1"/>
                <w:sz w:val="24"/>
                <w14:textFill>
                  <w14:solidFill>
                    <w14:schemeClr w14:val="tx1"/>
                  </w14:solidFill>
                </w14:textFill>
              </w:rPr>
              <w:t>。</w:t>
            </w:r>
          </w:p>
          <w:p w14:paraId="23276798">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（2）生产废水</w:t>
            </w:r>
          </w:p>
          <w:p w14:paraId="346D97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sz w:val="24"/>
              </w:rPr>
            </w:pPr>
            <w:r>
              <w:rPr>
                <w:rFonts w:hint="eastAsia"/>
                <w:sz w:val="24"/>
              </w:rPr>
              <w:t>生产用水主要是</w:t>
            </w:r>
            <w:r>
              <w:rPr>
                <w:rFonts w:hint="eastAsia"/>
                <w:sz w:val="24"/>
                <w:lang w:val="en-US" w:eastAsia="zh-CN"/>
              </w:rPr>
              <w:t>开采、</w:t>
            </w:r>
            <w:r>
              <w:rPr>
                <w:rFonts w:hint="eastAsia"/>
                <w:sz w:val="24"/>
              </w:rPr>
              <w:t>矿石堆及运矿道路喷洒</w:t>
            </w:r>
            <w:r>
              <w:rPr>
                <w:rFonts w:hint="eastAsia"/>
                <w:sz w:val="24"/>
                <w:lang w:val="en-US" w:eastAsia="zh-CN"/>
              </w:rPr>
              <w:t>降尘</w:t>
            </w:r>
            <w:r>
              <w:rPr>
                <w:rFonts w:hint="eastAsia"/>
                <w:sz w:val="24"/>
              </w:rPr>
              <w:t>用水</w:t>
            </w:r>
            <w:r>
              <w:rPr>
                <w:rFonts w:hint="eastAsia"/>
                <w:sz w:val="24"/>
                <w:lang w:eastAsia="zh-CN"/>
              </w:rPr>
              <w:t>，喷洒用水抑尘后完全蒸发，</w:t>
            </w:r>
            <w:r>
              <w:rPr>
                <w:rFonts w:hint="eastAsia"/>
                <w:sz w:val="24"/>
                <w:lang w:val="en-US" w:eastAsia="zh-CN"/>
              </w:rPr>
              <w:t>无生产废水产生</w:t>
            </w:r>
            <w:r>
              <w:rPr>
                <w:rFonts w:hint="eastAsia"/>
                <w:sz w:val="24"/>
              </w:rPr>
              <w:t>。</w:t>
            </w:r>
          </w:p>
          <w:p w14:paraId="70ED2D9F">
            <w:pPr>
              <w:keepNext w:val="0"/>
              <w:keepLines w:val="0"/>
              <w:suppressLineNumbers w:val="0"/>
              <w:spacing w:before="0" w:beforeAutospacing="0" w:after="0" w:afterAutospacing="0" w:line="520" w:lineRule="exact"/>
              <w:ind w:left="0" w:right="0" w:firstLine="482" w:firstLineChars="200"/>
              <w:rPr>
                <w:rFonts w:hint="default"/>
                <w:b/>
                <w:bCs/>
                <w:sz w:val="24"/>
              </w:rPr>
            </w:pPr>
            <w:r>
              <w:rPr>
                <w:rFonts w:hint="eastAsia"/>
                <w:b/>
                <w:bCs/>
                <w:sz w:val="24"/>
              </w:rPr>
              <w:t>4</w:t>
            </w:r>
            <w:r>
              <w:rPr>
                <w:rFonts w:hint="default"/>
                <w:b/>
                <w:bCs/>
                <w:sz w:val="24"/>
              </w:rPr>
              <w:t>.3供电</w:t>
            </w:r>
          </w:p>
          <w:p w14:paraId="183301AD">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矿山</w:t>
            </w:r>
            <w:r>
              <w:rPr>
                <w:rFonts w:hint="eastAsia"/>
                <w:sz w:val="24"/>
                <w:lang w:val="en-US" w:eastAsia="zh-CN"/>
              </w:rPr>
              <w:t>附近</w:t>
            </w:r>
            <w:r>
              <w:rPr>
                <w:rFonts w:hint="default"/>
                <w:sz w:val="24"/>
              </w:rPr>
              <w:t>有10KVA供电线路引入矿区，作为生产生活电源。矿区设置</w:t>
            </w:r>
            <w:r>
              <w:rPr>
                <w:rFonts w:hint="eastAsia"/>
                <w:sz w:val="24"/>
              </w:rPr>
              <w:t>1台S13-1000/10型变压器</w:t>
            </w:r>
            <w:r>
              <w:rPr>
                <w:rFonts w:hint="default"/>
                <w:sz w:val="24"/>
              </w:rPr>
              <w:t>。</w:t>
            </w:r>
          </w:p>
          <w:p w14:paraId="2D0C8756">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kern w:val="0"/>
                <w:sz w:val="24"/>
              </w:rPr>
            </w:pPr>
            <w:r>
              <w:rPr>
                <w:rFonts w:hint="eastAsia"/>
                <w:b/>
                <w:bCs/>
                <w:kern w:val="0"/>
                <w:sz w:val="24"/>
              </w:rPr>
              <w:t>4</w:t>
            </w:r>
            <w:r>
              <w:rPr>
                <w:rFonts w:hint="default"/>
                <w:b/>
                <w:bCs/>
                <w:kern w:val="0"/>
                <w:sz w:val="24"/>
              </w:rPr>
              <w:t>.4供热</w:t>
            </w:r>
          </w:p>
          <w:p w14:paraId="6E1FB7F1">
            <w:pPr>
              <w:pStyle w:val="19"/>
              <w:keepNext w:val="0"/>
              <w:keepLines w:val="0"/>
              <w:suppressLineNumbers w:val="0"/>
              <w:spacing w:before="0" w:beforeAutospacing="0" w:after="0" w:afterAutospacing="0" w:line="520" w:lineRule="exact"/>
              <w:ind w:left="0" w:right="0" w:firstLine="480" w:firstLineChars="200"/>
              <w:rPr>
                <w:rFonts w:hint="default"/>
              </w:rPr>
            </w:pPr>
            <w:r>
              <w:rPr>
                <w:rFonts w:hint="eastAsia"/>
              </w:rPr>
              <w:t>本项目</w:t>
            </w:r>
            <w:r>
              <w:rPr>
                <w:rFonts w:hint="eastAsia" w:ascii="Times New Roman" w:hAnsi="Times New Roman" w:eastAsia="宋体"/>
                <w:szCs w:val="21"/>
              </w:rPr>
              <w:t>冬季生产</w:t>
            </w:r>
            <w:r>
              <w:rPr>
                <w:rFonts w:hint="eastAsia" w:ascii="Times New Roman" w:hAnsi="Times New Roman" w:eastAsia="宋体"/>
                <w:szCs w:val="21"/>
                <w:lang w:eastAsia="zh-CN"/>
              </w:rPr>
              <w:t>、</w:t>
            </w:r>
            <w:r>
              <w:rPr>
                <w:rFonts w:hint="eastAsia" w:ascii="Times New Roman" w:hAnsi="Times New Roman" w:eastAsia="宋体"/>
                <w:szCs w:val="21"/>
              </w:rPr>
              <w:t>生活供热</w:t>
            </w:r>
            <w:r>
              <w:rPr>
                <w:rFonts w:hint="eastAsia" w:ascii="Times New Roman" w:hAnsi="Times New Roman" w:eastAsia="宋体"/>
                <w:szCs w:val="21"/>
                <w:lang w:val="en-US" w:eastAsia="zh-CN"/>
              </w:rPr>
              <w:t>采取电采暖</w:t>
            </w:r>
            <w:r>
              <w:rPr>
                <w:rFonts w:hint="eastAsia" w:ascii="Times New Roman" w:hAnsi="Times New Roman" w:eastAsia="宋体"/>
                <w:szCs w:val="21"/>
              </w:rPr>
              <w:t>。</w:t>
            </w:r>
          </w:p>
          <w:p w14:paraId="2847FB17">
            <w:pPr>
              <w:pStyle w:val="19"/>
              <w:keepNext w:val="0"/>
              <w:keepLines w:val="0"/>
              <w:suppressLineNumbers w:val="0"/>
              <w:spacing w:before="0" w:beforeAutospacing="0" w:after="0" w:afterAutospacing="0" w:line="520" w:lineRule="exact"/>
              <w:ind w:left="482" w:right="0" w:hanging="482"/>
              <w:rPr>
                <w:rFonts w:hint="default"/>
                <w:b/>
                <w:bCs/>
                <w:lang w:val="zh-CN"/>
              </w:rPr>
            </w:pPr>
            <w:r>
              <w:rPr>
                <w:rFonts w:hint="eastAsia"/>
                <w:b/>
                <w:bCs/>
              </w:rPr>
              <w:t>5</w:t>
            </w:r>
            <w:r>
              <w:rPr>
                <w:rFonts w:hint="default"/>
                <w:b/>
                <w:bCs/>
                <w:lang w:val="zh-CN"/>
              </w:rPr>
              <w:t>劳动定员及生产制度</w:t>
            </w:r>
          </w:p>
          <w:p w14:paraId="380ED9B1">
            <w:pPr>
              <w:pStyle w:val="19"/>
              <w:keepNext w:val="0"/>
              <w:keepLines w:val="0"/>
              <w:suppressLineNumbers w:val="0"/>
              <w:spacing w:before="0" w:beforeAutospacing="0" w:after="0" w:afterAutospacing="0" w:line="520" w:lineRule="exact"/>
              <w:ind w:left="0" w:right="0" w:firstLine="480" w:firstLineChars="200"/>
              <w:rPr>
                <w:rFonts w:hint="default"/>
              </w:rPr>
            </w:pPr>
            <w:r>
              <w:rPr>
                <w:rFonts w:hint="default"/>
              </w:rPr>
              <w:t>本项目劳动定员为</w:t>
            </w:r>
            <w:r>
              <w:rPr>
                <w:rFonts w:hint="eastAsia"/>
                <w:lang w:val="en-US" w:eastAsia="zh-CN"/>
              </w:rPr>
              <w:t>41</w:t>
            </w:r>
            <w:r>
              <w:rPr>
                <w:rFonts w:hint="default"/>
              </w:rPr>
              <w:t>人，矿山执行每年工作</w:t>
            </w:r>
            <w:r>
              <w:rPr>
                <w:rFonts w:hint="eastAsia"/>
                <w:lang w:val="en-US" w:eastAsia="zh-CN"/>
              </w:rPr>
              <w:t>300</w:t>
            </w:r>
            <w:r>
              <w:rPr>
                <w:rFonts w:hint="default"/>
              </w:rPr>
              <w:t>天，每天1班，工作8小时工作制度。</w:t>
            </w:r>
          </w:p>
        </w:tc>
      </w:tr>
      <w:tr w14:paraId="45320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5" w:type="pct"/>
            <w:vAlign w:val="center"/>
          </w:tcPr>
          <w:p w14:paraId="5B7D223A">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总平面及现场布置</w:t>
            </w:r>
          </w:p>
        </w:tc>
        <w:tc>
          <w:tcPr>
            <w:tcW w:w="4754" w:type="pct"/>
            <w:vAlign w:val="center"/>
          </w:tcPr>
          <w:p w14:paraId="0C36473D">
            <w:pPr>
              <w:keepNext w:val="0"/>
              <w:keepLines w:val="0"/>
              <w:suppressLineNumbers w:val="0"/>
              <w:spacing w:before="0" w:beforeAutospacing="0" w:after="0" w:afterAutospacing="0" w:line="480" w:lineRule="exact"/>
              <w:ind w:left="0" w:right="0"/>
              <w:jc w:val="left"/>
              <w:rPr>
                <w:rFonts w:hint="default"/>
                <w:b/>
                <w:kern w:val="0"/>
                <w:sz w:val="24"/>
              </w:rPr>
            </w:pPr>
            <w:r>
              <w:rPr>
                <w:rFonts w:hint="eastAsia"/>
                <w:b/>
                <w:kern w:val="0"/>
                <w:sz w:val="24"/>
              </w:rPr>
              <w:t>1工程总平面及施工场地布置</w:t>
            </w:r>
          </w:p>
          <w:p w14:paraId="2C10172A">
            <w:pPr>
              <w:pStyle w:val="22"/>
              <w:keepNext w:val="0"/>
              <w:keepLines w:val="0"/>
              <w:suppressLineNumbers w:val="0"/>
              <w:spacing w:before="0" w:beforeAutospacing="0" w:after="0" w:afterAutospacing="0" w:line="480" w:lineRule="exact"/>
              <w:ind w:left="0" w:leftChars="0" w:right="0" w:firstLine="482"/>
              <w:rPr>
                <w:rFonts w:hint="default"/>
                <w:b/>
                <w:kern w:val="0"/>
                <w:sz w:val="24"/>
              </w:rPr>
            </w:pPr>
            <w:r>
              <w:rPr>
                <w:rFonts w:hint="eastAsia"/>
                <w:b/>
                <w:kern w:val="0"/>
                <w:sz w:val="24"/>
              </w:rPr>
              <w:t>1.1</w:t>
            </w:r>
            <w:r>
              <w:rPr>
                <w:rFonts w:hint="default"/>
                <w:b/>
                <w:kern w:val="0"/>
                <w:sz w:val="24"/>
              </w:rPr>
              <w:t>工程总体布置</w:t>
            </w:r>
          </w:p>
          <w:p w14:paraId="5D2D520E">
            <w:pPr>
              <w:keepNext w:val="0"/>
              <w:keepLines w:val="0"/>
              <w:widowControl/>
              <w:suppressLineNumbers w:val="0"/>
              <w:spacing w:before="0" w:beforeAutospacing="0" w:after="0" w:afterAutospacing="0" w:line="480" w:lineRule="exact"/>
              <w:ind w:left="0" w:right="0" w:firstLine="480" w:firstLineChars="200"/>
              <w:rPr>
                <w:rFonts w:hint="default"/>
                <w:color w:val="000000"/>
                <w:kern w:val="0"/>
                <w:sz w:val="24"/>
                <w:lang w:bidi="ar"/>
              </w:rPr>
            </w:pPr>
            <w:r>
              <w:rPr>
                <w:rFonts w:hint="default"/>
                <w:color w:val="000000"/>
                <w:kern w:val="0"/>
                <w:sz w:val="24"/>
                <w:lang w:bidi="ar"/>
              </w:rPr>
              <w:t>本项目矿区布局包括采矿场、矿部生活区、</w:t>
            </w:r>
            <w:r>
              <w:rPr>
                <w:rFonts w:hint="eastAsia"/>
                <w:color w:val="000000"/>
                <w:kern w:val="0"/>
                <w:sz w:val="24"/>
                <w:lang w:val="en-US" w:eastAsia="zh-CN" w:bidi="ar"/>
              </w:rPr>
              <w:t>排土场</w:t>
            </w:r>
            <w:r>
              <w:rPr>
                <w:rFonts w:hint="default"/>
                <w:color w:val="000000"/>
                <w:kern w:val="0"/>
                <w:sz w:val="24"/>
                <w:lang w:bidi="ar"/>
              </w:rPr>
              <w:t>、</w:t>
            </w:r>
            <w:r>
              <w:rPr>
                <w:rFonts w:hint="eastAsia"/>
                <w:color w:val="000000"/>
                <w:kern w:val="0"/>
                <w:sz w:val="24"/>
                <w:lang w:val="en-US" w:eastAsia="zh-CN" w:bidi="ar"/>
              </w:rPr>
              <w:t>临时</w:t>
            </w:r>
            <w:r>
              <w:rPr>
                <w:rFonts w:hint="default"/>
                <w:color w:val="000000"/>
                <w:kern w:val="0"/>
                <w:sz w:val="24"/>
                <w:lang w:bidi="ar"/>
              </w:rPr>
              <w:t>堆</w:t>
            </w:r>
            <w:r>
              <w:rPr>
                <w:rFonts w:hint="eastAsia"/>
                <w:color w:val="000000"/>
                <w:kern w:val="0"/>
                <w:sz w:val="24"/>
                <w:lang w:val="en-US" w:eastAsia="zh-CN" w:bidi="ar"/>
              </w:rPr>
              <w:t>料</w:t>
            </w:r>
            <w:r>
              <w:rPr>
                <w:rFonts w:hint="default"/>
                <w:color w:val="000000"/>
                <w:kern w:val="0"/>
                <w:sz w:val="24"/>
                <w:lang w:bidi="ar"/>
              </w:rPr>
              <w:t>场、</w:t>
            </w:r>
            <w:r>
              <w:rPr>
                <w:rFonts w:hint="eastAsia"/>
                <w:color w:val="000000"/>
                <w:kern w:val="0"/>
                <w:sz w:val="24"/>
                <w:lang w:val="en-US" w:eastAsia="zh-CN" w:bidi="ar"/>
              </w:rPr>
              <w:t>破碎筛分场地、</w:t>
            </w:r>
            <w:r>
              <w:rPr>
                <w:rFonts w:hint="default"/>
                <w:color w:val="000000"/>
                <w:kern w:val="0"/>
                <w:sz w:val="24"/>
                <w:lang w:bidi="ar"/>
              </w:rPr>
              <w:t>矿区道路等。</w:t>
            </w:r>
            <w:r>
              <w:rPr>
                <w:rFonts w:hint="eastAsia"/>
                <w:color w:val="000000"/>
                <w:kern w:val="0"/>
                <w:sz w:val="24"/>
                <w:lang w:bidi="ar"/>
              </w:rPr>
              <w:t>布置图详见附图</w:t>
            </w:r>
            <w:r>
              <w:rPr>
                <w:rFonts w:hint="eastAsia"/>
                <w:color w:val="000000"/>
                <w:kern w:val="0"/>
                <w:sz w:val="24"/>
                <w:lang w:val="en-US" w:eastAsia="zh-CN" w:bidi="ar"/>
              </w:rPr>
              <w:t>4</w:t>
            </w:r>
            <w:r>
              <w:rPr>
                <w:rFonts w:hint="eastAsia"/>
                <w:color w:val="000000"/>
                <w:kern w:val="0"/>
                <w:sz w:val="24"/>
                <w:lang w:bidi="ar"/>
              </w:rPr>
              <w:t>。</w:t>
            </w:r>
          </w:p>
          <w:p w14:paraId="2DDB39D3">
            <w:pPr>
              <w:keepNext w:val="0"/>
              <w:keepLines w:val="0"/>
              <w:suppressLineNumbers w:val="0"/>
              <w:adjustRightInd w:val="0"/>
              <w:spacing w:before="0" w:beforeAutospacing="0" w:after="0" w:afterAutospacing="0" w:line="480" w:lineRule="exact"/>
              <w:ind w:left="0" w:right="0" w:firstLine="482" w:firstLineChars="200"/>
              <w:outlineLvl w:val="2"/>
              <w:rPr>
                <w:rFonts w:hint="default"/>
                <w:b/>
                <w:bCs/>
                <w:kern w:val="0"/>
                <w:sz w:val="24"/>
              </w:rPr>
            </w:pPr>
            <w:r>
              <w:rPr>
                <w:rFonts w:hint="eastAsia"/>
                <w:b/>
                <w:bCs/>
                <w:kern w:val="0"/>
                <w:sz w:val="24"/>
              </w:rPr>
              <w:t>（1）</w:t>
            </w:r>
            <w:r>
              <w:rPr>
                <w:rFonts w:hint="default"/>
                <w:b/>
                <w:bCs/>
                <w:kern w:val="0"/>
                <w:sz w:val="24"/>
              </w:rPr>
              <w:t>露天采矿场</w:t>
            </w:r>
          </w:p>
          <w:p w14:paraId="0DF14A54">
            <w:pPr>
              <w:keepNext w:val="0"/>
              <w:keepLines w:val="0"/>
              <w:suppressLineNumbers w:val="0"/>
              <w:spacing w:before="0" w:beforeAutospacing="0" w:after="0" w:afterAutospacing="0" w:line="480" w:lineRule="exact"/>
              <w:ind w:left="0" w:right="0" w:firstLine="480" w:firstLineChars="200"/>
              <w:rPr>
                <w:rFonts w:hint="default"/>
                <w:sz w:val="24"/>
              </w:rPr>
            </w:pPr>
            <w:r>
              <w:rPr>
                <w:rFonts w:hint="default"/>
                <w:sz w:val="24"/>
              </w:rPr>
              <w:t>总占地面积为</w:t>
            </w:r>
            <w:r>
              <w:rPr>
                <w:rFonts w:hint="eastAsia"/>
                <w:sz w:val="24"/>
                <w:lang w:val="en-US" w:eastAsia="zh-CN"/>
              </w:rPr>
              <w:t>29.56hm</w:t>
            </w:r>
            <w:r>
              <w:rPr>
                <w:rFonts w:hint="eastAsia"/>
                <w:sz w:val="24"/>
                <w:vertAlign w:val="superscript"/>
                <w:lang w:val="en-US" w:eastAsia="zh-CN"/>
              </w:rPr>
              <w:t>2</w:t>
            </w:r>
            <w:r>
              <w:rPr>
                <w:rFonts w:hint="default"/>
                <w:sz w:val="24"/>
              </w:rPr>
              <w:t>，开采标高+1</w:t>
            </w:r>
            <w:r>
              <w:rPr>
                <w:rFonts w:hint="eastAsia"/>
                <w:sz w:val="24"/>
                <w:lang w:val="en-US" w:eastAsia="zh-CN"/>
              </w:rPr>
              <w:t>920</w:t>
            </w:r>
            <w:r>
              <w:rPr>
                <w:rFonts w:hint="default"/>
                <w:sz w:val="24"/>
              </w:rPr>
              <w:t>～+</w:t>
            </w:r>
            <w:r>
              <w:rPr>
                <w:rFonts w:hint="eastAsia"/>
                <w:sz w:val="24"/>
                <w:lang w:val="en-US" w:eastAsia="zh-CN"/>
              </w:rPr>
              <w:t>2062</w:t>
            </w:r>
            <w:r>
              <w:rPr>
                <w:rFonts w:hint="default"/>
                <w:sz w:val="24"/>
              </w:rPr>
              <w:t>米。边坡高度</w:t>
            </w:r>
            <w:r>
              <w:rPr>
                <w:rFonts w:hint="eastAsia"/>
                <w:sz w:val="24"/>
                <w:lang w:val="en-US" w:eastAsia="zh-CN"/>
              </w:rPr>
              <w:t>大于25</w:t>
            </w:r>
            <w:r>
              <w:rPr>
                <w:rFonts w:hint="default"/>
                <w:sz w:val="24"/>
              </w:rPr>
              <w:t>米，最终边坡角</w:t>
            </w:r>
            <w:r>
              <w:rPr>
                <w:rFonts w:hint="eastAsia"/>
                <w:sz w:val="24"/>
                <w:lang w:val="en-US" w:eastAsia="zh-CN"/>
              </w:rPr>
              <w:t>6</w:t>
            </w:r>
            <w:r>
              <w:rPr>
                <w:rFonts w:hint="default"/>
                <w:sz w:val="24"/>
              </w:rPr>
              <w:t>0°。根据土地利用类型及权属证明和现场调查，拟建采矿场占用土地类型为其他土地-裸岩石砾地（1207），对土地的损毁类型主要为挖损损毁。</w:t>
            </w:r>
          </w:p>
          <w:p w14:paraId="2D6CCBB3">
            <w:pPr>
              <w:keepNext w:val="0"/>
              <w:keepLines w:val="0"/>
              <w:suppressLineNumbers w:val="0"/>
              <w:snapToGrid w:val="0"/>
              <w:spacing w:before="0" w:beforeAutospacing="0" w:after="0" w:afterAutospacing="0" w:line="480" w:lineRule="exact"/>
              <w:ind w:left="0" w:right="0" w:firstLine="480" w:firstLineChars="200"/>
              <w:rPr>
                <w:rFonts w:hint="eastAsia" w:eastAsia="宋体"/>
                <w:sz w:val="24"/>
                <w:lang w:eastAsia="zh-CN"/>
              </w:rPr>
            </w:pPr>
            <w:r>
              <w:rPr>
                <w:rFonts w:hint="default"/>
                <w:sz w:val="24"/>
              </w:rPr>
              <w:t>本矿山为露天</w:t>
            </w:r>
            <w:r>
              <w:rPr>
                <w:rFonts w:hint="eastAsia"/>
                <w:sz w:val="24"/>
                <w:lang w:val="en-US" w:eastAsia="zh-CN"/>
              </w:rPr>
              <w:t>山坡式</w:t>
            </w:r>
            <w:r>
              <w:rPr>
                <w:rFonts w:hint="default"/>
                <w:sz w:val="24"/>
              </w:rPr>
              <w:t>开采方式，闭坑后需对</w:t>
            </w:r>
            <w:r>
              <w:rPr>
                <w:rFonts w:hint="eastAsia"/>
                <w:sz w:val="24"/>
                <w:lang w:val="en-US" w:eastAsia="zh-CN"/>
              </w:rPr>
              <w:t>矿体</w:t>
            </w:r>
            <w:r>
              <w:rPr>
                <w:rFonts w:hint="default"/>
                <w:sz w:val="24"/>
              </w:rPr>
              <w:t>采坑</w:t>
            </w:r>
            <w:r>
              <w:rPr>
                <w:rFonts w:hint="eastAsia"/>
                <w:sz w:val="24"/>
                <w:lang w:val="en-US" w:eastAsia="zh-CN"/>
              </w:rPr>
              <w:t>部分</w:t>
            </w:r>
            <w:r>
              <w:rPr>
                <w:rFonts w:hint="default"/>
                <w:sz w:val="24"/>
              </w:rPr>
              <w:t>进行回填。露天采矿场</w:t>
            </w:r>
            <w:r>
              <w:rPr>
                <w:rFonts w:hint="eastAsia"/>
                <w:sz w:val="24"/>
              </w:rPr>
              <w:t>采场底部最小宽度77m，采场表面长327</w:t>
            </w:r>
            <w:r>
              <w:rPr>
                <w:rFonts w:hint="eastAsia"/>
                <w:sz w:val="24"/>
                <w:lang w:eastAsia="zh-CN"/>
              </w:rPr>
              <w:t>—</w:t>
            </w:r>
            <w:r>
              <w:rPr>
                <w:rFonts w:hint="eastAsia"/>
                <w:sz w:val="24"/>
              </w:rPr>
              <w:t>921m，宽84</w:t>
            </w:r>
            <w:r>
              <w:rPr>
                <w:rFonts w:hint="eastAsia"/>
                <w:sz w:val="24"/>
                <w:lang w:eastAsia="zh-CN"/>
              </w:rPr>
              <w:t>—</w:t>
            </w:r>
            <w:r>
              <w:rPr>
                <w:rFonts w:hint="eastAsia"/>
                <w:sz w:val="24"/>
              </w:rPr>
              <w:t>167m</w:t>
            </w:r>
            <w:r>
              <w:rPr>
                <w:rFonts w:hint="eastAsia"/>
                <w:sz w:val="24"/>
                <w:lang w:eastAsia="zh-CN"/>
              </w:rPr>
              <w:t>，</w:t>
            </w:r>
            <w:r>
              <w:rPr>
                <w:rFonts w:hint="default"/>
                <w:sz w:val="24"/>
              </w:rPr>
              <w:t>面积</w:t>
            </w:r>
            <w:r>
              <w:rPr>
                <w:rFonts w:hint="eastAsia"/>
                <w:sz w:val="24"/>
                <w:lang w:val="en-US" w:eastAsia="zh-CN"/>
              </w:rPr>
              <w:t>29.56hm</w:t>
            </w:r>
            <w:r>
              <w:rPr>
                <w:rFonts w:hint="eastAsia"/>
                <w:sz w:val="24"/>
                <w:vertAlign w:val="superscript"/>
                <w:lang w:val="en-US" w:eastAsia="zh-CN"/>
              </w:rPr>
              <w:t>2</w:t>
            </w:r>
            <w:r>
              <w:rPr>
                <w:rFonts w:hint="eastAsia" w:cs="Times New Roman"/>
                <w:color w:val="000000"/>
                <w:kern w:val="0"/>
                <w:sz w:val="24"/>
                <w:lang w:val="en-US" w:eastAsia="zh-CN" w:bidi="ar"/>
              </w:rPr>
              <w:t>。</w:t>
            </w:r>
          </w:p>
          <w:p w14:paraId="4F14FF8D">
            <w:pPr>
              <w:keepNext w:val="0"/>
              <w:keepLines w:val="0"/>
              <w:suppressLineNumbers w:val="0"/>
              <w:adjustRightInd w:val="0"/>
              <w:spacing w:before="0" w:beforeAutospacing="0" w:after="0" w:afterAutospacing="0" w:line="480" w:lineRule="exact"/>
              <w:ind w:left="0" w:right="0" w:firstLine="482" w:firstLineChars="200"/>
              <w:outlineLvl w:val="2"/>
              <w:rPr>
                <w:rFonts w:hint="eastAsia" w:eastAsia="宋体"/>
                <w:b/>
                <w:bCs/>
                <w:kern w:val="0"/>
                <w:sz w:val="24"/>
                <w:lang w:eastAsia="zh-CN"/>
              </w:rPr>
            </w:pPr>
            <w:r>
              <w:rPr>
                <w:rFonts w:hint="eastAsia"/>
                <w:b/>
                <w:bCs/>
                <w:kern w:val="0"/>
                <w:sz w:val="24"/>
              </w:rPr>
              <w:t>（2）</w:t>
            </w:r>
            <w:r>
              <w:rPr>
                <w:rFonts w:hint="eastAsia"/>
                <w:b/>
                <w:bCs/>
                <w:kern w:val="0"/>
                <w:sz w:val="24"/>
                <w:lang w:val="en-US" w:eastAsia="zh-CN"/>
              </w:rPr>
              <w:t>生活区</w:t>
            </w:r>
          </w:p>
          <w:p w14:paraId="4D46343F">
            <w:pPr>
              <w:keepNext w:val="0"/>
              <w:keepLines w:val="0"/>
              <w:widowControl/>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000000"/>
                <w:kern w:val="0"/>
                <w:sz w:val="24"/>
                <w:lang w:bidi="ar"/>
              </w:rPr>
            </w:pPr>
            <w:r>
              <w:rPr>
                <w:rFonts w:hint="eastAsia" w:ascii="Times New Roman" w:hAnsi="Times New Roman" w:eastAsia="宋体" w:cs="Times New Roman"/>
                <w:color w:val="000000"/>
                <w:kern w:val="0"/>
                <w:sz w:val="24"/>
                <w:lang w:bidi="ar"/>
              </w:rPr>
              <w:t>矿部生活区布置在矿山南侧距采场368m处，用地为灰色厚层状亮晶生物屑藻团块灰岩，地形坡度14-16°。矿部生活区</w:t>
            </w:r>
            <w:r>
              <w:rPr>
                <w:rFonts w:hint="eastAsia" w:ascii="Times New Roman" w:hAnsi="Times New Roman" w:eastAsia="宋体" w:cs="Times New Roman"/>
                <w:color w:val="000000"/>
                <w:kern w:val="0"/>
                <w:sz w:val="24"/>
                <w:lang w:val="en-US" w:eastAsia="zh-CN" w:bidi="ar"/>
              </w:rPr>
              <w:t>建筑单层为彩钢结构，高约3m，</w:t>
            </w:r>
            <w:r>
              <w:rPr>
                <w:rFonts w:hint="eastAsia" w:ascii="Times New Roman" w:hAnsi="Times New Roman" w:eastAsia="宋体" w:cs="Times New Roman"/>
                <w:color w:val="000000"/>
                <w:kern w:val="0"/>
                <w:sz w:val="24"/>
                <w:lang w:bidi="ar"/>
              </w:rPr>
              <w:t>内建设有办公室、宿舍、食堂、库房等，建筑物面积1</w:t>
            </w:r>
            <w:r>
              <w:rPr>
                <w:rFonts w:hint="eastAsia" w:ascii="Times New Roman" w:hAnsi="Times New Roman" w:eastAsia="宋体" w:cs="Times New Roman"/>
                <w:color w:val="000000"/>
                <w:kern w:val="0"/>
                <w:sz w:val="24"/>
                <w:lang w:val="en-US" w:eastAsia="zh-CN" w:bidi="ar"/>
              </w:rPr>
              <w:t>24</w:t>
            </w:r>
            <w:r>
              <w:rPr>
                <w:rFonts w:hint="eastAsia" w:ascii="Times New Roman" w:hAnsi="Times New Roman" w:eastAsia="宋体" w:cs="Times New Roman"/>
                <w:color w:val="000000"/>
                <w:kern w:val="0"/>
                <w:sz w:val="24"/>
                <w:lang w:bidi="ar"/>
              </w:rPr>
              <w:t>5平方米，占地面</w:t>
            </w:r>
            <w:r>
              <w:rPr>
                <w:rFonts w:hint="eastAsia" w:ascii="Times New Roman" w:hAnsi="Times New Roman" w:eastAsia="宋体" w:cs="Times New Roman"/>
                <w:color w:val="000000"/>
                <w:kern w:val="0"/>
                <w:sz w:val="24"/>
                <w:lang w:val="en-US" w:eastAsia="zh-CN" w:bidi="ar"/>
              </w:rPr>
              <w:t>0.</w:t>
            </w:r>
            <w:r>
              <w:rPr>
                <w:rFonts w:hint="eastAsia" w:cs="Times New Roman"/>
                <w:color w:val="000000"/>
                <w:kern w:val="0"/>
                <w:sz w:val="24"/>
                <w:lang w:val="en-US" w:eastAsia="zh-CN" w:bidi="ar"/>
              </w:rPr>
              <w:t>0942</w:t>
            </w:r>
            <w:r>
              <w:rPr>
                <w:rFonts w:hint="default" w:ascii="Times New Roman" w:hAnsi="Times New Roman" w:eastAsia="宋体" w:cs="Times New Roman"/>
                <w:color w:val="000000"/>
                <w:kern w:val="0"/>
                <w:sz w:val="24"/>
                <w:lang w:val="en-US" w:eastAsia="zh-CN" w:bidi="ar"/>
              </w:rPr>
              <w:t>hm</w:t>
            </w:r>
            <w:r>
              <w:rPr>
                <w:rFonts w:hint="default" w:ascii="Times New Roman" w:hAnsi="Times New Roman" w:eastAsia="宋体" w:cs="Times New Roman"/>
                <w:color w:val="000000"/>
                <w:kern w:val="0"/>
                <w:sz w:val="24"/>
                <w:vertAlign w:val="superscript"/>
                <w:lang w:val="en-US" w:eastAsia="zh-CN" w:bidi="ar"/>
              </w:rPr>
              <w:t>2</w:t>
            </w:r>
            <w:r>
              <w:rPr>
                <w:rFonts w:hint="eastAsia" w:ascii="Times New Roman" w:hAnsi="Times New Roman" w:eastAsia="宋体" w:cs="Times New Roman"/>
                <w:color w:val="000000"/>
                <w:kern w:val="0"/>
                <w:sz w:val="24"/>
                <w:lang w:bidi="ar"/>
              </w:rPr>
              <w:t>。</w:t>
            </w:r>
          </w:p>
          <w:p w14:paraId="36EA20B0">
            <w:pPr>
              <w:keepNext w:val="0"/>
              <w:keepLines w:val="0"/>
              <w:suppressLineNumbers w:val="0"/>
              <w:adjustRightInd w:val="0"/>
              <w:spacing w:before="0" w:beforeAutospacing="0" w:after="0" w:afterAutospacing="0" w:line="480" w:lineRule="exact"/>
              <w:ind w:left="0" w:right="0" w:firstLine="482" w:firstLineChars="200"/>
              <w:outlineLvl w:val="2"/>
              <w:rPr>
                <w:rFonts w:hint="default"/>
                <w:b/>
                <w:bCs/>
                <w:kern w:val="0"/>
                <w:sz w:val="24"/>
              </w:rPr>
            </w:pPr>
            <w:r>
              <w:rPr>
                <w:rFonts w:hint="eastAsia"/>
                <w:b/>
                <w:bCs/>
                <w:kern w:val="0"/>
                <w:sz w:val="24"/>
              </w:rPr>
              <w:t>（3）</w:t>
            </w:r>
            <w:r>
              <w:rPr>
                <w:rFonts w:hint="eastAsia"/>
                <w:b/>
                <w:bCs/>
                <w:kern w:val="0"/>
                <w:sz w:val="24"/>
                <w:lang w:val="en-US" w:eastAsia="zh-CN"/>
              </w:rPr>
              <w:t>排土</w:t>
            </w:r>
            <w:r>
              <w:rPr>
                <w:rFonts w:hint="default"/>
                <w:b/>
                <w:bCs/>
                <w:kern w:val="0"/>
                <w:sz w:val="24"/>
              </w:rPr>
              <w:t>场</w:t>
            </w:r>
          </w:p>
          <w:p w14:paraId="65FA3E61">
            <w:pPr>
              <w:keepNext w:val="0"/>
              <w:keepLines w:val="0"/>
              <w:widowControl/>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000000"/>
                <w:kern w:val="0"/>
                <w:sz w:val="24"/>
                <w:lang w:eastAsia="zh-CN" w:bidi="ar"/>
              </w:rPr>
            </w:pPr>
            <w:r>
              <w:rPr>
                <w:rFonts w:hint="eastAsia" w:ascii="Times New Roman" w:hAnsi="Times New Roman" w:eastAsia="宋体" w:cs="Times New Roman"/>
                <w:color w:val="000000"/>
                <w:kern w:val="0"/>
                <w:sz w:val="24"/>
                <w:lang w:bidi="ar"/>
              </w:rPr>
              <w:t>位于矿山西南侧30m处，占地面积为</w:t>
            </w:r>
            <w:r>
              <w:rPr>
                <w:rFonts w:hint="eastAsia" w:cs="Times New Roman"/>
                <w:color w:val="000000"/>
                <w:kern w:val="0"/>
                <w:sz w:val="24"/>
                <w:lang w:val="en-US" w:eastAsia="zh-CN" w:bidi="ar"/>
              </w:rPr>
              <w:t>0.3419</w:t>
            </w:r>
            <w:r>
              <w:rPr>
                <w:rFonts w:hint="eastAsia" w:ascii="Times New Roman" w:hAnsi="Times New Roman" w:eastAsia="宋体" w:cs="Times New Roman"/>
                <w:color w:val="000000"/>
                <w:kern w:val="0"/>
                <w:sz w:val="24"/>
                <w:lang w:val="en-US" w:eastAsia="zh-CN" w:bidi="ar"/>
              </w:rPr>
              <w:t>hm</w:t>
            </w:r>
            <w:r>
              <w:rPr>
                <w:rFonts w:hint="eastAsia" w:ascii="Times New Roman" w:hAnsi="Times New Roman" w:eastAsia="宋体" w:cs="Times New Roman"/>
                <w:color w:val="000000"/>
                <w:kern w:val="0"/>
                <w:sz w:val="24"/>
                <w:vertAlign w:val="superscript"/>
                <w:lang w:val="en-US" w:eastAsia="zh-CN" w:bidi="ar"/>
              </w:rPr>
              <w:t>2</w:t>
            </w:r>
            <w:r>
              <w:rPr>
                <w:rFonts w:hint="eastAsia" w:ascii="Times New Roman" w:hAnsi="Times New Roman" w:eastAsia="宋体" w:cs="Times New Roman"/>
                <w:color w:val="000000"/>
                <w:kern w:val="0"/>
                <w:sz w:val="24"/>
                <w:lang w:bidi="ar"/>
              </w:rPr>
              <w:t>，</w:t>
            </w:r>
            <w:r>
              <w:rPr>
                <w:rFonts w:hint="eastAsia" w:ascii="Times New Roman" w:hAnsi="Times New Roman" w:eastAsia="宋体" w:cs="Times New Roman"/>
                <w:color w:val="000000"/>
                <w:kern w:val="0"/>
                <w:sz w:val="24"/>
                <w:lang w:val="en-US" w:eastAsia="zh-CN" w:bidi="ar"/>
              </w:rPr>
              <w:t>最大</w:t>
            </w:r>
            <w:r>
              <w:rPr>
                <w:rFonts w:hint="eastAsia" w:ascii="Times New Roman" w:hAnsi="Times New Roman" w:eastAsia="宋体" w:cs="Times New Roman"/>
                <w:color w:val="000000"/>
                <w:kern w:val="0"/>
                <w:sz w:val="24"/>
                <w:lang w:bidi="ar"/>
              </w:rPr>
              <w:t>堆置高度25米</w:t>
            </w:r>
            <w:r>
              <w:rPr>
                <w:rFonts w:hint="eastAsia" w:ascii="Times New Roman" w:hAnsi="Times New Roman" w:eastAsia="宋体" w:cs="Times New Roman"/>
                <w:color w:val="000000"/>
                <w:kern w:val="0"/>
                <w:sz w:val="24"/>
                <w:lang w:eastAsia="zh-CN" w:bidi="ar"/>
              </w:rPr>
              <w:t>，</w:t>
            </w:r>
            <w:r>
              <w:rPr>
                <w:rFonts w:hint="eastAsia" w:ascii="Times New Roman" w:hAnsi="Times New Roman" w:eastAsia="宋体" w:cs="Times New Roman"/>
                <w:color w:val="000000"/>
                <w:kern w:val="0"/>
                <w:sz w:val="24"/>
                <w:lang w:bidi="ar"/>
              </w:rPr>
              <w:t>堆放坡度35°</w:t>
            </w:r>
            <w:r>
              <w:rPr>
                <w:rFonts w:hint="eastAsia"/>
                <w:lang w:eastAsia="zh-CN"/>
              </w:rPr>
              <w:t>。</w:t>
            </w:r>
          </w:p>
          <w:p w14:paraId="53E247CD">
            <w:pPr>
              <w:keepNext w:val="0"/>
              <w:keepLines w:val="0"/>
              <w:suppressLineNumbers w:val="0"/>
              <w:adjustRightInd w:val="0"/>
              <w:spacing w:before="0" w:beforeAutospacing="0" w:after="0" w:afterAutospacing="0" w:line="480" w:lineRule="exact"/>
              <w:ind w:left="0" w:right="0" w:firstLine="482" w:firstLineChars="200"/>
              <w:outlineLvl w:val="2"/>
              <w:rPr>
                <w:rFonts w:hint="eastAsia" w:eastAsia="宋体"/>
                <w:b/>
                <w:bCs/>
                <w:kern w:val="0"/>
                <w:sz w:val="24"/>
                <w:lang w:eastAsia="zh-CN"/>
              </w:rPr>
            </w:pPr>
            <w:r>
              <w:rPr>
                <w:rFonts w:hint="eastAsia"/>
                <w:b/>
                <w:bCs/>
                <w:kern w:val="0"/>
                <w:sz w:val="24"/>
              </w:rPr>
              <w:t>（4）</w:t>
            </w:r>
            <w:r>
              <w:rPr>
                <w:rFonts w:hint="eastAsia"/>
                <w:b/>
                <w:bCs/>
                <w:kern w:val="0"/>
                <w:sz w:val="24"/>
                <w:lang w:val="en-US" w:eastAsia="zh-CN"/>
              </w:rPr>
              <w:t>破碎筛分场地</w:t>
            </w:r>
          </w:p>
          <w:p w14:paraId="76E21FB3">
            <w:pPr>
              <w:keepNext w:val="0"/>
              <w:keepLines w:val="0"/>
              <w:widowControl/>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000000"/>
                <w:kern w:val="0"/>
                <w:sz w:val="24"/>
                <w:lang w:bidi="ar"/>
              </w:rPr>
            </w:pPr>
            <w:r>
              <w:rPr>
                <w:rFonts w:hint="eastAsia" w:ascii="Times New Roman" w:hAnsi="Times New Roman" w:eastAsia="宋体" w:cs="Times New Roman"/>
                <w:color w:val="000000"/>
                <w:kern w:val="0"/>
                <w:sz w:val="24"/>
                <w:lang w:val="en-US" w:eastAsia="zh-CN" w:bidi="ar"/>
              </w:rPr>
              <w:t>位于生活区东北侧80m处，占地面积</w:t>
            </w:r>
            <w:r>
              <w:rPr>
                <w:rFonts w:hint="eastAsia" w:cs="Times New Roman"/>
                <w:color w:val="000000"/>
                <w:kern w:val="0"/>
                <w:sz w:val="24"/>
                <w:lang w:val="en-US" w:eastAsia="zh-CN" w:bidi="ar"/>
              </w:rPr>
              <w:t>0.3</w:t>
            </w:r>
            <w:r>
              <w:rPr>
                <w:rFonts w:hint="default" w:ascii="Times New Roman" w:hAnsi="Times New Roman" w:eastAsia="宋体" w:cs="Times New Roman"/>
                <w:color w:val="000000"/>
                <w:kern w:val="0"/>
                <w:sz w:val="24"/>
                <w:lang w:val="en-US" w:eastAsia="zh-CN" w:bidi="ar"/>
              </w:rPr>
              <w:t>hm</w:t>
            </w:r>
            <w:r>
              <w:rPr>
                <w:rFonts w:hint="default" w:ascii="Times New Roman" w:hAnsi="Times New Roman" w:eastAsia="宋体" w:cs="Times New Roman"/>
                <w:color w:val="000000"/>
                <w:kern w:val="0"/>
                <w:sz w:val="24"/>
                <w:vertAlign w:val="superscript"/>
                <w:lang w:val="en-US" w:eastAsia="zh-CN" w:bidi="ar"/>
              </w:rPr>
              <w:t>2</w:t>
            </w:r>
            <w:r>
              <w:rPr>
                <w:rFonts w:hint="eastAsia" w:ascii="Times New Roman" w:hAnsi="Times New Roman" w:eastAsia="宋体" w:cs="Times New Roman"/>
                <w:color w:val="000000"/>
                <w:kern w:val="0"/>
                <w:sz w:val="24"/>
                <w:lang w:val="en-US" w:eastAsia="zh-CN" w:bidi="ar"/>
              </w:rPr>
              <w:t>，矿区风向一般为西北风，生活区位于破碎筛分场地下风向。场地岩性为第四系风积洪积，地形坡度7～9°，土地类型为裸岩石砾地。</w:t>
            </w:r>
          </w:p>
          <w:p w14:paraId="01CC10C2">
            <w:pPr>
              <w:keepNext w:val="0"/>
              <w:keepLines w:val="0"/>
              <w:suppressLineNumbers w:val="0"/>
              <w:adjustRightInd w:val="0"/>
              <w:spacing w:before="0" w:beforeAutospacing="0" w:after="0" w:afterAutospacing="0" w:line="480" w:lineRule="exact"/>
              <w:ind w:left="0" w:right="0" w:firstLine="482" w:firstLineChars="200"/>
              <w:outlineLvl w:val="2"/>
              <w:rPr>
                <w:rFonts w:hint="eastAsia" w:eastAsia="宋体"/>
                <w:b/>
                <w:bCs/>
                <w:kern w:val="0"/>
                <w:sz w:val="24"/>
                <w:lang w:eastAsia="zh-CN"/>
              </w:rPr>
            </w:pPr>
            <w:r>
              <w:rPr>
                <w:rFonts w:hint="eastAsia"/>
                <w:b/>
                <w:bCs/>
                <w:kern w:val="0"/>
                <w:sz w:val="24"/>
              </w:rPr>
              <w:t>（5）</w:t>
            </w:r>
            <w:r>
              <w:rPr>
                <w:rFonts w:hint="eastAsia"/>
                <w:b/>
                <w:bCs/>
                <w:kern w:val="0"/>
                <w:sz w:val="24"/>
                <w:lang w:val="en-US" w:eastAsia="zh-CN"/>
              </w:rPr>
              <w:t>临时堆料场</w:t>
            </w:r>
          </w:p>
          <w:p w14:paraId="5B0D85D4">
            <w:pPr>
              <w:keepNext w:val="0"/>
              <w:keepLines w:val="0"/>
              <w:suppressLineNumbers w:val="0"/>
              <w:adjustRightInd w:val="0"/>
              <w:spacing w:before="0" w:beforeAutospacing="0" w:after="0" w:afterAutospacing="0" w:line="480" w:lineRule="exact"/>
              <w:ind w:left="0" w:right="0" w:firstLine="480" w:firstLineChars="200"/>
              <w:outlineLvl w:val="2"/>
              <w:rPr>
                <w:rFonts w:hint="default"/>
                <w:kern w:val="0"/>
                <w:sz w:val="24"/>
              </w:rPr>
            </w:pPr>
            <w:r>
              <w:rPr>
                <w:rFonts w:hint="default"/>
                <w:kern w:val="0"/>
                <w:sz w:val="24"/>
              </w:rPr>
              <w:t>矿区设置一个</w:t>
            </w:r>
            <w:r>
              <w:rPr>
                <w:rFonts w:hint="eastAsia"/>
                <w:kern w:val="0"/>
                <w:sz w:val="24"/>
                <w:lang w:val="en-US" w:eastAsia="zh-CN"/>
              </w:rPr>
              <w:t>临时</w:t>
            </w:r>
            <w:r>
              <w:rPr>
                <w:rFonts w:hint="default"/>
                <w:kern w:val="0"/>
                <w:sz w:val="24"/>
              </w:rPr>
              <w:t>堆料场</w:t>
            </w:r>
            <w:r>
              <w:rPr>
                <w:rFonts w:hint="eastAsia"/>
                <w:kern w:val="0"/>
                <w:sz w:val="24"/>
                <w:lang w:eastAsia="zh-CN"/>
              </w:rPr>
              <w:t>，</w:t>
            </w:r>
            <w:r>
              <w:rPr>
                <w:rFonts w:hint="eastAsia"/>
                <w:kern w:val="0"/>
                <w:sz w:val="24"/>
                <w:lang w:val="en-US" w:eastAsia="zh-CN"/>
              </w:rPr>
              <w:t>用于</w:t>
            </w:r>
            <w:r>
              <w:rPr>
                <w:rFonts w:hint="default"/>
                <w:kern w:val="0"/>
                <w:sz w:val="24"/>
              </w:rPr>
              <w:t>临时</w:t>
            </w:r>
            <w:r>
              <w:rPr>
                <w:rFonts w:hint="eastAsia"/>
                <w:kern w:val="0"/>
                <w:sz w:val="24"/>
                <w:lang w:val="en-US" w:eastAsia="zh-CN"/>
              </w:rPr>
              <w:t>堆存待售产品</w:t>
            </w:r>
            <w:r>
              <w:rPr>
                <w:rFonts w:hint="default"/>
                <w:kern w:val="0"/>
                <w:sz w:val="24"/>
              </w:rPr>
              <w:t>，占地面积0.70hm</w:t>
            </w:r>
            <w:r>
              <w:rPr>
                <w:rFonts w:hint="default"/>
                <w:kern w:val="0"/>
                <w:sz w:val="24"/>
                <w:vertAlign w:val="superscript"/>
              </w:rPr>
              <w:t>2</w:t>
            </w:r>
            <w:r>
              <w:rPr>
                <w:rFonts w:hint="default"/>
                <w:kern w:val="0"/>
                <w:sz w:val="24"/>
              </w:rPr>
              <w:t>，原始地形坡度1-5°，占用土地类型为</w:t>
            </w:r>
            <w:r>
              <w:rPr>
                <w:rFonts w:hint="default"/>
                <w:kern w:val="0"/>
                <w:sz w:val="24"/>
                <w:lang w:val="en-US" w:eastAsia="zh-CN"/>
              </w:rPr>
              <w:t>裸岩石砾地</w:t>
            </w:r>
            <w:r>
              <w:rPr>
                <w:rFonts w:hint="default"/>
                <w:kern w:val="0"/>
                <w:sz w:val="24"/>
              </w:rPr>
              <w:t>，最大堆置高度4米。</w:t>
            </w:r>
          </w:p>
          <w:p w14:paraId="68A5FAF0">
            <w:pPr>
              <w:keepNext w:val="0"/>
              <w:keepLines w:val="0"/>
              <w:numPr>
                <w:ilvl w:val="0"/>
                <w:numId w:val="3"/>
              </w:numPr>
              <w:suppressLineNumbers w:val="0"/>
              <w:adjustRightInd w:val="0"/>
              <w:spacing w:before="0" w:beforeAutospacing="0" w:after="0" w:afterAutospacing="0" w:line="480" w:lineRule="exact"/>
              <w:ind w:left="0" w:right="0" w:firstLine="482" w:firstLineChars="200"/>
              <w:outlineLvl w:val="2"/>
              <w:rPr>
                <w:rFonts w:hint="default"/>
                <w:b/>
                <w:bCs/>
                <w:kern w:val="0"/>
                <w:sz w:val="24"/>
                <w:lang w:val="en-US" w:eastAsia="zh-CN"/>
              </w:rPr>
            </w:pPr>
            <w:r>
              <w:rPr>
                <w:rFonts w:hint="eastAsia"/>
                <w:b/>
                <w:bCs/>
                <w:kern w:val="0"/>
                <w:sz w:val="24"/>
                <w:lang w:val="en-US" w:eastAsia="zh-CN"/>
              </w:rPr>
              <w:t>矿山运输</w:t>
            </w:r>
          </w:p>
          <w:p w14:paraId="6B419890">
            <w:pPr>
              <w:keepNext w:val="0"/>
              <w:keepLines w:val="0"/>
              <w:suppressLineNumbers w:val="0"/>
              <w:adjustRightInd w:val="0"/>
              <w:spacing w:before="0" w:beforeAutospacing="0" w:after="0" w:afterAutospacing="0" w:line="480" w:lineRule="exact"/>
              <w:ind w:left="0" w:right="0" w:firstLine="480" w:firstLineChars="200"/>
              <w:outlineLvl w:val="2"/>
              <w:rPr>
                <w:rFonts w:hint="eastAsia" w:ascii="Times New Roman" w:hAnsi="Times New Roman" w:eastAsia="宋体" w:cs="Times New Roman"/>
                <w:kern w:val="0"/>
                <w:sz w:val="24"/>
              </w:rPr>
            </w:pPr>
            <w:r>
              <w:rPr>
                <w:rFonts w:hint="eastAsia" w:ascii="Times New Roman" w:hAnsi="Times New Roman" w:eastAsia="宋体" w:cs="Times New Roman"/>
                <w:kern w:val="0"/>
                <w:sz w:val="24"/>
              </w:rPr>
              <w:t>泥结碎石路面，设计主要路面宽6米，路基宽</w:t>
            </w:r>
            <w:r>
              <w:rPr>
                <w:rFonts w:hint="eastAsia" w:ascii="Times New Roman" w:hAnsi="Times New Roman" w:eastAsia="宋体" w:cs="Times New Roman"/>
                <w:kern w:val="0"/>
                <w:sz w:val="24"/>
                <w:lang w:val="en-US" w:eastAsia="zh-CN"/>
              </w:rPr>
              <w:t>7</w:t>
            </w:r>
            <w:r>
              <w:rPr>
                <w:rFonts w:hint="eastAsia" w:ascii="Times New Roman" w:hAnsi="Times New Roman" w:eastAsia="宋体" w:cs="Times New Roman"/>
                <w:kern w:val="0"/>
                <w:sz w:val="24"/>
              </w:rPr>
              <w:t>米，路面最大纵坡8%，平均坡度小于</w:t>
            </w:r>
            <w:r>
              <w:rPr>
                <w:rFonts w:hint="eastAsia" w:ascii="Times New Roman" w:hAnsi="Times New Roman" w:eastAsia="宋体" w:cs="Times New Roman"/>
                <w:kern w:val="0"/>
                <w:sz w:val="24"/>
                <w:lang w:val="en-US" w:eastAsia="zh-CN"/>
              </w:rPr>
              <w:t>6.5</w:t>
            </w:r>
            <w:r>
              <w:rPr>
                <w:rFonts w:hint="eastAsia" w:ascii="Times New Roman" w:hAnsi="Times New Roman" w:eastAsia="宋体" w:cs="Times New Roman"/>
                <w:kern w:val="0"/>
                <w:sz w:val="24"/>
              </w:rPr>
              <w:t>%，回头最小曲率半径不小于</w:t>
            </w:r>
            <w:r>
              <w:rPr>
                <w:rFonts w:hint="eastAsia" w:ascii="Times New Roman" w:hAnsi="Times New Roman" w:eastAsia="宋体" w:cs="Times New Roman"/>
                <w:kern w:val="0"/>
                <w:sz w:val="24"/>
                <w:lang w:val="en-US" w:eastAsia="zh-CN"/>
              </w:rPr>
              <w:t>18</w:t>
            </w:r>
            <w:r>
              <w:rPr>
                <w:rFonts w:hint="eastAsia" w:ascii="Times New Roman" w:hAnsi="Times New Roman" w:eastAsia="宋体" w:cs="Times New Roman"/>
                <w:kern w:val="0"/>
                <w:sz w:val="24"/>
              </w:rPr>
              <w:t>米。</w:t>
            </w:r>
            <w:r>
              <w:rPr>
                <w:rFonts w:hint="default" w:ascii="Times New Roman" w:hAnsi="Times New Roman" w:eastAsia="宋体" w:cs="Times New Roman"/>
                <w:kern w:val="0"/>
                <w:sz w:val="24"/>
              </w:rPr>
              <w:t>新建矿山道路</w:t>
            </w:r>
            <w:r>
              <w:rPr>
                <w:rFonts w:hint="eastAsia" w:cs="Times New Roman"/>
                <w:kern w:val="0"/>
                <w:sz w:val="24"/>
                <w:lang w:val="en-US" w:eastAsia="zh-CN"/>
              </w:rPr>
              <w:t>330</w:t>
            </w:r>
            <w:r>
              <w:rPr>
                <w:rFonts w:hint="default" w:ascii="Times New Roman" w:hAnsi="Times New Roman" w:eastAsia="宋体" w:cs="Times New Roman"/>
                <w:kern w:val="0"/>
                <w:sz w:val="24"/>
              </w:rPr>
              <w:t>米</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占地面积约</w:t>
            </w:r>
            <w:r>
              <w:rPr>
                <w:rFonts w:hint="eastAsia" w:cs="Times New Roman"/>
                <w:kern w:val="0"/>
                <w:sz w:val="24"/>
                <w:lang w:val="en-US" w:eastAsia="zh-CN"/>
              </w:rPr>
              <w:t>0.3309</w:t>
            </w:r>
            <w:r>
              <w:rPr>
                <w:rFonts w:hint="eastAsia" w:ascii="Times New Roman" w:hAnsi="Times New Roman" w:eastAsia="宋体" w:cs="Times New Roman"/>
                <w:kern w:val="0"/>
                <w:sz w:val="24"/>
                <w:lang w:val="en-US" w:eastAsia="zh-CN"/>
              </w:rPr>
              <w:t>h</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2</w:t>
            </w:r>
            <w:r>
              <w:rPr>
                <w:rFonts w:hint="eastAsia" w:ascii="Times New Roman" w:hAnsi="Times New Roman" w:eastAsia="宋体" w:cs="Times New Roman"/>
                <w:kern w:val="0"/>
                <w:sz w:val="24"/>
              </w:rPr>
              <w:t>。</w:t>
            </w:r>
          </w:p>
          <w:p w14:paraId="7785BD6F">
            <w:pPr>
              <w:keepNext w:val="0"/>
              <w:keepLines w:val="0"/>
              <w:suppressLineNumbers w:val="0"/>
              <w:spacing w:before="0" w:beforeAutospacing="0" w:after="0" w:afterAutospacing="0" w:line="480" w:lineRule="exact"/>
              <w:ind w:left="0" w:right="0" w:firstLine="480" w:firstLineChars="200"/>
              <w:jc w:val="left"/>
              <w:rPr>
                <w:rFonts w:hint="default"/>
                <w:bCs/>
                <w:kern w:val="0"/>
                <w:sz w:val="24"/>
              </w:rPr>
            </w:pPr>
            <w:r>
              <w:rPr>
                <w:rFonts w:hint="eastAsia"/>
                <w:bCs/>
                <w:kern w:val="0"/>
                <w:sz w:val="24"/>
              </w:rPr>
              <w:t>运营期项目占地情况见表2-</w:t>
            </w:r>
            <w:r>
              <w:rPr>
                <w:rFonts w:hint="eastAsia"/>
                <w:bCs/>
                <w:kern w:val="0"/>
                <w:sz w:val="24"/>
                <w:lang w:val="en-US" w:eastAsia="zh-CN"/>
              </w:rPr>
              <w:t>8</w:t>
            </w:r>
            <w:r>
              <w:rPr>
                <w:rFonts w:hint="eastAsia"/>
                <w:bCs/>
                <w:kern w:val="0"/>
                <w:sz w:val="24"/>
              </w:rPr>
              <w:t>。</w:t>
            </w:r>
          </w:p>
          <w:p w14:paraId="3A9EBFB3">
            <w:pPr>
              <w:keepNext w:val="0"/>
              <w:keepLines w:val="0"/>
              <w:suppressLineNumbers w:val="0"/>
              <w:spacing w:before="0" w:beforeAutospacing="0" w:after="0" w:afterAutospacing="0" w:line="480" w:lineRule="exact"/>
              <w:ind w:left="0" w:right="0" w:firstLine="482" w:firstLineChars="200"/>
              <w:jc w:val="center"/>
              <w:rPr>
                <w:rFonts w:hint="default"/>
                <w:b/>
                <w:bCs/>
                <w:kern w:val="0"/>
                <w:sz w:val="24"/>
              </w:rPr>
            </w:pPr>
            <w:r>
              <w:rPr>
                <w:rFonts w:hint="default"/>
                <w:b/>
                <w:bCs/>
                <w:kern w:val="0"/>
                <w:sz w:val="24"/>
              </w:rPr>
              <w:t>表</w:t>
            </w:r>
            <w:r>
              <w:rPr>
                <w:rFonts w:hint="eastAsia"/>
                <w:b/>
                <w:bCs/>
                <w:kern w:val="0"/>
                <w:sz w:val="24"/>
              </w:rPr>
              <w:t>2-</w:t>
            </w:r>
            <w:r>
              <w:rPr>
                <w:rFonts w:hint="eastAsia"/>
                <w:b/>
                <w:bCs/>
                <w:kern w:val="0"/>
                <w:sz w:val="24"/>
                <w:lang w:val="en-US" w:eastAsia="zh-CN"/>
              </w:rPr>
              <w:t>8</w:t>
            </w:r>
            <w:r>
              <w:rPr>
                <w:rFonts w:hint="default"/>
                <w:b/>
                <w:bCs/>
                <w:kern w:val="0"/>
                <w:sz w:val="24"/>
              </w:rPr>
              <w:t xml:space="preserve">    项目占地类型一览表</w:t>
            </w:r>
          </w:p>
          <w:tbl>
            <w:tblPr>
              <w:tblStyle w:val="23"/>
              <w:tblpPr w:leftFromText="180" w:rightFromText="180" w:vertAnchor="text" w:horzAnchor="page" w:tblpXSpec="center" w:tblpY="85"/>
              <w:tblOverlap w:val="never"/>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2069"/>
              <w:gridCol w:w="1927"/>
              <w:gridCol w:w="1970"/>
              <w:gridCol w:w="2422"/>
            </w:tblGrid>
            <w:tr w14:paraId="784755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1233" w:type="pct"/>
                  <w:vAlign w:val="center"/>
                </w:tcPr>
                <w:p w14:paraId="4ACE6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kern w:val="0"/>
                      <w:szCs w:val="21"/>
                    </w:rPr>
                  </w:pPr>
                  <w:r>
                    <w:rPr>
                      <w:rFonts w:hint="default" w:ascii="Times New Roman" w:hAnsi="Times New Roman" w:eastAsia="宋体"/>
                      <w:kern w:val="0"/>
                      <w:szCs w:val="21"/>
                    </w:rPr>
                    <w:t>名称</w:t>
                  </w:r>
                </w:p>
              </w:tc>
              <w:tc>
                <w:tcPr>
                  <w:tcW w:w="1148" w:type="pct"/>
                  <w:vAlign w:val="center"/>
                </w:tcPr>
                <w:p w14:paraId="49CCE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kern w:val="0"/>
                      <w:szCs w:val="21"/>
                    </w:rPr>
                  </w:pPr>
                  <w:r>
                    <w:rPr>
                      <w:rFonts w:hint="default" w:ascii="Times New Roman" w:hAnsi="Times New Roman" w:eastAsia="宋体"/>
                      <w:kern w:val="0"/>
                      <w:szCs w:val="21"/>
                    </w:rPr>
                    <w:t>占地面积</w:t>
                  </w:r>
                  <w:r>
                    <w:rPr>
                      <w:rFonts w:hint="eastAsia" w:ascii="Times New Roman" w:hAnsi="Times New Roman" w:eastAsia="宋体"/>
                      <w:kern w:val="0"/>
                      <w:szCs w:val="21"/>
                    </w:rPr>
                    <w:t>（</w:t>
                  </w:r>
                  <w:r>
                    <w:rPr>
                      <w:rFonts w:hint="default" w:ascii="Times New Roman" w:hAnsi="Times New Roman" w:eastAsia="宋体"/>
                      <w:kern w:val="0"/>
                      <w:szCs w:val="21"/>
                    </w:rPr>
                    <w:t>hm</w:t>
                  </w:r>
                  <w:r>
                    <w:rPr>
                      <w:rFonts w:hint="default" w:ascii="Times New Roman" w:hAnsi="Times New Roman" w:eastAsia="宋体"/>
                      <w:kern w:val="0"/>
                      <w:szCs w:val="21"/>
                      <w:vertAlign w:val="superscript"/>
                    </w:rPr>
                    <w:t>2</w:t>
                  </w:r>
                  <w:r>
                    <w:rPr>
                      <w:rFonts w:hint="eastAsia"/>
                      <w:kern w:val="0"/>
                      <w:szCs w:val="21"/>
                      <w:lang w:eastAsia="zh-CN"/>
                    </w:rPr>
                    <w:t>）</w:t>
                  </w:r>
                </w:p>
              </w:tc>
              <w:tc>
                <w:tcPr>
                  <w:tcW w:w="1174" w:type="pct"/>
                  <w:vAlign w:val="center"/>
                </w:tcPr>
                <w:p w14:paraId="163E1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kern w:val="0"/>
                      <w:szCs w:val="21"/>
                      <w:lang w:eastAsia="zh-CN"/>
                    </w:rPr>
                  </w:pPr>
                  <w:r>
                    <w:rPr>
                      <w:rFonts w:hint="default" w:ascii="Times New Roman" w:hAnsi="Times New Roman" w:eastAsia="宋体"/>
                      <w:kern w:val="0"/>
                      <w:szCs w:val="21"/>
                    </w:rPr>
                    <w:t>占地类型</w:t>
                  </w:r>
                </w:p>
              </w:tc>
              <w:tc>
                <w:tcPr>
                  <w:tcW w:w="1443" w:type="pct"/>
                  <w:vAlign w:val="center"/>
                </w:tcPr>
                <w:p w14:paraId="33604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kern w:val="0"/>
                      <w:szCs w:val="21"/>
                    </w:rPr>
                  </w:pPr>
                  <w:r>
                    <w:rPr>
                      <w:rFonts w:hint="default" w:ascii="Times New Roman" w:hAnsi="Times New Roman" w:eastAsia="宋体"/>
                      <w:kern w:val="0"/>
                      <w:szCs w:val="21"/>
                    </w:rPr>
                    <w:t>备注</w:t>
                  </w:r>
                </w:p>
              </w:tc>
            </w:tr>
            <w:tr w14:paraId="35F5A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1233" w:type="pct"/>
                  <w:vAlign w:val="center"/>
                </w:tcPr>
                <w:p w14:paraId="2221B4E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露天采矿场</w:t>
                  </w:r>
                </w:p>
              </w:tc>
              <w:tc>
                <w:tcPr>
                  <w:tcW w:w="1148" w:type="pct"/>
                  <w:tcBorders>
                    <w:top w:val="single" w:color="auto" w:sz="4" w:space="0"/>
                    <w:bottom w:val="single" w:color="auto" w:sz="4" w:space="0"/>
                  </w:tcBorders>
                  <w:vAlign w:val="center"/>
                </w:tcPr>
                <w:p w14:paraId="4932F39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lang w:val="en-US" w:eastAsia="zh-CN"/>
                    </w:rPr>
                  </w:pPr>
                  <w:r>
                    <w:rPr>
                      <w:rFonts w:hint="eastAsia"/>
                      <w:szCs w:val="21"/>
                      <w:lang w:val="en-US" w:eastAsia="zh-CN"/>
                    </w:rPr>
                    <w:t>29.56</w:t>
                  </w:r>
                </w:p>
              </w:tc>
              <w:tc>
                <w:tcPr>
                  <w:tcW w:w="1174" w:type="pct"/>
                  <w:vAlign w:val="center"/>
                </w:tcPr>
                <w:p w14:paraId="5154327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裸岩石砾地</w:t>
                  </w:r>
                </w:p>
              </w:tc>
              <w:tc>
                <w:tcPr>
                  <w:tcW w:w="1443" w:type="pct"/>
                  <w:tcBorders>
                    <w:top w:val="single" w:color="auto" w:sz="4" w:space="0"/>
                    <w:bottom w:val="single" w:color="auto" w:sz="4" w:space="0"/>
                  </w:tcBorders>
                  <w:vAlign w:val="center"/>
                </w:tcPr>
                <w:p w14:paraId="2CCF658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矿</w:t>
                  </w:r>
                  <w:r>
                    <w:rPr>
                      <w:rFonts w:hint="eastAsia"/>
                      <w:szCs w:val="21"/>
                      <w:lang w:val="en-US" w:eastAsia="zh-CN"/>
                    </w:rPr>
                    <w:t>区</w:t>
                  </w:r>
                  <w:r>
                    <w:rPr>
                      <w:rFonts w:hint="default" w:ascii="Times New Roman" w:hAnsi="Times New Roman" w:eastAsia="宋体"/>
                      <w:szCs w:val="21"/>
                    </w:rPr>
                    <w:t>内</w:t>
                  </w:r>
                </w:p>
              </w:tc>
            </w:tr>
            <w:tr w14:paraId="4B83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1233" w:type="pct"/>
                  <w:vAlign w:val="center"/>
                </w:tcPr>
                <w:p w14:paraId="4D3C036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eastAsia" w:ascii="Times New Roman" w:hAnsi="Times New Roman" w:eastAsia="宋体"/>
                      <w:color w:val="auto"/>
                      <w:szCs w:val="21"/>
                      <w:lang w:val="en-US" w:eastAsia="zh-CN"/>
                    </w:rPr>
                    <w:t>矿山生活区</w:t>
                  </w:r>
                </w:p>
              </w:tc>
              <w:tc>
                <w:tcPr>
                  <w:tcW w:w="1148" w:type="pct"/>
                  <w:tcBorders>
                    <w:top w:val="single" w:color="auto" w:sz="4" w:space="0"/>
                    <w:bottom w:val="single" w:color="auto" w:sz="4" w:space="0"/>
                  </w:tcBorders>
                  <w:vAlign w:val="center"/>
                </w:tcPr>
                <w:p w14:paraId="21D01E4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0.</w:t>
                  </w:r>
                  <w:r>
                    <w:rPr>
                      <w:rFonts w:hint="eastAsia"/>
                      <w:szCs w:val="21"/>
                      <w:lang w:val="en-US" w:eastAsia="zh-CN"/>
                    </w:rPr>
                    <w:t>0942</w:t>
                  </w:r>
                </w:p>
              </w:tc>
              <w:tc>
                <w:tcPr>
                  <w:tcW w:w="1174" w:type="pct"/>
                  <w:vAlign w:val="center"/>
                </w:tcPr>
                <w:p w14:paraId="70FCE2C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裸岩石砾地</w:t>
                  </w:r>
                </w:p>
              </w:tc>
              <w:tc>
                <w:tcPr>
                  <w:tcW w:w="1443" w:type="pct"/>
                  <w:tcBorders>
                    <w:top w:val="single" w:color="auto" w:sz="4" w:space="0"/>
                    <w:bottom w:val="single" w:color="auto" w:sz="4" w:space="0"/>
                  </w:tcBorders>
                  <w:vAlign w:val="center"/>
                </w:tcPr>
                <w:p w14:paraId="3C5B204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矿</w:t>
                  </w:r>
                  <w:r>
                    <w:rPr>
                      <w:rFonts w:hint="eastAsia"/>
                      <w:szCs w:val="21"/>
                      <w:lang w:val="en-US" w:eastAsia="zh-CN"/>
                    </w:rPr>
                    <w:t>区</w:t>
                  </w:r>
                  <w:r>
                    <w:rPr>
                      <w:rFonts w:hint="eastAsia" w:ascii="Times New Roman" w:hAnsi="Times New Roman" w:eastAsia="宋体"/>
                      <w:szCs w:val="21"/>
                    </w:rPr>
                    <w:t>外</w:t>
                  </w:r>
                </w:p>
              </w:tc>
            </w:tr>
            <w:tr w14:paraId="62F3D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1233" w:type="pct"/>
                  <w:vAlign w:val="center"/>
                </w:tcPr>
                <w:p w14:paraId="76A19A0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color w:val="auto"/>
                      <w:szCs w:val="21"/>
                    </w:rPr>
                    <w:t>排土场</w:t>
                  </w:r>
                </w:p>
              </w:tc>
              <w:tc>
                <w:tcPr>
                  <w:tcW w:w="1148" w:type="pct"/>
                  <w:tcBorders>
                    <w:top w:val="single" w:color="auto" w:sz="4" w:space="0"/>
                    <w:bottom w:val="single" w:color="auto" w:sz="4" w:space="0"/>
                  </w:tcBorders>
                  <w:vAlign w:val="center"/>
                </w:tcPr>
                <w:p w14:paraId="3CE10FA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lang w:val="en-US" w:eastAsia="zh-CN"/>
                    </w:rPr>
                  </w:pPr>
                  <w:r>
                    <w:rPr>
                      <w:rFonts w:hint="eastAsia"/>
                      <w:szCs w:val="21"/>
                      <w:lang w:val="en-US" w:eastAsia="zh-CN"/>
                    </w:rPr>
                    <w:t>0.3419</w:t>
                  </w:r>
                </w:p>
              </w:tc>
              <w:tc>
                <w:tcPr>
                  <w:tcW w:w="1174" w:type="pct"/>
                  <w:vAlign w:val="center"/>
                </w:tcPr>
                <w:p w14:paraId="55EA4E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裸岩石砾地</w:t>
                  </w:r>
                </w:p>
              </w:tc>
              <w:tc>
                <w:tcPr>
                  <w:tcW w:w="1443" w:type="pct"/>
                  <w:tcBorders>
                    <w:top w:val="single" w:color="auto" w:sz="4" w:space="0"/>
                    <w:bottom w:val="single" w:color="auto" w:sz="4" w:space="0"/>
                  </w:tcBorders>
                  <w:vAlign w:val="center"/>
                </w:tcPr>
                <w:p w14:paraId="62EB07B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矿</w:t>
                  </w:r>
                  <w:r>
                    <w:rPr>
                      <w:rFonts w:hint="eastAsia"/>
                      <w:szCs w:val="21"/>
                      <w:lang w:val="en-US" w:eastAsia="zh-CN"/>
                    </w:rPr>
                    <w:t>区</w:t>
                  </w:r>
                  <w:r>
                    <w:rPr>
                      <w:rFonts w:hint="eastAsia" w:ascii="Times New Roman" w:hAnsi="Times New Roman" w:eastAsia="宋体"/>
                      <w:szCs w:val="21"/>
                    </w:rPr>
                    <w:t>外</w:t>
                  </w:r>
                </w:p>
              </w:tc>
            </w:tr>
            <w:tr w14:paraId="364F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1233" w:type="pct"/>
                  <w:vAlign w:val="center"/>
                </w:tcPr>
                <w:p w14:paraId="7A8BBAD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eastAsia" w:ascii="Times New Roman" w:hAnsi="Times New Roman" w:eastAsia="宋体"/>
                      <w:color w:val="auto"/>
                      <w:szCs w:val="21"/>
                      <w:lang w:val="en-US" w:eastAsia="zh-CN"/>
                    </w:rPr>
                    <w:t>破碎筛分场地</w:t>
                  </w:r>
                </w:p>
              </w:tc>
              <w:tc>
                <w:tcPr>
                  <w:tcW w:w="1148" w:type="pct"/>
                  <w:tcBorders>
                    <w:top w:val="single" w:color="auto" w:sz="4" w:space="0"/>
                    <w:bottom w:val="single" w:color="auto" w:sz="4" w:space="0"/>
                  </w:tcBorders>
                  <w:vAlign w:val="center"/>
                </w:tcPr>
                <w:p w14:paraId="514D8ED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lang w:val="en-US" w:eastAsia="zh-CN"/>
                    </w:rPr>
                  </w:pPr>
                  <w:r>
                    <w:rPr>
                      <w:rFonts w:hint="eastAsia"/>
                      <w:szCs w:val="21"/>
                      <w:lang w:val="en-US" w:eastAsia="zh-CN"/>
                    </w:rPr>
                    <w:t>0.3</w:t>
                  </w:r>
                </w:p>
              </w:tc>
              <w:tc>
                <w:tcPr>
                  <w:tcW w:w="1174" w:type="pct"/>
                  <w:vAlign w:val="center"/>
                </w:tcPr>
                <w:p w14:paraId="577E891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裸岩石砾地</w:t>
                  </w:r>
                </w:p>
              </w:tc>
              <w:tc>
                <w:tcPr>
                  <w:tcW w:w="1443" w:type="pct"/>
                  <w:tcBorders>
                    <w:top w:val="single" w:color="auto" w:sz="4" w:space="0"/>
                    <w:bottom w:val="single" w:color="auto" w:sz="4" w:space="0"/>
                  </w:tcBorders>
                  <w:vAlign w:val="center"/>
                </w:tcPr>
                <w:p w14:paraId="155D6F7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矿</w:t>
                  </w:r>
                  <w:r>
                    <w:rPr>
                      <w:rFonts w:hint="eastAsia"/>
                      <w:szCs w:val="21"/>
                      <w:lang w:val="en-US" w:eastAsia="zh-CN"/>
                    </w:rPr>
                    <w:t>区</w:t>
                  </w:r>
                  <w:r>
                    <w:rPr>
                      <w:rFonts w:hint="eastAsia" w:ascii="Times New Roman" w:hAnsi="Times New Roman" w:eastAsia="宋体"/>
                      <w:szCs w:val="21"/>
                    </w:rPr>
                    <w:t>外</w:t>
                  </w:r>
                </w:p>
              </w:tc>
            </w:tr>
            <w:tr w14:paraId="06DAA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1233" w:type="pct"/>
                  <w:vAlign w:val="center"/>
                </w:tcPr>
                <w:p w14:paraId="3EB37FE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eastAsia" w:ascii="Times New Roman" w:hAnsi="Times New Roman" w:eastAsia="宋体"/>
                      <w:color w:val="auto"/>
                      <w:szCs w:val="21"/>
                      <w:lang w:val="en-US" w:eastAsia="zh-CN"/>
                    </w:rPr>
                    <w:t>临时堆料场</w:t>
                  </w:r>
                </w:p>
              </w:tc>
              <w:tc>
                <w:tcPr>
                  <w:tcW w:w="1148" w:type="pct"/>
                  <w:tcBorders>
                    <w:top w:val="single" w:color="auto" w:sz="4" w:space="0"/>
                    <w:bottom w:val="single" w:color="auto" w:sz="4" w:space="0"/>
                  </w:tcBorders>
                  <w:vAlign w:val="center"/>
                </w:tcPr>
                <w:p w14:paraId="3CE3B9B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0.7</w:t>
                  </w:r>
                </w:p>
              </w:tc>
              <w:tc>
                <w:tcPr>
                  <w:tcW w:w="1174" w:type="pct"/>
                  <w:vAlign w:val="center"/>
                </w:tcPr>
                <w:p w14:paraId="48F31CE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裸岩石砾地</w:t>
                  </w:r>
                </w:p>
              </w:tc>
              <w:tc>
                <w:tcPr>
                  <w:tcW w:w="1443" w:type="pct"/>
                  <w:tcBorders>
                    <w:top w:val="single" w:color="auto" w:sz="4" w:space="0"/>
                    <w:bottom w:val="single" w:color="auto" w:sz="4" w:space="0"/>
                  </w:tcBorders>
                  <w:vAlign w:val="center"/>
                </w:tcPr>
                <w:p w14:paraId="432D7B5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矿</w:t>
                  </w:r>
                  <w:r>
                    <w:rPr>
                      <w:rFonts w:hint="eastAsia"/>
                      <w:szCs w:val="21"/>
                      <w:lang w:val="en-US" w:eastAsia="zh-CN"/>
                    </w:rPr>
                    <w:t>区</w:t>
                  </w:r>
                  <w:r>
                    <w:rPr>
                      <w:rFonts w:hint="eastAsia" w:ascii="Times New Roman" w:hAnsi="Times New Roman" w:eastAsia="宋体"/>
                      <w:szCs w:val="21"/>
                    </w:rPr>
                    <w:t>外</w:t>
                  </w:r>
                </w:p>
              </w:tc>
            </w:tr>
            <w:tr w14:paraId="70CD1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1233" w:type="pct"/>
                  <w:vAlign w:val="center"/>
                </w:tcPr>
                <w:p w14:paraId="3DAF5F0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olor w:val="auto"/>
                      <w:szCs w:val="21"/>
                      <w:lang w:val="en-US" w:eastAsia="zh-CN"/>
                    </w:rPr>
                  </w:pPr>
                  <w:r>
                    <w:rPr>
                      <w:rFonts w:hint="default" w:ascii="Times New Roman" w:hAnsi="Times New Roman" w:eastAsia="宋体"/>
                      <w:color w:val="auto"/>
                      <w:szCs w:val="21"/>
                    </w:rPr>
                    <w:t>矿山道路</w:t>
                  </w:r>
                </w:p>
              </w:tc>
              <w:tc>
                <w:tcPr>
                  <w:tcW w:w="1148" w:type="pct"/>
                  <w:tcBorders>
                    <w:top w:val="single" w:color="auto" w:sz="4" w:space="0"/>
                    <w:bottom w:val="single" w:color="auto" w:sz="4" w:space="0"/>
                  </w:tcBorders>
                  <w:vAlign w:val="center"/>
                </w:tcPr>
                <w:p w14:paraId="2BD0450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lang w:val="en-US" w:eastAsia="zh-CN"/>
                    </w:rPr>
                  </w:pPr>
                  <w:r>
                    <w:rPr>
                      <w:rFonts w:hint="eastAsia"/>
                      <w:szCs w:val="21"/>
                      <w:lang w:val="en-US" w:eastAsia="zh-CN"/>
                    </w:rPr>
                    <w:t>0.3309</w:t>
                  </w:r>
                </w:p>
              </w:tc>
              <w:tc>
                <w:tcPr>
                  <w:tcW w:w="1174" w:type="pct"/>
                  <w:vAlign w:val="center"/>
                </w:tcPr>
                <w:p w14:paraId="2D2554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裸岩石砾地</w:t>
                  </w:r>
                </w:p>
              </w:tc>
              <w:tc>
                <w:tcPr>
                  <w:tcW w:w="1443" w:type="pct"/>
                  <w:tcBorders>
                    <w:top w:val="single" w:color="auto" w:sz="4" w:space="0"/>
                    <w:bottom w:val="single" w:color="auto" w:sz="4" w:space="0"/>
                  </w:tcBorders>
                  <w:vAlign w:val="center"/>
                </w:tcPr>
                <w:p w14:paraId="1300404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default" w:ascii="Times New Roman" w:hAnsi="Times New Roman" w:eastAsia="宋体"/>
                      <w:szCs w:val="21"/>
                    </w:rPr>
                    <w:t>矿</w:t>
                  </w:r>
                  <w:r>
                    <w:rPr>
                      <w:rFonts w:hint="eastAsia"/>
                      <w:szCs w:val="21"/>
                      <w:lang w:val="en-US" w:eastAsia="zh-CN"/>
                    </w:rPr>
                    <w:t>区</w:t>
                  </w:r>
                  <w:r>
                    <w:rPr>
                      <w:rFonts w:hint="eastAsia" w:ascii="Times New Roman" w:hAnsi="Times New Roman" w:eastAsia="宋体"/>
                      <w:szCs w:val="21"/>
                    </w:rPr>
                    <w:t>外</w:t>
                  </w:r>
                </w:p>
              </w:tc>
            </w:tr>
            <w:tr w14:paraId="55CF0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1233" w:type="pct"/>
                  <w:vAlign w:val="center"/>
                </w:tcPr>
                <w:p w14:paraId="527F3FC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eastAsia" w:ascii="Times New Roman" w:hAnsi="Times New Roman" w:eastAsia="宋体"/>
                      <w:szCs w:val="21"/>
                    </w:rPr>
                    <w:t>合计</w:t>
                  </w:r>
                </w:p>
              </w:tc>
              <w:tc>
                <w:tcPr>
                  <w:tcW w:w="1148" w:type="pct"/>
                  <w:tcBorders>
                    <w:top w:val="single" w:color="auto" w:sz="4" w:space="0"/>
                    <w:bottom w:val="single" w:color="auto" w:sz="4" w:space="0"/>
                  </w:tcBorders>
                  <w:vAlign w:val="center"/>
                </w:tcPr>
                <w:p w14:paraId="29BB67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lang w:val="en-US" w:eastAsia="zh-CN"/>
                    </w:rPr>
                  </w:pPr>
                  <w:r>
                    <w:rPr>
                      <w:rFonts w:hint="eastAsia"/>
                      <w:szCs w:val="21"/>
                      <w:lang w:val="en-US" w:eastAsia="zh-CN"/>
                    </w:rPr>
                    <w:t>31.327</w:t>
                  </w:r>
                </w:p>
              </w:tc>
              <w:tc>
                <w:tcPr>
                  <w:tcW w:w="1174" w:type="pct"/>
                  <w:vAlign w:val="center"/>
                </w:tcPr>
                <w:p w14:paraId="608B83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eastAsia" w:ascii="Times New Roman" w:hAnsi="Times New Roman" w:eastAsia="宋体"/>
                      <w:szCs w:val="21"/>
                    </w:rPr>
                    <w:t>/</w:t>
                  </w:r>
                </w:p>
              </w:tc>
              <w:tc>
                <w:tcPr>
                  <w:tcW w:w="1443" w:type="pct"/>
                  <w:tcBorders>
                    <w:top w:val="single" w:color="auto" w:sz="4" w:space="0"/>
                    <w:bottom w:val="single" w:color="auto" w:sz="4" w:space="0"/>
                  </w:tcBorders>
                  <w:vAlign w:val="center"/>
                </w:tcPr>
                <w:p w14:paraId="18679FD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szCs w:val="21"/>
                    </w:rPr>
                  </w:pPr>
                  <w:r>
                    <w:rPr>
                      <w:rFonts w:hint="eastAsia" w:ascii="Times New Roman" w:hAnsi="Times New Roman" w:eastAsia="宋体"/>
                      <w:szCs w:val="21"/>
                    </w:rPr>
                    <w:t>/</w:t>
                  </w:r>
                </w:p>
              </w:tc>
            </w:tr>
          </w:tbl>
          <w:p w14:paraId="277263C0">
            <w:pPr>
              <w:pStyle w:val="22"/>
              <w:keepNext w:val="0"/>
              <w:keepLines w:val="0"/>
              <w:suppressLineNumbers w:val="0"/>
              <w:spacing w:before="0" w:beforeAutospacing="0" w:after="0" w:afterAutospacing="0" w:line="480" w:lineRule="exact"/>
              <w:ind w:left="0" w:leftChars="0" w:right="0" w:firstLine="482"/>
              <w:rPr>
                <w:rFonts w:hint="default"/>
                <w:b/>
                <w:kern w:val="0"/>
                <w:sz w:val="24"/>
              </w:rPr>
            </w:pPr>
            <w:r>
              <w:rPr>
                <w:rFonts w:hint="eastAsia"/>
                <w:b/>
                <w:kern w:val="0"/>
                <w:sz w:val="24"/>
              </w:rPr>
              <w:t>1.</w:t>
            </w:r>
            <w:r>
              <w:rPr>
                <w:rFonts w:hint="eastAsia"/>
                <w:b/>
                <w:kern w:val="0"/>
                <w:sz w:val="24"/>
                <w:lang w:val="en-US" w:eastAsia="zh-CN"/>
              </w:rPr>
              <w:t>2施工</w:t>
            </w:r>
            <w:r>
              <w:rPr>
                <w:rFonts w:hint="default"/>
                <w:b/>
                <w:kern w:val="0"/>
                <w:sz w:val="24"/>
              </w:rPr>
              <w:t>布置</w:t>
            </w:r>
          </w:p>
          <w:p w14:paraId="54DA44D0">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520" w:lineRule="exact"/>
              <w:ind w:left="0" w:right="0" w:rightChars="0" w:firstLine="480" w:firstLineChars="200"/>
              <w:textAlignment w:val="auto"/>
              <w:outlineLvl w:val="2"/>
              <w:rPr>
                <w:rFonts w:hint="default"/>
                <w:sz w:val="24"/>
                <w:szCs w:val="24"/>
                <w:lang w:val="en-US" w:eastAsia="zh-CN"/>
              </w:rPr>
            </w:pPr>
            <w:r>
              <w:rPr>
                <w:rFonts w:hint="eastAsia"/>
                <w:sz w:val="24"/>
                <w:szCs w:val="24"/>
                <w:lang w:val="en-US" w:eastAsia="zh-CN"/>
              </w:rPr>
              <w:t>（1）施工交通</w:t>
            </w:r>
          </w:p>
          <w:p w14:paraId="2A88B6DF">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520" w:lineRule="exact"/>
              <w:ind w:left="0" w:leftChars="0" w:right="0" w:rightChars="0" w:firstLine="480" w:firstLineChars="200"/>
              <w:textAlignment w:val="auto"/>
              <w:outlineLvl w:val="2"/>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1</w:t>
            </w:r>
            <w:r>
              <w:rPr>
                <w:rFonts w:hint="eastAsia" w:cs="Times New Roman"/>
                <w:kern w:val="2"/>
                <w:sz w:val="24"/>
                <w:szCs w:val="24"/>
                <w:lang w:val="en-US" w:eastAsia="zh-CN" w:bidi="ar-SA"/>
              </w:rPr>
              <w:t>）</w:t>
            </w:r>
            <w:r>
              <w:rPr>
                <w:rFonts w:hint="default" w:ascii="Times New Roman" w:hAnsi="Times New Roman" w:cs="Times New Roman"/>
                <w:kern w:val="2"/>
                <w:sz w:val="24"/>
                <w:szCs w:val="24"/>
                <w:lang w:val="en-US" w:eastAsia="zh-CN" w:bidi="ar-SA"/>
              </w:rPr>
              <w:t>对外交通运输</w:t>
            </w:r>
          </w:p>
          <w:p w14:paraId="6270C6DC">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520" w:lineRule="exact"/>
              <w:ind w:left="0" w:leftChars="0" w:right="0" w:rightChars="0" w:firstLine="480" w:firstLineChars="200"/>
              <w:textAlignment w:val="auto"/>
              <w:outlineLvl w:val="2"/>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为了解决施工期间的场内交通与场外交通的衔接，同时结合工程建成后的管理需要，在尽量利用现有交通道路的基础上进行改建和延伸，计划</w:t>
            </w:r>
            <w:r>
              <w:rPr>
                <w:rFonts w:hint="eastAsia" w:ascii="Times New Roman" w:hAnsi="Times New Roman" w:cs="Times New Roman"/>
                <w:kern w:val="2"/>
                <w:sz w:val="24"/>
                <w:szCs w:val="24"/>
                <w:lang w:val="en-US" w:eastAsia="zh-CN" w:bidi="ar-SA"/>
              </w:rPr>
              <w:t>修整</w:t>
            </w:r>
            <w:r>
              <w:rPr>
                <w:rFonts w:hint="default" w:ascii="Times New Roman" w:hAnsi="Times New Roman" w:cs="Times New Roman"/>
                <w:kern w:val="2"/>
                <w:sz w:val="24"/>
                <w:szCs w:val="24"/>
                <w:lang w:val="en-US" w:eastAsia="zh-CN" w:bidi="ar-SA"/>
              </w:rPr>
              <w:t>道路至</w:t>
            </w:r>
            <w:r>
              <w:rPr>
                <w:rFonts w:hint="eastAsia" w:ascii="Times New Roman" w:hAnsi="Times New Roman" w:cs="Times New Roman"/>
                <w:kern w:val="2"/>
                <w:sz w:val="24"/>
                <w:szCs w:val="24"/>
                <w:lang w:val="en-US" w:eastAsia="zh-CN" w:bidi="ar-SA"/>
              </w:rPr>
              <w:t>项目区之间的道路</w:t>
            </w:r>
            <w:r>
              <w:rPr>
                <w:rFonts w:hint="default" w:ascii="Times New Roman" w:hAnsi="Times New Roman" w:cs="Times New Roman"/>
                <w:kern w:val="2"/>
                <w:sz w:val="24"/>
                <w:szCs w:val="24"/>
                <w:lang w:val="en-US" w:eastAsia="zh-CN" w:bidi="ar-SA"/>
              </w:rPr>
              <w:t>，泥结碎石路面，路面宽度3.5</w:t>
            </w:r>
            <w:r>
              <w:rPr>
                <w:rFonts w:hint="eastAsia" w:cs="Times New Roman"/>
                <w:kern w:val="2"/>
                <w:sz w:val="24"/>
                <w:szCs w:val="24"/>
                <w:lang w:val="en-US" w:eastAsia="zh-CN" w:bidi="ar-SA"/>
              </w:rPr>
              <w:t>～</w:t>
            </w:r>
            <w:r>
              <w:rPr>
                <w:rFonts w:hint="default" w:ascii="Times New Roman" w:hAnsi="Times New Roman" w:cs="Times New Roman"/>
                <w:kern w:val="2"/>
                <w:sz w:val="24"/>
                <w:szCs w:val="24"/>
                <w:lang w:val="en-US" w:eastAsia="zh-CN" w:bidi="ar-SA"/>
              </w:rPr>
              <w:t>4.5m。</w:t>
            </w:r>
          </w:p>
          <w:p w14:paraId="48E37FE4">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520" w:lineRule="exact"/>
              <w:ind w:left="0" w:leftChars="0" w:right="0" w:rightChars="0" w:firstLine="480" w:firstLineChars="200"/>
              <w:textAlignment w:val="auto"/>
              <w:outlineLvl w:val="2"/>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2</w:t>
            </w:r>
            <w:r>
              <w:rPr>
                <w:rFonts w:hint="eastAsia"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区</w:t>
            </w:r>
            <w:r>
              <w:rPr>
                <w:rFonts w:hint="default" w:ascii="Times New Roman" w:hAnsi="Times New Roman" w:cs="Times New Roman"/>
                <w:kern w:val="2"/>
                <w:sz w:val="24"/>
                <w:szCs w:val="24"/>
                <w:lang w:val="en-US" w:eastAsia="zh-CN" w:bidi="ar-SA"/>
              </w:rPr>
              <w:t>内交通运输</w:t>
            </w:r>
          </w:p>
          <w:p w14:paraId="2E013FD1">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520" w:lineRule="exact"/>
              <w:ind w:left="0" w:leftChars="0" w:right="0" w:rightChars="0" w:firstLine="480" w:firstLineChars="200"/>
              <w:textAlignment w:val="auto"/>
              <w:outlineLvl w:val="2"/>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项目区规划新建</w:t>
            </w:r>
            <w:r>
              <w:rPr>
                <w:rFonts w:hint="eastAsia" w:cs="Times New Roman"/>
                <w:kern w:val="2"/>
                <w:sz w:val="24"/>
                <w:szCs w:val="24"/>
                <w:lang w:val="en-US" w:eastAsia="zh-CN" w:bidi="ar-SA"/>
              </w:rPr>
              <w:t>约长330</w:t>
            </w:r>
            <w:r>
              <w:rPr>
                <w:rFonts w:hint="eastAsia" w:ascii="Times New Roman" w:hAnsi="Times New Roman" w:cs="Times New Roman"/>
                <w:kern w:val="2"/>
                <w:sz w:val="24"/>
                <w:szCs w:val="24"/>
                <w:lang w:val="en-US" w:eastAsia="zh-CN" w:bidi="ar-SA"/>
              </w:rPr>
              <w:t>m（矿区外占地0.</w:t>
            </w:r>
            <w:r>
              <w:rPr>
                <w:rFonts w:hint="eastAsia" w:cs="Times New Roman"/>
                <w:kern w:val="2"/>
                <w:sz w:val="24"/>
                <w:szCs w:val="24"/>
                <w:lang w:val="en-US" w:eastAsia="zh-CN" w:bidi="ar-SA"/>
              </w:rPr>
              <w:t>3309</w:t>
            </w:r>
            <w:r>
              <w:rPr>
                <w:rFonts w:hint="eastAsia" w:ascii="Times New Roman" w:hAnsi="Times New Roman" w:cs="Times New Roman"/>
                <w:kern w:val="2"/>
                <w:sz w:val="24"/>
                <w:szCs w:val="24"/>
                <w:lang w:val="en-US" w:eastAsia="zh-CN" w:bidi="ar-SA"/>
              </w:rPr>
              <w:t>公顷）的</w:t>
            </w:r>
            <w:r>
              <w:rPr>
                <w:rFonts w:hint="default" w:ascii="Times New Roman" w:hAnsi="Times New Roman" w:cs="Times New Roman"/>
                <w:kern w:val="2"/>
                <w:sz w:val="24"/>
                <w:szCs w:val="24"/>
                <w:lang w:val="en-US" w:eastAsia="zh-CN" w:bidi="ar-SA"/>
              </w:rPr>
              <w:t>泥结碎石路面</w:t>
            </w:r>
            <w:r>
              <w:rPr>
                <w:rFonts w:hint="eastAsia" w:ascii="Times New Roman" w:hAnsi="Times New Roman" w:cs="Times New Roman"/>
                <w:kern w:val="2"/>
                <w:sz w:val="24"/>
                <w:szCs w:val="24"/>
                <w:lang w:val="en-US" w:eastAsia="zh-CN" w:bidi="ar-SA"/>
              </w:rPr>
              <w:t>。</w:t>
            </w:r>
          </w:p>
          <w:p w14:paraId="75B7D0C2">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520" w:lineRule="exact"/>
              <w:ind w:left="0" w:leftChars="0" w:right="0" w:rightChars="0" w:firstLine="480" w:firstLineChars="200"/>
              <w:textAlignment w:val="auto"/>
              <w:outlineLvl w:val="2"/>
              <w:rPr>
                <w:rFonts w:hint="default"/>
                <w:sz w:val="24"/>
                <w:szCs w:val="24"/>
                <w:lang w:val="en-US" w:eastAsia="zh-CN"/>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w:t>
            </w:r>
            <w:r>
              <w:rPr>
                <w:rFonts w:hint="eastAsia"/>
                <w:sz w:val="24"/>
                <w:szCs w:val="24"/>
                <w:lang w:val="en-US" w:eastAsia="zh-CN"/>
              </w:rPr>
              <w:t>施工布置情况</w:t>
            </w:r>
          </w:p>
          <w:p w14:paraId="0FF396CF">
            <w:pPr>
              <w:keepNext w:val="0"/>
              <w:keepLines w:val="0"/>
              <w:pageBreakBefore w:val="0"/>
              <w:widowControl w:val="0"/>
              <w:numPr>
                <w:ilvl w:val="0"/>
                <w:numId w:val="4"/>
              </w:numPr>
              <w:suppressLineNumbers w:val="0"/>
              <w:kinsoku/>
              <w:wordWrap/>
              <w:overflowPunct/>
              <w:topLinePunct w:val="0"/>
              <w:autoSpaceDE/>
              <w:autoSpaceDN/>
              <w:bidi w:val="0"/>
              <w:adjustRightInd w:val="0"/>
              <w:snapToGrid/>
              <w:spacing w:before="0" w:beforeAutospacing="0" w:after="0" w:afterAutospacing="0" w:line="520" w:lineRule="exact"/>
              <w:ind w:left="420" w:leftChars="200" w:right="0" w:rightChars="0"/>
              <w:textAlignment w:val="auto"/>
              <w:outlineLvl w:val="2"/>
              <w:rPr>
                <w:rFonts w:hint="eastAsia"/>
                <w:sz w:val="24"/>
                <w:szCs w:val="24"/>
                <w:lang w:val="en-US" w:eastAsia="zh-CN"/>
              </w:rPr>
            </w:pPr>
            <w:r>
              <w:rPr>
                <w:rFonts w:hint="eastAsia"/>
                <w:sz w:val="24"/>
                <w:szCs w:val="24"/>
                <w:lang w:val="en-US" w:eastAsia="zh-CN"/>
              </w:rPr>
              <w:t>施工生活区</w:t>
            </w:r>
          </w:p>
          <w:p w14:paraId="743A9B8B">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520" w:lineRule="exact"/>
              <w:ind w:left="0" w:right="0" w:rightChars="0" w:firstLine="480" w:firstLineChars="200"/>
              <w:textAlignment w:val="auto"/>
              <w:outlineLvl w:val="2"/>
              <w:rPr>
                <w:rFonts w:hint="eastAsia"/>
                <w:sz w:val="24"/>
                <w:szCs w:val="24"/>
                <w:lang w:val="en-US" w:eastAsia="zh-CN"/>
              </w:rPr>
            </w:pPr>
            <w:r>
              <w:rPr>
                <w:rFonts w:hint="eastAsia"/>
                <w:sz w:val="24"/>
                <w:szCs w:val="24"/>
                <w:lang w:val="en-US" w:eastAsia="zh-CN"/>
              </w:rPr>
              <w:t>施工期间，施工时在项目区内新建临时食堂、宿舍等生活设施，保证工人在施工期间的食宿问题。</w:t>
            </w:r>
          </w:p>
          <w:p w14:paraId="7EDE2551">
            <w:pPr>
              <w:keepNext w:val="0"/>
              <w:keepLines w:val="0"/>
              <w:pageBreakBefore w:val="0"/>
              <w:widowControl w:val="0"/>
              <w:numPr>
                <w:ilvl w:val="0"/>
                <w:numId w:val="4"/>
              </w:numPr>
              <w:suppressLineNumbers w:val="0"/>
              <w:kinsoku/>
              <w:wordWrap/>
              <w:overflowPunct/>
              <w:topLinePunct w:val="0"/>
              <w:autoSpaceDE/>
              <w:autoSpaceDN/>
              <w:bidi w:val="0"/>
              <w:adjustRightInd w:val="0"/>
              <w:snapToGrid/>
              <w:spacing w:before="0" w:beforeAutospacing="0" w:after="0" w:afterAutospacing="0" w:line="520" w:lineRule="exact"/>
              <w:ind w:left="420" w:leftChars="200" w:right="0" w:rightChars="0" w:firstLine="0" w:firstLineChars="0"/>
              <w:textAlignment w:val="auto"/>
              <w:outlineLvl w:val="2"/>
              <w:rPr>
                <w:rFonts w:hint="eastAsia"/>
                <w:sz w:val="24"/>
                <w:szCs w:val="24"/>
                <w:lang w:val="en-US" w:eastAsia="zh-CN"/>
              </w:rPr>
            </w:pPr>
            <w:r>
              <w:rPr>
                <w:rFonts w:hint="eastAsia"/>
                <w:sz w:val="24"/>
                <w:szCs w:val="24"/>
                <w:lang w:val="en-US" w:eastAsia="zh-CN"/>
              </w:rPr>
              <w:t>施工生产区</w:t>
            </w:r>
          </w:p>
          <w:p w14:paraId="7BD3DB9F">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520" w:lineRule="exact"/>
              <w:ind w:left="0" w:leftChars="0" w:right="0" w:rightChars="0" w:firstLine="480" w:firstLineChars="200"/>
              <w:textAlignment w:val="auto"/>
              <w:outlineLvl w:val="2"/>
              <w:rPr>
                <w:rFonts w:hint="eastAsia" w:eastAsia="宋体"/>
                <w:sz w:val="24"/>
                <w:szCs w:val="24"/>
                <w:lang w:val="en-US" w:eastAsia="zh-CN"/>
              </w:rPr>
            </w:pPr>
            <w:r>
              <w:rPr>
                <w:rFonts w:hint="eastAsia"/>
                <w:sz w:val="24"/>
                <w:szCs w:val="24"/>
                <w:lang w:val="en-US" w:eastAsia="zh-CN"/>
              </w:rPr>
              <w:t>施工期间，主要进行</w:t>
            </w:r>
            <w:r>
              <w:rPr>
                <w:rFonts w:hint="default"/>
                <w:color w:val="000000"/>
                <w:kern w:val="0"/>
                <w:sz w:val="24"/>
                <w:lang w:bidi="ar"/>
              </w:rPr>
              <w:t>采矿场</w:t>
            </w:r>
            <w:r>
              <w:rPr>
                <w:rFonts w:hint="eastAsia"/>
                <w:color w:val="000000"/>
                <w:kern w:val="0"/>
                <w:sz w:val="24"/>
                <w:lang w:val="en-US" w:eastAsia="zh-CN" w:bidi="ar"/>
              </w:rPr>
              <w:t>开采水平台阶</w:t>
            </w:r>
            <w:r>
              <w:rPr>
                <w:rFonts w:hint="default"/>
                <w:color w:val="000000"/>
                <w:kern w:val="0"/>
                <w:sz w:val="24"/>
                <w:lang w:bidi="ar"/>
              </w:rPr>
              <w:t>、生活区、</w:t>
            </w:r>
            <w:r>
              <w:rPr>
                <w:rFonts w:hint="eastAsia"/>
                <w:color w:val="000000"/>
                <w:kern w:val="0"/>
                <w:sz w:val="24"/>
                <w:lang w:val="en-US" w:eastAsia="zh-CN" w:bidi="ar"/>
              </w:rPr>
              <w:t>排土场</w:t>
            </w:r>
            <w:r>
              <w:rPr>
                <w:rFonts w:hint="default"/>
                <w:color w:val="000000"/>
                <w:kern w:val="0"/>
                <w:sz w:val="24"/>
                <w:lang w:bidi="ar"/>
              </w:rPr>
              <w:t>、</w:t>
            </w:r>
            <w:r>
              <w:rPr>
                <w:rFonts w:hint="eastAsia"/>
                <w:color w:val="000000"/>
                <w:kern w:val="0"/>
                <w:sz w:val="24"/>
                <w:lang w:val="en-US" w:eastAsia="zh-CN" w:bidi="ar"/>
              </w:rPr>
              <w:t>破碎筛分厂房、</w:t>
            </w:r>
            <w:r>
              <w:rPr>
                <w:rFonts w:hint="default"/>
                <w:color w:val="000000"/>
                <w:kern w:val="0"/>
                <w:sz w:val="24"/>
                <w:lang w:bidi="ar"/>
              </w:rPr>
              <w:t>矿区道路</w:t>
            </w:r>
            <w:r>
              <w:rPr>
                <w:rFonts w:hint="eastAsia"/>
                <w:color w:val="000000"/>
                <w:kern w:val="0"/>
                <w:sz w:val="24"/>
                <w:lang w:val="en-US" w:eastAsia="zh-CN" w:bidi="ar"/>
              </w:rPr>
              <w:t>新建、修葺建设；</w:t>
            </w:r>
            <w:r>
              <w:rPr>
                <w:rFonts w:hint="eastAsia"/>
                <w:sz w:val="24"/>
                <w:szCs w:val="24"/>
                <w:lang w:val="en-US" w:eastAsia="zh-CN"/>
              </w:rPr>
              <w:t>施工生产作业点布置风、水、电系统，材料堆放区，现场值班室，施工设备停放场；施工所用物料</w:t>
            </w:r>
            <w:r>
              <w:rPr>
                <w:rFonts w:hint="default"/>
                <w:sz w:val="24"/>
              </w:rPr>
              <w:t>购买商砼，</w:t>
            </w:r>
            <w:r>
              <w:rPr>
                <w:rFonts w:hint="eastAsia"/>
                <w:sz w:val="24"/>
              </w:rPr>
              <w:t>不在</w:t>
            </w:r>
            <w:r>
              <w:rPr>
                <w:rFonts w:hint="default"/>
                <w:sz w:val="24"/>
              </w:rPr>
              <w:t>现场搅拌混凝土</w:t>
            </w:r>
            <w:r>
              <w:rPr>
                <w:rFonts w:hint="eastAsia"/>
                <w:sz w:val="24"/>
                <w:lang w:eastAsia="zh-CN"/>
              </w:rPr>
              <w:t>。</w:t>
            </w:r>
          </w:p>
          <w:p w14:paraId="3627564B">
            <w:pPr>
              <w:keepNext w:val="0"/>
              <w:keepLines w:val="0"/>
              <w:pageBreakBefore w:val="0"/>
              <w:widowControl w:val="0"/>
              <w:numPr>
                <w:ilvl w:val="0"/>
                <w:numId w:val="4"/>
              </w:numPr>
              <w:suppressLineNumbers w:val="0"/>
              <w:kinsoku/>
              <w:wordWrap/>
              <w:overflowPunct/>
              <w:topLinePunct w:val="0"/>
              <w:autoSpaceDE/>
              <w:autoSpaceDN/>
              <w:bidi w:val="0"/>
              <w:adjustRightInd w:val="0"/>
              <w:snapToGrid/>
              <w:spacing w:before="0" w:beforeAutospacing="0" w:after="0" w:afterAutospacing="0" w:line="520" w:lineRule="exact"/>
              <w:ind w:left="420" w:leftChars="200" w:right="0" w:rightChars="0" w:firstLine="0" w:firstLineChars="0"/>
              <w:textAlignment w:val="auto"/>
              <w:outlineLvl w:val="2"/>
              <w:rPr>
                <w:rFonts w:hint="eastAsia"/>
                <w:sz w:val="24"/>
                <w:szCs w:val="24"/>
                <w:lang w:val="en-US" w:eastAsia="zh-CN"/>
              </w:rPr>
            </w:pPr>
            <w:r>
              <w:rPr>
                <w:rFonts w:hint="eastAsia"/>
                <w:sz w:val="24"/>
                <w:szCs w:val="24"/>
                <w:lang w:val="en-US" w:eastAsia="zh-CN"/>
              </w:rPr>
              <w:t>施工临时堆土区</w:t>
            </w:r>
          </w:p>
          <w:p w14:paraId="18D0C134">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520" w:lineRule="exact"/>
              <w:ind w:left="0" w:leftChars="0" w:right="0" w:rightChars="0" w:firstLine="480" w:firstLineChars="200"/>
              <w:textAlignment w:val="auto"/>
              <w:outlineLvl w:val="2"/>
              <w:rPr>
                <w:rFonts w:hint="default"/>
                <w:sz w:val="24"/>
                <w:szCs w:val="24"/>
                <w:lang w:val="en-US" w:eastAsia="zh-CN"/>
              </w:rPr>
            </w:pPr>
            <w:r>
              <w:rPr>
                <w:rFonts w:hint="eastAsia"/>
                <w:sz w:val="24"/>
                <w:szCs w:val="24"/>
                <w:lang w:val="en-US" w:eastAsia="zh-CN"/>
              </w:rPr>
              <w:t>施工期间土石方开挖量较少，回填建设区，剩余暂存于项目运营期时用于堆存废石、废土的排土场，后期用于采坑回填。</w:t>
            </w:r>
          </w:p>
        </w:tc>
      </w:tr>
      <w:tr w14:paraId="32F79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5" w:type="pct"/>
            <w:vAlign w:val="center"/>
          </w:tcPr>
          <w:p w14:paraId="144B31F1">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施工方案</w:t>
            </w:r>
          </w:p>
        </w:tc>
        <w:tc>
          <w:tcPr>
            <w:tcW w:w="4754" w:type="pct"/>
            <w:vAlign w:val="center"/>
          </w:tcPr>
          <w:p w14:paraId="6DE6934E">
            <w:pPr>
              <w:pStyle w:val="2"/>
              <w:keepLines w:val="0"/>
              <w:suppressLineNumbers w:val="0"/>
              <w:spacing w:before="0" w:beforeAutospacing="0" w:after="0" w:afterAutospacing="0" w:line="520" w:lineRule="exact"/>
              <w:ind w:right="0"/>
              <w:rPr>
                <w:rFonts w:hint="default" w:eastAsia="宋体"/>
                <w:sz w:val="24"/>
                <w:szCs w:val="24"/>
              </w:rPr>
            </w:pPr>
            <w:r>
              <w:rPr>
                <w:rFonts w:hint="default" w:eastAsia="宋体"/>
                <w:sz w:val="24"/>
                <w:szCs w:val="24"/>
              </w:rPr>
              <w:t>1施工期</w:t>
            </w:r>
          </w:p>
          <w:p w14:paraId="76A3274D">
            <w:pPr>
              <w:pStyle w:val="2"/>
              <w:keepLines w:val="0"/>
              <w:suppressLineNumbers w:val="0"/>
              <w:spacing w:before="0" w:beforeAutospacing="0" w:after="0" w:afterAutospacing="0" w:line="520" w:lineRule="exact"/>
              <w:ind w:left="0" w:right="0" w:firstLine="482" w:firstLineChars="200"/>
              <w:rPr>
                <w:rFonts w:hint="default" w:eastAsia="宋体"/>
                <w:sz w:val="24"/>
                <w:szCs w:val="24"/>
              </w:rPr>
            </w:pPr>
            <w:r>
              <w:rPr>
                <w:rFonts w:hint="eastAsia" w:eastAsia="宋体"/>
                <w:sz w:val="24"/>
                <w:szCs w:val="24"/>
              </w:rPr>
              <w:t>1.1</w:t>
            </w:r>
            <w:r>
              <w:rPr>
                <w:rFonts w:hint="default" w:eastAsia="宋体"/>
                <w:sz w:val="24"/>
                <w:szCs w:val="24"/>
              </w:rPr>
              <w:t>施工工艺</w:t>
            </w:r>
          </w:p>
          <w:p w14:paraId="139AD8D2">
            <w:pPr>
              <w:keepNext w:val="0"/>
              <w:keepLines w:val="0"/>
              <w:suppressLineNumbers w:val="0"/>
              <w:spacing w:before="0" w:beforeAutospacing="0" w:after="0" w:afterAutospacing="0" w:line="520" w:lineRule="exact"/>
              <w:ind w:left="0" w:right="0" w:firstLine="480" w:firstLineChars="200"/>
              <w:rPr>
                <w:rFonts w:hint="eastAsia" w:eastAsia="宋体"/>
                <w:sz w:val="24"/>
                <w:lang w:val="en-US" w:eastAsia="zh-CN"/>
              </w:rPr>
            </w:pPr>
            <w:r>
              <w:rPr>
                <w:rFonts w:hint="eastAsia"/>
                <w:sz w:val="24"/>
                <w:lang w:val="en-US" w:eastAsia="zh-CN"/>
              </w:rPr>
              <w:t>基础建设前对矿山道路、生活区、排土场、临时堆料场与破碎筛分场地，进行表土剥离；露天采场矿体直接出露地表，不进行表土剥离。</w:t>
            </w:r>
          </w:p>
          <w:p w14:paraId="06BF7CE2">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施工期工艺流程见</w:t>
            </w:r>
            <w:r>
              <w:rPr>
                <w:rFonts w:hint="eastAsia"/>
                <w:sz w:val="24"/>
              </w:rPr>
              <w:t>下</w:t>
            </w:r>
            <w:r>
              <w:rPr>
                <w:rFonts w:hint="default"/>
                <w:sz w:val="24"/>
              </w:rPr>
              <w:t>图。</w:t>
            </w:r>
          </w:p>
          <w:p w14:paraId="45026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b/>
                <w:bCs/>
                <w:sz w:val="24"/>
              </w:rPr>
            </w:pPr>
            <w:r>
              <w:rPr>
                <w:rFonts w:hint="default"/>
              </w:rPr>
              <w:drawing>
                <wp:anchor distT="0" distB="0" distL="114300" distR="114300" simplePos="0" relativeHeight="251662336" behindDoc="0" locked="0" layoutInCell="1" allowOverlap="1">
                  <wp:simplePos x="0" y="0"/>
                  <wp:positionH relativeFrom="column">
                    <wp:posOffset>133350</wp:posOffset>
                  </wp:positionH>
                  <wp:positionV relativeFrom="paragraph">
                    <wp:posOffset>63500</wp:posOffset>
                  </wp:positionV>
                  <wp:extent cx="5086350" cy="1314450"/>
                  <wp:effectExtent l="0" t="0" r="0" b="0"/>
                  <wp:wrapSquare wrapText="bothSides"/>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9"/>
                          <a:stretch>
                            <a:fillRect/>
                          </a:stretch>
                        </pic:blipFill>
                        <pic:spPr>
                          <a:xfrm>
                            <a:off x="0" y="0"/>
                            <a:ext cx="5086350" cy="1314450"/>
                          </a:xfrm>
                          <a:prstGeom prst="rect">
                            <a:avLst/>
                          </a:prstGeom>
                          <a:noFill/>
                          <a:ln>
                            <a:noFill/>
                          </a:ln>
                        </pic:spPr>
                      </pic:pic>
                    </a:graphicData>
                  </a:graphic>
                </wp:anchor>
              </w:drawing>
            </w:r>
            <w:r>
              <w:rPr>
                <w:rFonts w:hint="default"/>
                <w:b/>
                <w:bCs/>
                <w:sz w:val="24"/>
              </w:rPr>
              <w:t>图2-</w:t>
            </w:r>
            <w:r>
              <w:rPr>
                <w:rFonts w:hint="eastAsia"/>
                <w:b/>
                <w:bCs/>
                <w:sz w:val="24"/>
                <w:lang w:val="en-US" w:eastAsia="zh-CN"/>
              </w:rPr>
              <w:t>2</w:t>
            </w:r>
            <w:r>
              <w:rPr>
                <w:rFonts w:hint="default"/>
                <w:b/>
                <w:bCs/>
                <w:sz w:val="24"/>
              </w:rPr>
              <w:t xml:space="preserve">  施工期主体工程工艺流程及产污情况图</w:t>
            </w:r>
          </w:p>
          <w:p w14:paraId="2C0CB5BD">
            <w:pPr>
              <w:keepNext w:val="0"/>
              <w:keepLines w:val="0"/>
              <w:suppressLineNumbers w:val="0"/>
              <w:spacing w:before="0" w:beforeAutospacing="0" w:after="0" w:afterAutospacing="0" w:line="520" w:lineRule="exact"/>
              <w:ind w:left="0" w:right="0" w:firstLine="482" w:firstLineChars="200"/>
              <w:rPr>
                <w:rFonts w:hint="default"/>
                <w:b/>
                <w:bCs/>
                <w:sz w:val="24"/>
              </w:rPr>
            </w:pPr>
            <w:r>
              <w:rPr>
                <w:rFonts w:hint="eastAsia"/>
                <w:b/>
                <w:bCs/>
                <w:sz w:val="24"/>
                <w:lang w:val="en-US" w:eastAsia="zh-CN"/>
              </w:rPr>
              <w:t>1</w:t>
            </w:r>
            <w:r>
              <w:rPr>
                <w:rFonts w:hint="eastAsia"/>
                <w:b/>
                <w:bCs/>
                <w:sz w:val="24"/>
              </w:rPr>
              <w:t>.2</w:t>
            </w:r>
            <w:r>
              <w:rPr>
                <w:rFonts w:hint="default"/>
                <w:b/>
                <w:bCs/>
                <w:sz w:val="24"/>
              </w:rPr>
              <w:t>施工时序及建设周期</w:t>
            </w:r>
          </w:p>
          <w:p w14:paraId="1C975421">
            <w:pPr>
              <w:keepNext w:val="0"/>
              <w:keepLines w:val="0"/>
              <w:suppressLineNumbers w:val="0"/>
              <w:spacing w:before="0" w:beforeAutospacing="0" w:after="0" w:afterAutospacing="0" w:line="520" w:lineRule="exact"/>
              <w:ind w:left="0" w:right="0" w:firstLine="480" w:firstLineChars="200"/>
              <w:rPr>
                <w:rFonts w:hint="eastAsia" w:ascii="Times New Roman" w:hAnsi="Times New Roman" w:eastAsia="宋体" w:cs="Times New Roman"/>
                <w:sz w:val="24"/>
                <w:lang w:eastAsia="zh-CN"/>
              </w:rPr>
            </w:pPr>
            <w:r>
              <w:rPr>
                <w:rFonts w:hint="default" w:ascii="Times New Roman" w:hAnsi="Times New Roman" w:cs="Times New Roman"/>
                <w:sz w:val="24"/>
              </w:rPr>
              <w:t>基建期为</w:t>
            </w:r>
            <w:r>
              <w:rPr>
                <w:rFonts w:hint="eastAsia" w:cs="Times New Roman"/>
                <w:sz w:val="24"/>
                <w:lang w:val="en-US" w:eastAsia="zh-CN"/>
              </w:rPr>
              <w:t>6</w:t>
            </w:r>
            <w:r>
              <w:rPr>
                <w:rFonts w:hint="default" w:ascii="Times New Roman" w:hAnsi="Times New Roman" w:cs="Times New Roman"/>
                <w:sz w:val="24"/>
              </w:rPr>
              <w:t>个月，从202</w:t>
            </w:r>
            <w:r>
              <w:rPr>
                <w:rFonts w:hint="eastAsia" w:cs="Times New Roman"/>
                <w:sz w:val="24"/>
                <w:lang w:val="en-US" w:eastAsia="zh-CN"/>
              </w:rPr>
              <w:t>5</w:t>
            </w:r>
            <w:r>
              <w:rPr>
                <w:rFonts w:hint="default" w:ascii="Times New Roman" w:hAnsi="Times New Roman" w:cs="Times New Roman"/>
                <w:sz w:val="24"/>
              </w:rPr>
              <w:t>年</w:t>
            </w:r>
            <w:r>
              <w:rPr>
                <w:rFonts w:hint="eastAsia" w:cs="Times New Roman"/>
                <w:sz w:val="24"/>
                <w:lang w:val="en-US" w:eastAsia="zh-CN"/>
              </w:rPr>
              <w:t>4</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sz w:val="24"/>
              </w:rPr>
              <w:t>起至202</w:t>
            </w:r>
            <w:r>
              <w:rPr>
                <w:rFonts w:hint="eastAsia" w:cs="Times New Roman"/>
                <w:sz w:val="24"/>
                <w:lang w:val="en-US" w:eastAsia="zh-CN"/>
              </w:rPr>
              <w:t>5</w:t>
            </w:r>
            <w:r>
              <w:rPr>
                <w:rFonts w:hint="default" w:ascii="Times New Roman" w:hAnsi="Times New Roman" w:cs="Times New Roman"/>
                <w:sz w:val="24"/>
              </w:rPr>
              <w:t>年</w:t>
            </w:r>
            <w:r>
              <w:rPr>
                <w:rFonts w:hint="eastAsia" w:cs="Times New Roman"/>
                <w:sz w:val="24"/>
                <w:lang w:val="en-US" w:eastAsia="zh-CN"/>
              </w:rPr>
              <w:t>9</w:t>
            </w:r>
            <w:r>
              <w:rPr>
                <w:rFonts w:hint="default" w:ascii="Times New Roman" w:hAnsi="Times New Roman" w:cs="Times New Roman"/>
                <w:sz w:val="24"/>
              </w:rPr>
              <w:t>月结束</w:t>
            </w:r>
            <w:r>
              <w:rPr>
                <w:rFonts w:hint="eastAsia" w:cs="Times New Roman"/>
                <w:sz w:val="24"/>
                <w:lang w:eastAsia="zh-CN"/>
              </w:rPr>
              <w:t>。</w:t>
            </w:r>
          </w:p>
          <w:p w14:paraId="35003295">
            <w:pPr>
              <w:keepNext w:val="0"/>
              <w:keepLines w:val="0"/>
              <w:suppressLineNumbers w:val="0"/>
              <w:spacing w:before="0" w:beforeAutospacing="0" w:after="0" w:afterAutospacing="0" w:line="520" w:lineRule="exact"/>
              <w:ind w:left="0" w:right="0"/>
              <w:rPr>
                <w:rFonts w:hint="default"/>
                <w:b/>
                <w:sz w:val="24"/>
              </w:rPr>
            </w:pPr>
            <w:r>
              <w:rPr>
                <w:rFonts w:hint="default"/>
                <w:b/>
                <w:sz w:val="24"/>
              </w:rPr>
              <w:t>2运营期</w:t>
            </w:r>
          </w:p>
          <w:p w14:paraId="1C8AB92D">
            <w:pPr>
              <w:keepNext w:val="0"/>
              <w:keepLines w:val="0"/>
              <w:suppressLineNumbers w:val="0"/>
              <w:spacing w:before="0" w:beforeAutospacing="0" w:after="0" w:afterAutospacing="0" w:line="520" w:lineRule="exact"/>
              <w:ind w:left="0" w:right="0" w:firstLine="482" w:firstLineChars="200"/>
              <w:rPr>
                <w:rFonts w:hint="default"/>
                <w:b/>
                <w:bCs/>
                <w:sz w:val="24"/>
              </w:rPr>
            </w:pPr>
            <w:r>
              <w:rPr>
                <w:rFonts w:hint="default"/>
                <w:b/>
                <w:bCs/>
                <w:sz w:val="24"/>
              </w:rPr>
              <w:t>2.1采矿工艺流程</w:t>
            </w:r>
          </w:p>
          <w:p w14:paraId="7B83E810">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采矿工艺流程如</w:t>
            </w:r>
            <w:r>
              <w:rPr>
                <w:rFonts w:hint="eastAsia"/>
                <w:sz w:val="24"/>
              </w:rPr>
              <w:t>下</w:t>
            </w:r>
            <w:r>
              <w:rPr>
                <w:rFonts w:hint="default"/>
                <w:sz w:val="24"/>
              </w:rPr>
              <w:t>所示：</w:t>
            </w:r>
          </w:p>
          <w:p w14:paraId="1433920A">
            <w:pPr>
              <w:keepNext w:val="0"/>
              <w:keepLines w:val="0"/>
              <w:suppressLineNumbers w:val="0"/>
              <w:spacing w:before="0" w:beforeAutospacing="0" w:after="0" w:afterAutospacing="0" w:line="520" w:lineRule="exact"/>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根据矿山地形地质条件、矿山建设规模及可达到的机械化程度</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sz w:val="24"/>
              </w:rPr>
              <w:t>设计采用自上而下水平分层、台阶式</w:t>
            </w:r>
            <w:r>
              <w:rPr>
                <w:rFonts w:hint="eastAsia" w:ascii="Times New Roman" w:hAnsi="Times New Roman" w:eastAsia="宋体"/>
                <w:sz w:val="24"/>
                <w:lang w:val="en-US" w:eastAsia="zh-CN"/>
              </w:rPr>
              <w:t>开采，</w:t>
            </w:r>
            <w:r>
              <w:rPr>
                <w:rFonts w:hint="eastAsia" w:ascii="Times New Roman" w:hAnsi="Times New Roman" w:eastAsia="宋体" w:cs="Times New Roman"/>
                <w:color w:val="auto"/>
                <w:sz w:val="24"/>
                <w:szCs w:val="24"/>
                <w:highlight w:val="none"/>
                <w:lang w:val="en-US" w:eastAsia="zh-CN"/>
              </w:rPr>
              <w:t>中深孔微差爆破，全液压挖掘机采装</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公路开拓，自卸汽车运输方案。</w:t>
            </w:r>
          </w:p>
          <w:p w14:paraId="1E27C57E">
            <w:pPr>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right="0" w:firstLine="480" w:firstLineChars="200"/>
              <w:textAlignment w:val="auto"/>
              <w:rPr>
                <w:rFonts w:hint="eastAsia" w:ascii="宋体" w:hAnsi="宋体"/>
                <w:color w:val="auto"/>
                <w:sz w:val="24"/>
              </w:rPr>
            </w:pPr>
            <w:r>
              <w:rPr>
                <w:rFonts w:hint="eastAsia" w:ascii="Times New Roman" w:hAnsi="Times New Roman" w:eastAsia="宋体"/>
                <w:color w:val="auto"/>
                <w:sz w:val="24"/>
              </w:rPr>
              <w:t>开采工艺流程：露天潜孔钻机</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凿岩机穿孔→中深孔</w:t>
            </w:r>
            <w:r>
              <w:rPr>
                <w:rFonts w:hint="eastAsia" w:ascii="Times New Roman" w:hAnsi="Times New Roman" w:eastAsia="宋体"/>
                <w:color w:val="auto"/>
                <w:sz w:val="24"/>
                <w:lang w:val="en-US" w:eastAsia="zh-CN"/>
              </w:rPr>
              <w:t>微差挤压</w:t>
            </w:r>
            <w:r>
              <w:rPr>
                <w:rFonts w:hint="eastAsia" w:ascii="Times New Roman" w:hAnsi="Times New Roman" w:eastAsia="宋体"/>
                <w:color w:val="auto"/>
                <w:sz w:val="24"/>
              </w:rPr>
              <w:t>爆破→挖掘机铲装</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若存在大块矿石采用GB220E液压破碎器进行破碎</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自卸</w:t>
            </w:r>
            <w:r>
              <w:rPr>
                <w:rFonts w:hint="eastAsia" w:ascii="Times New Roman" w:hAnsi="Times New Roman" w:eastAsia="宋体"/>
                <w:color w:val="auto"/>
                <w:sz w:val="24"/>
              </w:rPr>
              <w:t>汽车运</w:t>
            </w:r>
            <w:r>
              <w:rPr>
                <w:rFonts w:hint="eastAsia" w:ascii="宋体" w:hAnsi="宋体"/>
                <w:color w:val="auto"/>
                <w:sz w:val="24"/>
              </w:rPr>
              <w:t>输生产工艺。</w:t>
            </w:r>
          </w:p>
          <w:p w14:paraId="42216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Times New Roman" w:hAnsi="Times New Roman" w:eastAsia="宋体"/>
                <w:b/>
                <w:bCs/>
                <w:sz w:val="24"/>
                <w:szCs w:val="36"/>
                <w:lang w:val="en-US" w:eastAsia="zh-CN"/>
              </w:rPr>
            </w:pPr>
            <w:r>
              <w:rPr>
                <w:rFonts w:hint="default" w:ascii="Times New Roman" w:hAnsi="Times New Roman" w:eastAsia="宋体"/>
                <w:b/>
                <w:bCs/>
                <w:sz w:val="24"/>
                <w:szCs w:val="36"/>
              </w:rPr>
              <w:drawing>
                <wp:anchor distT="0" distB="0" distL="114300" distR="114300" simplePos="0" relativeHeight="251664384" behindDoc="0" locked="0" layoutInCell="1" allowOverlap="1">
                  <wp:simplePos x="0" y="0"/>
                  <wp:positionH relativeFrom="column">
                    <wp:posOffset>5715</wp:posOffset>
                  </wp:positionH>
                  <wp:positionV relativeFrom="paragraph">
                    <wp:posOffset>-6950710</wp:posOffset>
                  </wp:positionV>
                  <wp:extent cx="5326380" cy="1747520"/>
                  <wp:effectExtent l="0" t="0" r="0" b="0"/>
                  <wp:wrapTopAndBottom/>
                  <wp:docPr id="7" name="图片 7" descr="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2-3"/>
                          <pic:cNvPicPr>
                            <a:picLocks noChangeAspect="1"/>
                          </pic:cNvPicPr>
                        </pic:nvPicPr>
                        <pic:blipFill>
                          <a:blip r:embed="rId10"/>
                          <a:stretch>
                            <a:fillRect/>
                          </a:stretch>
                        </pic:blipFill>
                        <pic:spPr>
                          <a:xfrm>
                            <a:off x="0" y="0"/>
                            <a:ext cx="5326380" cy="1747520"/>
                          </a:xfrm>
                          <a:prstGeom prst="rect">
                            <a:avLst/>
                          </a:prstGeom>
                        </pic:spPr>
                      </pic:pic>
                    </a:graphicData>
                  </a:graphic>
                </wp:anchor>
              </w:drawing>
            </w:r>
            <w:r>
              <w:rPr>
                <w:rFonts w:hint="eastAsia" w:eastAsia="宋体"/>
                <w:b/>
                <w:bCs/>
                <w:sz w:val="24"/>
                <w:lang w:val="en-US" w:eastAsia="zh-CN"/>
              </w:rPr>
              <w:drawing>
                <wp:anchor distT="0" distB="0" distL="114300" distR="114300" simplePos="0" relativeHeight="251663360" behindDoc="0" locked="0" layoutInCell="1" allowOverlap="1">
                  <wp:simplePos x="0" y="0"/>
                  <wp:positionH relativeFrom="column">
                    <wp:posOffset>672465</wp:posOffset>
                  </wp:positionH>
                  <wp:positionV relativeFrom="paragraph">
                    <wp:posOffset>2072640</wp:posOffset>
                  </wp:positionV>
                  <wp:extent cx="3760470" cy="5777230"/>
                  <wp:effectExtent l="0" t="0" r="11430" b="13970"/>
                  <wp:wrapTopAndBottom/>
                  <wp:docPr id="6" name="图片 6" descr="开发利用附图(修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开发利用附图(修11"/>
                          <pic:cNvPicPr>
                            <a:picLocks noChangeAspect="1"/>
                          </pic:cNvPicPr>
                        </pic:nvPicPr>
                        <pic:blipFill>
                          <a:blip r:embed="rId11"/>
                          <a:stretch>
                            <a:fillRect/>
                          </a:stretch>
                        </pic:blipFill>
                        <pic:spPr>
                          <a:xfrm>
                            <a:off x="0" y="0"/>
                            <a:ext cx="3760470" cy="5777230"/>
                          </a:xfrm>
                          <a:prstGeom prst="rect">
                            <a:avLst/>
                          </a:prstGeom>
                        </pic:spPr>
                      </pic:pic>
                    </a:graphicData>
                  </a:graphic>
                </wp:anchor>
              </w:drawing>
            </w:r>
            <w:r>
              <w:rPr>
                <w:rFonts w:hint="default" w:ascii="Times New Roman" w:hAnsi="Times New Roman" w:eastAsia="宋体"/>
                <w:b/>
                <w:bCs/>
                <w:sz w:val="24"/>
                <w:szCs w:val="36"/>
              </w:rPr>
              <w:t>图</w:t>
            </w:r>
            <w:r>
              <w:rPr>
                <w:rFonts w:hint="eastAsia" w:ascii="Times New Roman" w:hAnsi="Times New Roman" w:eastAsia="宋体"/>
                <w:b/>
                <w:bCs/>
                <w:sz w:val="24"/>
                <w:szCs w:val="36"/>
                <w:lang w:val="en-US" w:eastAsia="zh-CN"/>
              </w:rPr>
              <w:t>2</w:t>
            </w:r>
            <w:r>
              <w:rPr>
                <w:rFonts w:hint="eastAsia" w:ascii="Times New Roman" w:hAnsi="Times New Roman" w:eastAsia="宋体"/>
                <w:b/>
                <w:bCs/>
                <w:sz w:val="24"/>
                <w:szCs w:val="36"/>
                <w:lang w:eastAsia="zh-CN"/>
              </w:rPr>
              <w:t>-</w:t>
            </w:r>
            <w:r>
              <w:rPr>
                <w:rFonts w:hint="eastAsia" w:ascii="Times New Roman" w:hAnsi="Times New Roman" w:eastAsia="宋体"/>
                <w:b/>
                <w:bCs/>
                <w:sz w:val="24"/>
                <w:szCs w:val="36"/>
                <w:lang w:val="en-US" w:eastAsia="zh-CN"/>
              </w:rPr>
              <w:t xml:space="preserve">3  </w:t>
            </w:r>
            <w:r>
              <w:rPr>
                <w:rFonts w:hint="default"/>
                <w:b/>
                <w:bCs/>
                <w:sz w:val="24"/>
              </w:rPr>
              <w:t>运营期采矿工艺流程及产污环节</w:t>
            </w:r>
            <w:r>
              <w:rPr>
                <w:rFonts w:hint="eastAsia"/>
                <w:b/>
                <w:bCs/>
                <w:sz w:val="24"/>
                <w:lang w:val="en-US" w:eastAsia="zh-CN"/>
              </w:rPr>
              <w:t>图</w:t>
            </w:r>
          </w:p>
          <w:p w14:paraId="206D5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0" w:firstLineChars="0"/>
              <w:jc w:val="center"/>
              <w:textAlignment w:val="auto"/>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图2-</w:t>
            </w:r>
            <w:r>
              <w:rPr>
                <w:rFonts w:hint="eastAsia" w:cs="Times New Roman"/>
                <w:b/>
                <w:bCs/>
                <w:sz w:val="24"/>
                <w:lang w:val="en-US" w:eastAsia="zh-CN"/>
              </w:rPr>
              <w:t>4</w:t>
            </w:r>
            <w:r>
              <w:rPr>
                <w:rFonts w:hint="eastAsia" w:ascii="Times New Roman" w:hAnsi="Times New Roman" w:eastAsia="宋体" w:cs="Times New Roman"/>
                <w:b/>
                <w:bCs/>
                <w:sz w:val="24"/>
                <w:lang w:val="en-US" w:eastAsia="zh-CN"/>
              </w:rPr>
              <w:t>采矿方法图</w:t>
            </w:r>
          </w:p>
          <w:p w14:paraId="616CF0E2">
            <w:pPr>
              <w:keepNext w:val="0"/>
              <w:keepLines w:val="0"/>
              <w:suppressLineNumbers w:val="0"/>
              <w:spacing w:before="0" w:beforeAutospacing="0" w:after="0" w:afterAutospacing="0" w:line="520" w:lineRule="exact"/>
              <w:ind w:left="0" w:right="0" w:firstLine="482" w:firstLineChars="200"/>
              <w:rPr>
                <w:rFonts w:hint="default"/>
                <w:b/>
                <w:bCs/>
                <w:sz w:val="24"/>
              </w:rPr>
            </w:pPr>
            <w:r>
              <w:rPr>
                <w:rFonts w:hint="default"/>
                <w:b/>
                <w:bCs/>
                <w:sz w:val="24"/>
              </w:rPr>
              <w:t>2.2</w:t>
            </w:r>
            <w:r>
              <w:rPr>
                <w:rFonts w:hint="eastAsia"/>
                <w:b/>
                <w:bCs/>
                <w:sz w:val="24"/>
                <w:lang w:val="en-US" w:eastAsia="zh-CN"/>
              </w:rPr>
              <w:t>破碎筛分加工</w:t>
            </w:r>
            <w:r>
              <w:rPr>
                <w:rFonts w:hint="default"/>
                <w:b/>
                <w:bCs/>
                <w:sz w:val="24"/>
              </w:rPr>
              <w:t>工艺流程</w:t>
            </w:r>
          </w:p>
          <w:p w14:paraId="1595D58C">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eastAsia="宋体"/>
                <w:sz w:val="24"/>
                <w:lang w:eastAsia="zh-CN"/>
              </w:rPr>
              <w:drawing>
                <wp:anchor distT="0" distB="0" distL="114300" distR="114300" simplePos="0" relativeHeight="251661312" behindDoc="0" locked="0" layoutInCell="1" allowOverlap="1">
                  <wp:simplePos x="0" y="0"/>
                  <wp:positionH relativeFrom="column">
                    <wp:posOffset>-59055</wp:posOffset>
                  </wp:positionH>
                  <wp:positionV relativeFrom="paragraph">
                    <wp:posOffset>492125</wp:posOffset>
                  </wp:positionV>
                  <wp:extent cx="5081270" cy="6108065"/>
                  <wp:effectExtent l="0" t="0" r="0" b="0"/>
                  <wp:wrapSquare wrapText="bothSides"/>
                  <wp:docPr id="3" name="图片 3" descr="产污环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产污环节图"/>
                          <pic:cNvPicPr>
                            <a:picLocks noChangeAspect="1"/>
                          </pic:cNvPicPr>
                        </pic:nvPicPr>
                        <pic:blipFill>
                          <a:blip r:embed="rId12"/>
                          <a:stretch>
                            <a:fillRect/>
                          </a:stretch>
                        </pic:blipFill>
                        <pic:spPr>
                          <a:xfrm>
                            <a:off x="0" y="0"/>
                            <a:ext cx="5081270" cy="6108065"/>
                          </a:xfrm>
                          <a:prstGeom prst="rect">
                            <a:avLst/>
                          </a:prstGeom>
                        </pic:spPr>
                      </pic:pic>
                    </a:graphicData>
                  </a:graphic>
                </wp:anchor>
              </w:drawing>
            </w:r>
            <w:r>
              <w:rPr>
                <w:rFonts w:hint="default"/>
                <w:sz w:val="24"/>
              </w:rPr>
              <w:t>本项目加工工艺流程如</w:t>
            </w:r>
            <w:r>
              <w:rPr>
                <w:rFonts w:hint="eastAsia"/>
                <w:sz w:val="24"/>
              </w:rPr>
              <w:t>下</w:t>
            </w:r>
            <w:r>
              <w:rPr>
                <w:rFonts w:hint="default"/>
                <w:sz w:val="24"/>
              </w:rPr>
              <w:t>所示：</w:t>
            </w:r>
          </w:p>
          <w:p w14:paraId="2EB261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bCs/>
                <w:sz w:val="24"/>
                <w:lang w:val="en-US" w:eastAsia="zh-CN"/>
              </w:rPr>
            </w:pPr>
            <w:r>
              <w:rPr>
                <w:rFonts w:hint="default"/>
                <w:b/>
                <w:bCs/>
                <w:sz w:val="24"/>
              </w:rPr>
              <w:t>图</w:t>
            </w:r>
            <w:r>
              <w:rPr>
                <w:rFonts w:hint="eastAsia"/>
                <w:b/>
                <w:bCs/>
                <w:sz w:val="24"/>
              </w:rPr>
              <w:t>2-5</w:t>
            </w:r>
            <w:r>
              <w:rPr>
                <w:rFonts w:hint="default"/>
                <w:b/>
                <w:bCs/>
                <w:sz w:val="24"/>
              </w:rPr>
              <w:t xml:space="preserve">  运营期加工工艺流程及产污环节</w:t>
            </w:r>
            <w:r>
              <w:rPr>
                <w:rFonts w:hint="eastAsia"/>
                <w:b/>
                <w:bCs/>
                <w:sz w:val="24"/>
                <w:lang w:val="en-US" w:eastAsia="zh-CN"/>
              </w:rPr>
              <w:t>图</w:t>
            </w:r>
          </w:p>
          <w:p w14:paraId="6F587743">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（1）</w:t>
            </w:r>
            <w:r>
              <w:rPr>
                <w:rFonts w:hint="eastAsia"/>
                <w:sz w:val="24"/>
              </w:rPr>
              <w:t>上料</w:t>
            </w:r>
          </w:p>
          <w:p w14:paraId="66B99FDE">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rPr>
              <w:t>项目</w:t>
            </w:r>
            <w:r>
              <w:rPr>
                <w:rFonts w:hint="eastAsia"/>
                <w:sz w:val="24"/>
                <w:lang w:val="en-US" w:eastAsia="zh-CN"/>
              </w:rPr>
              <w:t>中</w:t>
            </w:r>
            <w:r>
              <w:rPr>
                <w:rFonts w:hint="eastAsia"/>
                <w:sz w:val="24"/>
              </w:rPr>
              <w:t>原矿仓内的矿石通过GBZ240-4重板给料机给入PE-870×1060颚式破碎机进行上料，</w:t>
            </w:r>
            <w:r>
              <w:rPr>
                <w:rFonts w:hint="default"/>
                <w:sz w:val="24"/>
              </w:rPr>
              <w:t>该流程</w:t>
            </w:r>
            <w:r>
              <w:rPr>
                <w:rFonts w:hint="eastAsia"/>
                <w:sz w:val="24"/>
              </w:rPr>
              <w:t>会</w:t>
            </w:r>
            <w:r>
              <w:rPr>
                <w:rFonts w:hint="default"/>
                <w:sz w:val="24"/>
              </w:rPr>
              <w:t>产生</w:t>
            </w:r>
            <w:r>
              <w:rPr>
                <w:rFonts w:hint="eastAsia"/>
                <w:sz w:val="24"/>
              </w:rPr>
              <w:t>废气、噪声。</w:t>
            </w:r>
          </w:p>
          <w:p w14:paraId="74DE787E">
            <w:pPr>
              <w:keepNext w:val="0"/>
              <w:keepLines w:val="0"/>
              <w:suppressLineNumbers w:val="0"/>
              <w:spacing w:before="0" w:beforeAutospacing="0" w:after="0" w:afterAutospacing="0" w:line="520" w:lineRule="exact"/>
              <w:ind w:left="0" w:right="0" w:firstLine="480" w:firstLineChars="200"/>
              <w:rPr>
                <w:rFonts w:hint="eastAsia" w:eastAsia="宋体"/>
                <w:sz w:val="24"/>
                <w:lang w:eastAsia="zh-CN"/>
              </w:rPr>
            </w:pPr>
            <w:r>
              <w:rPr>
                <w:rFonts w:hint="eastAsia"/>
                <w:sz w:val="24"/>
              </w:rPr>
              <w:t>（2）</w:t>
            </w:r>
            <w:r>
              <w:rPr>
                <w:rFonts w:hint="eastAsia"/>
                <w:sz w:val="24"/>
                <w:lang w:val="en-US" w:eastAsia="zh-CN"/>
              </w:rPr>
              <w:t>破碎</w:t>
            </w:r>
          </w:p>
          <w:p w14:paraId="2E9B5AF0">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rPr>
              <w:t>矿石通过给料机给入两台PE-870×1060颚式破碎机</w:t>
            </w:r>
            <w:r>
              <w:rPr>
                <w:rFonts w:hint="eastAsia"/>
                <w:sz w:val="24"/>
                <w:lang w:val="en-US" w:eastAsia="zh-CN"/>
              </w:rPr>
              <w:t>内</w:t>
            </w:r>
            <w:r>
              <w:rPr>
                <w:rFonts w:hint="eastAsia"/>
                <w:sz w:val="24"/>
              </w:rPr>
              <w:t>破碎，此过程会产生废气、噪声</w:t>
            </w:r>
            <w:r>
              <w:rPr>
                <w:rFonts w:hint="eastAsia"/>
                <w:sz w:val="24"/>
                <w:lang w:eastAsia="zh-CN"/>
              </w:rPr>
              <w:t>、</w:t>
            </w:r>
            <w:r>
              <w:rPr>
                <w:rFonts w:hint="eastAsia"/>
                <w:sz w:val="24"/>
                <w:lang w:val="en-US" w:eastAsia="zh-CN"/>
              </w:rPr>
              <w:t>固废</w:t>
            </w:r>
            <w:r>
              <w:rPr>
                <w:rFonts w:hint="eastAsia"/>
                <w:sz w:val="24"/>
              </w:rPr>
              <w:t>。</w:t>
            </w:r>
          </w:p>
          <w:p w14:paraId="7A4028F6">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w:t>
            </w:r>
            <w:r>
              <w:rPr>
                <w:rFonts w:hint="eastAsia"/>
                <w:sz w:val="24"/>
              </w:rPr>
              <w:t>3</w:t>
            </w:r>
            <w:r>
              <w:rPr>
                <w:rFonts w:hint="default"/>
                <w:sz w:val="24"/>
              </w:rPr>
              <w:t>）输送机输送至</w:t>
            </w:r>
            <w:r>
              <w:rPr>
                <w:rFonts w:hint="eastAsia"/>
                <w:sz w:val="24"/>
              </w:rPr>
              <w:t>振动筛</w:t>
            </w:r>
          </w:p>
          <w:p w14:paraId="47B7D269">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rPr>
              <w:t>破碎机</w:t>
            </w:r>
            <w:r>
              <w:rPr>
                <w:rFonts w:hint="eastAsia"/>
                <w:sz w:val="24"/>
                <w:lang w:val="en-US" w:eastAsia="zh-CN"/>
              </w:rPr>
              <w:t>内</w:t>
            </w:r>
            <w:r>
              <w:rPr>
                <w:rFonts w:hint="eastAsia"/>
                <w:sz w:val="24"/>
              </w:rPr>
              <w:t>破碎</w:t>
            </w:r>
            <w:r>
              <w:rPr>
                <w:rFonts w:hint="eastAsia"/>
                <w:sz w:val="24"/>
                <w:lang w:val="en-US" w:eastAsia="zh-CN"/>
              </w:rPr>
              <w:t>后的</w:t>
            </w:r>
            <w:r>
              <w:rPr>
                <w:rFonts w:hint="eastAsia" w:ascii="Times New Roman" w:hAnsi="Times New Roman" w:eastAsia="宋体" w:cs="Times New Roman"/>
                <w:sz w:val="24"/>
              </w:rPr>
              <w:t>矿</w:t>
            </w:r>
            <w:r>
              <w:rPr>
                <w:rFonts w:hint="eastAsia" w:ascii="Times New Roman" w:hAnsi="Times New Roman" w:eastAsia="宋体" w:cs="Times New Roman"/>
                <w:sz w:val="24"/>
                <w:lang w:val="en-US" w:eastAsia="zh-CN"/>
              </w:rPr>
              <w:t>石</w:t>
            </w:r>
            <w:r>
              <w:rPr>
                <w:rFonts w:hint="eastAsia"/>
                <w:sz w:val="24"/>
              </w:rPr>
              <w:t>通过</w:t>
            </w:r>
            <w:r>
              <w:rPr>
                <w:rFonts w:hint="eastAsia"/>
                <w:sz w:val="24"/>
                <w:lang w:val="en-US" w:eastAsia="zh-CN"/>
              </w:rPr>
              <w:t>一</w:t>
            </w:r>
            <w:r>
              <w:rPr>
                <w:rFonts w:hint="eastAsia"/>
                <w:sz w:val="24"/>
              </w:rPr>
              <w:t>号输送机</w:t>
            </w:r>
            <w:r>
              <w:rPr>
                <w:rFonts w:hint="eastAsia"/>
                <w:sz w:val="24"/>
                <w:lang w:val="en-US" w:eastAsia="zh-CN"/>
              </w:rPr>
              <w:t>输送至</w:t>
            </w:r>
            <w:r>
              <w:rPr>
                <w:rFonts w:hint="eastAsia"/>
                <w:sz w:val="24"/>
              </w:rPr>
              <w:t>两台SZZ1800×4800直线振动筛进行筛分，输送过程中会产生少量无组织粉尘，由于输送带密闭输送，粉尘量可忽略不计，该过程会产生噪声</w:t>
            </w:r>
            <w:r>
              <w:rPr>
                <w:rFonts w:hint="default"/>
                <w:sz w:val="24"/>
              </w:rPr>
              <w:t>。</w:t>
            </w:r>
          </w:p>
          <w:p w14:paraId="1CF9AFB9">
            <w:pPr>
              <w:keepNext w:val="0"/>
              <w:keepLines w:val="0"/>
              <w:suppressLineNumbers w:val="0"/>
              <w:spacing w:before="0" w:beforeAutospacing="0" w:after="0" w:afterAutospacing="0" w:line="520" w:lineRule="exact"/>
              <w:ind w:left="0" w:right="0" w:firstLine="480" w:firstLineChars="200"/>
              <w:rPr>
                <w:rFonts w:hint="eastAsia"/>
                <w:sz w:val="24"/>
              </w:rPr>
            </w:pPr>
            <w:r>
              <w:rPr>
                <w:rFonts w:hint="eastAsia"/>
                <w:sz w:val="24"/>
              </w:rPr>
              <w:t>筛</w:t>
            </w:r>
            <w:r>
              <w:rPr>
                <w:rFonts w:hint="eastAsia"/>
                <w:sz w:val="24"/>
                <w:lang w:val="en-US" w:eastAsia="zh-CN"/>
              </w:rPr>
              <w:t>分出</w:t>
            </w:r>
            <w:r>
              <w:rPr>
                <w:rFonts w:hint="eastAsia"/>
                <w:sz w:val="24"/>
              </w:rPr>
              <w:t>不合格矿石</w:t>
            </w:r>
            <w:r>
              <w:rPr>
                <w:rFonts w:hint="eastAsia"/>
                <w:sz w:val="24"/>
                <w:lang w:eastAsia="zh-CN"/>
              </w:rPr>
              <w:t>，</w:t>
            </w:r>
            <w:r>
              <w:rPr>
                <w:rFonts w:hint="eastAsia"/>
                <w:sz w:val="24"/>
                <w:lang w:val="en-US" w:eastAsia="zh-CN"/>
              </w:rPr>
              <w:t>通过二号</w:t>
            </w:r>
            <w:r>
              <w:rPr>
                <w:rFonts w:hint="eastAsia"/>
                <w:sz w:val="24"/>
              </w:rPr>
              <w:t>输送机输送</w:t>
            </w:r>
            <w:r>
              <w:rPr>
                <w:rFonts w:hint="eastAsia"/>
                <w:sz w:val="24"/>
                <w:lang w:val="en-US" w:eastAsia="zh-CN"/>
              </w:rPr>
              <w:t>至GP200立式破碎机中碎</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中碎产品与粗碎产品合并，然后通过</w:t>
            </w:r>
            <w:r>
              <w:rPr>
                <w:rFonts w:hint="eastAsia" w:ascii="Times New Roman" w:hAnsi="Times New Roman" w:eastAsia="宋体" w:cs="Times New Roman"/>
                <w:sz w:val="24"/>
                <w:lang w:val="en-US" w:eastAsia="zh-CN"/>
              </w:rPr>
              <w:t>一</w:t>
            </w:r>
            <w:r>
              <w:rPr>
                <w:rFonts w:hint="eastAsia" w:ascii="Times New Roman" w:hAnsi="Times New Roman" w:eastAsia="宋体" w:cs="Times New Roman"/>
                <w:sz w:val="24"/>
              </w:rPr>
              <w:t>号胶带输送机</w:t>
            </w:r>
            <w:r>
              <w:rPr>
                <w:rFonts w:hint="eastAsia" w:ascii="Times New Roman" w:hAnsi="Times New Roman" w:eastAsia="宋体" w:cs="Times New Roman"/>
                <w:sz w:val="24"/>
                <w:lang w:val="en-US" w:eastAsia="zh-CN"/>
              </w:rPr>
              <w:t>输送至</w:t>
            </w:r>
            <w:r>
              <w:rPr>
                <w:rFonts w:hint="eastAsia" w:ascii="Times New Roman" w:hAnsi="Times New Roman" w:eastAsia="宋体" w:cs="Times New Roman"/>
                <w:sz w:val="24"/>
              </w:rPr>
              <w:t>SZZ1800×4800直线振动筛进行筛分</w:t>
            </w:r>
            <w:r>
              <w:rPr>
                <w:rFonts w:hint="eastAsia" w:ascii="Times New Roman" w:hAnsi="Times New Roman" w:eastAsia="宋体" w:cs="Times New Roman"/>
                <w:sz w:val="24"/>
                <w:lang w:eastAsia="zh-CN"/>
              </w:rPr>
              <w:t>，</w:t>
            </w:r>
            <w:r>
              <w:rPr>
                <w:rFonts w:hint="eastAsia"/>
                <w:sz w:val="24"/>
              </w:rPr>
              <w:t>此过程会产生废气、噪声</w:t>
            </w:r>
            <w:r>
              <w:rPr>
                <w:rFonts w:hint="eastAsia"/>
                <w:sz w:val="24"/>
                <w:lang w:eastAsia="zh-CN"/>
              </w:rPr>
              <w:t>、</w:t>
            </w:r>
            <w:r>
              <w:rPr>
                <w:rFonts w:hint="eastAsia"/>
                <w:sz w:val="24"/>
                <w:lang w:val="en-US" w:eastAsia="zh-CN"/>
              </w:rPr>
              <w:t>固废</w:t>
            </w:r>
            <w:r>
              <w:rPr>
                <w:rFonts w:hint="eastAsia"/>
                <w:sz w:val="24"/>
              </w:rPr>
              <w:t>。</w:t>
            </w:r>
          </w:p>
          <w:p w14:paraId="336E69DF">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rPr>
              <w:t>4</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输送</w:t>
            </w:r>
            <w:r>
              <w:rPr>
                <w:rFonts w:hint="default" w:ascii="Times New Roman" w:hAnsi="Times New Roman" w:eastAsia="宋体" w:cs="Times New Roman"/>
                <w:sz w:val="24"/>
              </w:rPr>
              <w:t>至堆场</w:t>
            </w:r>
          </w:p>
          <w:p w14:paraId="0C23D597">
            <w:pPr>
              <w:keepNext w:val="0"/>
              <w:keepLines w:val="0"/>
              <w:suppressLineNumbers w:val="0"/>
              <w:spacing w:before="0" w:beforeAutospacing="0" w:after="0" w:afterAutospacing="0" w:line="520" w:lineRule="exact"/>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SZZ1800×4800直线振动筛筛下80mm粒级</w:t>
            </w:r>
            <w:r>
              <w:rPr>
                <w:rFonts w:hint="eastAsia" w:ascii="Times New Roman" w:hAnsi="Times New Roman" w:eastAsia="宋体" w:cs="Times New Roman"/>
                <w:sz w:val="24"/>
                <w:lang w:val="en-US" w:eastAsia="zh-CN"/>
              </w:rPr>
              <w:t>的</w:t>
            </w:r>
            <w:r>
              <w:rPr>
                <w:rFonts w:hint="eastAsia"/>
                <w:sz w:val="24"/>
                <w:lang w:val="en-US" w:eastAsia="zh-CN"/>
              </w:rPr>
              <w:t>通过三号</w:t>
            </w:r>
            <w:r>
              <w:rPr>
                <w:rFonts w:hint="eastAsia"/>
                <w:sz w:val="24"/>
              </w:rPr>
              <w:t>输送机</w:t>
            </w:r>
            <w:r>
              <w:rPr>
                <w:rFonts w:hint="eastAsia" w:ascii="Times New Roman" w:hAnsi="Times New Roman" w:eastAsia="宋体" w:cs="Times New Roman"/>
                <w:sz w:val="24"/>
                <w:lang w:val="en-US" w:eastAsia="zh-CN"/>
              </w:rPr>
              <w:t>输送至</w:t>
            </w:r>
            <w:r>
              <w:rPr>
                <w:rFonts w:hint="eastAsia" w:ascii="Times New Roman" w:hAnsi="Times New Roman" w:eastAsia="宋体" w:cs="Times New Roman"/>
                <w:sz w:val="24"/>
              </w:rPr>
              <w:t>堆场待售</w:t>
            </w:r>
            <w:r>
              <w:rPr>
                <w:rFonts w:hint="eastAsia" w:ascii="Times New Roman" w:hAnsi="Times New Roman" w:eastAsia="宋体" w:cs="Times New Roman"/>
                <w:sz w:val="24"/>
                <w:lang w:eastAsia="zh-CN"/>
              </w:rPr>
              <w:t>，</w:t>
            </w:r>
            <w:r>
              <w:rPr>
                <w:rFonts w:hint="eastAsia"/>
                <w:sz w:val="24"/>
              </w:rPr>
              <w:t>此过程会产生噪声</w:t>
            </w:r>
            <w:r>
              <w:rPr>
                <w:rFonts w:hint="eastAsia" w:ascii="Times New Roman" w:hAnsi="Times New Roman" w:eastAsia="宋体" w:cs="Times New Roman"/>
                <w:sz w:val="24"/>
              </w:rPr>
              <w:t>。</w:t>
            </w:r>
          </w:p>
          <w:p w14:paraId="455D8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drawing>
                <wp:inline distT="0" distB="0" distL="114300" distR="114300">
                  <wp:extent cx="3491230" cy="4878705"/>
                  <wp:effectExtent l="0" t="0" r="17145" b="13970"/>
                  <wp:docPr id="22" name="图片 22" descr="开发利用附图(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开发利用附图(修3"/>
                          <pic:cNvPicPr>
                            <a:picLocks noChangeAspect="1"/>
                          </pic:cNvPicPr>
                        </pic:nvPicPr>
                        <pic:blipFill>
                          <a:blip r:embed="rId13"/>
                          <a:stretch>
                            <a:fillRect/>
                          </a:stretch>
                        </pic:blipFill>
                        <pic:spPr>
                          <a:xfrm rot="16200000">
                            <a:off x="0" y="0"/>
                            <a:ext cx="3491230" cy="4878705"/>
                          </a:xfrm>
                          <a:prstGeom prst="rect">
                            <a:avLst/>
                          </a:prstGeom>
                        </pic:spPr>
                      </pic:pic>
                    </a:graphicData>
                  </a:graphic>
                </wp:inline>
              </w:drawing>
            </w:r>
          </w:p>
          <w:p w14:paraId="5BB7C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4"/>
                <w:lang w:val="en-US" w:eastAsia="zh-CN"/>
              </w:rPr>
            </w:pPr>
            <w:r>
              <w:rPr>
                <w:rFonts w:hint="default"/>
                <w:b/>
                <w:bCs/>
                <w:sz w:val="24"/>
              </w:rPr>
              <w:t>图</w:t>
            </w:r>
            <w:r>
              <w:rPr>
                <w:rFonts w:hint="eastAsia"/>
                <w:b/>
                <w:bCs/>
                <w:sz w:val="24"/>
              </w:rPr>
              <w:t>2-</w:t>
            </w:r>
            <w:r>
              <w:rPr>
                <w:rFonts w:hint="eastAsia"/>
                <w:b/>
                <w:bCs/>
                <w:sz w:val="24"/>
                <w:lang w:val="en-US" w:eastAsia="zh-CN"/>
              </w:rPr>
              <w:t>6</w:t>
            </w:r>
            <w:r>
              <w:rPr>
                <w:rFonts w:hint="default"/>
                <w:b/>
                <w:bCs/>
                <w:sz w:val="24"/>
              </w:rPr>
              <w:t xml:space="preserve">  </w:t>
            </w:r>
            <w:r>
              <w:rPr>
                <w:rFonts w:hint="eastAsia"/>
                <w:b/>
                <w:bCs/>
                <w:sz w:val="24"/>
                <w:lang w:val="en-US" w:eastAsia="zh-CN"/>
              </w:rPr>
              <w:t>破碎筛分生产工艺设备形象联系图</w:t>
            </w:r>
          </w:p>
        </w:tc>
      </w:tr>
      <w:tr w14:paraId="44673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245" w:type="pct"/>
            <w:vAlign w:val="center"/>
          </w:tcPr>
          <w:p w14:paraId="47C86895">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其他</w:t>
            </w:r>
          </w:p>
        </w:tc>
        <w:tc>
          <w:tcPr>
            <w:tcW w:w="4754" w:type="pct"/>
            <w:vAlign w:val="center"/>
          </w:tcPr>
          <w:p w14:paraId="77625876">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 w:val="24"/>
              </w:rPr>
              <w:t>无</w:t>
            </w:r>
          </w:p>
        </w:tc>
      </w:tr>
    </w:tbl>
    <w:p w14:paraId="436AFECE">
      <w:pPr>
        <w:spacing w:line="360" w:lineRule="auto"/>
        <w:jc w:val="center"/>
        <w:outlineLvl w:val="0"/>
        <w:rPr>
          <w:rFonts w:ascii="黑体" w:hAnsi="黑体" w:eastAsia="黑体"/>
          <w:snapToGrid w:val="0"/>
          <w:sz w:val="30"/>
          <w:szCs w:val="30"/>
        </w:rPr>
      </w:pPr>
      <w:r>
        <w:rPr>
          <w:rFonts w:eastAsia="仿宋_GB2312"/>
          <w:b/>
          <w:bCs/>
        </w:rPr>
        <w:br w:type="page"/>
      </w:r>
      <w:r>
        <w:rPr>
          <w:rFonts w:hint="eastAsia" w:ascii="黑体" w:hAnsi="黑体" w:eastAsia="黑体"/>
          <w:snapToGrid w:val="0"/>
          <w:sz w:val="30"/>
          <w:szCs w:val="30"/>
        </w:rPr>
        <w:t>三、生态环境现状、保护目标及评价标准</w:t>
      </w:r>
    </w:p>
    <w:tbl>
      <w:tblPr>
        <w:tblStyle w:val="23"/>
        <w:tblW w:w="88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81"/>
        <w:gridCol w:w="8183"/>
      </w:tblGrid>
      <w:tr w14:paraId="45171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52" w:hRule="atLeast"/>
          <w:jc w:val="center"/>
        </w:trPr>
        <w:tc>
          <w:tcPr>
            <w:tcW w:w="681" w:type="dxa"/>
            <w:tcBorders>
              <w:left w:val="single" w:color="auto" w:sz="4" w:space="0"/>
              <w:bottom w:val="single" w:color="auto" w:sz="4" w:space="0"/>
            </w:tcBorders>
            <w:vAlign w:val="center"/>
          </w:tcPr>
          <w:p w14:paraId="5C5DF705">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生态环境现状</w:t>
            </w:r>
          </w:p>
        </w:tc>
        <w:tc>
          <w:tcPr>
            <w:tcW w:w="8183" w:type="dxa"/>
            <w:tcBorders>
              <w:bottom w:val="single" w:color="auto" w:sz="4" w:space="0"/>
            </w:tcBorders>
            <w:vAlign w:val="center"/>
          </w:tcPr>
          <w:p w14:paraId="5D22E7F0">
            <w:pPr>
              <w:keepNext w:val="0"/>
              <w:keepLines w:val="0"/>
              <w:suppressLineNumbers w:val="0"/>
              <w:spacing w:before="0" w:beforeAutospacing="0" w:after="0" w:afterAutospacing="0" w:line="480" w:lineRule="exact"/>
              <w:ind w:left="0" w:right="0"/>
              <w:jc w:val="left"/>
              <w:rPr>
                <w:rFonts w:hint="default"/>
                <w:b/>
                <w:bCs/>
                <w:sz w:val="24"/>
              </w:rPr>
            </w:pPr>
            <w:r>
              <w:rPr>
                <w:rFonts w:hint="default"/>
                <w:b/>
                <w:bCs/>
                <w:sz w:val="24"/>
              </w:rPr>
              <w:t>1生态环境</w:t>
            </w:r>
          </w:p>
          <w:p w14:paraId="6470BCEF">
            <w:pPr>
              <w:keepNext w:val="0"/>
              <w:keepLines w:val="0"/>
              <w:suppressLineNumbers w:val="0"/>
              <w:spacing w:before="0" w:beforeAutospacing="0" w:after="0" w:afterAutospacing="0" w:line="480" w:lineRule="exact"/>
              <w:ind w:left="0" w:right="0" w:firstLine="482" w:firstLineChars="200"/>
              <w:jc w:val="left"/>
              <w:rPr>
                <w:rFonts w:hint="default"/>
                <w:b/>
                <w:bCs/>
                <w:sz w:val="24"/>
              </w:rPr>
            </w:pPr>
            <w:r>
              <w:rPr>
                <w:rFonts w:hint="default"/>
                <w:b/>
                <w:bCs/>
                <w:sz w:val="24"/>
              </w:rPr>
              <w:t>1.1生态功能区划</w:t>
            </w:r>
          </w:p>
          <w:p w14:paraId="711129DD">
            <w:pPr>
              <w:keepNext w:val="0"/>
              <w:keepLines w:val="0"/>
              <w:suppressLineNumbers w:val="0"/>
              <w:spacing w:before="0" w:beforeAutospacing="0" w:after="0" w:afterAutospacing="0" w:line="480" w:lineRule="exact"/>
              <w:ind w:left="0" w:right="0" w:firstLine="480" w:firstLineChars="200"/>
              <w:jc w:val="left"/>
              <w:rPr>
                <w:rFonts w:hint="default"/>
                <w:sz w:val="24"/>
              </w:rPr>
            </w:pPr>
            <w:r>
              <w:rPr>
                <w:rFonts w:hint="default"/>
                <w:sz w:val="24"/>
              </w:rPr>
              <w:t>（1）主体功能区划</w:t>
            </w:r>
          </w:p>
          <w:p w14:paraId="27002E79">
            <w:pPr>
              <w:keepNext w:val="0"/>
              <w:keepLines w:val="0"/>
              <w:widowControl/>
              <w:suppressLineNumbers w:val="0"/>
              <w:spacing w:before="0" w:beforeAutospacing="0" w:after="0" w:afterAutospacing="0" w:line="480" w:lineRule="exact"/>
              <w:ind w:left="0" w:right="0" w:firstLine="480" w:firstLineChars="200"/>
              <w:jc w:val="left"/>
              <w:rPr>
                <w:rFonts w:hint="default"/>
                <w:sz w:val="24"/>
              </w:rPr>
            </w:pPr>
            <w:r>
              <w:rPr>
                <w:rFonts w:hint="default"/>
                <w:sz w:val="24"/>
              </w:rPr>
              <w:t>根据《新疆维吾尔自治区主体功能区</w:t>
            </w:r>
            <w:r>
              <w:rPr>
                <w:rFonts w:hint="eastAsia"/>
                <w:sz w:val="24"/>
                <w:lang w:val="en-US" w:eastAsia="zh-CN"/>
              </w:rPr>
              <w:t>规</w:t>
            </w:r>
            <w:r>
              <w:rPr>
                <w:rFonts w:hint="default"/>
                <w:sz w:val="24"/>
              </w:rPr>
              <w:t>划》，</w:t>
            </w:r>
            <w:r>
              <w:rPr>
                <w:rFonts w:hint="eastAsia"/>
                <w:sz w:val="24"/>
                <w:lang w:val="en-US" w:eastAsia="zh-CN"/>
              </w:rPr>
              <w:t>项目</w:t>
            </w:r>
            <w:r>
              <w:rPr>
                <w:rFonts w:hint="default"/>
                <w:sz w:val="24"/>
              </w:rPr>
              <w:t>区属“天山南坡中段山地草原生态功能区”，该功能区发展方向见下表。</w:t>
            </w:r>
          </w:p>
          <w:p w14:paraId="03510C8B">
            <w:pPr>
              <w:keepNext w:val="0"/>
              <w:keepLines w:val="0"/>
              <w:suppressLineNumbers w:val="0"/>
              <w:spacing w:before="0" w:beforeAutospacing="0" w:after="0" w:afterAutospacing="0" w:line="520" w:lineRule="exact"/>
              <w:ind w:left="0" w:right="0"/>
              <w:jc w:val="center"/>
              <w:rPr>
                <w:rFonts w:hint="default"/>
                <w:b/>
                <w:sz w:val="24"/>
              </w:rPr>
            </w:pPr>
            <w:r>
              <w:rPr>
                <w:rFonts w:hint="default"/>
                <w:b/>
                <w:sz w:val="24"/>
              </w:rPr>
              <w:t>表3-1  新疆重点生态功能区的类型和发展方向</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937"/>
              <w:gridCol w:w="3348"/>
              <w:gridCol w:w="2195"/>
            </w:tblGrid>
            <w:tr w14:paraId="28B1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27" w:type="pct"/>
                  <w:vAlign w:val="center"/>
                </w:tcPr>
                <w:p w14:paraId="51B79052">
                  <w:pPr>
                    <w:keepNext w:val="0"/>
                    <w:keepLines w:val="0"/>
                    <w:suppressLineNumbers w:val="0"/>
                    <w:spacing w:before="0" w:beforeAutospacing="0" w:after="0" w:afterAutospacing="0"/>
                    <w:ind w:left="0" w:right="0"/>
                    <w:jc w:val="center"/>
                    <w:rPr>
                      <w:rFonts w:hint="default" w:ascii="Times New Roman" w:hAnsi="Times New Roman" w:eastAsia="宋体"/>
                      <w:bCs/>
                      <w:szCs w:val="21"/>
                    </w:rPr>
                  </w:pPr>
                  <w:r>
                    <w:rPr>
                      <w:rFonts w:hint="default" w:ascii="Times New Roman" w:hAnsi="Times New Roman" w:eastAsia="宋体"/>
                      <w:bCs/>
                      <w:szCs w:val="21"/>
                    </w:rPr>
                    <w:t>名称</w:t>
                  </w:r>
                </w:p>
              </w:tc>
              <w:tc>
                <w:tcPr>
                  <w:tcW w:w="574" w:type="pct"/>
                  <w:vAlign w:val="center"/>
                </w:tcPr>
                <w:p w14:paraId="16388DCC">
                  <w:pPr>
                    <w:keepNext w:val="0"/>
                    <w:keepLines w:val="0"/>
                    <w:suppressLineNumbers w:val="0"/>
                    <w:spacing w:before="0" w:beforeAutospacing="0" w:after="0" w:afterAutospacing="0"/>
                    <w:ind w:left="0" w:right="0"/>
                    <w:jc w:val="center"/>
                    <w:rPr>
                      <w:rFonts w:hint="default" w:ascii="Times New Roman" w:hAnsi="Times New Roman" w:eastAsia="宋体"/>
                      <w:bCs/>
                      <w:szCs w:val="21"/>
                    </w:rPr>
                  </w:pPr>
                  <w:r>
                    <w:rPr>
                      <w:rFonts w:hint="default" w:ascii="Times New Roman" w:hAnsi="Times New Roman" w:eastAsia="宋体"/>
                      <w:bCs/>
                      <w:szCs w:val="21"/>
                    </w:rPr>
                    <w:t>类型</w:t>
                  </w:r>
                </w:p>
              </w:tc>
              <w:tc>
                <w:tcPr>
                  <w:tcW w:w="2052" w:type="pct"/>
                  <w:vAlign w:val="center"/>
                </w:tcPr>
                <w:p w14:paraId="1C7CA384">
                  <w:pPr>
                    <w:keepNext w:val="0"/>
                    <w:keepLines w:val="0"/>
                    <w:suppressLineNumbers w:val="0"/>
                    <w:spacing w:before="0" w:beforeAutospacing="0" w:after="0" w:afterAutospacing="0"/>
                    <w:ind w:left="0" w:right="0"/>
                    <w:jc w:val="center"/>
                    <w:rPr>
                      <w:rFonts w:hint="default" w:ascii="Times New Roman" w:hAnsi="Times New Roman" w:eastAsia="宋体"/>
                      <w:bCs/>
                      <w:szCs w:val="21"/>
                    </w:rPr>
                  </w:pPr>
                  <w:r>
                    <w:rPr>
                      <w:rFonts w:hint="default" w:ascii="Times New Roman" w:hAnsi="Times New Roman" w:eastAsia="宋体"/>
                      <w:bCs/>
                      <w:szCs w:val="21"/>
                    </w:rPr>
                    <w:t>综合评价</w:t>
                  </w:r>
                </w:p>
              </w:tc>
              <w:tc>
                <w:tcPr>
                  <w:tcW w:w="1345" w:type="pct"/>
                  <w:vAlign w:val="center"/>
                </w:tcPr>
                <w:p w14:paraId="1B5435D3">
                  <w:pPr>
                    <w:keepNext w:val="0"/>
                    <w:keepLines w:val="0"/>
                    <w:suppressLineNumbers w:val="0"/>
                    <w:spacing w:before="0" w:beforeAutospacing="0" w:after="0" w:afterAutospacing="0"/>
                    <w:ind w:left="0" w:right="0"/>
                    <w:jc w:val="center"/>
                    <w:rPr>
                      <w:rFonts w:hint="default" w:ascii="Times New Roman" w:hAnsi="Times New Roman" w:eastAsia="宋体"/>
                      <w:bCs/>
                      <w:szCs w:val="21"/>
                    </w:rPr>
                  </w:pPr>
                  <w:r>
                    <w:rPr>
                      <w:rFonts w:hint="default" w:ascii="Times New Roman" w:hAnsi="Times New Roman" w:eastAsia="宋体"/>
                      <w:bCs/>
                      <w:szCs w:val="21"/>
                    </w:rPr>
                    <w:t>发展方向</w:t>
                  </w:r>
                </w:p>
              </w:tc>
            </w:tr>
            <w:tr w14:paraId="144F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027" w:type="pct"/>
                  <w:vAlign w:val="center"/>
                </w:tcPr>
                <w:p w14:paraId="6C287F51">
                  <w:pPr>
                    <w:keepNext w:val="0"/>
                    <w:keepLines w:val="0"/>
                    <w:widowControl/>
                    <w:suppressLineNumbers w:val="0"/>
                    <w:spacing w:before="0" w:beforeAutospacing="0" w:after="0" w:afterAutospacing="0"/>
                    <w:ind w:left="0" w:right="0"/>
                    <w:jc w:val="center"/>
                    <w:rPr>
                      <w:rFonts w:hint="default" w:ascii="Times New Roman" w:hAnsi="Times New Roman" w:eastAsia="宋体"/>
                      <w:bCs/>
                      <w:szCs w:val="21"/>
                    </w:rPr>
                  </w:pPr>
                  <w:r>
                    <w:rPr>
                      <w:rFonts w:hint="default" w:ascii="Times New Roman" w:hAnsi="Times New Roman" w:eastAsia="宋体"/>
                      <w:bCs/>
                      <w:szCs w:val="21"/>
                    </w:rPr>
                    <w:t>天山南坡中段山地草原生态功能区</w:t>
                  </w:r>
                </w:p>
              </w:tc>
              <w:tc>
                <w:tcPr>
                  <w:tcW w:w="574" w:type="pct"/>
                  <w:vAlign w:val="center"/>
                </w:tcPr>
                <w:p w14:paraId="7FB57F94">
                  <w:pPr>
                    <w:keepNext w:val="0"/>
                    <w:keepLines w:val="0"/>
                    <w:widowControl/>
                    <w:suppressLineNumbers w:val="0"/>
                    <w:spacing w:before="0" w:beforeAutospacing="0" w:after="0" w:afterAutospacing="0"/>
                    <w:ind w:left="0" w:right="0"/>
                    <w:jc w:val="center"/>
                    <w:rPr>
                      <w:rFonts w:hint="default" w:ascii="Times New Roman" w:hAnsi="Times New Roman" w:eastAsia="宋体"/>
                      <w:bCs/>
                      <w:szCs w:val="21"/>
                    </w:rPr>
                  </w:pPr>
                  <w:r>
                    <w:rPr>
                      <w:rFonts w:hint="eastAsia" w:ascii="Times New Roman" w:hAnsi="Times New Roman" w:eastAsia="宋体"/>
                      <w:bCs/>
                      <w:szCs w:val="21"/>
                    </w:rPr>
                    <w:t>水源涵养</w:t>
                  </w:r>
                </w:p>
              </w:tc>
              <w:tc>
                <w:tcPr>
                  <w:tcW w:w="2052" w:type="pct"/>
                  <w:vAlign w:val="center"/>
                </w:tcPr>
                <w:p w14:paraId="6B3813C5">
                  <w:pPr>
                    <w:keepNext w:val="0"/>
                    <w:keepLines w:val="0"/>
                    <w:widowControl/>
                    <w:suppressLineNumbers w:val="0"/>
                    <w:spacing w:before="0" w:beforeAutospacing="0" w:after="0" w:afterAutospacing="0"/>
                    <w:ind w:left="0" w:right="0"/>
                    <w:jc w:val="center"/>
                    <w:rPr>
                      <w:rFonts w:hint="default" w:ascii="Times New Roman" w:hAnsi="Times New Roman" w:eastAsia="宋体"/>
                      <w:bCs/>
                      <w:szCs w:val="21"/>
                    </w:rPr>
                  </w:pPr>
                  <w:r>
                    <w:rPr>
                      <w:rFonts w:hint="eastAsia" w:ascii="Times New Roman" w:hAnsi="Times New Roman" w:eastAsia="宋体"/>
                      <w:bCs/>
                      <w:szCs w:val="21"/>
                    </w:rPr>
                    <w:t>冰川发育，众多河流发源地，拥</w:t>
                  </w:r>
                  <w:r>
                    <w:rPr>
                      <w:rFonts w:hint="eastAsia"/>
                      <w:bCs/>
                      <w:szCs w:val="21"/>
                      <w:lang w:eastAsia="zh-CN"/>
                    </w:rPr>
                    <w:t>有全</w:t>
                  </w:r>
                  <w:r>
                    <w:rPr>
                      <w:rFonts w:hint="eastAsia" w:ascii="Times New Roman" w:hAnsi="Times New Roman" w:eastAsia="宋体"/>
                      <w:bCs/>
                      <w:szCs w:val="21"/>
                    </w:rPr>
                    <w:t>国最大的淡水内陆湖，分布有大面积的芦苇湿地，巴州重要的供水水源地。目前水土流失、土壤侵蚀严重、森林遭到破坏，草原退化，湖水水质污染、湿地萎缩。</w:t>
                  </w:r>
                </w:p>
              </w:tc>
              <w:tc>
                <w:tcPr>
                  <w:tcW w:w="1345" w:type="pct"/>
                  <w:vAlign w:val="center"/>
                </w:tcPr>
                <w:p w14:paraId="186F1ECC">
                  <w:pPr>
                    <w:keepNext w:val="0"/>
                    <w:keepLines w:val="0"/>
                    <w:widowControl/>
                    <w:suppressLineNumbers w:val="0"/>
                    <w:spacing w:before="0" w:beforeAutospacing="0" w:after="0" w:afterAutospacing="0"/>
                    <w:ind w:left="0" w:right="0"/>
                    <w:jc w:val="center"/>
                    <w:rPr>
                      <w:rFonts w:hint="default" w:ascii="Times New Roman" w:hAnsi="Times New Roman" w:eastAsia="宋体"/>
                      <w:bCs/>
                      <w:szCs w:val="21"/>
                    </w:rPr>
                  </w:pPr>
                  <w:r>
                    <w:rPr>
                      <w:rFonts w:hint="eastAsia" w:ascii="Times New Roman" w:hAnsi="Times New Roman" w:eastAsia="宋体"/>
                      <w:bCs/>
                      <w:szCs w:val="21"/>
                    </w:rPr>
                    <w:t>禁止过度放牧，恢复天然草原植被，加大水污染防治力度，加强野生动物和湿地保护。</w:t>
                  </w:r>
                </w:p>
              </w:tc>
            </w:tr>
          </w:tbl>
          <w:p w14:paraId="65836716">
            <w:pPr>
              <w:keepNext w:val="0"/>
              <w:keepLines w:val="0"/>
              <w:widowControl/>
              <w:suppressLineNumbers w:val="0"/>
              <w:spacing w:before="0" w:beforeAutospacing="0" w:after="0" w:afterAutospacing="0" w:line="480" w:lineRule="exact"/>
              <w:ind w:left="0" w:right="0" w:firstLine="480" w:firstLineChars="200"/>
              <w:jc w:val="left"/>
              <w:rPr>
                <w:rFonts w:hint="default"/>
                <w:sz w:val="24"/>
              </w:rPr>
            </w:pPr>
            <w:r>
              <w:rPr>
                <w:rFonts w:hint="default"/>
                <w:sz w:val="24"/>
              </w:rPr>
              <w:t>（2）生态功能区划</w:t>
            </w:r>
          </w:p>
          <w:p w14:paraId="098F06D1">
            <w:pPr>
              <w:keepNext w:val="0"/>
              <w:keepLines w:val="0"/>
              <w:suppressLineNumbers w:val="0"/>
              <w:spacing w:before="0" w:beforeAutospacing="0" w:after="0" w:afterAutospacing="0" w:line="480" w:lineRule="exact"/>
              <w:ind w:left="0" w:right="0" w:firstLine="480" w:firstLineChars="200"/>
              <w:jc w:val="left"/>
              <w:rPr>
                <w:rFonts w:hint="default"/>
                <w:sz w:val="24"/>
              </w:rPr>
            </w:pPr>
            <w:r>
              <w:rPr>
                <w:rFonts w:hint="default"/>
                <w:sz w:val="24"/>
              </w:rPr>
              <w:t>根据《新疆生态功能区划》，项目区属于“</w:t>
            </w:r>
            <w:r>
              <w:rPr>
                <w:rFonts w:hint="eastAsia"/>
                <w:sz w:val="24"/>
                <w:lang w:eastAsia="zh-CN"/>
              </w:rPr>
              <w:t>Ⅲ</w:t>
            </w:r>
            <w:r>
              <w:rPr>
                <w:rFonts w:hint="default"/>
                <w:sz w:val="24"/>
              </w:rPr>
              <w:t xml:space="preserve"> 天山山地温性草原、森林生态区—</w:t>
            </w:r>
            <w:r>
              <w:rPr>
                <w:rFonts w:hint="eastAsia"/>
                <w:sz w:val="24"/>
                <w:lang w:eastAsia="zh-CN"/>
              </w:rPr>
              <w:t>Ⅲ</w:t>
            </w:r>
            <w:r>
              <w:rPr>
                <w:rFonts w:hint="default"/>
                <w:sz w:val="24"/>
                <w:vertAlign w:val="subscript"/>
              </w:rPr>
              <w:t>3</w:t>
            </w:r>
            <w:r>
              <w:rPr>
                <w:rFonts w:hint="default"/>
                <w:sz w:val="24"/>
              </w:rPr>
              <w:t>天山南坡草原牧业、绿洲农业生态亚区，</w:t>
            </w:r>
            <w:r>
              <w:rPr>
                <w:rFonts w:hint="eastAsia"/>
                <w:sz w:val="24"/>
              </w:rPr>
              <w:t>46焉耆</w:t>
            </w:r>
            <w:r>
              <w:rPr>
                <w:rFonts w:hint="default"/>
                <w:sz w:val="24"/>
              </w:rPr>
              <w:t>盆地绿洲农业盐渍化敏感生态功能区”，该功能区主要的特征见表3-2。</w:t>
            </w:r>
          </w:p>
          <w:p w14:paraId="2078AC9D">
            <w:pPr>
              <w:keepNext w:val="0"/>
              <w:keepLines w:val="0"/>
              <w:suppressLineNumbers w:val="0"/>
              <w:spacing w:before="0" w:beforeAutospacing="0" w:after="0" w:afterAutospacing="0" w:line="480" w:lineRule="exact"/>
              <w:ind w:left="0" w:right="0"/>
              <w:jc w:val="center"/>
              <w:rPr>
                <w:rFonts w:hint="default"/>
                <w:bCs/>
                <w:sz w:val="24"/>
              </w:rPr>
            </w:pPr>
            <w:r>
              <w:rPr>
                <w:rFonts w:hint="default"/>
                <w:b/>
                <w:sz w:val="24"/>
              </w:rPr>
              <w:t>表3-2    生态功能区划及主要环境问题和保护目标</w:t>
            </w:r>
          </w:p>
          <w:tbl>
            <w:tblPr>
              <w:tblStyle w:val="23"/>
              <w:tblW w:w="801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75"/>
              <w:gridCol w:w="1266"/>
              <w:gridCol w:w="5272"/>
            </w:tblGrid>
            <w:tr w14:paraId="7F19B2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5" w:type="dxa"/>
                  <w:vMerge w:val="restart"/>
                  <w:noWrap/>
                  <w:vAlign w:val="center"/>
                </w:tcPr>
                <w:p w14:paraId="4DAECD0F">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生态功能分区单元</w:t>
                  </w:r>
                </w:p>
              </w:tc>
              <w:tc>
                <w:tcPr>
                  <w:tcW w:w="1266" w:type="dxa"/>
                  <w:noWrap/>
                  <w:vAlign w:val="center"/>
                </w:tcPr>
                <w:p w14:paraId="1EA7CA1C">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生态区</w:t>
                  </w:r>
                </w:p>
              </w:tc>
              <w:tc>
                <w:tcPr>
                  <w:tcW w:w="5272" w:type="dxa"/>
                  <w:noWrap/>
                  <w:vAlign w:val="center"/>
                </w:tcPr>
                <w:p w14:paraId="7A718D30">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eastAsia"/>
                      <w:kern w:val="0"/>
                      <w:szCs w:val="21"/>
                      <w:lang w:eastAsia="zh-CN"/>
                    </w:rPr>
                    <w:t>Ⅲ</w:t>
                  </w:r>
                  <w:r>
                    <w:rPr>
                      <w:rFonts w:hint="default" w:ascii="Times New Roman" w:hAnsi="Times New Roman" w:eastAsia="宋体"/>
                      <w:kern w:val="0"/>
                      <w:szCs w:val="21"/>
                    </w:rPr>
                    <w:t xml:space="preserve"> 天山山地温性草原、森林生态区</w:t>
                  </w:r>
                </w:p>
              </w:tc>
            </w:tr>
            <w:tr w14:paraId="1D0E57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5" w:type="dxa"/>
                  <w:vMerge w:val="continue"/>
                  <w:vAlign w:val="center"/>
                </w:tcPr>
                <w:p w14:paraId="17489EBD">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p>
              </w:tc>
              <w:tc>
                <w:tcPr>
                  <w:tcW w:w="1266" w:type="dxa"/>
                  <w:noWrap/>
                  <w:vAlign w:val="center"/>
                </w:tcPr>
                <w:p w14:paraId="5041C02B">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生态亚区</w:t>
                  </w:r>
                </w:p>
              </w:tc>
              <w:tc>
                <w:tcPr>
                  <w:tcW w:w="5272" w:type="dxa"/>
                  <w:noWrap/>
                  <w:vAlign w:val="center"/>
                </w:tcPr>
                <w:p w14:paraId="41BD965E">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eastAsia"/>
                      <w:kern w:val="0"/>
                      <w:szCs w:val="21"/>
                      <w:lang w:eastAsia="zh-CN"/>
                    </w:rPr>
                    <w:t>Ⅲ</w:t>
                  </w:r>
                  <w:r>
                    <w:rPr>
                      <w:rFonts w:hint="default" w:ascii="Times New Roman" w:hAnsi="Times New Roman" w:eastAsia="宋体"/>
                      <w:kern w:val="0"/>
                      <w:szCs w:val="21"/>
                    </w:rPr>
                    <w:t>3天山南坡草原牧业、绿洲农业生态亚区</w:t>
                  </w:r>
                </w:p>
              </w:tc>
            </w:tr>
            <w:tr w14:paraId="0CA61C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5" w:type="dxa"/>
                  <w:vMerge w:val="continue"/>
                  <w:vAlign w:val="center"/>
                </w:tcPr>
                <w:p w14:paraId="3D685F02">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p>
              </w:tc>
              <w:tc>
                <w:tcPr>
                  <w:tcW w:w="1266" w:type="dxa"/>
                  <w:noWrap/>
                  <w:vAlign w:val="center"/>
                </w:tcPr>
                <w:p w14:paraId="51D1BC81">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生态功能区</w:t>
                  </w:r>
                </w:p>
              </w:tc>
              <w:tc>
                <w:tcPr>
                  <w:tcW w:w="5272" w:type="dxa"/>
                  <w:noWrap/>
                  <w:vAlign w:val="center"/>
                </w:tcPr>
                <w:p w14:paraId="652E9561">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46焉耆</w:t>
                  </w:r>
                  <w:r>
                    <w:rPr>
                      <w:rFonts w:hint="default" w:ascii="Times New Roman" w:hAnsi="Times New Roman" w:eastAsia="宋体"/>
                      <w:kern w:val="0"/>
                      <w:szCs w:val="21"/>
                    </w:rPr>
                    <w:t>盆地绿洲农业盐渍化敏感生态功能区</w:t>
                  </w:r>
                </w:p>
              </w:tc>
            </w:tr>
            <w:tr w14:paraId="78175D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41" w:type="dxa"/>
                  <w:gridSpan w:val="2"/>
                  <w:noWrap/>
                  <w:vAlign w:val="center"/>
                </w:tcPr>
                <w:p w14:paraId="15BFD3FD">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主要生态服务功能</w:t>
                  </w:r>
                </w:p>
              </w:tc>
              <w:tc>
                <w:tcPr>
                  <w:tcW w:w="5272" w:type="dxa"/>
                  <w:noWrap/>
                  <w:vAlign w:val="center"/>
                </w:tcPr>
                <w:p w14:paraId="586C196E">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农产品生产、人居环境、油气资源</w:t>
                  </w:r>
                </w:p>
              </w:tc>
            </w:tr>
            <w:tr w14:paraId="2FBFC2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41" w:type="dxa"/>
                  <w:gridSpan w:val="2"/>
                  <w:noWrap/>
                  <w:vAlign w:val="center"/>
                </w:tcPr>
                <w:p w14:paraId="07D6A9CA">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主要生态环境问题</w:t>
                  </w:r>
                </w:p>
              </w:tc>
              <w:tc>
                <w:tcPr>
                  <w:tcW w:w="5272" w:type="dxa"/>
                  <w:noWrap/>
                  <w:vAlign w:val="center"/>
                </w:tcPr>
                <w:p w14:paraId="153AA9D3">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地下水位高、土壤盐渍化</w:t>
                  </w:r>
                </w:p>
              </w:tc>
            </w:tr>
            <w:tr w14:paraId="46FBEC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41" w:type="dxa"/>
                  <w:gridSpan w:val="2"/>
                  <w:noWrap/>
                  <w:vAlign w:val="center"/>
                </w:tcPr>
                <w:p w14:paraId="6BDEE73E">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主要生态敏感因子、敏感程度</w:t>
                  </w:r>
                </w:p>
              </w:tc>
              <w:tc>
                <w:tcPr>
                  <w:tcW w:w="5272" w:type="dxa"/>
                  <w:noWrap/>
                  <w:vAlign w:val="center"/>
                </w:tcPr>
                <w:p w14:paraId="6BBECF64">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土壤侵蚀极度敏感，土地沙漠化轻度敏感，土壤盐渍化中度敏感</w:t>
                  </w:r>
                </w:p>
              </w:tc>
            </w:tr>
            <w:tr w14:paraId="207AE1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41" w:type="dxa"/>
                  <w:gridSpan w:val="2"/>
                  <w:noWrap/>
                  <w:vAlign w:val="center"/>
                </w:tcPr>
                <w:p w14:paraId="617D77B6">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主要保护目标</w:t>
                  </w:r>
                </w:p>
              </w:tc>
              <w:tc>
                <w:tcPr>
                  <w:tcW w:w="5272" w:type="dxa"/>
                  <w:noWrap/>
                  <w:vAlign w:val="center"/>
                </w:tcPr>
                <w:p w14:paraId="335D832E">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保护基本农田、保护水质、保护麻黄和甘草、保护水源地</w:t>
                  </w:r>
                </w:p>
              </w:tc>
            </w:tr>
            <w:tr w14:paraId="068848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41" w:type="dxa"/>
                  <w:gridSpan w:val="2"/>
                  <w:noWrap/>
                  <w:vAlign w:val="center"/>
                </w:tcPr>
                <w:p w14:paraId="393C2ACB">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主要保护措施</w:t>
                  </w:r>
                </w:p>
              </w:tc>
              <w:tc>
                <w:tcPr>
                  <w:tcW w:w="5272" w:type="dxa"/>
                  <w:noWrap/>
                  <w:vAlign w:val="center"/>
                </w:tcPr>
                <w:p w14:paraId="37309E3E">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合理开发地下水、发展竖井灌排、开都河防洪、防止油气开发污染土壤和水质、发展节水农业，禁止乱采、滥挖甘草等荒漠植被</w:t>
                  </w:r>
                </w:p>
              </w:tc>
            </w:tr>
            <w:tr w14:paraId="378F14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41" w:type="dxa"/>
                  <w:gridSpan w:val="2"/>
                  <w:noWrap/>
                  <w:vAlign w:val="center"/>
                </w:tcPr>
                <w:p w14:paraId="47B2547D">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适宜发展方向</w:t>
                  </w:r>
                </w:p>
              </w:tc>
              <w:tc>
                <w:tcPr>
                  <w:tcW w:w="5272" w:type="dxa"/>
                  <w:noWrap/>
                  <w:vAlign w:val="center"/>
                </w:tcPr>
                <w:p w14:paraId="3A1D7F5A">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建立粮油、蔬菜等绿色食品基地，发展人工种植甘草、麻黄产业和农区畜牧业</w:t>
                  </w:r>
                </w:p>
              </w:tc>
            </w:tr>
          </w:tbl>
          <w:p w14:paraId="13B76A9C">
            <w:pPr>
              <w:keepNext w:val="0"/>
              <w:keepLines w:val="0"/>
              <w:suppressLineNumbers w:val="0"/>
              <w:spacing w:before="0" w:beforeAutospacing="0" w:after="0" w:afterAutospacing="0" w:line="480" w:lineRule="exact"/>
              <w:ind w:left="0" w:right="0" w:firstLine="482" w:firstLineChars="200"/>
              <w:jc w:val="left"/>
              <w:rPr>
                <w:rFonts w:hint="default"/>
                <w:b/>
                <w:bCs/>
                <w:sz w:val="24"/>
              </w:rPr>
            </w:pPr>
            <w:r>
              <w:rPr>
                <w:rFonts w:hint="eastAsia"/>
                <w:b/>
                <w:bCs/>
                <w:sz w:val="24"/>
              </w:rPr>
              <w:t>1.2</w:t>
            </w:r>
            <w:r>
              <w:rPr>
                <w:rFonts w:hint="default"/>
                <w:b/>
                <w:bCs/>
                <w:sz w:val="24"/>
              </w:rPr>
              <w:t>生态环境现状调查</w:t>
            </w:r>
          </w:p>
          <w:p w14:paraId="162CDFAB">
            <w:pPr>
              <w:keepNext w:val="0"/>
              <w:keepLines w:val="0"/>
              <w:suppressLineNumbers w:val="0"/>
              <w:spacing w:before="0" w:beforeAutospacing="0" w:after="0" w:afterAutospacing="0" w:line="480" w:lineRule="exact"/>
              <w:ind w:left="0" w:right="0" w:firstLine="480" w:firstLineChars="200"/>
              <w:jc w:val="left"/>
              <w:rPr>
                <w:rFonts w:hint="default"/>
                <w:sz w:val="24"/>
                <w:lang w:val="en-US"/>
              </w:rPr>
            </w:pPr>
            <w:r>
              <w:rPr>
                <w:rFonts w:hint="default"/>
                <w:sz w:val="24"/>
              </w:rPr>
              <w:t>经现场踏勘和资料分析，本工程周</w:t>
            </w:r>
            <w:r>
              <w:rPr>
                <w:rFonts w:hint="eastAsia"/>
                <w:sz w:val="24"/>
                <w:lang w:val="en-US" w:eastAsia="zh-CN"/>
              </w:rPr>
              <w:t>边为</w:t>
            </w:r>
            <w:r>
              <w:rPr>
                <w:rFonts w:hint="default"/>
                <w:sz w:val="24"/>
              </w:rPr>
              <w:t>裸岩石砾地，不</w:t>
            </w:r>
            <w:r>
              <w:rPr>
                <w:rFonts w:hint="eastAsia"/>
                <w:sz w:val="24"/>
              </w:rPr>
              <w:t>涉及</w:t>
            </w:r>
            <w:r>
              <w:rPr>
                <w:rFonts w:hint="default"/>
                <w:sz w:val="24"/>
              </w:rPr>
              <w:t>名胜古迹和自然保护区。</w:t>
            </w:r>
            <w:r>
              <w:rPr>
                <w:rFonts w:hint="eastAsia"/>
                <w:sz w:val="24"/>
                <w:lang w:val="en-US" w:eastAsia="zh-CN"/>
              </w:rPr>
              <w:t>项目所在区域生态系统类型较为单一，生态系统功能比较脆弱，植物群落稀疏，地表覆盖度较低，生物生产力水平低，依据《环境影响评价技术导则—生态影响》（HJ19-2022），生态影响评价等级为三级。见附图7。</w:t>
            </w:r>
          </w:p>
          <w:p w14:paraId="6897D371">
            <w:pPr>
              <w:keepNext w:val="0"/>
              <w:keepLines w:val="0"/>
              <w:suppressLineNumbers w:val="0"/>
              <w:spacing w:before="0" w:beforeAutospacing="0" w:after="0" w:afterAutospacing="0" w:line="480" w:lineRule="exact"/>
              <w:ind w:left="0" w:right="0" w:firstLine="480" w:firstLineChars="200"/>
              <w:jc w:val="left"/>
              <w:rPr>
                <w:rFonts w:hint="default"/>
                <w:sz w:val="24"/>
              </w:rPr>
            </w:pPr>
            <w:r>
              <w:rPr>
                <w:rFonts w:hint="eastAsia"/>
                <w:sz w:val="24"/>
              </w:rPr>
              <w:t>（1）</w:t>
            </w:r>
            <w:r>
              <w:rPr>
                <w:rFonts w:hint="default"/>
                <w:sz w:val="24"/>
              </w:rPr>
              <w:t>植被类型现状调查</w:t>
            </w:r>
          </w:p>
          <w:p w14:paraId="72DCB844">
            <w:pPr>
              <w:pStyle w:val="55"/>
              <w:keepNext w:val="0"/>
              <w:keepLines w:val="0"/>
              <w:suppressLineNumbers w:val="0"/>
              <w:spacing w:before="0" w:beforeAutospacing="0" w:after="0" w:afterAutospacing="0" w:line="520" w:lineRule="exact"/>
              <w:ind w:left="0" w:right="0"/>
              <w:rPr>
                <w:rFonts w:hint="default" w:ascii="Times New Roman" w:hAnsi="Times New Roman"/>
              </w:rPr>
            </w:pPr>
            <w:r>
              <w:rPr>
                <w:rFonts w:hint="eastAsia"/>
              </w:rPr>
              <w:t>经现场调查，项目区</w:t>
            </w:r>
            <w:r>
              <w:rPr>
                <w:rFonts w:hint="eastAsia"/>
                <w:lang w:val="en-US" w:eastAsia="zh-CN"/>
              </w:rPr>
              <w:t>内</w:t>
            </w:r>
            <w:r>
              <w:rPr>
                <w:rFonts w:hint="eastAsia"/>
              </w:rPr>
              <w:t>植</w:t>
            </w:r>
            <w:r>
              <w:rPr>
                <w:rFonts w:hint="default" w:ascii="Times New Roman" w:hAnsi="Times New Roman"/>
              </w:rPr>
              <w:t>被</w:t>
            </w:r>
            <w:r>
              <w:rPr>
                <w:rFonts w:hint="eastAsia" w:ascii="Times New Roman" w:hAnsi="Times New Roman"/>
                <w:lang w:val="en-US" w:eastAsia="zh-CN"/>
              </w:rPr>
              <w:t>主要有骆驼刺、麻黄草、盐爪爪、驼蹄瓣</w:t>
            </w:r>
            <w:r>
              <w:rPr>
                <w:rFonts w:hint="default" w:ascii="Times New Roman" w:hAnsi="Times New Roman"/>
              </w:rPr>
              <w:t>，</w:t>
            </w:r>
            <w:r>
              <w:rPr>
                <w:rFonts w:hint="eastAsia" w:ascii="Times New Roman" w:hAnsi="Times New Roman"/>
                <w:lang w:val="en-US" w:eastAsia="zh-CN"/>
              </w:rPr>
              <w:t>工程</w:t>
            </w:r>
            <w:r>
              <w:rPr>
                <w:rFonts w:hint="default" w:ascii="Times New Roman" w:hAnsi="Times New Roman"/>
              </w:rPr>
              <w:t>区</w:t>
            </w:r>
            <w:r>
              <w:rPr>
                <w:rFonts w:hint="eastAsia" w:ascii="Times New Roman" w:hAnsi="Times New Roman"/>
                <w:lang w:val="en-US" w:eastAsia="zh-CN"/>
              </w:rPr>
              <w:t>内主要</w:t>
            </w:r>
            <w:r>
              <w:rPr>
                <w:rFonts w:hint="default" w:ascii="Times New Roman" w:hAnsi="Times New Roman"/>
              </w:rPr>
              <w:t>植物名录见下表。</w:t>
            </w:r>
          </w:p>
          <w:p w14:paraId="5295360B">
            <w:pPr>
              <w:keepNext w:val="0"/>
              <w:keepLines w:val="0"/>
              <w:suppressLineNumbers w:val="0"/>
              <w:spacing w:before="0" w:beforeAutospacing="0" w:after="0" w:afterAutospacing="0" w:line="520" w:lineRule="exact"/>
              <w:ind w:left="0" w:right="0"/>
              <w:jc w:val="center"/>
              <w:rPr>
                <w:rFonts w:hint="default"/>
                <w:b/>
                <w:sz w:val="24"/>
              </w:rPr>
            </w:pPr>
            <w:r>
              <w:rPr>
                <w:rFonts w:hint="default"/>
                <w:b/>
                <w:sz w:val="24"/>
              </w:rPr>
              <w:t xml:space="preserve">表3-3   </w:t>
            </w:r>
            <w:r>
              <w:rPr>
                <w:rFonts w:hint="eastAsia"/>
                <w:b/>
                <w:sz w:val="24"/>
                <w:lang w:val="en-US" w:eastAsia="zh-CN"/>
              </w:rPr>
              <w:t>工程</w:t>
            </w:r>
            <w:r>
              <w:rPr>
                <w:rFonts w:hint="default"/>
                <w:b/>
                <w:sz w:val="24"/>
              </w:rPr>
              <w:t>区内主</w:t>
            </w:r>
            <w:r>
              <w:rPr>
                <w:rFonts w:hint="eastAsia"/>
                <w:b/>
                <w:sz w:val="24"/>
                <w:lang w:val="en-US" w:eastAsia="zh-CN"/>
              </w:rPr>
              <w:t>要</w:t>
            </w:r>
            <w:r>
              <w:rPr>
                <w:rFonts w:hint="default"/>
                <w:b/>
                <w:sz w:val="24"/>
              </w:rPr>
              <w:t>植物名录</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056"/>
              <w:gridCol w:w="3361"/>
              <w:gridCol w:w="2886"/>
            </w:tblGrid>
            <w:tr w14:paraId="4BE6784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3358926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rPr>
                  </w:pPr>
                  <w:r>
                    <w:rPr>
                      <w:rFonts w:hint="eastAsia" w:ascii="Times New Roman" w:hAnsi="Times New Roman" w:eastAsia="宋体" w:cs="宋体"/>
                      <w:kern w:val="0"/>
                      <w:sz w:val="21"/>
                      <w:szCs w:val="21"/>
                    </w:rPr>
                    <w:t>科</w:t>
                  </w:r>
                </w:p>
              </w:tc>
              <w:tc>
                <w:tcPr>
                  <w:tcW w:w="0" w:type="auto"/>
                  <w:vAlign w:val="center"/>
                </w:tcPr>
                <w:p w14:paraId="096360B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rPr>
                  </w:pPr>
                  <w:r>
                    <w:rPr>
                      <w:rFonts w:hint="eastAsia" w:ascii="Times New Roman" w:hAnsi="Times New Roman" w:eastAsia="宋体" w:cs="宋体"/>
                      <w:kern w:val="0"/>
                      <w:sz w:val="21"/>
                      <w:szCs w:val="21"/>
                    </w:rPr>
                    <w:t>属</w:t>
                  </w:r>
                </w:p>
              </w:tc>
              <w:tc>
                <w:tcPr>
                  <w:tcW w:w="0" w:type="auto"/>
                  <w:vAlign w:val="center"/>
                </w:tcPr>
                <w:p w14:paraId="5A92F14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rPr>
                  </w:pPr>
                  <w:r>
                    <w:rPr>
                      <w:rFonts w:hint="eastAsia" w:ascii="Times New Roman" w:hAnsi="Times New Roman" w:eastAsia="宋体" w:cs="宋体"/>
                      <w:kern w:val="0"/>
                      <w:sz w:val="21"/>
                      <w:szCs w:val="21"/>
                    </w:rPr>
                    <w:t>种</w:t>
                  </w:r>
                </w:p>
              </w:tc>
              <w:tc>
                <w:tcPr>
                  <w:tcW w:w="0" w:type="auto"/>
                  <w:vAlign w:val="center"/>
                </w:tcPr>
                <w:p w14:paraId="17B25D5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eastAsia="宋体" w:cs="宋体"/>
                      <w:kern w:val="0"/>
                      <w:sz w:val="21"/>
                      <w:szCs w:val="21"/>
                      <w:lang w:val="en-US" w:eastAsia="zh-CN"/>
                    </w:rPr>
                  </w:pPr>
                  <w:r>
                    <w:rPr>
                      <w:rFonts w:hint="eastAsia" w:ascii="Times New Roman" w:hAnsi="Times New Roman" w:eastAsia="宋体" w:cs="宋体"/>
                      <w:kern w:val="0"/>
                      <w:sz w:val="21"/>
                      <w:szCs w:val="21"/>
                      <w:lang w:val="en-US" w:eastAsia="zh-CN"/>
                    </w:rPr>
                    <w:t>现场照片</w:t>
                  </w:r>
                </w:p>
              </w:tc>
            </w:tr>
            <w:tr w14:paraId="46DB7F9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88575E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kern w:val="0"/>
                      <w:sz w:val="21"/>
                      <w:szCs w:val="21"/>
                    </w:rPr>
                  </w:pPr>
                  <w:r>
                    <w:rPr>
                      <w:rFonts w:hint="eastAsia" w:ascii="Times New Roman" w:hAnsi="Times New Roman" w:eastAsia="宋体" w:cs="宋体"/>
                      <w:kern w:val="0"/>
                      <w:sz w:val="21"/>
                      <w:szCs w:val="21"/>
                    </w:rPr>
                    <w:t>豆科</w:t>
                  </w:r>
                </w:p>
              </w:tc>
              <w:tc>
                <w:tcPr>
                  <w:tcW w:w="0" w:type="auto"/>
                  <w:vAlign w:val="center"/>
                </w:tcPr>
                <w:p w14:paraId="60693F0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kern w:val="0"/>
                      <w:sz w:val="21"/>
                      <w:szCs w:val="21"/>
                    </w:rPr>
                  </w:pPr>
                  <w:r>
                    <w:rPr>
                      <w:rFonts w:hint="eastAsia" w:ascii="Times New Roman" w:hAnsi="Times New Roman" w:eastAsia="宋体" w:cs="宋体"/>
                      <w:kern w:val="0"/>
                      <w:sz w:val="21"/>
                      <w:szCs w:val="21"/>
                    </w:rPr>
                    <w:t>骆驼刺属</w:t>
                  </w:r>
                </w:p>
              </w:tc>
              <w:tc>
                <w:tcPr>
                  <w:tcW w:w="0" w:type="auto"/>
                  <w:vAlign w:val="center"/>
                </w:tcPr>
                <w:p w14:paraId="5C0AEE7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kern w:val="0"/>
                      <w:sz w:val="21"/>
                      <w:szCs w:val="21"/>
                    </w:rPr>
                  </w:pPr>
                  <w:r>
                    <w:rPr>
                      <w:rFonts w:hint="eastAsia" w:ascii="Times New Roman" w:hAnsi="Times New Roman" w:eastAsia="宋体" w:cs="宋体"/>
                      <w:sz w:val="21"/>
                      <w:szCs w:val="21"/>
                      <w:shd w:val="clear" w:color="auto" w:fill="FFFFFF"/>
                    </w:rPr>
                    <w:t>骆驼刺</w:t>
                  </w:r>
                  <w:r>
                    <w:rPr>
                      <w:rFonts w:hint="eastAsia" w:ascii="Times New Roman" w:hAnsi="Times New Roman" w:eastAsia="宋体" w:cs="宋体"/>
                      <w:i/>
                      <w:iCs/>
                      <w:sz w:val="21"/>
                      <w:szCs w:val="21"/>
                      <w:shd w:val="clear" w:color="auto" w:fill="FFFFFF"/>
                    </w:rPr>
                    <w:t>Alhagi camelorum</w:t>
                  </w:r>
                  <w:r>
                    <w:rPr>
                      <w:rFonts w:hint="eastAsia" w:ascii="Times New Roman" w:hAnsi="Times New Roman" w:eastAsia="宋体" w:cs="宋体"/>
                      <w:i/>
                      <w:iCs/>
                      <w:sz w:val="21"/>
                      <w:szCs w:val="21"/>
                      <w:shd w:val="clear" w:color="auto" w:fill="FFFFFF"/>
                      <w:lang w:val="en-US" w:eastAsia="zh-CN"/>
                    </w:rPr>
                    <w:t xml:space="preserve"> </w:t>
                  </w:r>
                  <w:r>
                    <w:rPr>
                      <w:rFonts w:hint="eastAsia" w:ascii="Times New Roman" w:hAnsi="Times New Roman" w:eastAsia="宋体" w:cs="宋体"/>
                      <w:i/>
                      <w:iCs/>
                      <w:sz w:val="21"/>
                      <w:szCs w:val="21"/>
                      <w:shd w:val="clear" w:color="auto" w:fill="FFFFFF"/>
                    </w:rPr>
                    <w:t>Fisch</w:t>
                  </w:r>
                </w:p>
              </w:tc>
              <w:tc>
                <w:tcPr>
                  <w:tcW w:w="0" w:type="auto"/>
                  <w:vAlign w:val="center"/>
                </w:tcPr>
                <w:p w14:paraId="047CDB0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shd w:val="clear" w:color="auto" w:fill="FFFFFF"/>
                    </w:rPr>
                  </w:pPr>
                  <w:r>
                    <w:rPr>
                      <w:rFonts w:hint="eastAsia" w:ascii="Times New Roman" w:hAnsi="Times New Roman" w:eastAsia="宋体" w:cs="宋体"/>
                      <w:sz w:val="21"/>
                      <w:szCs w:val="21"/>
                      <w:lang w:val="en-US" w:eastAsia="zh-CN"/>
                    </w:rPr>
                    <w:drawing>
                      <wp:inline distT="0" distB="0" distL="114300" distR="114300">
                        <wp:extent cx="1677035" cy="1507490"/>
                        <wp:effectExtent l="0" t="0" r="18415" b="16510"/>
                        <wp:docPr id="5" name="图片 5" descr="微信图片_2024092719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927190705"/>
                                <pic:cNvPicPr>
                                  <a:picLocks noChangeAspect="1"/>
                                </pic:cNvPicPr>
                              </pic:nvPicPr>
                              <pic:blipFill>
                                <a:blip r:embed="rId14"/>
                                <a:stretch>
                                  <a:fillRect/>
                                </a:stretch>
                              </pic:blipFill>
                              <pic:spPr>
                                <a:xfrm>
                                  <a:off x="0" y="0"/>
                                  <a:ext cx="1677035" cy="1507490"/>
                                </a:xfrm>
                                <a:prstGeom prst="rect">
                                  <a:avLst/>
                                </a:prstGeom>
                              </pic:spPr>
                            </pic:pic>
                          </a:graphicData>
                        </a:graphic>
                      </wp:inline>
                    </w:drawing>
                  </w:r>
                </w:p>
              </w:tc>
            </w:tr>
            <w:tr w14:paraId="72A984A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1F226E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kern w:val="0"/>
                      <w:sz w:val="21"/>
                      <w:szCs w:val="21"/>
                    </w:rPr>
                  </w:pPr>
                  <w:r>
                    <w:rPr>
                      <w:rFonts w:hint="eastAsia" w:ascii="Times New Roman" w:hAnsi="Times New Roman" w:eastAsia="宋体" w:cs="宋体"/>
                      <w:kern w:val="0"/>
                      <w:sz w:val="21"/>
                      <w:szCs w:val="21"/>
                    </w:rPr>
                    <w:t>麻黄科</w:t>
                  </w:r>
                </w:p>
              </w:tc>
              <w:tc>
                <w:tcPr>
                  <w:tcW w:w="0" w:type="auto"/>
                  <w:vAlign w:val="center"/>
                </w:tcPr>
                <w:p w14:paraId="15F54E8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kern w:val="0"/>
                      <w:sz w:val="21"/>
                      <w:szCs w:val="21"/>
                    </w:rPr>
                  </w:pPr>
                  <w:r>
                    <w:rPr>
                      <w:rFonts w:hint="eastAsia" w:ascii="Times New Roman" w:hAnsi="Times New Roman" w:eastAsia="宋体" w:cs="宋体"/>
                      <w:kern w:val="0"/>
                      <w:sz w:val="21"/>
                      <w:szCs w:val="21"/>
                    </w:rPr>
                    <w:fldChar w:fldCharType="begin"/>
                  </w:r>
                  <w:r>
                    <w:rPr>
                      <w:rFonts w:hint="eastAsia" w:ascii="Times New Roman" w:hAnsi="Times New Roman" w:eastAsia="宋体" w:cs="宋体"/>
                      <w:kern w:val="0"/>
                      <w:sz w:val="21"/>
                      <w:szCs w:val="21"/>
                    </w:rPr>
                    <w:instrText xml:space="preserve"> HYPERLINK "https://baike.sogou.com/lemma/ShowInnerLink.htm?lemmaId=146607&amp;ss_c=ssc.citiao.link" \t "https://baike.sogou.com/_blank" </w:instrText>
                  </w:r>
                  <w:r>
                    <w:rPr>
                      <w:rFonts w:hint="eastAsia" w:ascii="Times New Roman" w:hAnsi="Times New Roman" w:eastAsia="宋体" w:cs="宋体"/>
                      <w:kern w:val="0"/>
                      <w:sz w:val="21"/>
                      <w:szCs w:val="21"/>
                    </w:rPr>
                    <w:fldChar w:fldCharType="separate"/>
                  </w:r>
                  <w:r>
                    <w:rPr>
                      <w:rFonts w:hint="eastAsia" w:ascii="Times New Roman" w:hAnsi="Times New Roman" w:eastAsia="宋体" w:cs="宋体"/>
                      <w:kern w:val="0"/>
                      <w:sz w:val="21"/>
                      <w:szCs w:val="21"/>
                    </w:rPr>
                    <w:t>麻黄属</w:t>
                  </w:r>
                  <w:r>
                    <w:rPr>
                      <w:rFonts w:hint="eastAsia" w:ascii="Times New Roman" w:hAnsi="Times New Roman" w:eastAsia="宋体" w:cs="宋体"/>
                      <w:kern w:val="0"/>
                      <w:sz w:val="21"/>
                      <w:szCs w:val="21"/>
                    </w:rPr>
                    <w:fldChar w:fldCharType="end"/>
                  </w:r>
                </w:p>
              </w:tc>
              <w:tc>
                <w:tcPr>
                  <w:tcW w:w="0" w:type="auto"/>
                  <w:vAlign w:val="center"/>
                </w:tcPr>
                <w:p w14:paraId="094B7F5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shd w:val="clear" w:color="auto" w:fill="FFFFFF"/>
                    </w:rPr>
                  </w:pPr>
                  <w:r>
                    <w:rPr>
                      <w:rFonts w:hint="default" w:ascii="Arial" w:hAnsi="Arial" w:eastAsia="宋体" w:cs="Arial"/>
                      <w:i w:val="0"/>
                      <w:iCs w:val="0"/>
                      <w:caps w:val="0"/>
                      <w:color w:val="333333"/>
                      <w:spacing w:val="0"/>
                      <w:sz w:val="21"/>
                      <w:szCs w:val="21"/>
                      <w:shd w:val="clear" w:fill="FFFFFF"/>
                    </w:rPr>
                    <w:t>麻黄草</w:t>
                  </w:r>
                  <w:r>
                    <w:rPr>
                      <w:rFonts w:hint="eastAsia" w:ascii="Times New Roman" w:hAnsi="Times New Roman" w:eastAsia="宋体" w:cs="宋体"/>
                      <w:i/>
                      <w:iCs/>
                      <w:sz w:val="21"/>
                      <w:szCs w:val="21"/>
                      <w:shd w:val="clear" w:color="auto" w:fill="FFFFFF"/>
                    </w:rPr>
                    <w:t>Ephedra sinica Stapf</w:t>
                  </w:r>
                </w:p>
              </w:tc>
              <w:tc>
                <w:tcPr>
                  <w:tcW w:w="0" w:type="auto"/>
                  <w:vAlign w:val="center"/>
                </w:tcPr>
                <w:p w14:paraId="42FBF1E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drawing>
                      <wp:inline distT="0" distB="0" distL="114300" distR="114300">
                        <wp:extent cx="1677670" cy="1508125"/>
                        <wp:effectExtent l="0" t="0" r="17780" b="15875"/>
                        <wp:docPr id="15" name="图片 15" descr="2"/>
                        <wp:cNvGraphicFramePr/>
                        <a:graphic xmlns:a="http://schemas.openxmlformats.org/drawingml/2006/main">
                          <a:graphicData uri="http://schemas.openxmlformats.org/drawingml/2006/picture">
                            <pic:pic xmlns:pic="http://schemas.openxmlformats.org/drawingml/2006/picture">
                              <pic:nvPicPr>
                                <pic:cNvPr id="15" name="图片 15" descr="2"/>
                                <pic:cNvPicPr/>
                              </pic:nvPicPr>
                              <pic:blipFill>
                                <a:blip r:embed="rId15"/>
                                <a:stretch>
                                  <a:fillRect/>
                                </a:stretch>
                              </pic:blipFill>
                              <pic:spPr>
                                <a:xfrm>
                                  <a:off x="0" y="0"/>
                                  <a:ext cx="1677670" cy="1508125"/>
                                </a:xfrm>
                                <a:prstGeom prst="rect">
                                  <a:avLst/>
                                </a:prstGeom>
                              </pic:spPr>
                            </pic:pic>
                          </a:graphicData>
                        </a:graphic>
                      </wp:inline>
                    </w:drawing>
                  </w:r>
                </w:p>
              </w:tc>
            </w:tr>
            <w:tr w14:paraId="009916E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606B7C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kern w:val="0"/>
                      <w:sz w:val="21"/>
                      <w:szCs w:val="21"/>
                    </w:rPr>
                  </w:pPr>
                  <w:r>
                    <w:rPr>
                      <w:rFonts w:hint="eastAsia" w:ascii="Times New Roman" w:hAnsi="Times New Roman" w:eastAsia="宋体" w:cs="宋体"/>
                      <w:kern w:val="0"/>
                      <w:sz w:val="21"/>
                      <w:szCs w:val="21"/>
                    </w:rPr>
                    <w:t>苋科</w:t>
                  </w:r>
                </w:p>
              </w:tc>
              <w:tc>
                <w:tcPr>
                  <w:tcW w:w="0" w:type="auto"/>
                  <w:vAlign w:val="center"/>
                </w:tcPr>
                <w:p w14:paraId="2A2BA84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kern w:val="0"/>
                      <w:sz w:val="21"/>
                      <w:szCs w:val="21"/>
                    </w:rPr>
                  </w:pPr>
                  <w:r>
                    <w:rPr>
                      <w:rFonts w:hint="eastAsia" w:ascii="Times New Roman" w:hAnsi="Times New Roman" w:eastAsia="宋体" w:cs="宋体"/>
                      <w:kern w:val="0"/>
                      <w:sz w:val="21"/>
                      <w:szCs w:val="21"/>
                    </w:rPr>
                    <w:t>盐爪爪属</w:t>
                  </w:r>
                </w:p>
              </w:tc>
              <w:tc>
                <w:tcPr>
                  <w:tcW w:w="0" w:type="auto"/>
                  <w:vAlign w:val="center"/>
                </w:tcPr>
                <w:p w14:paraId="67B09B9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shd w:val="clear" w:color="auto" w:fill="FFFFFF"/>
                    </w:rPr>
                  </w:pPr>
                  <w:r>
                    <w:rPr>
                      <w:rFonts w:hint="eastAsia" w:ascii="Times New Roman" w:hAnsi="Times New Roman" w:eastAsia="宋体" w:cs="宋体"/>
                      <w:sz w:val="21"/>
                      <w:szCs w:val="21"/>
                      <w:shd w:val="clear" w:color="auto" w:fill="FFFFFF"/>
                    </w:rPr>
                    <w:t>盐爪爪</w:t>
                  </w:r>
                  <w:r>
                    <w:rPr>
                      <w:rFonts w:hint="eastAsia" w:ascii="Times New Roman" w:hAnsi="Times New Roman" w:eastAsia="宋体" w:cs="宋体"/>
                      <w:i/>
                      <w:iCs/>
                      <w:sz w:val="21"/>
                      <w:szCs w:val="21"/>
                      <w:shd w:val="clear" w:color="auto" w:fill="FFFFFF"/>
                    </w:rPr>
                    <w:t>Kalidium foliatum(Pall.)</w:t>
                  </w:r>
                  <w:r>
                    <w:rPr>
                      <w:rFonts w:hint="eastAsia" w:ascii="Times New Roman" w:hAnsi="Times New Roman" w:eastAsia="宋体" w:cs="宋体"/>
                      <w:i/>
                      <w:iCs/>
                      <w:sz w:val="21"/>
                      <w:szCs w:val="21"/>
                      <w:shd w:val="clear" w:color="auto" w:fill="FFFFFF"/>
                      <w:lang w:val="en-US" w:eastAsia="zh-CN"/>
                    </w:rPr>
                    <w:t xml:space="preserve"> </w:t>
                  </w:r>
                  <w:r>
                    <w:rPr>
                      <w:rFonts w:hint="eastAsia" w:ascii="Times New Roman" w:hAnsi="Times New Roman" w:eastAsia="宋体" w:cs="宋体"/>
                      <w:i/>
                      <w:iCs/>
                      <w:sz w:val="21"/>
                      <w:szCs w:val="21"/>
                      <w:shd w:val="clear" w:color="auto" w:fill="FFFFFF"/>
                    </w:rPr>
                    <w:t>Moq</w:t>
                  </w:r>
                </w:p>
              </w:tc>
              <w:tc>
                <w:tcPr>
                  <w:tcW w:w="0" w:type="auto"/>
                  <w:vAlign w:val="center"/>
                </w:tcPr>
                <w:p w14:paraId="7EE431B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drawing>
                      <wp:inline distT="0" distB="0" distL="114300" distR="114300">
                        <wp:extent cx="1677670" cy="1508125"/>
                        <wp:effectExtent l="0" t="0" r="17780" b="15875"/>
                        <wp:docPr id="19" name="图片 19" descr="3"/>
                        <wp:cNvGraphicFramePr/>
                        <a:graphic xmlns:a="http://schemas.openxmlformats.org/drawingml/2006/main">
                          <a:graphicData uri="http://schemas.openxmlformats.org/drawingml/2006/picture">
                            <pic:pic xmlns:pic="http://schemas.openxmlformats.org/drawingml/2006/picture">
                              <pic:nvPicPr>
                                <pic:cNvPr id="19" name="图片 19" descr="3"/>
                                <pic:cNvPicPr/>
                              </pic:nvPicPr>
                              <pic:blipFill>
                                <a:blip r:embed="rId16"/>
                                <a:stretch>
                                  <a:fillRect/>
                                </a:stretch>
                              </pic:blipFill>
                              <pic:spPr>
                                <a:xfrm>
                                  <a:off x="0" y="0"/>
                                  <a:ext cx="1677670" cy="1508125"/>
                                </a:xfrm>
                                <a:prstGeom prst="rect">
                                  <a:avLst/>
                                </a:prstGeom>
                              </pic:spPr>
                            </pic:pic>
                          </a:graphicData>
                        </a:graphic>
                      </wp:inline>
                    </w:drawing>
                  </w:r>
                </w:p>
              </w:tc>
            </w:tr>
            <w:tr w14:paraId="7555FDB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3C7E22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kern w:val="0"/>
                      <w:sz w:val="21"/>
                      <w:szCs w:val="21"/>
                    </w:rPr>
                  </w:pPr>
                  <w:r>
                    <w:rPr>
                      <w:rFonts w:hint="eastAsia" w:ascii="Times New Roman" w:hAnsi="Times New Roman" w:eastAsia="宋体" w:cs="宋体"/>
                      <w:kern w:val="0"/>
                      <w:sz w:val="21"/>
                      <w:szCs w:val="21"/>
                    </w:rPr>
                    <w:t>蒺藜科</w:t>
                  </w:r>
                </w:p>
              </w:tc>
              <w:tc>
                <w:tcPr>
                  <w:tcW w:w="0" w:type="auto"/>
                  <w:vAlign w:val="center"/>
                </w:tcPr>
                <w:p w14:paraId="2B4B69B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kern w:val="0"/>
                      <w:sz w:val="21"/>
                      <w:szCs w:val="21"/>
                    </w:rPr>
                  </w:pPr>
                  <w:r>
                    <w:rPr>
                      <w:rFonts w:hint="eastAsia" w:ascii="Times New Roman" w:hAnsi="Times New Roman" w:eastAsia="宋体" w:cs="宋体"/>
                      <w:kern w:val="0"/>
                      <w:sz w:val="21"/>
                      <w:szCs w:val="21"/>
                    </w:rPr>
                    <w:fldChar w:fldCharType="begin"/>
                  </w:r>
                  <w:r>
                    <w:rPr>
                      <w:rFonts w:hint="eastAsia" w:ascii="Times New Roman" w:hAnsi="Times New Roman" w:eastAsia="宋体" w:cs="宋体"/>
                      <w:kern w:val="0"/>
                      <w:sz w:val="21"/>
                      <w:szCs w:val="21"/>
                    </w:rPr>
                    <w:instrText xml:space="preserve"> HYPERLINK "https://baike.baidu.com/item/%E9%A9%BC%E8%B9%84%E7%93%A3%E5%B1%9E/10680805?fromModule=lemma_inlink" \t "https://baike.baidu.com/item/%E9%A9%BC%E8%B9%84%E7%93%A3/_blank" </w:instrText>
                  </w:r>
                  <w:r>
                    <w:rPr>
                      <w:rFonts w:hint="eastAsia" w:ascii="Times New Roman" w:hAnsi="Times New Roman" w:eastAsia="宋体" w:cs="宋体"/>
                      <w:kern w:val="0"/>
                      <w:sz w:val="21"/>
                      <w:szCs w:val="21"/>
                    </w:rPr>
                    <w:fldChar w:fldCharType="separate"/>
                  </w:r>
                  <w:r>
                    <w:rPr>
                      <w:rFonts w:hint="eastAsia" w:ascii="Times New Roman" w:hAnsi="Times New Roman" w:eastAsia="宋体" w:cs="宋体"/>
                      <w:kern w:val="0"/>
                      <w:sz w:val="21"/>
                      <w:szCs w:val="21"/>
                    </w:rPr>
                    <w:t>驼蹄瓣属</w:t>
                  </w:r>
                  <w:r>
                    <w:rPr>
                      <w:rFonts w:hint="eastAsia" w:ascii="Times New Roman" w:hAnsi="Times New Roman" w:eastAsia="宋体" w:cs="宋体"/>
                      <w:kern w:val="0"/>
                      <w:sz w:val="21"/>
                      <w:szCs w:val="21"/>
                    </w:rPr>
                    <w:fldChar w:fldCharType="end"/>
                  </w:r>
                </w:p>
              </w:tc>
              <w:tc>
                <w:tcPr>
                  <w:tcW w:w="0" w:type="auto"/>
                  <w:vAlign w:val="center"/>
                </w:tcPr>
                <w:p w14:paraId="79741B1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shd w:val="clear" w:color="auto" w:fill="FFFFFF"/>
                    </w:rPr>
                  </w:pPr>
                  <w:r>
                    <w:rPr>
                      <w:rFonts w:hint="eastAsia" w:ascii="Times New Roman" w:hAnsi="Times New Roman" w:eastAsia="宋体" w:cs="宋体"/>
                      <w:sz w:val="21"/>
                      <w:szCs w:val="21"/>
                      <w:shd w:val="clear" w:color="auto" w:fill="FFFFFF"/>
                    </w:rPr>
                    <w:t>驼蹄瓣</w:t>
                  </w:r>
                  <w:r>
                    <w:rPr>
                      <w:rFonts w:hint="eastAsia" w:ascii="Times New Roman" w:hAnsi="Times New Roman" w:eastAsia="宋体" w:cs="宋体"/>
                      <w:i/>
                      <w:iCs/>
                      <w:sz w:val="21"/>
                      <w:szCs w:val="21"/>
                      <w:shd w:val="clear" w:color="auto" w:fill="FFFFFF"/>
                    </w:rPr>
                    <w:t>Zygophyllum fabago</w:t>
                  </w:r>
                  <w:r>
                    <w:rPr>
                      <w:rFonts w:hint="eastAsia" w:cs="宋体"/>
                      <w:i/>
                      <w:iCs/>
                      <w:sz w:val="21"/>
                      <w:szCs w:val="21"/>
                      <w:shd w:val="clear" w:color="auto" w:fill="FFFFFF"/>
                      <w:lang w:val="en-US" w:eastAsia="zh-CN"/>
                    </w:rPr>
                    <w:t xml:space="preserve"> </w:t>
                  </w:r>
                  <w:r>
                    <w:rPr>
                      <w:rFonts w:hint="default" w:ascii="Times New Roman" w:hAnsi="Times New Roman" w:eastAsia="宋体" w:cs="宋体"/>
                      <w:i/>
                      <w:iCs/>
                      <w:sz w:val="21"/>
                      <w:szCs w:val="21"/>
                      <w:shd w:val="clear" w:color="auto" w:fill="FFFFFF"/>
                    </w:rPr>
                    <w:t>L</w:t>
                  </w:r>
                </w:p>
              </w:tc>
              <w:tc>
                <w:tcPr>
                  <w:tcW w:w="0" w:type="auto"/>
                  <w:vAlign w:val="center"/>
                </w:tcPr>
                <w:p w14:paraId="54D59B3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drawing>
                      <wp:inline distT="0" distB="0" distL="114300" distR="114300">
                        <wp:extent cx="1677670" cy="1508125"/>
                        <wp:effectExtent l="0" t="0" r="17780" b="15875"/>
                        <wp:docPr id="20" name="图片 20" descr="4"/>
                        <wp:cNvGraphicFramePr/>
                        <a:graphic xmlns:a="http://schemas.openxmlformats.org/drawingml/2006/main">
                          <a:graphicData uri="http://schemas.openxmlformats.org/drawingml/2006/picture">
                            <pic:pic xmlns:pic="http://schemas.openxmlformats.org/drawingml/2006/picture">
                              <pic:nvPicPr>
                                <pic:cNvPr id="20" name="图片 20" descr="4"/>
                                <pic:cNvPicPr/>
                              </pic:nvPicPr>
                              <pic:blipFill>
                                <a:blip r:embed="rId17"/>
                                <a:stretch>
                                  <a:fillRect/>
                                </a:stretch>
                              </pic:blipFill>
                              <pic:spPr>
                                <a:xfrm>
                                  <a:off x="0" y="0"/>
                                  <a:ext cx="1677670" cy="1508125"/>
                                </a:xfrm>
                                <a:prstGeom prst="rect">
                                  <a:avLst/>
                                </a:prstGeom>
                              </pic:spPr>
                            </pic:pic>
                          </a:graphicData>
                        </a:graphic>
                      </wp:inline>
                    </w:drawing>
                  </w:r>
                </w:p>
              </w:tc>
            </w:tr>
          </w:tbl>
          <w:p w14:paraId="7C79E6E5">
            <w:pPr>
              <w:keepNext w:val="0"/>
              <w:keepLines w:val="0"/>
              <w:suppressLineNumbers w:val="0"/>
              <w:spacing w:before="0" w:beforeAutospacing="0" w:after="0" w:afterAutospacing="0" w:line="480" w:lineRule="exact"/>
              <w:ind w:left="0" w:right="0" w:firstLine="480" w:firstLineChars="200"/>
              <w:jc w:val="left"/>
              <w:rPr>
                <w:rFonts w:hint="default"/>
                <w:sz w:val="24"/>
              </w:rPr>
            </w:pPr>
            <w:r>
              <w:rPr>
                <w:rFonts w:hint="eastAsia"/>
                <w:sz w:val="24"/>
              </w:rPr>
              <w:t>本区域</w:t>
            </w:r>
            <w:r>
              <w:rPr>
                <w:rFonts w:hint="default"/>
                <w:sz w:val="24"/>
              </w:rPr>
              <w:t>植被覆盖度</w:t>
            </w:r>
            <w:r>
              <w:rPr>
                <w:rFonts w:hint="eastAsia"/>
                <w:sz w:val="24"/>
                <w:lang w:val="en-US" w:eastAsia="zh-CN"/>
              </w:rPr>
              <w:t>较低</w:t>
            </w:r>
            <w:r>
              <w:rPr>
                <w:rFonts w:hint="eastAsia"/>
                <w:sz w:val="24"/>
                <w:lang w:eastAsia="zh-CN"/>
              </w:rPr>
              <w:t>，</w:t>
            </w:r>
            <w:r>
              <w:rPr>
                <w:rFonts w:hint="default"/>
                <w:sz w:val="24"/>
              </w:rPr>
              <w:t>不涉及保护植物。</w:t>
            </w:r>
          </w:p>
          <w:p w14:paraId="38B8F879">
            <w:pPr>
              <w:keepNext w:val="0"/>
              <w:keepLines w:val="0"/>
              <w:suppressLineNumbers w:val="0"/>
              <w:spacing w:before="0" w:beforeAutospacing="0" w:after="0" w:afterAutospacing="0" w:line="480" w:lineRule="exact"/>
              <w:ind w:left="0" w:right="0" w:firstLine="480" w:firstLineChars="200"/>
              <w:jc w:val="left"/>
              <w:rPr>
                <w:rFonts w:hint="default"/>
                <w:sz w:val="24"/>
              </w:rPr>
            </w:pPr>
            <w:r>
              <w:rPr>
                <w:rFonts w:hint="eastAsia"/>
                <w:sz w:val="24"/>
              </w:rPr>
              <w:t>（2）</w:t>
            </w:r>
            <w:r>
              <w:rPr>
                <w:rFonts w:hint="default"/>
                <w:sz w:val="24"/>
              </w:rPr>
              <w:t>野生动物现状调查</w:t>
            </w:r>
          </w:p>
          <w:p w14:paraId="50CA598E">
            <w:pPr>
              <w:keepNext w:val="0"/>
              <w:keepLines w:val="0"/>
              <w:suppressLineNumbers w:val="0"/>
              <w:snapToGrid w:val="0"/>
              <w:spacing w:before="0" w:beforeAutospacing="0" w:after="0" w:afterAutospacing="0" w:line="520" w:lineRule="exact"/>
              <w:ind w:left="0" w:right="0" w:firstLine="480" w:firstLineChars="200"/>
              <w:jc w:val="left"/>
              <w:rPr>
                <w:rFonts w:hint="default"/>
                <w:sz w:val="24"/>
              </w:rPr>
            </w:pPr>
            <w:r>
              <w:rPr>
                <w:rFonts w:hint="default"/>
                <w:sz w:val="24"/>
              </w:rPr>
              <w:t>项目位于</w:t>
            </w:r>
            <w:r>
              <w:rPr>
                <w:rFonts w:hint="eastAsia"/>
                <w:sz w:val="24"/>
              </w:rPr>
              <w:t>戈壁</w:t>
            </w:r>
            <w:r>
              <w:rPr>
                <w:rFonts w:hint="default"/>
                <w:sz w:val="24"/>
              </w:rPr>
              <w:t>，主要生态环境为</w:t>
            </w:r>
            <w:r>
              <w:rPr>
                <w:rFonts w:hint="eastAsia"/>
                <w:sz w:val="24"/>
              </w:rPr>
              <w:t>荒漠生态环境</w:t>
            </w:r>
            <w:r>
              <w:rPr>
                <w:rFonts w:hint="default"/>
                <w:sz w:val="24"/>
              </w:rPr>
              <w:t>，</w:t>
            </w:r>
            <w:r>
              <w:rPr>
                <w:rFonts w:hint="default"/>
                <w:color w:val="000000"/>
                <w:sz w:val="24"/>
              </w:rPr>
              <w:t>乔灌木植被</w:t>
            </w:r>
            <w:r>
              <w:rPr>
                <w:rFonts w:hint="eastAsia"/>
                <w:color w:val="000000"/>
                <w:sz w:val="24"/>
              </w:rPr>
              <w:t>稀少</w:t>
            </w:r>
            <w:r>
              <w:rPr>
                <w:rFonts w:hint="default"/>
                <w:color w:val="000000"/>
                <w:sz w:val="24"/>
              </w:rPr>
              <w:t>，无栖息及躲藏之地，野生动物分布数量较少，项目区域内分布的野生脊椎动物种类较少</w:t>
            </w:r>
            <w:r>
              <w:rPr>
                <w:rFonts w:hint="eastAsia"/>
                <w:color w:val="000000"/>
                <w:sz w:val="24"/>
              </w:rPr>
              <w:t>，</w:t>
            </w:r>
            <w:r>
              <w:rPr>
                <w:rFonts w:hint="eastAsia" w:cs="Arial"/>
                <w:sz w:val="24"/>
              </w:rPr>
              <w:t>未涉及珍稀动物的集中分布区和越冬栖息地</w:t>
            </w:r>
            <w:r>
              <w:rPr>
                <w:rFonts w:hint="default"/>
                <w:color w:val="000000"/>
                <w:sz w:val="24"/>
              </w:rPr>
              <w:t>。各种野生动物分布现状见下表。</w:t>
            </w:r>
          </w:p>
          <w:p w14:paraId="459E5373">
            <w:pPr>
              <w:keepNext w:val="0"/>
              <w:keepLines w:val="0"/>
              <w:suppressLineNumbers w:val="0"/>
              <w:snapToGrid w:val="0"/>
              <w:spacing w:before="0" w:beforeAutospacing="0" w:after="0" w:afterAutospacing="0" w:line="520" w:lineRule="exact"/>
              <w:ind w:left="0" w:right="0"/>
              <w:jc w:val="center"/>
              <w:rPr>
                <w:rFonts w:hint="default"/>
                <w:b/>
                <w:bCs/>
                <w:color w:val="000000"/>
                <w:sz w:val="24"/>
              </w:rPr>
            </w:pPr>
            <w:r>
              <w:rPr>
                <w:rFonts w:hint="default"/>
                <w:b/>
                <w:bCs/>
                <w:color w:val="000000"/>
                <w:sz w:val="24"/>
              </w:rPr>
              <w:t>表3-4  工程区主要野生动物名录</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1398"/>
              <w:gridCol w:w="2437"/>
              <w:gridCol w:w="2437"/>
            </w:tblGrid>
            <w:tr w14:paraId="00DD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bottom w:val="single" w:color="auto" w:sz="4" w:space="0"/>
                    <w:right w:val="single" w:color="auto" w:sz="4" w:space="0"/>
                  </w:tcBorders>
                  <w:vAlign w:val="center"/>
                </w:tcPr>
                <w:p w14:paraId="4F84F1AB">
                  <w:pPr>
                    <w:keepNext w:val="0"/>
                    <w:keepLines w:val="0"/>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科名</w:t>
                  </w:r>
                </w:p>
              </w:tc>
              <w:tc>
                <w:tcPr>
                  <w:tcW w:w="857" w:type="pct"/>
                  <w:tcBorders>
                    <w:left w:val="nil"/>
                    <w:bottom w:val="single" w:color="auto" w:sz="4" w:space="0"/>
                    <w:right w:val="single" w:color="auto" w:sz="4" w:space="0"/>
                  </w:tcBorders>
                  <w:vAlign w:val="center"/>
                </w:tcPr>
                <w:p w14:paraId="015277FC">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kern w:val="0"/>
                      <w:szCs w:val="21"/>
                    </w:rPr>
                    <w:t>中文名</w:t>
                  </w:r>
                </w:p>
              </w:tc>
              <w:tc>
                <w:tcPr>
                  <w:tcW w:w="1494" w:type="pct"/>
                  <w:tcBorders>
                    <w:left w:val="single" w:color="auto" w:sz="4" w:space="0"/>
                    <w:bottom w:val="single" w:color="auto" w:sz="4" w:space="0"/>
                  </w:tcBorders>
                  <w:vAlign w:val="center"/>
                </w:tcPr>
                <w:p w14:paraId="713C46EC">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kern w:val="0"/>
                      <w:szCs w:val="21"/>
                    </w:rPr>
                    <w:t>学名</w:t>
                  </w:r>
                </w:p>
              </w:tc>
              <w:tc>
                <w:tcPr>
                  <w:tcW w:w="1494" w:type="pct"/>
                  <w:tcBorders>
                    <w:left w:val="single" w:color="auto" w:sz="4" w:space="0"/>
                    <w:bottom w:val="single" w:color="auto" w:sz="4" w:space="0"/>
                  </w:tcBorders>
                  <w:vAlign w:val="center"/>
                </w:tcPr>
                <w:p w14:paraId="503683B2">
                  <w:pPr>
                    <w:keepNext w:val="0"/>
                    <w:keepLines w:val="0"/>
                    <w:suppressLineNumbers w:val="0"/>
                    <w:spacing w:before="0" w:beforeAutospacing="0" w:after="0" w:afterAutospacing="0"/>
                    <w:ind w:left="0" w:right="0"/>
                    <w:jc w:val="center"/>
                    <w:rPr>
                      <w:rFonts w:hint="default" w:ascii="Times New Roman" w:hAnsi="Times New Roman" w:eastAsia="宋体"/>
                      <w:kern w:val="0"/>
                      <w:szCs w:val="21"/>
                    </w:rPr>
                  </w:pPr>
                  <w:r>
                    <w:rPr>
                      <w:rFonts w:hint="default" w:ascii="Times New Roman" w:hAnsi="Times New Roman" w:eastAsia="宋体"/>
                      <w:kern w:val="0"/>
                      <w:szCs w:val="21"/>
                    </w:rPr>
                    <w:t>保护级别</w:t>
                  </w:r>
                </w:p>
              </w:tc>
            </w:tr>
            <w:tr w14:paraId="2186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top w:val="single" w:color="auto" w:sz="4" w:space="0"/>
                    <w:right w:val="single" w:color="auto" w:sz="4" w:space="0"/>
                  </w:tcBorders>
                  <w:vAlign w:val="center"/>
                </w:tcPr>
                <w:p w14:paraId="53346370">
                  <w:pPr>
                    <w:pStyle w:val="41"/>
                    <w:keepNext w:val="0"/>
                    <w:keepLines w:val="0"/>
                    <w:suppressLineNumbers w:val="0"/>
                    <w:spacing w:before="0" w:beforeAutospacing="0" w:after="0" w:afterAutospacing="0"/>
                    <w:ind w:left="0" w:right="0"/>
                    <w:jc w:val="center"/>
                    <w:rPr>
                      <w:rFonts w:hint="default" w:ascii="Times New Roman" w:hAnsi="Times New Roman" w:eastAsia="宋体"/>
                      <w:sz w:val="21"/>
                      <w:szCs w:val="21"/>
                    </w:rPr>
                  </w:pPr>
                  <w:r>
                    <w:rPr>
                      <w:rFonts w:hint="default" w:ascii="Times New Roman" w:hAnsi="Times New Roman" w:eastAsia="宋体"/>
                      <w:sz w:val="21"/>
                      <w:szCs w:val="21"/>
                    </w:rPr>
                    <w:t>哺乳类</w:t>
                  </w:r>
                </w:p>
              </w:tc>
              <w:tc>
                <w:tcPr>
                  <w:tcW w:w="857" w:type="pct"/>
                  <w:tcBorders>
                    <w:top w:val="single" w:color="auto" w:sz="4" w:space="0"/>
                    <w:left w:val="nil"/>
                    <w:bottom w:val="single" w:color="auto" w:sz="4" w:space="0"/>
                    <w:right w:val="single" w:color="auto" w:sz="4" w:space="0"/>
                  </w:tcBorders>
                  <w:vAlign w:val="center"/>
                </w:tcPr>
                <w:p w14:paraId="36D59EFE">
                  <w:pPr>
                    <w:pStyle w:val="41"/>
                    <w:keepNext w:val="0"/>
                    <w:keepLines w:val="0"/>
                    <w:suppressLineNumbers w:val="0"/>
                    <w:spacing w:before="0" w:beforeAutospacing="0" w:after="0" w:afterAutospacing="0"/>
                    <w:ind w:left="0" w:right="0"/>
                    <w:jc w:val="center"/>
                    <w:rPr>
                      <w:rFonts w:hint="default" w:ascii="Times New Roman" w:hAnsi="Times New Roman" w:eastAsia="宋体"/>
                      <w:sz w:val="21"/>
                      <w:szCs w:val="21"/>
                      <w:lang w:eastAsia="zh-CN"/>
                    </w:rPr>
                  </w:pPr>
                  <w:r>
                    <w:rPr>
                      <w:rFonts w:hint="default" w:ascii="Times New Roman" w:hAnsi="Times New Roman" w:eastAsia="宋体"/>
                      <w:sz w:val="21"/>
                      <w:szCs w:val="21"/>
                    </w:rPr>
                    <w:t>沙鼠</w:t>
                  </w:r>
                </w:p>
              </w:tc>
              <w:tc>
                <w:tcPr>
                  <w:tcW w:w="1494" w:type="pct"/>
                  <w:tcBorders>
                    <w:top w:val="single" w:color="auto" w:sz="4" w:space="0"/>
                    <w:left w:val="single" w:color="auto" w:sz="4" w:space="0"/>
                    <w:bottom w:val="single" w:color="auto" w:sz="4" w:space="0"/>
                  </w:tcBorders>
                  <w:vAlign w:val="center"/>
                </w:tcPr>
                <w:p w14:paraId="096A88BA">
                  <w:pPr>
                    <w:pStyle w:val="41"/>
                    <w:keepNext w:val="0"/>
                    <w:keepLines w:val="0"/>
                    <w:suppressLineNumbers w:val="0"/>
                    <w:spacing w:before="0" w:beforeAutospacing="0" w:after="0" w:afterAutospacing="0"/>
                    <w:ind w:left="0" w:right="0"/>
                    <w:jc w:val="center"/>
                    <w:rPr>
                      <w:rFonts w:hint="default" w:ascii="Times New Roman" w:hAnsi="Times New Roman" w:eastAsia="宋体"/>
                      <w:i/>
                      <w:sz w:val="21"/>
                      <w:szCs w:val="21"/>
                    </w:rPr>
                  </w:pPr>
                  <w:r>
                    <w:rPr>
                      <w:rFonts w:hint="default" w:ascii="Times New Roman" w:hAnsi="Times New Roman" w:eastAsia="宋体"/>
                      <w:i/>
                      <w:sz w:val="21"/>
                      <w:szCs w:val="21"/>
                    </w:rPr>
                    <w:t>Pachyuromys duprasi</w:t>
                  </w:r>
                </w:p>
              </w:tc>
              <w:tc>
                <w:tcPr>
                  <w:tcW w:w="1494" w:type="pct"/>
                  <w:tcBorders>
                    <w:top w:val="single" w:color="auto" w:sz="4" w:space="0"/>
                    <w:left w:val="single" w:color="auto" w:sz="4" w:space="0"/>
                    <w:bottom w:val="single" w:color="auto" w:sz="4" w:space="0"/>
                  </w:tcBorders>
                  <w:vAlign w:val="center"/>
                </w:tcPr>
                <w:p w14:paraId="6A933D70">
                  <w:pPr>
                    <w:pStyle w:val="41"/>
                    <w:keepNext w:val="0"/>
                    <w:keepLines w:val="0"/>
                    <w:suppressLineNumbers w:val="0"/>
                    <w:spacing w:before="0" w:beforeAutospacing="0" w:after="0" w:afterAutospacing="0"/>
                    <w:ind w:left="0" w:right="0"/>
                    <w:jc w:val="center"/>
                    <w:rPr>
                      <w:rFonts w:hint="default" w:ascii="Times New Roman" w:hAnsi="Times New Roman" w:eastAsia="宋体"/>
                      <w:iCs/>
                      <w:sz w:val="21"/>
                      <w:szCs w:val="21"/>
                      <w:lang w:eastAsia="zh-CN"/>
                    </w:rPr>
                  </w:pPr>
                  <w:r>
                    <w:rPr>
                      <w:rFonts w:hint="default" w:ascii="Times New Roman" w:hAnsi="Times New Roman" w:eastAsia="宋体"/>
                      <w:iCs/>
                      <w:sz w:val="21"/>
                      <w:szCs w:val="21"/>
                      <w:lang w:eastAsia="zh-CN"/>
                    </w:rPr>
                    <w:t>/</w:t>
                  </w:r>
                </w:p>
              </w:tc>
            </w:tr>
            <w:tr w14:paraId="334D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top w:val="single" w:color="auto" w:sz="4" w:space="0"/>
                    <w:bottom w:val="single" w:color="auto" w:sz="4" w:space="0"/>
                    <w:right w:val="single" w:color="auto" w:sz="4" w:space="0"/>
                  </w:tcBorders>
                  <w:vAlign w:val="center"/>
                </w:tcPr>
                <w:p w14:paraId="76A24697">
                  <w:pPr>
                    <w:pStyle w:val="41"/>
                    <w:keepNext w:val="0"/>
                    <w:keepLines w:val="0"/>
                    <w:suppressLineNumbers w:val="0"/>
                    <w:spacing w:before="0" w:beforeAutospacing="0" w:after="0" w:afterAutospacing="0"/>
                    <w:ind w:left="0" w:right="0"/>
                    <w:jc w:val="center"/>
                    <w:rPr>
                      <w:rFonts w:hint="default" w:ascii="Times New Roman" w:hAnsi="Times New Roman" w:eastAsia="宋体"/>
                      <w:sz w:val="21"/>
                      <w:szCs w:val="21"/>
                    </w:rPr>
                  </w:pPr>
                  <w:r>
                    <w:rPr>
                      <w:rFonts w:hint="default" w:ascii="Times New Roman" w:hAnsi="Times New Roman" w:eastAsia="宋体"/>
                      <w:sz w:val="21"/>
                      <w:szCs w:val="21"/>
                    </w:rPr>
                    <w:t>爬行类</w:t>
                  </w:r>
                </w:p>
              </w:tc>
              <w:tc>
                <w:tcPr>
                  <w:tcW w:w="857" w:type="pct"/>
                  <w:tcBorders>
                    <w:top w:val="single" w:color="auto" w:sz="4" w:space="0"/>
                    <w:left w:val="nil"/>
                    <w:bottom w:val="single" w:color="auto" w:sz="4" w:space="0"/>
                    <w:right w:val="single" w:color="auto" w:sz="4" w:space="0"/>
                  </w:tcBorders>
                  <w:vAlign w:val="center"/>
                </w:tcPr>
                <w:p w14:paraId="4458B1A9">
                  <w:pPr>
                    <w:pStyle w:val="41"/>
                    <w:keepNext w:val="0"/>
                    <w:keepLines w:val="0"/>
                    <w:suppressLineNumbers w:val="0"/>
                    <w:spacing w:before="0" w:beforeAutospacing="0" w:after="0" w:afterAutospacing="0"/>
                    <w:ind w:left="0" w:right="0"/>
                    <w:jc w:val="center"/>
                    <w:rPr>
                      <w:rFonts w:hint="default" w:ascii="Times New Roman" w:hAnsi="Times New Roman" w:eastAsia="宋体"/>
                      <w:sz w:val="21"/>
                      <w:szCs w:val="21"/>
                      <w:lang w:eastAsia="zh-CN"/>
                    </w:rPr>
                  </w:pPr>
                  <w:r>
                    <w:rPr>
                      <w:rFonts w:hint="default" w:ascii="Times New Roman" w:hAnsi="Times New Roman" w:eastAsia="宋体"/>
                      <w:sz w:val="21"/>
                      <w:szCs w:val="21"/>
                    </w:rPr>
                    <w:t>蜥蜴</w:t>
                  </w:r>
                </w:p>
              </w:tc>
              <w:tc>
                <w:tcPr>
                  <w:tcW w:w="1494" w:type="pct"/>
                  <w:tcBorders>
                    <w:top w:val="single" w:color="auto" w:sz="4" w:space="0"/>
                    <w:left w:val="single" w:color="auto" w:sz="4" w:space="0"/>
                    <w:bottom w:val="single" w:color="auto" w:sz="4" w:space="0"/>
                  </w:tcBorders>
                  <w:vAlign w:val="center"/>
                </w:tcPr>
                <w:p w14:paraId="14C2C42D">
                  <w:pPr>
                    <w:pStyle w:val="41"/>
                    <w:keepNext w:val="0"/>
                    <w:keepLines w:val="0"/>
                    <w:suppressLineNumbers w:val="0"/>
                    <w:spacing w:before="0" w:beforeAutospacing="0" w:after="0" w:afterAutospacing="0"/>
                    <w:ind w:left="0" w:right="0"/>
                    <w:jc w:val="center"/>
                    <w:rPr>
                      <w:rFonts w:hint="default" w:ascii="Times New Roman" w:hAnsi="Times New Roman" w:eastAsia="宋体"/>
                      <w:i/>
                      <w:sz w:val="21"/>
                      <w:szCs w:val="21"/>
                    </w:rPr>
                  </w:pPr>
                  <w:r>
                    <w:rPr>
                      <w:rFonts w:hint="default" w:ascii="Times New Roman" w:hAnsi="Times New Roman" w:eastAsia="宋体"/>
                      <w:i/>
                      <w:sz w:val="21"/>
                      <w:szCs w:val="21"/>
                    </w:rPr>
                    <w:t>Lizard</w:t>
                  </w:r>
                </w:p>
              </w:tc>
              <w:tc>
                <w:tcPr>
                  <w:tcW w:w="1494" w:type="pct"/>
                  <w:tcBorders>
                    <w:top w:val="single" w:color="auto" w:sz="4" w:space="0"/>
                    <w:left w:val="single" w:color="auto" w:sz="4" w:space="0"/>
                    <w:bottom w:val="single" w:color="auto" w:sz="4" w:space="0"/>
                  </w:tcBorders>
                  <w:vAlign w:val="center"/>
                </w:tcPr>
                <w:p w14:paraId="5B1103D2">
                  <w:pPr>
                    <w:keepNext w:val="0"/>
                    <w:keepLines w:val="0"/>
                    <w:suppressLineNumbers w:val="0"/>
                    <w:spacing w:before="0" w:beforeAutospacing="0" w:after="0" w:afterAutospacing="0"/>
                    <w:ind w:left="0" w:right="0"/>
                    <w:jc w:val="center"/>
                    <w:rPr>
                      <w:rFonts w:hint="default" w:ascii="Times New Roman" w:hAnsi="Times New Roman" w:eastAsia="宋体"/>
                      <w:iCs/>
                      <w:szCs w:val="21"/>
                    </w:rPr>
                  </w:pPr>
                  <w:r>
                    <w:rPr>
                      <w:rFonts w:hint="default" w:ascii="Times New Roman" w:hAnsi="Times New Roman" w:eastAsia="宋体"/>
                      <w:iCs/>
                      <w:szCs w:val="21"/>
                    </w:rPr>
                    <w:t>/</w:t>
                  </w:r>
                </w:p>
              </w:tc>
            </w:tr>
            <w:tr w14:paraId="4552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top w:val="single" w:color="auto" w:sz="4" w:space="0"/>
                    <w:bottom w:val="single" w:color="auto" w:sz="4" w:space="0"/>
                    <w:right w:val="single" w:color="auto" w:sz="4" w:space="0"/>
                  </w:tcBorders>
                  <w:vAlign w:val="center"/>
                </w:tcPr>
                <w:p w14:paraId="0F6E53D5">
                  <w:pPr>
                    <w:pStyle w:val="41"/>
                    <w:keepNext w:val="0"/>
                    <w:keepLines w:val="0"/>
                    <w:suppressLineNumbers w:val="0"/>
                    <w:spacing w:before="0" w:beforeAutospacing="0" w:after="0" w:afterAutospacing="0"/>
                    <w:ind w:left="0" w:right="0"/>
                    <w:jc w:val="center"/>
                    <w:rPr>
                      <w:rFonts w:hint="default" w:ascii="Times New Roman" w:hAnsi="Times New Roman" w:eastAsia="宋体"/>
                      <w:sz w:val="21"/>
                      <w:szCs w:val="21"/>
                      <w:lang w:eastAsia="zh-CN"/>
                    </w:rPr>
                  </w:pPr>
                  <w:r>
                    <w:rPr>
                      <w:rFonts w:hint="default" w:ascii="Times New Roman" w:hAnsi="Times New Roman" w:eastAsia="宋体"/>
                      <w:sz w:val="21"/>
                      <w:szCs w:val="21"/>
                    </w:rPr>
                    <w:t>鸟类</w:t>
                  </w:r>
                </w:p>
              </w:tc>
              <w:tc>
                <w:tcPr>
                  <w:tcW w:w="857" w:type="pct"/>
                  <w:tcBorders>
                    <w:top w:val="single" w:color="auto" w:sz="4" w:space="0"/>
                    <w:left w:val="nil"/>
                    <w:bottom w:val="single" w:color="auto" w:sz="4" w:space="0"/>
                    <w:right w:val="single" w:color="auto" w:sz="4" w:space="0"/>
                  </w:tcBorders>
                  <w:vAlign w:val="center"/>
                </w:tcPr>
                <w:p w14:paraId="41B1E6CB">
                  <w:pPr>
                    <w:pStyle w:val="41"/>
                    <w:keepNext w:val="0"/>
                    <w:keepLines w:val="0"/>
                    <w:suppressLineNumbers w:val="0"/>
                    <w:spacing w:before="0" w:beforeAutospacing="0" w:after="0" w:afterAutospacing="0"/>
                    <w:ind w:left="0" w:right="0"/>
                    <w:jc w:val="center"/>
                    <w:rPr>
                      <w:rFonts w:hint="default" w:ascii="Times New Roman" w:hAnsi="Times New Roman" w:eastAsia="宋体"/>
                      <w:sz w:val="21"/>
                      <w:szCs w:val="21"/>
                      <w:lang w:eastAsia="zh-CN"/>
                    </w:rPr>
                  </w:pPr>
                  <w:r>
                    <w:rPr>
                      <w:rFonts w:hint="default" w:ascii="Times New Roman" w:hAnsi="Times New Roman" w:eastAsia="宋体"/>
                      <w:sz w:val="21"/>
                      <w:szCs w:val="21"/>
                    </w:rPr>
                    <w:t>麻雀</w:t>
                  </w:r>
                </w:p>
              </w:tc>
              <w:tc>
                <w:tcPr>
                  <w:tcW w:w="1494" w:type="pct"/>
                  <w:tcBorders>
                    <w:top w:val="single" w:color="auto" w:sz="4" w:space="0"/>
                    <w:left w:val="single" w:color="auto" w:sz="4" w:space="0"/>
                    <w:bottom w:val="single" w:color="auto" w:sz="4" w:space="0"/>
                  </w:tcBorders>
                  <w:vAlign w:val="center"/>
                </w:tcPr>
                <w:p w14:paraId="580D4E84">
                  <w:pPr>
                    <w:pStyle w:val="41"/>
                    <w:keepNext w:val="0"/>
                    <w:keepLines w:val="0"/>
                    <w:suppressLineNumbers w:val="0"/>
                    <w:spacing w:before="0" w:beforeAutospacing="0" w:after="0" w:afterAutospacing="0"/>
                    <w:ind w:left="0" w:right="0"/>
                    <w:jc w:val="center"/>
                    <w:rPr>
                      <w:rFonts w:hint="default" w:ascii="Times New Roman" w:hAnsi="Times New Roman" w:eastAsia="宋体"/>
                      <w:i/>
                      <w:iCs/>
                      <w:sz w:val="21"/>
                      <w:szCs w:val="21"/>
                      <w:shd w:val="clear" w:color="auto" w:fill="FFFFFF"/>
                    </w:rPr>
                  </w:pPr>
                  <w:r>
                    <w:rPr>
                      <w:rFonts w:hint="default" w:ascii="Times New Roman" w:hAnsi="Times New Roman" w:eastAsia="宋体"/>
                      <w:i/>
                      <w:sz w:val="21"/>
                      <w:szCs w:val="21"/>
                    </w:rPr>
                    <w:t>Passer domesticus</w:t>
                  </w:r>
                </w:p>
              </w:tc>
              <w:tc>
                <w:tcPr>
                  <w:tcW w:w="1494" w:type="pct"/>
                  <w:tcBorders>
                    <w:top w:val="single" w:color="auto" w:sz="4" w:space="0"/>
                    <w:left w:val="single" w:color="auto" w:sz="4" w:space="0"/>
                    <w:bottom w:val="single" w:color="auto" w:sz="4" w:space="0"/>
                  </w:tcBorders>
                  <w:vAlign w:val="center"/>
                </w:tcPr>
                <w:p w14:paraId="1C4C9CF9">
                  <w:pPr>
                    <w:keepNext w:val="0"/>
                    <w:keepLines w:val="0"/>
                    <w:suppressLineNumbers w:val="0"/>
                    <w:spacing w:before="0" w:beforeAutospacing="0" w:after="0" w:afterAutospacing="0"/>
                    <w:ind w:left="0" w:right="0"/>
                    <w:jc w:val="center"/>
                    <w:rPr>
                      <w:rFonts w:hint="default" w:ascii="Times New Roman" w:hAnsi="Times New Roman" w:eastAsia="宋体"/>
                      <w:iCs/>
                      <w:szCs w:val="21"/>
                    </w:rPr>
                  </w:pPr>
                  <w:r>
                    <w:rPr>
                      <w:rFonts w:hint="default" w:ascii="Times New Roman" w:hAnsi="Times New Roman" w:eastAsia="宋体"/>
                      <w:iCs/>
                      <w:szCs w:val="21"/>
                    </w:rPr>
                    <w:t>/</w:t>
                  </w:r>
                </w:p>
              </w:tc>
            </w:tr>
            <w:tr w14:paraId="43F0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top w:val="single" w:color="auto" w:sz="4" w:space="0"/>
                    <w:bottom w:val="single" w:color="auto" w:sz="4" w:space="0"/>
                    <w:right w:val="single" w:color="auto" w:sz="4" w:space="0"/>
                  </w:tcBorders>
                  <w:vAlign w:val="center"/>
                </w:tcPr>
                <w:p w14:paraId="64B1D6C6">
                  <w:pPr>
                    <w:pStyle w:val="41"/>
                    <w:keepNext w:val="0"/>
                    <w:keepLines w:val="0"/>
                    <w:suppressLineNumbers w:val="0"/>
                    <w:spacing w:before="0" w:beforeAutospacing="0" w:after="0" w:afterAutospacing="0"/>
                    <w:ind w:left="0" w:right="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哺乳类</w:t>
                  </w:r>
                </w:p>
              </w:tc>
              <w:tc>
                <w:tcPr>
                  <w:tcW w:w="857" w:type="pct"/>
                  <w:tcBorders>
                    <w:top w:val="single" w:color="auto" w:sz="4" w:space="0"/>
                    <w:left w:val="nil"/>
                    <w:bottom w:val="single" w:color="auto" w:sz="4" w:space="0"/>
                    <w:right w:val="single" w:color="auto" w:sz="4" w:space="0"/>
                  </w:tcBorders>
                  <w:vAlign w:val="center"/>
                </w:tcPr>
                <w:p w14:paraId="6EE7ACC5">
                  <w:pPr>
                    <w:pStyle w:val="41"/>
                    <w:keepNext w:val="0"/>
                    <w:keepLines w:val="0"/>
                    <w:suppressLineNumbers w:val="0"/>
                    <w:spacing w:before="0" w:beforeAutospacing="0" w:after="0" w:afterAutospacing="0"/>
                    <w:ind w:left="0" w:right="0"/>
                    <w:jc w:val="center"/>
                    <w:rPr>
                      <w:rFonts w:hint="default" w:ascii="Times New Roman" w:hAnsi="Times New Roman" w:eastAsia="宋体"/>
                      <w:sz w:val="21"/>
                      <w:szCs w:val="21"/>
                    </w:rPr>
                  </w:pPr>
                  <w:r>
                    <w:rPr>
                      <w:rFonts w:hint="default" w:ascii="Times New Roman" w:hAnsi="Times New Roman" w:eastAsia="宋体"/>
                      <w:sz w:val="21"/>
                      <w:szCs w:val="21"/>
                    </w:rPr>
                    <w:t>北山羊</w:t>
                  </w:r>
                </w:p>
              </w:tc>
              <w:tc>
                <w:tcPr>
                  <w:tcW w:w="1494" w:type="pct"/>
                  <w:tcBorders>
                    <w:top w:val="single" w:color="auto" w:sz="4" w:space="0"/>
                    <w:left w:val="single" w:color="auto" w:sz="4" w:space="0"/>
                    <w:bottom w:val="single" w:color="auto" w:sz="4" w:space="0"/>
                  </w:tcBorders>
                  <w:vAlign w:val="center"/>
                </w:tcPr>
                <w:p w14:paraId="7F1B8D5B">
                  <w:pPr>
                    <w:pStyle w:val="41"/>
                    <w:keepNext w:val="0"/>
                    <w:keepLines w:val="0"/>
                    <w:suppressLineNumbers w:val="0"/>
                    <w:spacing w:before="0" w:beforeAutospacing="0" w:after="0" w:afterAutospacing="0"/>
                    <w:ind w:left="0" w:right="0"/>
                    <w:jc w:val="center"/>
                    <w:rPr>
                      <w:rFonts w:hint="default" w:ascii="Times New Roman" w:hAnsi="Times New Roman" w:eastAsia="宋体"/>
                      <w:i/>
                      <w:sz w:val="21"/>
                      <w:szCs w:val="21"/>
                    </w:rPr>
                  </w:pPr>
                  <w:r>
                    <w:rPr>
                      <w:rFonts w:hint="default" w:ascii="Times New Roman" w:hAnsi="Times New Roman" w:eastAsia="宋体"/>
                      <w:i/>
                      <w:sz w:val="21"/>
                      <w:szCs w:val="21"/>
                    </w:rPr>
                    <w:t>Capra sibirica</w:t>
                  </w:r>
                </w:p>
              </w:tc>
              <w:tc>
                <w:tcPr>
                  <w:tcW w:w="1494" w:type="pct"/>
                  <w:tcBorders>
                    <w:top w:val="single" w:color="auto" w:sz="4" w:space="0"/>
                    <w:left w:val="single" w:color="auto" w:sz="4" w:space="0"/>
                    <w:bottom w:val="single" w:color="auto" w:sz="4" w:space="0"/>
                  </w:tcBorders>
                  <w:vAlign w:val="center"/>
                </w:tcPr>
                <w:p w14:paraId="5643B850">
                  <w:pPr>
                    <w:keepNext w:val="0"/>
                    <w:keepLines w:val="0"/>
                    <w:suppressLineNumbers w:val="0"/>
                    <w:spacing w:before="0" w:beforeAutospacing="0" w:after="0" w:afterAutospacing="0"/>
                    <w:ind w:left="0" w:right="0"/>
                    <w:jc w:val="center"/>
                    <w:rPr>
                      <w:rFonts w:hint="default" w:ascii="Times New Roman" w:hAnsi="Times New Roman" w:eastAsia="宋体"/>
                      <w:iCs/>
                      <w:szCs w:val="21"/>
                    </w:rPr>
                  </w:pPr>
                  <w:r>
                    <w:rPr>
                      <w:rFonts w:hint="default" w:ascii="Times New Roman" w:hAnsi="Times New Roman" w:eastAsia="宋体"/>
                      <w:iCs/>
                      <w:szCs w:val="21"/>
                    </w:rPr>
                    <w:t>国家二级保护动物</w:t>
                  </w:r>
                </w:p>
              </w:tc>
            </w:tr>
            <w:tr w14:paraId="619B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top w:val="single" w:color="auto" w:sz="4" w:space="0"/>
                    <w:right w:val="single" w:color="auto" w:sz="4" w:space="0"/>
                  </w:tcBorders>
                  <w:vAlign w:val="center"/>
                </w:tcPr>
                <w:p w14:paraId="7B9FB0A7">
                  <w:pPr>
                    <w:pStyle w:val="41"/>
                    <w:keepNext w:val="0"/>
                    <w:keepLines w:val="0"/>
                    <w:suppressLineNumbers w:val="0"/>
                    <w:spacing w:before="0" w:beforeAutospacing="0" w:after="0" w:afterAutospacing="0"/>
                    <w:ind w:left="0" w:right="0"/>
                    <w:jc w:val="center"/>
                    <w:rPr>
                      <w:rFonts w:hint="default" w:ascii="Times New Roman" w:hAnsi="Times New Roman" w:eastAsia="宋体"/>
                      <w:sz w:val="21"/>
                      <w:szCs w:val="21"/>
                    </w:rPr>
                  </w:pPr>
                  <w:r>
                    <w:rPr>
                      <w:rFonts w:hint="eastAsia" w:ascii="Times New Roman" w:hAnsi="Times New Roman" w:eastAsia="宋体"/>
                      <w:sz w:val="21"/>
                      <w:szCs w:val="21"/>
                      <w:lang w:val="en-US" w:eastAsia="zh-CN"/>
                    </w:rPr>
                    <w:t>哺乳类</w:t>
                  </w:r>
                </w:p>
              </w:tc>
              <w:tc>
                <w:tcPr>
                  <w:tcW w:w="857" w:type="pct"/>
                  <w:tcBorders>
                    <w:top w:val="single" w:color="auto" w:sz="4" w:space="0"/>
                    <w:left w:val="nil"/>
                    <w:right w:val="single" w:color="auto" w:sz="4" w:space="0"/>
                  </w:tcBorders>
                  <w:vAlign w:val="center"/>
                </w:tcPr>
                <w:p w14:paraId="6E5862C4">
                  <w:pPr>
                    <w:pStyle w:val="41"/>
                    <w:keepNext w:val="0"/>
                    <w:keepLines w:val="0"/>
                    <w:suppressLineNumbers w:val="0"/>
                    <w:spacing w:before="0" w:beforeAutospacing="0" w:after="0" w:afterAutospacing="0"/>
                    <w:ind w:left="0" w:right="0"/>
                    <w:jc w:val="center"/>
                    <w:rPr>
                      <w:rFonts w:hint="default" w:ascii="Times New Roman" w:hAnsi="Times New Roman" w:eastAsia="宋体"/>
                      <w:sz w:val="21"/>
                      <w:szCs w:val="21"/>
                    </w:rPr>
                  </w:pPr>
                  <w:r>
                    <w:rPr>
                      <w:rFonts w:hint="default" w:ascii="Times New Roman" w:hAnsi="Times New Roman" w:eastAsia="宋体"/>
                      <w:sz w:val="21"/>
                      <w:szCs w:val="21"/>
                    </w:rPr>
                    <w:t>塔里木兔</w:t>
                  </w:r>
                </w:p>
              </w:tc>
              <w:tc>
                <w:tcPr>
                  <w:tcW w:w="1494" w:type="pct"/>
                  <w:tcBorders>
                    <w:top w:val="single" w:color="auto" w:sz="4" w:space="0"/>
                    <w:left w:val="single" w:color="auto" w:sz="4" w:space="0"/>
                  </w:tcBorders>
                  <w:vAlign w:val="center"/>
                </w:tcPr>
                <w:p w14:paraId="04BF8737">
                  <w:pPr>
                    <w:pStyle w:val="41"/>
                    <w:keepNext w:val="0"/>
                    <w:keepLines w:val="0"/>
                    <w:suppressLineNumbers w:val="0"/>
                    <w:spacing w:before="0" w:beforeAutospacing="0" w:after="0" w:afterAutospacing="0"/>
                    <w:ind w:left="0" w:right="0"/>
                    <w:jc w:val="center"/>
                    <w:rPr>
                      <w:rFonts w:hint="default" w:ascii="Times New Roman" w:hAnsi="Times New Roman" w:eastAsia="宋体"/>
                      <w:i/>
                      <w:sz w:val="21"/>
                      <w:szCs w:val="21"/>
                    </w:rPr>
                  </w:pPr>
                  <w:r>
                    <w:rPr>
                      <w:rFonts w:hint="default" w:ascii="Times New Roman" w:hAnsi="Times New Roman" w:eastAsia="宋体"/>
                      <w:i/>
                      <w:sz w:val="21"/>
                      <w:szCs w:val="21"/>
                    </w:rPr>
                    <w:t>Lepus yarkandensis</w:t>
                  </w:r>
                </w:p>
              </w:tc>
              <w:tc>
                <w:tcPr>
                  <w:tcW w:w="1494" w:type="pct"/>
                  <w:tcBorders>
                    <w:top w:val="single" w:color="auto" w:sz="4" w:space="0"/>
                    <w:left w:val="single" w:color="auto" w:sz="4" w:space="0"/>
                  </w:tcBorders>
                  <w:vAlign w:val="center"/>
                </w:tcPr>
                <w:p w14:paraId="5BFFC523">
                  <w:pPr>
                    <w:keepNext w:val="0"/>
                    <w:keepLines w:val="0"/>
                    <w:suppressLineNumbers w:val="0"/>
                    <w:spacing w:before="0" w:beforeAutospacing="0" w:after="0" w:afterAutospacing="0"/>
                    <w:ind w:left="0" w:right="0"/>
                    <w:jc w:val="center"/>
                    <w:rPr>
                      <w:rFonts w:hint="default" w:ascii="Times New Roman" w:hAnsi="Times New Roman" w:eastAsia="宋体"/>
                      <w:iCs/>
                      <w:szCs w:val="21"/>
                    </w:rPr>
                  </w:pPr>
                  <w:r>
                    <w:rPr>
                      <w:rFonts w:hint="default" w:ascii="Times New Roman" w:hAnsi="Times New Roman" w:eastAsia="宋体"/>
                      <w:iCs/>
                      <w:szCs w:val="21"/>
                    </w:rPr>
                    <w:t>国家二级保护动物</w:t>
                  </w:r>
                </w:p>
              </w:tc>
            </w:tr>
          </w:tbl>
          <w:p w14:paraId="5D920F31">
            <w:pPr>
              <w:keepNext w:val="0"/>
              <w:keepLines w:val="0"/>
              <w:suppressLineNumbers w:val="0"/>
              <w:spacing w:before="0" w:beforeAutospacing="0" w:after="0" w:afterAutospacing="0" w:line="520" w:lineRule="exact"/>
              <w:ind w:left="0" w:right="0" w:firstLine="480" w:firstLineChars="200"/>
              <w:rPr>
                <w:rFonts w:hint="default"/>
                <w:color w:val="000000"/>
                <w:sz w:val="24"/>
              </w:rPr>
            </w:pPr>
            <w:r>
              <w:rPr>
                <w:rFonts w:hint="default"/>
                <w:color w:val="000000"/>
                <w:sz w:val="24"/>
              </w:rPr>
              <w:t>根据资料收集分析，并结合现场观察和访问，工程所处区域动物群系基本为荒漠常见群系，以小型哺乳类和鸟类为主，项目所处区域未涉及珍稀动物的集中分布区和越冬栖息地。</w:t>
            </w:r>
          </w:p>
          <w:p w14:paraId="5B5A13F5">
            <w:pPr>
              <w:pStyle w:val="3"/>
              <w:widowControl/>
              <w:suppressLineNumbers w:val="0"/>
              <w:spacing w:before="0" w:beforeAutospacing="0" w:after="0" w:afterAutospacing="0"/>
              <w:ind w:left="0" w:right="0" w:firstLine="480" w:firstLineChars="200"/>
              <w:rPr>
                <w:rFonts w:hint="default"/>
                <w:b w:val="0"/>
                <w:sz w:val="24"/>
                <w:szCs w:val="24"/>
              </w:rPr>
            </w:pPr>
            <w:r>
              <w:rPr>
                <w:rFonts w:hint="eastAsia"/>
                <w:b w:val="0"/>
                <w:sz w:val="24"/>
                <w:szCs w:val="24"/>
              </w:rPr>
              <w:t>（3）</w:t>
            </w:r>
            <w:r>
              <w:rPr>
                <w:rFonts w:hint="default"/>
                <w:b w:val="0"/>
                <w:sz w:val="24"/>
                <w:szCs w:val="24"/>
              </w:rPr>
              <w:t>土地利用现状及土壤类型</w:t>
            </w:r>
          </w:p>
          <w:p w14:paraId="6A63B0A6">
            <w:pPr>
              <w:pStyle w:val="56"/>
              <w:keepNext w:val="0"/>
              <w:keepLines w:val="0"/>
              <w:suppressLineNumbers w:val="0"/>
              <w:spacing w:before="0" w:beforeAutospacing="0" w:after="0" w:afterAutospacing="0"/>
              <w:ind w:left="0" w:right="0" w:firstLine="504"/>
              <w:rPr>
                <w:rFonts w:hint="eastAsia"/>
                <w:lang w:eastAsia="zh-CN"/>
              </w:rPr>
            </w:pPr>
            <w:r>
              <w:rPr>
                <w:rFonts w:hint="eastAsia" w:ascii="Times New Roman" w:hAnsi="Times New Roman"/>
                <w:kern w:val="2"/>
                <w:sz w:val="24"/>
                <w:lang w:val="en-US" w:eastAsia="zh-CN"/>
              </w:rPr>
              <w:t>项目区</w:t>
            </w:r>
            <w:r>
              <w:rPr>
                <w:rFonts w:hint="default" w:ascii="Times New Roman" w:hAnsi="Times New Roman"/>
                <w:kern w:val="2"/>
                <w:sz w:val="24"/>
              </w:rPr>
              <w:t>土壤类型</w:t>
            </w:r>
            <w:r>
              <w:rPr>
                <w:rFonts w:hint="eastAsia" w:ascii="Times New Roman" w:hAnsi="Times New Roman"/>
                <w:kern w:val="2"/>
                <w:sz w:val="24"/>
                <w:lang w:val="en-US" w:eastAsia="zh-CN"/>
              </w:rPr>
              <w:t>主要为钙层土以及干旱土。</w:t>
            </w:r>
            <w:r>
              <w:rPr>
                <w:rFonts w:hint="default" w:ascii="Times New Roman" w:hAnsi="Times New Roman"/>
                <w:kern w:val="2"/>
                <w:sz w:val="24"/>
              </w:rPr>
              <w:t>见</w:t>
            </w:r>
            <w:r>
              <w:rPr>
                <w:rFonts w:hint="eastAsia" w:ascii="Times New Roman" w:hAnsi="Times New Roman"/>
                <w:kern w:val="2"/>
                <w:sz w:val="24"/>
                <w:lang w:val="en-US" w:eastAsia="zh-CN"/>
              </w:rPr>
              <w:t>附图6</w:t>
            </w:r>
            <w:r>
              <w:rPr>
                <w:rFonts w:hint="eastAsia"/>
                <w:lang w:eastAsia="zh-CN"/>
              </w:rPr>
              <w:t>。</w:t>
            </w:r>
          </w:p>
          <w:p w14:paraId="35056171">
            <w:pPr>
              <w:pStyle w:val="56"/>
              <w:keepNext w:val="0"/>
              <w:keepLines w:val="0"/>
              <w:suppressLineNumbers w:val="0"/>
              <w:spacing w:before="0" w:beforeAutospacing="0" w:after="0" w:afterAutospacing="0"/>
              <w:ind w:left="0" w:right="0" w:firstLine="504"/>
              <w:rPr>
                <w:rFonts w:hint="default" w:ascii="Times New Roman" w:hAnsi="Times New Roman"/>
                <w:kern w:val="2"/>
                <w:sz w:val="24"/>
              </w:rPr>
            </w:pPr>
            <w:r>
              <w:rPr>
                <w:rFonts w:hint="eastAsia" w:ascii="Times New Roman" w:hAnsi="Times New Roman"/>
                <w:kern w:val="2"/>
                <w:sz w:val="24"/>
                <w:lang w:val="en-US" w:eastAsia="zh-CN"/>
              </w:rPr>
              <w:t>项目区</w:t>
            </w:r>
            <w:r>
              <w:rPr>
                <w:rFonts w:hint="default" w:ascii="Times New Roman" w:hAnsi="Times New Roman"/>
                <w:kern w:val="2"/>
                <w:sz w:val="24"/>
              </w:rPr>
              <w:t>土地利用现状</w:t>
            </w:r>
            <w:r>
              <w:rPr>
                <w:rFonts w:hint="eastAsia" w:ascii="Times New Roman" w:hAnsi="Times New Roman"/>
                <w:kern w:val="2"/>
                <w:sz w:val="24"/>
                <w:lang w:val="en-US" w:eastAsia="zh-CN"/>
              </w:rPr>
              <w:t>则是裸岩石砾地。</w:t>
            </w:r>
            <w:r>
              <w:rPr>
                <w:rFonts w:hint="default" w:ascii="Times New Roman" w:hAnsi="Times New Roman"/>
                <w:kern w:val="2"/>
                <w:sz w:val="24"/>
              </w:rPr>
              <w:t>见</w:t>
            </w:r>
            <w:r>
              <w:rPr>
                <w:rFonts w:hint="eastAsia" w:ascii="Times New Roman" w:hAnsi="Times New Roman"/>
                <w:kern w:val="2"/>
                <w:sz w:val="24"/>
                <w:lang w:val="en-US" w:eastAsia="zh-CN"/>
              </w:rPr>
              <w:t>附图7</w:t>
            </w:r>
            <w:r>
              <w:rPr>
                <w:rFonts w:hint="default" w:ascii="Times New Roman" w:hAnsi="Times New Roman"/>
                <w:kern w:val="2"/>
                <w:sz w:val="24"/>
              </w:rPr>
              <w:t>。</w:t>
            </w:r>
          </w:p>
          <w:p w14:paraId="47E01B5B">
            <w:pPr>
              <w:pStyle w:val="56"/>
              <w:keepNext w:val="0"/>
              <w:keepLines w:val="0"/>
              <w:suppressLineNumbers w:val="0"/>
              <w:spacing w:before="0" w:beforeAutospacing="0" w:after="0" w:afterAutospacing="0"/>
              <w:ind w:left="0" w:right="0" w:firstLine="504"/>
              <w:rPr>
                <w:rFonts w:hint="default" w:ascii="Times New Roman" w:hAnsi="Times New Roman"/>
                <w:kern w:val="2"/>
                <w:sz w:val="24"/>
                <w:lang w:val="en-US"/>
              </w:rPr>
            </w:pPr>
            <w:r>
              <w:rPr>
                <w:rFonts w:hint="eastAsia" w:ascii="Times New Roman" w:hAnsi="Times New Roman"/>
                <w:kern w:val="2"/>
                <w:sz w:val="24"/>
                <w:lang w:val="en-US" w:eastAsia="zh-CN"/>
              </w:rPr>
              <w:t>项目区土壤侵蚀类型为风力轻度侵蚀。见附图8。</w:t>
            </w:r>
          </w:p>
          <w:p w14:paraId="37707A60">
            <w:pPr>
              <w:keepNext w:val="0"/>
              <w:keepLines w:val="0"/>
              <w:suppressLineNumbers w:val="0"/>
              <w:spacing w:before="0" w:beforeAutospacing="0" w:after="0" w:afterAutospacing="0" w:line="520" w:lineRule="exact"/>
              <w:ind w:left="0" w:right="0" w:firstLine="480" w:firstLineChars="200"/>
              <w:rPr>
                <w:rFonts w:hint="default"/>
                <w:color w:val="000000"/>
                <w:sz w:val="24"/>
              </w:rPr>
            </w:pPr>
            <w:r>
              <w:rPr>
                <w:rFonts w:hint="eastAsia"/>
                <w:color w:val="000000"/>
                <w:sz w:val="24"/>
              </w:rPr>
              <w:t>（4）水土流失现状调查</w:t>
            </w:r>
          </w:p>
          <w:p w14:paraId="522E311C">
            <w:pPr>
              <w:pStyle w:val="56"/>
              <w:keepNext w:val="0"/>
              <w:keepLines w:val="0"/>
              <w:suppressLineNumbers w:val="0"/>
              <w:spacing w:before="0" w:beforeAutospacing="0" w:after="0" w:afterAutospacing="0"/>
              <w:ind w:left="0" w:right="0" w:firstLine="504"/>
              <w:rPr>
                <w:rFonts w:hint="eastAsia" w:ascii="Times New Roman" w:hAnsi="Times New Roman"/>
                <w:kern w:val="2"/>
                <w:sz w:val="24"/>
              </w:rPr>
            </w:pPr>
            <w:r>
              <w:rPr>
                <w:rFonts w:hint="eastAsia" w:ascii="Times New Roman" w:hAnsi="Times New Roman"/>
                <w:kern w:val="2"/>
                <w:sz w:val="24"/>
              </w:rPr>
              <w:t>根据《新疆维吾尔自治区水土保持规划</w:t>
            </w:r>
            <w:r>
              <w:rPr>
                <w:rFonts w:hint="eastAsia" w:ascii="Times New Roman" w:hAnsi="Times New Roman"/>
                <w:kern w:val="2"/>
                <w:sz w:val="24"/>
                <w:lang w:eastAsia="zh-CN"/>
              </w:rPr>
              <w:t>（</w:t>
            </w:r>
            <w:r>
              <w:rPr>
                <w:rFonts w:hint="eastAsia" w:ascii="Times New Roman" w:hAnsi="Times New Roman"/>
                <w:kern w:val="2"/>
                <w:sz w:val="24"/>
              </w:rPr>
              <w:t>2018</w:t>
            </w:r>
            <w:r>
              <w:rPr>
                <w:rFonts w:hint="eastAsia" w:ascii="Times New Roman" w:hAnsi="Times New Roman"/>
                <w:kern w:val="2"/>
                <w:sz w:val="24"/>
                <w:lang w:eastAsia="zh-CN"/>
              </w:rPr>
              <w:t>—</w:t>
            </w:r>
            <w:r>
              <w:rPr>
                <w:rFonts w:hint="eastAsia" w:ascii="Times New Roman" w:hAnsi="Times New Roman"/>
                <w:kern w:val="2"/>
                <w:sz w:val="24"/>
              </w:rPr>
              <w:t>2030年</w:t>
            </w:r>
            <w:r>
              <w:rPr>
                <w:rFonts w:hint="eastAsia" w:ascii="Times New Roman" w:hAnsi="Times New Roman"/>
                <w:kern w:val="2"/>
                <w:sz w:val="24"/>
                <w:lang w:eastAsia="zh-CN"/>
              </w:rPr>
              <w:t>）</w:t>
            </w:r>
            <w:r>
              <w:rPr>
                <w:rFonts w:hint="eastAsia" w:ascii="Times New Roman" w:hAnsi="Times New Roman"/>
                <w:kern w:val="2"/>
                <w:sz w:val="24"/>
              </w:rPr>
              <w:t>》</w:t>
            </w:r>
            <w:r>
              <w:rPr>
                <w:rFonts w:hint="eastAsia" w:ascii="Times New Roman" w:hAnsi="Times New Roman"/>
                <w:kern w:val="2"/>
                <w:sz w:val="24"/>
                <w:lang w:val="en-US" w:eastAsia="zh-CN"/>
              </w:rPr>
              <w:t>及</w:t>
            </w:r>
            <w:r>
              <w:rPr>
                <w:rFonts w:hint="eastAsia" w:ascii="Times New Roman" w:hAnsi="Times New Roman"/>
                <w:kern w:val="2"/>
                <w:sz w:val="24"/>
              </w:rPr>
              <w:t>2019年1月21日新疆维吾尔自治区水利厅出具的《关于印发新疆自治区级水土流失重点预防区和重点治理区复核划分成果的通知》（新水水保</w:t>
            </w:r>
            <w:r>
              <w:rPr>
                <w:rFonts w:hint="eastAsia" w:ascii="Times New Roman" w:hAnsi="Times New Roman"/>
                <w:kern w:val="2"/>
                <w:sz w:val="24"/>
                <w:lang w:eastAsia="zh-CN"/>
              </w:rPr>
              <w:t>〔2019〕4号</w:t>
            </w:r>
            <w:r>
              <w:rPr>
                <w:rFonts w:hint="eastAsia" w:ascii="Times New Roman" w:hAnsi="Times New Roman"/>
                <w:kern w:val="2"/>
                <w:sz w:val="24"/>
              </w:rPr>
              <w:t>），新疆共划分了2个自治区级重点预防区，4个自治区级重点治理区。其中，重点预防区面积19615.9km</w:t>
            </w:r>
            <w:r>
              <w:rPr>
                <w:rFonts w:hint="eastAsia" w:ascii="Times New Roman" w:hAnsi="Times New Roman"/>
                <w:kern w:val="2"/>
                <w:sz w:val="24"/>
                <w:vertAlign w:val="superscript"/>
              </w:rPr>
              <w:t>2</w:t>
            </w:r>
            <w:r>
              <w:rPr>
                <w:rFonts w:hint="eastAsia" w:ascii="Times New Roman" w:hAnsi="Times New Roman"/>
                <w:kern w:val="2"/>
                <w:sz w:val="24"/>
              </w:rPr>
              <w:t>，包括天山山区重点预防区、塔里木河中上游重点预防区；重点治理区面积283963km</w:t>
            </w:r>
            <w:r>
              <w:rPr>
                <w:rFonts w:hint="eastAsia" w:ascii="Times New Roman" w:hAnsi="Times New Roman"/>
                <w:kern w:val="2"/>
                <w:sz w:val="24"/>
                <w:vertAlign w:val="superscript"/>
              </w:rPr>
              <w:t>2</w:t>
            </w:r>
            <w:r>
              <w:rPr>
                <w:rFonts w:hint="eastAsia" w:ascii="Times New Roman" w:hAnsi="Times New Roman"/>
                <w:kern w:val="2"/>
                <w:sz w:val="24"/>
              </w:rPr>
              <w:t>，包括额尔齐斯河流域重点治理区、天山北坡诸小河流域重点治理区、塔里木河流域重点治理区、伊犁河流域重点治理区。</w:t>
            </w:r>
          </w:p>
          <w:p w14:paraId="019B8E99">
            <w:pPr>
              <w:pStyle w:val="56"/>
              <w:keepNext w:val="0"/>
              <w:keepLines w:val="0"/>
              <w:suppressLineNumbers w:val="0"/>
              <w:spacing w:before="0" w:beforeAutospacing="0" w:after="0" w:afterAutospacing="0"/>
              <w:ind w:left="0" w:right="0" w:firstLine="504"/>
              <w:rPr>
                <w:rFonts w:hint="default"/>
                <w:sz w:val="24"/>
                <w:szCs w:val="22"/>
              </w:rPr>
            </w:pPr>
            <w:r>
              <w:rPr>
                <w:rFonts w:hint="eastAsia" w:ascii="Times New Roman" w:hAnsi="Times New Roman"/>
                <w:kern w:val="2"/>
                <w:sz w:val="24"/>
              </w:rPr>
              <w:t>项目区行政区划位于新疆维吾尔自治区巴州和静县，属于</w:t>
            </w:r>
            <w:r>
              <w:rPr>
                <w:rFonts w:hint="eastAsia" w:ascii="Times New Roman" w:hAnsi="Times New Roman"/>
                <w:kern w:val="2"/>
                <w:sz w:val="24"/>
                <w:lang w:val="en-US" w:eastAsia="zh-CN"/>
              </w:rPr>
              <w:t>天山山区</w:t>
            </w:r>
            <w:r>
              <w:rPr>
                <w:rFonts w:hint="eastAsia" w:ascii="Times New Roman" w:hAnsi="Times New Roman"/>
                <w:kern w:val="2"/>
                <w:sz w:val="24"/>
              </w:rPr>
              <w:t>重点预防区。</w:t>
            </w:r>
            <w:r>
              <w:rPr>
                <w:rFonts w:hint="default"/>
                <w:sz w:val="24"/>
                <w:szCs w:val="22"/>
              </w:rPr>
              <w:t>根据《全国水土保持规划》（2015-2030），项目区水土流失类型区属于北方风沙区，按照建设类项目水土流失防治标准适用条件，确定本</w:t>
            </w:r>
            <w:r>
              <w:rPr>
                <w:rFonts w:hint="eastAsia"/>
                <w:sz w:val="24"/>
                <w:szCs w:val="22"/>
                <w:lang w:val="en-US" w:eastAsia="zh-CN"/>
              </w:rPr>
              <w:t>项目</w:t>
            </w:r>
            <w:r>
              <w:rPr>
                <w:rFonts w:hint="default"/>
                <w:sz w:val="24"/>
                <w:szCs w:val="22"/>
              </w:rPr>
              <w:t>水土流失防治应执行《生产建设项目水土流失防治标准》（GB/T50434－2018）表4.0.2-2北方风沙区中</w:t>
            </w:r>
            <w:r>
              <w:rPr>
                <w:rFonts w:hint="eastAsia"/>
                <w:sz w:val="24"/>
                <w:szCs w:val="22"/>
                <w:lang w:val="en-US" w:eastAsia="zh-CN"/>
              </w:rPr>
              <w:t>三</w:t>
            </w:r>
            <w:r>
              <w:rPr>
                <w:rFonts w:hint="default"/>
                <w:sz w:val="24"/>
                <w:szCs w:val="22"/>
              </w:rPr>
              <w:t>级防治标准。</w:t>
            </w:r>
          </w:p>
          <w:p w14:paraId="29CD9188">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szCs w:val="22"/>
                <w:lang w:val="en-US" w:eastAsia="zh-CN"/>
              </w:rPr>
            </w:pPr>
            <w:r>
              <w:rPr>
                <w:rFonts w:hint="eastAsia"/>
                <w:sz w:val="24"/>
                <w:szCs w:val="22"/>
                <w:lang w:val="en-US" w:eastAsia="zh-CN"/>
              </w:rPr>
              <w:t>风力侵蚀现状</w:t>
            </w:r>
          </w:p>
          <w:p w14:paraId="2EA065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sz w:val="24"/>
                <w:szCs w:val="22"/>
                <w:lang w:val="en-US" w:eastAsia="zh-CN"/>
              </w:rPr>
            </w:pPr>
            <w:r>
              <w:rPr>
                <w:rFonts w:hint="default"/>
                <w:sz w:val="24"/>
                <w:szCs w:val="22"/>
                <w:lang w:val="en-US" w:eastAsia="zh-CN"/>
              </w:rPr>
              <w:t>根据气象统计资料显示，新疆巴州和静县属于中温带大陆性干旱气候。冬季寒冷漫长，夏季炎热短促，春秋季节气温变化剧烈，降水稀少，光照充足，热量丰富，蒸发量大，多大风天气。和静县</w:t>
            </w:r>
            <w:r>
              <w:rPr>
                <w:rFonts w:hint="eastAsia"/>
                <w:sz w:val="24"/>
                <w:szCs w:val="22"/>
                <w:lang w:val="en-US" w:eastAsia="zh-CN"/>
              </w:rPr>
              <w:t>平均年降水量</w:t>
            </w:r>
            <w:r>
              <w:rPr>
                <w:rFonts w:hint="default"/>
                <w:sz w:val="24"/>
                <w:szCs w:val="22"/>
                <w:lang w:val="en-US" w:eastAsia="zh-CN"/>
              </w:rPr>
              <w:t>约为109.9mm，降水主要集中在5-8月份，降水分布不均，大部分降水难以形成有效的地表径流。历年最大风速可达28m/s，年沙暴日数约20天，年浮尘日数约30天，表明当地具备较强的起沙动力条件。由于地表多为疏松的沙质土和戈壁砾石，在风力作用下极易被搬运，沙尘天气频发。</w:t>
            </w:r>
            <w:r>
              <w:rPr>
                <w:rFonts w:hint="eastAsia"/>
                <w:sz w:val="24"/>
                <w:szCs w:val="22"/>
                <w:lang w:val="en-US" w:eastAsia="zh-CN"/>
              </w:rPr>
              <w:t>据</w:t>
            </w:r>
            <w:r>
              <w:rPr>
                <w:rFonts w:hint="default"/>
                <w:sz w:val="24"/>
                <w:szCs w:val="22"/>
                <w:lang w:val="en-US" w:eastAsia="zh-CN"/>
              </w:rPr>
              <w:t>研究，当面对植被覆盖度较低的沙质下垫面时，低强度起沙风大致在3-4级（6.0</w:t>
            </w:r>
            <w:r>
              <w:rPr>
                <w:rFonts w:hint="eastAsia"/>
                <w:sz w:val="24"/>
                <w:szCs w:val="22"/>
                <w:lang w:val="en-US" w:eastAsia="zh-CN"/>
              </w:rPr>
              <w:t>—</w:t>
            </w:r>
            <w:r>
              <w:rPr>
                <w:rFonts w:hint="default"/>
                <w:sz w:val="24"/>
                <w:szCs w:val="22"/>
                <w:lang w:val="en-US" w:eastAsia="zh-CN"/>
              </w:rPr>
              <w:t>7.0m/s），中等强度起沙风约为4-5级（8.0</w:t>
            </w:r>
            <w:r>
              <w:rPr>
                <w:rFonts w:hint="eastAsia"/>
                <w:sz w:val="24"/>
                <w:szCs w:val="22"/>
                <w:lang w:val="en-US" w:eastAsia="zh-CN"/>
              </w:rPr>
              <w:t>—</w:t>
            </w:r>
            <w:r>
              <w:rPr>
                <w:rFonts w:hint="default"/>
                <w:sz w:val="24"/>
                <w:szCs w:val="22"/>
                <w:lang w:val="en-US" w:eastAsia="zh-CN"/>
              </w:rPr>
              <w:t>11.7m/s），风速越强，沙尘天气出现的可能性和强度就越高。结合当地现有的水文、气象资料分析，和静县部分区域平均侵蚀模数约为3000</w:t>
            </w:r>
            <w:r>
              <w:rPr>
                <w:rFonts w:hint="eastAsia"/>
                <w:sz w:val="24"/>
                <w:szCs w:val="22"/>
                <w:lang w:val="en-US" w:eastAsia="zh-CN"/>
              </w:rPr>
              <w:t>—</w:t>
            </w:r>
            <w:r>
              <w:rPr>
                <w:rFonts w:hint="default"/>
                <w:sz w:val="24"/>
                <w:szCs w:val="22"/>
                <w:lang w:val="en-US" w:eastAsia="zh-CN"/>
              </w:rPr>
              <w:t>5000t/（km</w:t>
            </w:r>
            <w:r>
              <w:rPr>
                <w:rFonts w:hint="eastAsia"/>
                <w:sz w:val="24"/>
                <w:szCs w:val="22"/>
                <w:vertAlign w:val="superscript"/>
                <w:lang w:val="en-US" w:eastAsia="zh-CN"/>
              </w:rPr>
              <w:t>2.</w:t>
            </w:r>
            <w:r>
              <w:rPr>
                <w:rFonts w:hint="default"/>
                <w:sz w:val="24"/>
                <w:szCs w:val="22"/>
                <w:lang w:val="en-US" w:eastAsia="zh-CN"/>
              </w:rPr>
              <w:t>a），平均流失厚度约2.5</w:t>
            </w:r>
            <w:r>
              <w:rPr>
                <w:rFonts w:hint="eastAsia"/>
                <w:sz w:val="24"/>
                <w:szCs w:val="22"/>
                <w:lang w:val="en-US" w:eastAsia="zh-CN"/>
              </w:rPr>
              <w:t>—</w:t>
            </w:r>
            <w:r>
              <w:rPr>
                <w:rFonts w:hint="default"/>
                <w:sz w:val="24"/>
                <w:szCs w:val="22"/>
                <w:lang w:val="en-US" w:eastAsia="zh-CN"/>
              </w:rPr>
              <w:t>4.0mm/a。依据水利部颁布的《土壤侵蚀分类分级标准》（SL190-2007）中的侵蚀分级指标，和静县部分区域属于中度侵蚀区。</w:t>
            </w:r>
          </w:p>
          <w:p w14:paraId="2D80C6F1">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szCs w:val="22"/>
                <w:lang w:val="en-US" w:eastAsia="zh-CN"/>
              </w:rPr>
            </w:pPr>
            <w:r>
              <w:rPr>
                <w:rFonts w:hint="eastAsia"/>
                <w:sz w:val="24"/>
                <w:szCs w:val="22"/>
                <w:lang w:val="en-US" w:eastAsia="zh-CN"/>
              </w:rPr>
              <w:t>项目区水土流失特点</w:t>
            </w:r>
          </w:p>
          <w:p w14:paraId="18E56D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sz w:val="24"/>
                <w:szCs w:val="22"/>
                <w:lang w:val="en-US" w:eastAsia="zh-CN"/>
              </w:rPr>
            </w:pPr>
            <w:r>
              <w:rPr>
                <w:rFonts w:hint="default"/>
                <w:sz w:val="24"/>
                <w:szCs w:val="22"/>
                <w:lang w:val="en-US" w:eastAsia="zh-CN"/>
              </w:rPr>
              <w:t>和静县气候干燥，</w:t>
            </w:r>
            <w:r>
              <w:rPr>
                <w:rFonts w:hint="eastAsia"/>
                <w:sz w:val="24"/>
                <w:szCs w:val="22"/>
                <w:lang w:val="en-US" w:eastAsia="zh-CN"/>
              </w:rPr>
              <w:t>平均年降水量</w:t>
            </w:r>
            <w:r>
              <w:rPr>
                <w:rFonts w:hint="default"/>
                <w:sz w:val="24"/>
                <w:szCs w:val="22"/>
                <w:lang w:val="en-US" w:eastAsia="zh-CN"/>
              </w:rPr>
              <w:t>约109.9mm，植被覆盖度相对较低，以山地、盆地等地形为主，局部区域有沙丘分布。受西伯利亚冷空气影响，和静县常年盛行西北风，全年8级以上大风日数约为15天。和静县水土流失与大风天气紧密相关，主要集中在春季（3-5月）和冬季（11月</w:t>
            </w:r>
            <w:r>
              <w:rPr>
                <w:rFonts w:hint="eastAsia"/>
                <w:sz w:val="24"/>
                <w:szCs w:val="22"/>
                <w:lang w:val="en-US" w:eastAsia="zh-CN"/>
              </w:rPr>
              <w:t>－</w:t>
            </w:r>
            <w:r>
              <w:rPr>
                <w:rFonts w:hint="default"/>
                <w:sz w:val="24"/>
                <w:szCs w:val="22"/>
                <w:lang w:val="en-US" w:eastAsia="zh-CN"/>
              </w:rPr>
              <w:t>次年2月）。春季气温回升，地表解冻，植被尚未完全返青，加上大风频繁，导致土壤风蚀较为严重；冬季受冷空气影响，风力强劲，地表植被枯萎，也易发生风蚀现象。特别是在县域内的戈壁边缘和部分沙漠化区域，风蚀、风埋情况较为突出。</w:t>
            </w:r>
          </w:p>
          <w:p w14:paraId="35CCF90E">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szCs w:val="22"/>
                <w:lang w:val="en-US" w:eastAsia="zh-CN"/>
              </w:rPr>
            </w:pPr>
            <w:r>
              <w:rPr>
                <w:rFonts w:hint="eastAsia"/>
                <w:sz w:val="24"/>
                <w:szCs w:val="22"/>
                <w:lang w:val="en-US" w:eastAsia="zh-CN"/>
              </w:rPr>
              <w:t>水土流失成因</w:t>
            </w:r>
          </w:p>
          <w:p w14:paraId="4C70F2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szCs w:val="22"/>
                <w:lang w:val="en-US" w:eastAsia="zh-CN"/>
              </w:rPr>
            </w:pPr>
            <w:r>
              <w:rPr>
                <w:rFonts w:hint="eastAsia" w:ascii="微软雅黑" w:hAnsi="微软雅黑" w:eastAsia="微软雅黑" w:cs="微软雅黑"/>
                <w:sz w:val="24"/>
                <w:szCs w:val="22"/>
                <w:lang w:val="en-US" w:eastAsia="zh-CN"/>
              </w:rPr>
              <w:t>①</w:t>
            </w:r>
            <w:r>
              <w:rPr>
                <w:rFonts w:hint="eastAsia"/>
                <w:sz w:val="24"/>
                <w:szCs w:val="22"/>
                <w:lang w:val="en-US" w:eastAsia="zh-CN"/>
              </w:rPr>
              <w:t>土壤干旱</w:t>
            </w:r>
          </w:p>
          <w:p w14:paraId="1686C6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sz w:val="24"/>
                <w:szCs w:val="22"/>
                <w:lang w:val="en-US" w:eastAsia="zh-CN"/>
              </w:rPr>
            </w:pPr>
            <w:r>
              <w:rPr>
                <w:rFonts w:hint="default"/>
                <w:sz w:val="24"/>
                <w:szCs w:val="22"/>
                <w:lang w:val="en-US" w:eastAsia="zh-CN"/>
              </w:rPr>
              <w:t>土壤水分是土壤形成的重要因素之一。土壤水分含量除影响植物生长外，还影响土壤粘结性和黏着性。土壤水分含量高时，据有关资料表明，河漫滩和河心洲土壤含水率高，植物生长良好，无沙化；盐土则位于相对低洼的地方，土壤含水率高，也无沙化发生，高阶地土壤水分含量降低，植物生长变差，部分地段已有积沙。干河床、沙丘土壤含水量多低于20g/kg，不仅植被生长差，而且土壤沙化严重。本项目区干沙层自然含水量</w:t>
            </w:r>
            <w:r>
              <w:rPr>
                <w:rFonts w:hint="eastAsia"/>
                <w:sz w:val="24"/>
                <w:szCs w:val="22"/>
                <w:lang w:val="en-US" w:eastAsia="zh-CN"/>
              </w:rPr>
              <w:t>1</w:t>
            </w:r>
            <w:r>
              <w:rPr>
                <w:rFonts w:hint="default"/>
                <w:sz w:val="24"/>
                <w:szCs w:val="22"/>
                <w:lang w:val="en-US" w:eastAsia="zh-CN"/>
              </w:rPr>
              <w:t>～</w:t>
            </w:r>
            <w:r>
              <w:rPr>
                <w:rFonts w:hint="eastAsia"/>
                <w:sz w:val="24"/>
                <w:szCs w:val="22"/>
                <w:lang w:val="en-US" w:eastAsia="zh-CN"/>
              </w:rPr>
              <w:t>2</w:t>
            </w:r>
            <w:r>
              <w:rPr>
                <w:rFonts w:hint="default"/>
                <w:sz w:val="24"/>
                <w:szCs w:val="22"/>
                <w:lang w:val="en-US" w:eastAsia="zh-CN"/>
              </w:rPr>
              <w:t>g/kg，湿沙层1</w:t>
            </w:r>
            <w:r>
              <w:rPr>
                <w:rFonts w:hint="eastAsia"/>
                <w:sz w:val="24"/>
                <w:szCs w:val="22"/>
                <w:lang w:val="en-US" w:eastAsia="zh-CN"/>
              </w:rPr>
              <w:t>5～</w:t>
            </w:r>
            <w:r>
              <w:rPr>
                <w:rFonts w:hint="default"/>
                <w:sz w:val="24"/>
                <w:szCs w:val="22"/>
                <w:lang w:val="en-US" w:eastAsia="zh-CN"/>
              </w:rPr>
              <w:t>1</w:t>
            </w:r>
            <w:r>
              <w:rPr>
                <w:rFonts w:hint="eastAsia"/>
                <w:sz w:val="24"/>
                <w:szCs w:val="22"/>
                <w:lang w:val="en-US" w:eastAsia="zh-CN"/>
              </w:rPr>
              <w:t>7</w:t>
            </w:r>
            <w:r>
              <w:rPr>
                <w:rFonts w:hint="default"/>
                <w:sz w:val="24"/>
                <w:szCs w:val="22"/>
                <w:lang w:val="en-US" w:eastAsia="zh-CN"/>
              </w:rPr>
              <w:t>g/kg。</w:t>
            </w:r>
          </w:p>
          <w:p w14:paraId="214133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sz w:val="24"/>
                <w:szCs w:val="22"/>
                <w:lang w:val="en-US" w:eastAsia="zh-CN"/>
              </w:rPr>
            </w:pPr>
            <w:r>
              <w:rPr>
                <w:rFonts w:hint="eastAsia" w:ascii="微软雅黑" w:hAnsi="微软雅黑" w:eastAsia="微软雅黑" w:cs="微软雅黑"/>
                <w:sz w:val="24"/>
                <w:szCs w:val="22"/>
                <w:lang w:val="en-US" w:eastAsia="zh-CN"/>
              </w:rPr>
              <w:t>②</w:t>
            </w:r>
            <w:r>
              <w:rPr>
                <w:rFonts w:hint="eastAsia"/>
                <w:sz w:val="24"/>
                <w:szCs w:val="22"/>
                <w:lang w:val="en-US" w:eastAsia="zh-CN"/>
              </w:rPr>
              <w:t>植被衰败</w:t>
            </w:r>
          </w:p>
          <w:p w14:paraId="580F65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sz w:val="24"/>
                <w:szCs w:val="22"/>
                <w:lang w:val="en-US" w:eastAsia="zh-CN"/>
              </w:rPr>
            </w:pPr>
            <w:r>
              <w:rPr>
                <w:rFonts w:hint="default"/>
                <w:sz w:val="24"/>
                <w:szCs w:val="22"/>
                <w:lang w:val="en-US" w:eastAsia="zh-CN"/>
              </w:rPr>
              <w:t>植被防止土壤沙化是通过改变地面粗糙度，消减风力而起作用，植被类型和覆盖度的不同，其地面粗糙程度和防风作用也不同。据新疆林业科学院资料，荒漠光板地（龟裂土）在20cm高度的粗糙度</w:t>
            </w:r>
            <w:r>
              <w:rPr>
                <w:rFonts w:hint="eastAsia"/>
                <w:sz w:val="24"/>
                <w:szCs w:val="22"/>
                <w:lang w:val="en-US" w:eastAsia="zh-CN"/>
              </w:rPr>
              <w:t>约</w:t>
            </w:r>
            <w:r>
              <w:rPr>
                <w:rFonts w:hint="default"/>
                <w:sz w:val="24"/>
                <w:szCs w:val="22"/>
                <w:lang w:val="en-US" w:eastAsia="zh-CN"/>
              </w:rPr>
              <w:t>为0.</w:t>
            </w:r>
            <w:r>
              <w:rPr>
                <w:rFonts w:hint="eastAsia"/>
                <w:sz w:val="24"/>
                <w:szCs w:val="22"/>
                <w:lang w:val="en-US" w:eastAsia="zh-CN"/>
              </w:rPr>
              <w:t>1</w:t>
            </w:r>
            <w:r>
              <w:rPr>
                <w:rFonts w:hint="default"/>
                <w:sz w:val="24"/>
                <w:szCs w:val="22"/>
                <w:lang w:val="en-US" w:eastAsia="zh-CN"/>
              </w:rPr>
              <w:t>cm，柽柳灌丛为9.6819cm，生长较好的胡杨林为22.407cm，比光板地高234.2倍。在2m高处荒漠光斑地上8天平均风速为2.84m/s，梭梭灌丛林地平均风速约为1.5m/s，降低了50%；在胡杨疏林地为1.63m/s，降低了42.9%；在胡杨密林地0.09m/s，降低了86.8%。项目区植被主要为柽柳灌丛，植被分布稀疏，对抑制土壤沙化作用有限。</w:t>
            </w:r>
          </w:p>
          <w:p w14:paraId="24D407E9">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480" w:firstLineChars="200"/>
              <w:textAlignment w:val="auto"/>
              <w:rPr>
                <w:rFonts w:hint="default"/>
                <w:sz w:val="24"/>
                <w:szCs w:val="22"/>
                <w:lang w:val="en-US" w:eastAsia="zh-CN"/>
              </w:rPr>
            </w:pPr>
            <w:r>
              <w:rPr>
                <w:rFonts w:hint="default"/>
                <w:sz w:val="24"/>
                <w:szCs w:val="22"/>
                <w:lang w:val="en-US" w:eastAsia="zh-CN"/>
              </w:rPr>
              <w:t>水土流失的发展趋势</w:t>
            </w:r>
          </w:p>
          <w:p w14:paraId="6C40EE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480" w:firstLineChars="200"/>
              <w:textAlignment w:val="auto"/>
              <w:rPr>
                <w:rFonts w:hint="default"/>
                <w:sz w:val="24"/>
                <w:szCs w:val="22"/>
                <w:lang w:val="en-US" w:eastAsia="zh-CN"/>
              </w:rPr>
            </w:pPr>
            <w:r>
              <w:rPr>
                <w:rFonts w:hint="eastAsia"/>
                <w:sz w:val="24"/>
                <w:szCs w:val="22"/>
                <w:lang w:val="en-US" w:eastAsia="zh-CN"/>
              </w:rPr>
              <w:t>项目</w:t>
            </w:r>
            <w:r>
              <w:rPr>
                <w:rFonts w:hint="default"/>
                <w:sz w:val="24"/>
                <w:szCs w:val="22"/>
                <w:lang w:val="en-US" w:eastAsia="zh-CN"/>
              </w:rPr>
              <w:t>建成后，由于</w:t>
            </w:r>
            <w:r>
              <w:rPr>
                <w:rFonts w:hint="eastAsia"/>
                <w:sz w:val="24"/>
                <w:szCs w:val="22"/>
                <w:lang w:val="en-US" w:eastAsia="zh-CN"/>
              </w:rPr>
              <w:t>矿</w:t>
            </w:r>
            <w:r>
              <w:rPr>
                <w:rFonts w:hint="default"/>
                <w:sz w:val="24"/>
                <w:szCs w:val="22"/>
                <w:lang w:val="en-US" w:eastAsia="zh-CN"/>
              </w:rPr>
              <w:t>场建设施工，施工扰动原地貌，开挖后植被覆盖度降低，土壤结构、自然植被的恢复还需要一定时间，占地范围的水土流失还将继续发生。但随着时间的延长、土壤结构的变化、地表植被的恢复以及部分保护措施的建成，水土流失的范围和程度会慢慢减轻。本工程一定程度上加剧了项目建设区的水土流失程度，如不及时进行有效的防护、治理，必然会对当地的水土资源及生态环境带来不利影响，破坏了原有地表结构，削弱了地表抗风蚀能力，同时提供了水土流失物源。</w:t>
            </w:r>
          </w:p>
          <w:p w14:paraId="1F46AE5D">
            <w:pPr>
              <w:keepNext w:val="0"/>
              <w:keepLines w:val="0"/>
              <w:numPr>
                <w:ilvl w:val="0"/>
                <w:numId w:val="6"/>
              </w:numPr>
              <w:suppressLineNumbers w:val="0"/>
              <w:spacing w:before="0" w:beforeAutospacing="0" w:after="0" w:afterAutospacing="0" w:line="520" w:lineRule="exact"/>
              <w:ind w:left="0" w:right="0" w:firstLine="480" w:firstLineChars="200"/>
              <w:rPr>
                <w:rFonts w:hint="default"/>
                <w:color w:val="000000"/>
                <w:sz w:val="24"/>
                <w:lang w:val="en-US" w:eastAsia="zh-CN"/>
              </w:rPr>
            </w:pPr>
            <w:r>
              <w:rPr>
                <w:rFonts w:hint="eastAsia"/>
                <w:color w:val="000000"/>
                <w:sz w:val="24"/>
                <w:lang w:val="en-US" w:eastAsia="zh-CN"/>
              </w:rPr>
              <w:t>沙化土地</w:t>
            </w:r>
            <w:r>
              <w:rPr>
                <w:rFonts w:hint="eastAsia"/>
                <w:color w:val="000000"/>
                <w:sz w:val="24"/>
              </w:rPr>
              <w:t>现状调查</w:t>
            </w:r>
          </w:p>
          <w:p w14:paraId="56BBA7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default"/>
                <w:color w:val="000000"/>
                <w:sz w:val="24"/>
                <w:lang w:val="en-US" w:eastAsia="zh-CN"/>
              </w:rPr>
            </w:pPr>
            <w:r>
              <w:rPr>
                <w:rFonts w:hint="eastAsia" w:ascii="Times New Roman" w:hAnsi="Times New Roman"/>
                <w:kern w:val="2"/>
                <w:sz w:val="24"/>
              </w:rPr>
              <w:t>项目区周围没有沙漠、沙化荒漠存在，并且不在国家沙化土地封禁保护区名单中，属于非沙化</w:t>
            </w:r>
            <w:r>
              <w:rPr>
                <w:rFonts w:hint="eastAsia"/>
                <w:kern w:val="2"/>
                <w:sz w:val="24"/>
                <w:lang w:eastAsia="zh-CN"/>
              </w:rPr>
              <w:t>土地</w:t>
            </w:r>
            <w:r>
              <w:rPr>
                <w:rFonts w:hint="eastAsia" w:ascii="Times New Roman" w:hAnsi="Times New Roman"/>
                <w:kern w:val="2"/>
                <w:sz w:val="24"/>
              </w:rPr>
              <w:t>。</w:t>
            </w:r>
          </w:p>
        </w:tc>
      </w:tr>
    </w:tbl>
    <w:tbl>
      <w:tblPr>
        <w:tblStyle w:val="24"/>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3"/>
        <w:gridCol w:w="8188"/>
      </w:tblGrid>
      <w:tr w14:paraId="3319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80" w:type="pct"/>
          </w:tcPr>
          <w:p w14:paraId="654006B4">
            <w:pPr>
              <w:keepNext w:val="0"/>
              <w:keepLines w:val="0"/>
              <w:suppressLineNumbers w:val="0"/>
              <w:spacing w:before="0" w:beforeAutospacing="0" w:after="0" w:afterAutospacing="0"/>
              <w:ind w:left="0" w:right="0"/>
              <w:jc w:val="center"/>
              <w:outlineLvl w:val="0"/>
              <w:rPr>
                <w:rFonts w:hint="default" w:ascii="黑体" w:hAnsi="黑体" w:eastAsia="黑体"/>
                <w:snapToGrid w:val="0"/>
                <w:sz w:val="36"/>
                <w:szCs w:val="36"/>
              </w:rPr>
            </w:pPr>
          </w:p>
        </w:tc>
        <w:tc>
          <w:tcPr>
            <w:tcW w:w="4619" w:type="pct"/>
          </w:tcPr>
          <w:p w14:paraId="67F7A762">
            <w:pPr>
              <w:pStyle w:val="2"/>
              <w:keepLines w:val="0"/>
              <w:suppressLineNumbers w:val="0"/>
              <w:overflowPunct/>
              <w:spacing w:before="0" w:beforeAutospacing="0" w:after="0" w:afterAutospacing="0" w:line="480" w:lineRule="exact"/>
              <w:ind w:left="0" w:leftChars="0" w:right="0" w:firstLine="0" w:firstLineChars="0"/>
              <w:jc w:val="left"/>
              <w:outlineLvl w:val="0"/>
              <w:rPr>
                <w:rFonts w:hint="default" w:eastAsia="宋体"/>
                <w:color w:val="auto"/>
                <w:sz w:val="24"/>
                <w:szCs w:val="24"/>
              </w:rPr>
            </w:pPr>
            <w:r>
              <w:rPr>
                <w:rFonts w:hint="default" w:eastAsia="宋体"/>
                <w:color w:val="auto"/>
                <w:sz w:val="24"/>
                <w:szCs w:val="24"/>
              </w:rPr>
              <w:t>2</w:t>
            </w:r>
            <w:bookmarkStart w:id="4" w:name="大气环境质量现状"/>
            <w:r>
              <w:rPr>
                <w:rFonts w:hint="default" w:eastAsia="宋体"/>
                <w:color w:val="auto"/>
                <w:sz w:val="24"/>
                <w:szCs w:val="24"/>
              </w:rPr>
              <w:t>大气环境质量现状</w:t>
            </w:r>
            <w:bookmarkEnd w:id="4"/>
          </w:p>
          <w:p w14:paraId="21A513CC">
            <w:pPr>
              <w:pStyle w:val="2"/>
              <w:keepLines w:val="0"/>
              <w:suppressLineNumbers w:val="0"/>
              <w:overflowPunct/>
              <w:spacing w:before="0" w:beforeAutospacing="0" w:after="0" w:afterAutospacing="0" w:line="480" w:lineRule="exact"/>
              <w:ind w:left="0" w:right="0" w:firstLine="482" w:firstLineChars="200"/>
              <w:jc w:val="left"/>
              <w:outlineLvl w:val="0"/>
              <w:rPr>
                <w:rFonts w:hint="default" w:eastAsia="宋体"/>
                <w:color w:val="auto"/>
                <w:sz w:val="24"/>
                <w:szCs w:val="24"/>
              </w:rPr>
            </w:pPr>
            <w:r>
              <w:rPr>
                <w:rFonts w:hint="default" w:eastAsia="宋体"/>
                <w:color w:val="auto"/>
                <w:sz w:val="24"/>
                <w:szCs w:val="24"/>
              </w:rPr>
              <w:t>2.1空气质量达标区判定</w:t>
            </w:r>
          </w:p>
          <w:p w14:paraId="592C8FCD">
            <w:pPr>
              <w:keepNext w:val="0"/>
              <w:keepLines w:val="0"/>
              <w:suppressLineNumbers w:val="0"/>
              <w:spacing w:before="0" w:beforeAutospacing="0" w:after="0" w:afterAutospacing="0" w:line="480" w:lineRule="exact"/>
              <w:ind w:left="0" w:right="0" w:firstLine="482" w:firstLineChars="200"/>
              <w:rPr>
                <w:rFonts w:hint="default"/>
                <w:b/>
                <w:bCs/>
                <w:kern w:val="44"/>
                <w:sz w:val="24"/>
              </w:rPr>
            </w:pPr>
            <w:r>
              <w:rPr>
                <w:rFonts w:hint="default"/>
                <w:b/>
                <w:bCs/>
                <w:kern w:val="44"/>
                <w:sz w:val="24"/>
              </w:rPr>
              <w:t>（1）评价数据选用</w:t>
            </w:r>
          </w:p>
          <w:p w14:paraId="2028B908">
            <w:pPr>
              <w:pStyle w:val="2"/>
              <w:keepLines w:val="0"/>
              <w:suppressLineNumbers w:val="0"/>
              <w:overflowPunct/>
              <w:spacing w:before="0" w:beforeAutospacing="0" w:after="0" w:afterAutospacing="0" w:line="480" w:lineRule="exact"/>
              <w:ind w:left="0" w:right="0" w:firstLine="480" w:firstLineChars="200"/>
              <w:jc w:val="left"/>
              <w:outlineLvl w:val="0"/>
              <w:rPr>
                <w:rFonts w:hint="default" w:eastAsia="宋体"/>
                <w:b w:val="0"/>
                <w:bCs w:val="0"/>
                <w:color w:val="auto"/>
                <w:sz w:val="24"/>
                <w:szCs w:val="24"/>
              </w:rPr>
            </w:pPr>
            <w:r>
              <w:rPr>
                <w:rFonts w:hint="default" w:eastAsia="宋体"/>
                <w:b w:val="0"/>
                <w:bCs w:val="0"/>
                <w:color w:val="auto"/>
                <w:sz w:val="24"/>
                <w:szCs w:val="24"/>
              </w:rPr>
              <w:t>根据《建设项目环境影响报告表编制技术指南（生态影响类）（试行）》“不开展专项评价的环境要素，引用与项目距离近的有效数据和调查资料，包括符合时限要求的规划环境影响评价监测数据和调查资料，国家、地方环境质量监测网数据或生态环境主管部门公开发布的生态环境质量数据等”，项目所在区域目前没有国家和地方生态环境部门公开发布的评价基准年环境质量公告或环境质量报告中的数据，</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本次选用和静县县医院环境空气监测站点202</w:t>
            </w:r>
            <w:r>
              <w:rPr>
                <w:rFonts w:hint="eastAsia" w:eastAsia="宋体" w:cs="Times New Roman"/>
                <w:b w:val="0"/>
                <w:bC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年的监测数据</w:t>
            </w:r>
            <w:r>
              <w:rPr>
                <w:rFonts w:hint="eastAsia"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环境空气质量达标情况评价指标为SO</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、NO</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、PM</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、PM</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、CO和O</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等6项基本污染物数据来源。</w:t>
            </w:r>
          </w:p>
          <w:p w14:paraId="68F4851E">
            <w:pPr>
              <w:pStyle w:val="2"/>
              <w:keepLines w:val="0"/>
              <w:suppressLineNumbers w:val="0"/>
              <w:overflowPunct/>
              <w:spacing w:before="0" w:beforeAutospacing="0" w:after="0" w:afterAutospacing="0" w:line="480" w:lineRule="exact"/>
              <w:ind w:left="0" w:right="0" w:firstLine="480" w:firstLineChars="200"/>
              <w:jc w:val="left"/>
              <w:outlineLvl w:val="0"/>
              <w:rPr>
                <w:rFonts w:hint="default" w:eastAsia="宋体"/>
                <w:b w:val="0"/>
                <w:bCs w:val="0"/>
                <w:color w:val="auto"/>
                <w:sz w:val="24"/>
                <w:szCs w:val="24"/>
              </w:rPr>
            </w:pPr>
            <w:r>
              <w:rPr>
                <w:rFonts w:hint="default" w:eastAsia="宋体"/>
                <w:b w:val="0"/>
                <w:bCs w:val="0"/>
                <w:color w:val="auto"/>
                <w:sz w:val="24"/>
                <w:szCs w:val="24"/>
              </w:rPr>
              <w:t>①监测点位：</w:t>
            </w:r>
            <w:r>
              <w:rPr>
                <w:rFonts w:hint="default" w:ascii="Times New Roman" w:hAnsi="Times New Roman" w:eastAsia="宋体" w:cs="Times New Roman"/>
                <w:b w:val="0"/>
                <w:bCs w:val="0"/>
                <w:color w:val="auto"/>
                <w:sz w:val="24"/>
                <w:szCs w:val="24"/>
                <w:highlight w:val="none"/>
                <w:lang w:val="en-US" w:eastAsia="zh-CN"/>
              </w:rPr>
              <w:t>和静县县医院环境空气监测站点</w:t>
            </w:r>
            <w:r>
              <w:rPr>
                <w:rFonts w:hint="default" w:eastAsia="宋体"/>
                <w:b w:val="0"/>
                <w:bCs w:val="0"/>
                <w:color w:val="auto"/>
                <w:sz w:val="24"/>
                <w:szCs w:val="24"/>
              </w:rPr>
              <w:t>。</w:t>
            </w:r>
          </w:p>
          <w:p w14:paraId="375954B7">
            <w:pPr>
              <w:pStyle w:val="2"/>
              <w:keepLines w:val="0"/>
              <w:suppressLineNumbers w:val="0"/>
              <w:overflowPunct/>
              <w:spacing w:before="0" w:beforeAutospacing="0" w:after="0" w:afterAutospacing="0" w:line="480" w:lineRule="exact"/>
              <w:ind w:left="0" w:right="0" w:firstLine="480" w:firstLineChars="200"/>
              <w:jc w:val="left"/>
              <w:outlineLvl w:val="0"/>
              <w:rPr>
                <w:rFonts w:hint="default" w:eastAsia="宋体"/>
                <w:b w:val="0"/>
                <w:bCs w:val="0"/>
                <w:color w:val="auto"/>
                <w:sz w:val="24"/>
                <w:szCs w:val="24"/>
              </w:rPr>
            </w:pPr>
            <w:r>
              <w:rPr>
                <w:rFonts w:hint="default" w:eastAsia="宋体"/>
                <w:b w:val="0"/>
                <w:bCs w:val="0"/>
                <w:color w:val="auto"/>
                <w:sz w:val="24"/>
                <w:szCs w:val="24"/>
              </w:rPr>
              <w:t>②监测项目：二氧化硫（SO</w:t>
            </w:r>
            <w:r>
              <w:rPr>
                <w:rFonts w:hint="default" w:eastAsia="宋体"/>
                <w:b w:val="0"/>
                <w:bCs w:val="0"/>
                <w:color w:val="auto"/>
                <w:sz w:val="24"/>
                <w:szCs w:val="24"/>
                <w:vertAlign w:val="subscript"/>
              </w:rPr>
              <w:t>2</w:t>
            </w:r>
            <w:r>
              <w:rPr>
                <w:rFonts w:hint="default" w:eastAsia="宋体"/>
                <w:b w:val="0"/>
                <w:bCs w:val="0"/>
                <w:color w:val="auto"/>
                <w:sz w:val="24"/>
                <w:szCs w:val="24"/>
              </w:rPr>
              <w:t>）、二氧化氮（NO</w:t>
            </w:r>
            <w:r>
              <w:rPr>
                <w:rFonts w:hint="default" w:eastAsia="宋体"/>
                <w:b w:val="0"/>
                <w:bCs w:val="0"/>
                <w:color w:val="auto"/>
                <w:sz w:val="24"/>
                <w:szCs w:val="24"/>
                <w:vertAlign w:val="subscript"/>
              </w:rPr>
              <w:t>2</w:t>
            </w:r>
            <w:r>
              <w:rPr>
                <w:rFonts w:hint="default" w:eastAsia="宋体"/>
                <w:b w:val="0"/>
                <w:bCs w:val="0"/>
                <w:color w:val="auto"/>
                <w:sz w:val="24"/>
                <w:szCs w:val="24"/>
              </w:rPr>
              <w:t>）、可吸入颗粒物（PM</w:t>
            </w:r>
            <w:r>
              <w:rPr>
                <w:rFonts w:hint="default" w:eastAsia="宋体"/>
                <w:b w:val="0"/>
                <w:bCs w:val="0"/>
                <w:color w:val="auto"/>
                <w:sz w:val="24"/>
                <w:szCs w:val="24"/>
                <w:vertAlign w:val="subscript"/>
              </w:rPr>
              <w:t>10</w:t>
            </w:r>
            <w:r>
              <w:rPr>
                <w:rFonts w:hint="default" w:eastAsia="宋体"/>
                <w:b w:val="0"/>
                <w:bCs w:val="0"/>
                <w:color w:val="auto"/>
                <w:sz w:val="24"/>
                <w:szCs w:val="24"/>
              </w:rPr>
              <w:t>）、一氧化碳（CO）、臭氧（O</w:t>
            </w:r>
            <w:r>
              <w:rPr>
                <w:rFonts w:hint="default" w:eastAsia="宋体"/>
                <w:b w:val="0"/>
                <w:bCs w:val="0"/>
                <w:color w:val="auto"/>
                <w:sz w:val="24"/>
                <w:szCs w:val="24"/>
                <w:vertAlign w:val="subscript"/>
              </w:rPr>
              <w:t>3</w:t>
            </w:r>
            <w:r>
              <w:rPr>
                <w:rFonts w:hint="default" w:eastAsia="宋体"/>
                <w:b w:val="0"/>
                <w:bCs w:val="0"/>
                <w:color w:val="auto"/>
                <w:sz w:val="24"/>
                <w:szCs w:val="24"/>
              </w:rPr>
              <w:t>）、细颗粒物（PM</w:t>
            </w:r>
            <w:r>
              <w:rPr>
                <w:rFonts w:hint="default" w:eastAsia="宋体"/>
                <w:b w:val="0"/>
                <w:bCs w:val="0"/>
                <w:color w:val="auto"/>
                <w:sz w:val="24"/>
                <w:szCs w:val="24"/>
                <w:vertAlign w:val="subscript"/>
              </w:rPr>
              <w:t>2.5</w:t>
            </w:r>
            <w:r>
              <w:rPr>
                <w:rFonts w:hint="default" w:eastAsia="宋体"/>
                <w:b w:val="0"/>
                <w:bCs w:val="0"/>
                <w:color w:val="auto"/>
                <w:sz w:val="24"/>
                <w:szCs w:val="24"/>
              </w:rPr>
              <w:t>）六项。</w:t>
            </w:r>
          </w:p>
          <w:p w14:paraId="4F705127">
            <w:pPr>
              <w:pStyle w:val="2"/>
              <w:keepLines w:val="0"/>
              <w:suppressLineNumbers w:val="0"/>
              <w:overflowPunct/>
              <w:spacing w:before="0" w:beforeAutospacing="0" w:after="0" w:afterAutospacing="0" w:line="480" w:lineRule="exact"/>
              <w:ind w:left="0" w:right="0" w:firstLine="480" w:firstLineChars="200"/>
              <w:jc w:val="left"/>
              <w:outlineLvl w:val="0"/>
              <w:rPr>
                <w:rFonts w:hint="default"/>
              </w:rPr>
            </w:pPr>
            <w:r>
              <w:rPr>
                <w:rFonts w:hint="default" w:eastAsia="宋体"/>
                <w:b w:val="0"/>
                <w:bCs w:val="0"/>
                <w:color w:val="auto"/>
                <w:sz w:val="24"/>
                <w:szCs w:val="24"/>
              </w:rPr>
              <w:t>③监测时间：</w:t>
            </w:r>
            <w:r>
              <w:rPr>
                <w:rFonts w:hint="default" w:eastAsia="宋体"/>
                <w:b w:val="0"/>
                <w:bCs w:val="0"/>
                <w:color w:val="auto"/>
                <w:sz w:val="24"/>
                <w:szCs w:val="24"/>
                <w:lang w:val="en-US" w:eastAsia="zh-CN"/>
              </w:rPr>
              <w:t>根据和静县县医院环境空气监测站点评价基准年（202</w:t>
            </w:r>
            <w:r>
              <w:rPr>
                <w:rFonts w:hint="eastAsia" w:eastAsia="宋体"/>
                <w:b w:val="0"/>
                <w:bCs w:val="0"/>
                <w:color w:val="auto"/>
                <w:sz w:val="24"/>
                <w:szCs w:val="24"/>
                <w:lang w:val="en-US" w:eastAsia="zh-CN"/>
              </w:rPr>
              <w:t>3</w:t>
            </w:r>
            <w:r>
              <w:rPr>
                <w:rFonts w:hint="default" w:eastAsia="宋体"/>
                <w:b w:val="0"/>
                <w:bCs w:val="0"/>
                <w:color w:val="auto"/>
                <w:sz w:val="24"/>
                <w:szCs w:val="24"/>
                <w:lang w:val="en-US" w:eastAsia="zh-CN"/>
              </w:rPr>
              <w:t>）连续一年的监测数据，空气质量达标区判定结果见表3-5。</w:t>
            </w:r>
          </w:p>
          <w:p w14:paraId="7F48DFB9">
            <w:pPr>
              <w:pStyle w:val="2"/>
              <w:keepLines w:val="0"/>
              <w:suppressLineNumbers w:val="0"/>
              <w:overflowPunct/>
              <w:spacing w:before="0" w:beforeAutospacing="0" w:after="0" w:afterAutospacing="0" w:line="480" w:lineRule="exact"/>
              <w:ind w:left="0" w:right="0" w:firstLine="482" w:firstLineChars="200"/>
              <w:jc w:val="left"/>
              <w:outlineLvl w:val="0"/>
              <w:rPr>
                <w:rFonts w:hint="default" w:eastAsia="宋体"/>
                <w:color w:val="auto"/>
                <w:sz w:val="24"/>
                <w:szCs w:val="24"/>
              </w:rPr>
            </w:pPr>
            <w:r>
              <w:rPr>
                <w:rFonts w:hint="default" w:eastAsia="宋体"/>
                <w:color w:val="auto"/>
                <w:sz w:val="24"/>
                <w:szCs w:val="24"/>
              </w:rPr>
              <w:t>（2）评价标准</w:t>
            </w:r>
          </w:p>
          <w:p w14:paraId="5CBEB976">
            <w:pPr>
              <w:pStyle w:val="2"/>
              <w:keepLines w:val="0"/>
              <w:suppressLineNumbers w:val="0"/>
              <w:overflowPunct/>
              <w:spacing w:before="0" w:beforeAutospacing="0" w:after="0" w:afterAutospacing="0" w:line="480" w:lineRule="exact"/>
              <w:ind w:left="0" w:right="0" w:firstLine="480" w:firstLineChars="200"/>
              <w:jc w:val="left"/>
              <w:outlineLvl w:val="0"/>
              <w:rPr>
                <w:rFonts w:hint="default" w:eastAsia="宋体"/>
                <w:b w:val="0"/>
                <w:bCs w:val="0"/>
                <w:sz w:val="24"/>
                <w:szCs w:val="24"/>
              </w:rPr>
            </w:pPr>
            <w:r>
              <w:rPr>
                <w:rFonts w:hint="eastAsia" w:eastAsia="宋体"/>
                <w:b w:val="0"/>
                <w:bCs w:val="0"/>
                <w:sz w:val="24"/>
                <w:szCs w:val="24"/>
                <w:lang w:val="en-US" w:eastAsia="zh-CN"/>
              </w:rPr>
              <w:t>根据环境空气质量功能区划分规定，</w:t>
            </w:r>
            <w:r>
              <w:rPr>
                <w:rFonts w:hint="default" w:eastAsia="宋体"/>
                <w:b w:val="0"/>
                <w:bCs w:val="0"/>
                <w:sz w:val="24"/>
                <w:szCs w:val="24"/>
              </w:rPr>
              <w:t>环境空气中的SO</w:t>
            </w:r>
            <w:r>
              <w:rPr>
                <w:rFonts w:hint="default" w:eastAsia="宋体"/>
                <w:b w:val="0"/>
                <w:bCs w:val="0"/>
                <w:sz w:val="24"/>
                <w:szCs w:val="24"/>
                <w:vertAlign w:val="subscript"/>
              </w:rPr>
              <w:t>2</w:t>
            </w:r>
            <w:r>
              <w:rPr>
                <w:rFonts w:hint="default" w:eastAsia="宋体"/>
                <w:b w:val="0"/>
                <w:bCs w:val="0"/>
                <w:sz w:val="24"/>
                <w:szCs w:val="24"/>
              </w:rPr>
              <w:t>、NO</w:t>
            </w:r>
            <w:r>
              <w:rPr>
                <w:rFonts w:hint="default" w:eastAsia="宋体"/>
                <w:b w:val="0"/>
                <w:bCs w:val="0"/>
                <w:sz w:val="24"/>
                <w:szCs w:val="24"/>
                <w:vertAlign w:val="subscript"/>
              </w:rPr>
              <w:t>2</w:t>
            </w:r>
            <w:r>
              <w:rPr>
                <w:rFonts w:hint="default" w:eastAsia="宋体"/>
                <w:b w:val="0"/>
                <w:bCs w:val="0"/>
                <w:sz w:val="24"/>
                <w:szCs w:val="24"/>
              </w:rPr>
              <w:t>、PM</w:t>
            </w:r>
            <w:r>
              <w:rPr>
                <w:rFonts w:hint="default" w:eastAsia="宋体"/>
                <w:b w:val="0"/>
                <w:bCs w:val="0"/>
                <w:sz w:val="24"/>
                <w:szCs w:val="24"/>
                <w:vertAlign w:val="subscript"/>
              </w:rPr>
              <w:t>10</w:t>
            </w:r>
            <w:r>
              <w:rPr>
                <w:rFonts w:hint="default" w:eastAsia="宋体"/>
                <w:b w:val="0"/>
                <w:bCs w:val="0"/>
                <w:sz w:val="24"/>
                <w:szCs w:val="24"/>
              </w:rPr>
              <w:t>、PM</w:t>
            </w:r>
            <w:r>
              <w:rPr>
                <w:rFonts w:hint="default" w:eastAsia="宋体"/>
                <w:b w:val="0"/>
                <w:bCs w:val="0"/>
                <w:sz w:val="24"/>
                <w:szCs w:val="24"/>
                <w:vertAlign w:val="subscript"/>
              </w:rPr>
              <w:t>2.5</w:t>
            </w:r>
            <w:r>
              <w:rPr>
                <w:rFonts w:hint="default" w:eastAsia="宋体"/>
                <w:b w:val="0"/>
                <w:bCs w:val="0"/>
                <w:sz w:val="24"/>
                <w:szCs w:val="24"/>
              </w:rPr>
              <w:t>、CO、O</w:t>
            </w:r>
            <w:r>
              <w:rPr>
                <w:rFonts w:hint="default" w:eastAsia="宋体"/>
                <w:b w:val="0"/>
                <w:bCs w:val="0"/>
                <w:sz w:val="24"/>
                <w:szCs w:val="24"/>
                <w:vertAlign w:val="subscript"/>
              </w:rPr>
              <w:t>3</w:t>
            </w:r>
            <w:r>
              <w:rPr>
                <w:rFonts w:hint="default" w:eastAsia="宋体"/>
                <w:b w:val="0"/>
                <w:bCs w:val="0"/>
                <w:sz w:val="24"/>
                <w:szCs w:val="24"/>
              </w:rPr>
              <w:t>执行《环境空气质量标准》（GB3095—2012）</w:t>
            </w:r>
            <w:r>
              <w:rPr>
                <w:rFonts w:hint="eastAsia" w:eastAsia="宋体"/>
                <w:b w:val="0"/>
                <w:bCs w:val="0"/>
                <w:sz w:val="24"/>
                <w:szCs w:val="24"/>
                <w:lang w:val="en-US" w:eastAsia="zh-CN"/>
              </w:rPr>
              <w:t>及其修改单中二级标准</w:t>
            </w:r>
            <w:r>
              <w:rPr>
                <w:rFonts w:hint="eastAsia" w:eastAsia="宋体"/>
                <w:b w:val="0"/>
                <w:bCs w:val="0"/>
                <w:sz w:val="24"/>
                <w:szCs w:val="24"/>
              </w:rPr>
              <w:t>。</w:t>
            </w:r>
          </w:p>
          <w:p w14:paraId="24CB6FF0">
            <w:pPr>
              <w:pStyle w:val="2"/>
              <w:keepLines w:val="0"/>
              <w:suppressLineNumbers w:val="0"/>
              <w:overflowPunct/>
              <w:spacing w:before="0" w:beforeAutospacing="0" w:after="0" w:afterAutospacing="0" w:line="480" w:lineRule="exact"/>
              <w:ind w:left="0" w:right="0" w:firstLine="482" w:firstLineChars="200"/>
              <w:jc w:val="left"/>
              <w:outlineLvl w:val="0"/>
              <w:rPr>
                <w:rFonts w:hint="default" w:eastAsia="宋体"/>
                <w:color w:val="auto"/>
                <w:sz w:val="24"/>
                <w:szCs w:val="24"/>
              </w:rPr>
            </w:pPr>
            <w:r>
              <w:rPr>
                <w:rFonts w:hint="default" w:eastAsia="宋体"/>
                <w:color w:val="auto"/>
                <w:sz w:val="24"/>
                <w:szCs w:val="24"/>
              </w:rPr>
              <w:t>（3）评价方法</w:t>
            </w:r>
          </w:p>
          <w:p w14:paraId="3F7A77B9">
            <w:pPr>
              <w:keepNext w:val="0"/>
              <w:keepLines w:val="0"/>
              <w:suppressLineNumbers w:val="0"/>
              <w:spacing w:before="0" w:beforeAutospacing="0" w:after="0" w:afterAutospacing="0" w:line="480" w:lineRule="exact"/>
              <w:ind w:left="0" w:right="0" w:firstLine="480" w:firstLineChars="200"/>
              <w:jc w:val="left"/>
              <w:rPr>
                <w:rFonts w:hint="default"/>
                <w:sz w:val="24"/>
              </w:rPr>
            </w:pPr>
            <w:r>
              <w:rPr>
                <w:rFonts w:hint="default"/>
                <w:sz w:val="24"/>
                <w:lang w:val="en-US" w:eastAsia="zh-CN"/>
              </w:rPr>
              <w:t>按照《环境空气质量评价技术规范</w:t>
            </w:r>
            <w:r>
              <w:rPr>
                <w:rFonts w:hint="eastAsia"/>
                <w:sz w:val="24"/>
                <w:lang w:val="en-US" w:eastAsia="zh-CN"/>
              </w:rPr>
              <w:t>（</w:t>
            </w:r>
            <w:r>
              <w:rPr>
                <w:rFonts w:hint="default"/>
                <w:sz w:val="24"/>
                <w:lang w:val="en-US" w:eastAsia="zh-CN"/>
              </w:rPr>
              <w:t>试行</w:t>
            </w:r>
            <w:r>
              <w:rPr>
                <w:rFonts w:hint="eastAsia"/>
                <w:sz w:val="24"/>
                <w:lang w:val="en-US" w:eastAsia="zh-CN"/>
              </w:rPr>
              <w:t>）</w:t>
            </w:r>
            <w:r>
              <w:rPr>
                <w:rFonts w:hint="default"/>
                <w:sz w:val="24"/>
                <w:lang w:val="en-US" w:eastAsia="zh-CN"/>
              </w:rPr>
              <w:t>》</w:t>
            </w:r>
            <w:r>
              <w:rPr>
                <w:rFonts w:hint="eastAsia"/>
                <w:sz w:val="24"/>
                <w:lang w:val="en-US" w:eastAsia="zh-CN"/>
              </w:rPr>
              <w:t>（</w:t>
            </w:r>
            <w:r>
              <w:rPr>
                <w:rFonts w:hint="default"/>
                <w:sz w:val="24"/>
                <w:lang w:val="en-US" w:eastAsia="zh-CN"/>
              </w:rPr>
              <w:t>HJ663-2013</w:t>
            </w:r>
            <w:r>
              <w:rPr>
                <w:rFonts w:hint="eastAsia"/>
                <w:sz w:val="24"/>
                <w:lang w:val="en-US" w:eastAsia="zh-CN"/>
              </w:rPr>
              <w:t>）</w:t>
            </w:r>
            <w:r>
              <w:rPr>
                <w:rFonts w:hint="default"/>
                <w:sz w:val="24"/>
                <w:lang w:val="en-US" w:eastAsia="zh-CN"/>
              </w:rPr>
              <w:t>中各评价项目的年评价指标进行判定。年评价指标中的年均浓度和相应百分位数24h平均或8h平均质量浓度满足《环境空气质量标准》（GB3095-2012）及其修改单中二级浓度限值要求的即为达标。对于超标的污染物，计算其超标倍数和超标率</w:t>
            </w:r>
            <w:r>
              <w:rPr>
                <w:rFonts w:hint="default"/>
                <w:sz w:val="24"/>
              </w:rPr>
              <w:t>。</w:t>
            </w:r>
          </w:p>
          <w:p w14:paraId="38008121">
            <w:pPr>
              <w:pStyle w:val="2"/>
              <w:keepLines w:val="0"/>
              <w:suppressLineNumbers w:val="0"/>
              <w:overflowPunct/>
              <w:spacing w:before="0" w:beforeAutospacing="0" w:after="0" w:afterAutospacing="0" w:line="480" w:lineRule="exact"/>
              <w:ind w:left="0" w:right="0" w:firstLine="482" w:firstLineChars="200"/>
              <w:jc w:val="left"/>
              <w:outlineLvl w:val="0"/>
              <w:rPr>
                <w:rFonts w:hint="default" w:eastAsia="宋体"/>
                <w:color w:val="auto"/>
                <w:sz w:val="24"/>
                <w:szCs w:val="24"/>
              </w:rPr>
            </w:pPr>
            <w:r>
              <w:rPr>
                <w:rFonts w:hint="default" w:eastAsia="宋体"/>
                <w:color w:val="auto"/>
                <w:sz w:val="24"/>
                <w:szCs w:val="24"/>
              </w:rPr>
              <w:t>（4）评价结果</w:t>
            </w:r>
          </w:p>
          <w:p w14:paraId="4996E106">
            <w:pPr>
              <w:keepNext w:val="0"/>
              <w:keepLines w:val="0"/>
              <w:suppressLineNumbers w:val="0"/>
              <w:spacing w:before="0" w:beforeAutospacing="0" w:after="0" w:afterAutospacing="0" w:line="480" w:lineRule="exact"/>
              <w:ind w:left="0" w:right="0" w:firstLine="480" w:firstLineChars="200"/>
              <w:jc w:val="left"/>
              <w:rPr>
                <w:rFonts w:hint="default"/>
                <w:sz w:val="24"/>
              </w:rPr>
            </w:pPr>
            <w:r>
              <w:rPr>
                <w:rFonts w:hint="default"/>
                <w:sz w:val="24"/>
              </w:rPr>
              <w:t>评价结果见下表。</w:t>
            </w:r>
          </w:p>
          <w:p w14:paraId="5BEEFAB8">
            <w:pPr>
              <w:pStyle w:val="42"/>
              <w:keepNext w:val="0"/>
              <w:keepLines w:val="0"/>
              <w:suppressLineNumbers w:val="0"/>
              <w:autoSpaceDE/>
              <w:autoSpaceDN/>
              <w:spacing w:before="0" w:beforeAutospacing="0" w:after="0" w:afterAutospacing="0" w:line="480" w:lineRule="exact"/>
              <w:ind w:left="0" w:right="0"/>
              <w:rPr>
                <w:rFonts w:hint="default" w:eastAsia="宋体"/>
                <w:b/>
                <w:bCs/>
                <w:szCs w:val="24"/>
              </w:rPr>
            </w:pPr>
            <w:r>
              <w:rPr>
                <w:rFonts w:hint="default" w:eastAsia="宋体"/>
                <w:b/>
                <w:bCs/>
                <w:szCs w:val="24"/>
              </w:rPr>
              <w:t>表3-</w:t>
            </w:r>
            <w:r>
              <w:rPr>
                <w:rFonts w:hint="eastAsia" w:eastAsia="宋体"/>
                <w:b/>
                <w:bCs/>
                <w:szCs w:val="24"/>
              </w:rPr>
              <w:t>5</w:t>
            </w:r>
            <w:r>
              <w:rPr>
                <w:rFonts w:hint="default" w:eastAsia="宋体"/>
                <w:b/>
                <w:bCs/>
                <w:szCs w:val="24"/>
              </w:rPr>
              <w:t xml:space="preserve">   现状监测结果分析表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2280"/>
              <w:gridCol w:w="1099"/>
              <w:gridCol w:w="1678"/>
              <w:gridCol w:w="689"/>
              <w:gridCol w:w="854"/>
            </w:tblGrid>
            <w:tr w14:paraId="1C06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noWrap w:val="0"/>
                  <w:vAlign w:val="center"/>
                </w:tcPr>
                <w:p w14:paraId="1F4BF183">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2280" w:type="dxa"/>
                  <w:tcBorders>
                    <w:tl2br w:val="nil"/>
                    <w:tr2bl w:val="nil"/>
                  </w:tcBorders>
                  <w:noWrap w:val="0"/>
                  <w:vAlign w:val="center"/>
                </w:tcPr>
                <w:p w14:paraId="21EF7923">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评价项目</w:t>
                  </w:r>
                </w:p>
              </w:tc>
              <w:tc>
                <w:tcPr>
                  <w:tcW w:w="1072" w:type="dxa"/>
                  <w:tcBorders>
                    <w:tl2br w:val="nil"/>
                    <w:tr2bl w:val="nil"/>
                  </w:tcBorders>
                  <w:noWrap w:val="0"/>
                  <w:vAlign w:val="center"/>
                </w:tcPr>
                <w:p w14:paraId="129998A4">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浓度（μ</w:t>
                  </w:r>
                  <w:r>
                    <w:rPr>
                      <w:rFonts w:hint="default" w:ascii="Times New Roman" w:hAnsi="Times New Roman" w:eastAsia="宋体" w:cs="Times New Roman"/>
                      <w:color w:val="auto"/>
                      <w:lang w:val="en-US" w:eastAsia="zh-CN"/>
                    </w:rPr>
                    <w:t>g</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1678" w:type="dxa"/>
                  <w:tcBorders>
                    <w:tl2br w:val="nil"/>
                    <w:tr2bl w:val="nil"/>
                  </w:tcBorders>
                  <w:noWrap w:val="0"/>
                  <w:vAlign w:val="center"/>
                </w:tcPr>
                <w:p w14:paraId="3DF308CA">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标准（二级）（μ</w:t>
                  </w:r>
                  <w:r>
                    <w:rPr>
                      <w:rFonts w:hint="default" w:ascii="Times New Roman" w:hAnsi="Times New Roman" w:eastAsia="宋体" w:cs="Times New Roman"/>
                      <w:color w:val="auto"/>
                      <w:lang w:val="en-US" w:eastAsia="zh-CN"/>
                    </w:rPr>
                    <w:t>g</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688" w:type="dxa"/>
                  <w:tcBorders>
                    <w:tl2br w:val="nil"/>
                    <w:tr2bl w:val="nil"/>
                  </w:tcBorders>
                  <w:noWrap w:val="0"/>
                  <w:vAlign w:val="center"/>
                </w:tcPr>
                <w:p w14:paraId="3B469D17">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占标率</w:t>
                  </w:r>
                  <w:r>
                    <w:rPr>
                      <w:rFonts w:hint="default" w:ascii="Times New Roman" w:hAnsi="Times New Roman" w:eastAsia="宋体" w:cs="Times New Roman"/>
                      <w:color w:val="auto"/>
                      <w:lang w:val="en-US" w:eastAsia="zh-CN"/>
                    </w:rPr>
                    <w:t>%</w:t>
                  </w:r>
                </w:p>
              </w:tc>
              <w:tc>
                <w:tcPr>
                  <w:tcW w:w="854" w:type="dxa"/>
                  <w:tcBorders>
                    <w:tl2br w:val="nil"/>
                    <w:tr2bl w:val="nil"/>
                  </w:tcBorders>
                  <w:noWrap w:val="0"/>
                  <w:vAlign w:val="center"/>
                </w:tcPr>
                <w:p w14:paraId="019B8539">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达标情况</w:t>
                  </w:r>
                </w:p>
              </w:tc>
            </w:tr>
            <w:tr w14:paraId="5DF3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restart"/>
                  <w:tcBorders>
                    <w:tl2br w:val="nil"/>
                    <w:tr2bl w:val="nil"/>
                  </w:tcBorders>
                  <w:noWrap w:val="0"/>
                  <w:vAlign w:val="center"/>
                </w:tcPr>
                <w:p w14:paraId="3D02F80B">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p>
              </w:tc>
              <w:tc>
                <w:tcPr>
                  <w:tcW w:w="2280" w:type="dxa"/>
                  <w:tcBorders>
                    <w:tl2br w:val="nil"/>
                    <w:tr2bl w:val="nil"/>
                  </w:tcBorders>
                  <w:noWrap w:val="0"/>
                  <w:vAlign w:val="center"/>
                </w:tcPr>
                <w:p w14:paraId="4C441686">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年平均</w:t>
                  </w:r>
                </w:p>
              </w:tc>
              <w:tc>
                <w:tcPr>
                  <w:tcW w:w="1072" w:type="dxa"/>
                  <w:tcBorders>
                    <w:tl2br w:val="nil"/>
                    <w:tr2bl w:val="nil"/>
                  </w:tcBorders>
                  <w:noWrap w:val="0"/>
                  <w:vAlign w:val="center"/>
                </w:tcPr>
                <w:p w14:paraId="44159031">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6</w:t>
                  </w:r>
                </w:p>
              </w:tc>
              <w:tc>
                <w:tcPr>
                  <w:tcW w:w="1678" w:type="dxa"/>
                  <w:tcBorders>
                    <w:tl2br w:val="nil"/>
                    <w:tr2bl w:val="nil"/>
                  </w:tcBorders>
                  <w:noWrap w:val="0"/>
                  <w:vAlign w:val="center"/>
                </w:tcPr>
                <w:p w14:paraId="59C28285">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60</w:t>
                  </w:r>
                </w:p>
              </w:tc>
              <w:tc>
                <w:tcPr>
                  <w:tcW w:w="688" w:type="dxa"/>
                  <w:tcBorders>
                    <w:tl2br w:val="nil"/>
                    <w:tr2bl w:val="nil"/>
                  </w:tcBorders>
                  <w:noWrap w:val="0"/>
                  <w:vAlign w:val="center"/>
                </w:tcPr>
                <w:p w14:paraId="7ACAD3D8">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10</w:t>
                  </w:r>
                </w:p>
              </w:tc>
              <w:tc>
                <w:tcPr>
                  <w:tcW w:w="854" w:type="dxa"/>
                  <w:tcBorders>
                    <w:tl2br w:val="nil"/>
                    <w:tr2bl w:val="nil"/>
                  </w:tcBorders>
                  <w:noWrap w:val="0"/>
                  <w:vAlign w:val="center"/>
                </w:tcPr>
                <w:p w14:paraId="0F550271">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达标</w:t>
                  </w:r>
                </w:p>
              </w:tc>
            </w:tr>
            <w:tr w14:paraId="0529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continue"/>
                  <w:tcBorders>
                    <w:tl2br w:val="nil"/>
                    <w:tr2bl w:val="nil"/>
                  </w:tcBorders>
                  <w:noWrap w:val="0"/>
                  <w:vAlign w:val="center"/>
                </w:tcPr>
                <w:p w14:paraId="5B5A7F22">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p>
              </w:tc>
              <w:tc>
                <w:tcPr>
                  <w:tcW w:w="2280" w:type="dxa"/>
                  <w:tcBorders>
                    <w:tl2br w:val="nil"/>
                    <w:tr2bl w:val="nil"/>
                  </w:tcBorders>
                  <w:noWrap w:val="0"/>
                  <w:vAlign w:val="center"/>
                </w:tcPr>
                <w:p w14:paraId="6BED0560">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24h平均第98百分位数</w:t>
                  </w:r>
                </w:p>
              </w:tc>
              <w:tc>
                <w:tcPr>
                  <w:tcW w:w="1072" w:type="dxa"/>
                  <w:tcBorders>
                    <w:tl2br w:val="nil"/>
                    <w:tr2bl w:val="nil"/>
                  </w:tcBorders>
                  <w:noWrap w:val="0"/>
                  <w:vAlign w:val="center"/>
                </w:tcPr>
                <w:p w14:paraId="0B405141">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17</w:t>
                  </w:r>
                </w:p>
              </w:tc>
              <w:tc>
                <w:tcPr>
                  <w:tcW w:w="1678" w:type="dxa"/>
                  <w:tcBorders>
                    <w:tl2br w:val="nil"/>
                    <w:tr2bl w:val="nil"/>
                  </w:tcBorders>
                  <w:noWrap w:val="0"/>
                  <w:vAlign w:val="center"/>
                </w:tcPr>
                <w:p w14:paraId="50BBBE04">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150</w:t>
                  </w:r>
                </w:p>
              </w:tc>
              <w:tc>
                <w:tcPr>
                  <w:tcW w:w="688" w:type="dxa"/>
                  <w:tcBorders>
                    <w:tl2br w:val="nil"/>
                    <w:tr2bl w:val="nil"/>
                  </w:tcBorders>
                  <w:noWrap w:val="0"/>
                  <w:vAlign w:val="center"/>
                </w:tcPr>
                <w:p w14:paraId="6A367AC6">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11.3</w:t>
                  </w:r>
                </w:p>
              </w:tc>
              <w:tc>
                <w:tcPr>
                  <w:tcW w:w="854" w:type="dxa"/>
                  <w:tcBorders>
                    <w:tl2br w:val="nil"/>
                    <w:tr2bl w:val="nil"/>
                  </w:tcBorders>
                  <w:noWrap w:val="0"/>
                  <w:vAlign w:val="center"/>
                </w:tcPr>
                <w:p w14:paraId="03D5C685">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达标</w:t>
                  </w:r>
                </w:p>
              </w:tc>
            </w:tr>
            <w:tr w14:paraId="4754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restart"/>
                  <w:tcBorders>
                    <w:tl2br w:val="nil"/>
                    <w:tr2bl w:val="nil"/>
                  </w:tcBorders>
                  <w:noWrap w:val="0"/>
                  <w:vAlign w:val="center"/>
                </w:tcPr>
                <w:p w14:paraId="74400BE3">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p>
              </w:tc>
              <w:tc>
                <w:tcPr>
                  <w:tcW w:w="2280" w:type="dxa"/>
                  <w:tcBorders>
                    <w:tl2br w:val="nil"/>
                    <w:tr2bl w:val="nil"/>
                  </w:tcBorders>
                  <w:noWrap w:val="0"/>
                  <w:vAlign w:val="center"/>
                </w:tcPr>
                <w:p w14:paraId="1E2A757C">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年平均</w:t>
                  </w:r>
                </w:p>
              </w:tc>
              <w:tc>
                <w:tcPr>
                  <w:tcW w:w="1072" w:type="dxa"/>
                  <w:tcBorders>
                    <w:tl2br w:val="nil"/>
                    <w:tr2bl w:val="nil"/>
                  </w:tcBorders>
                  <w:noWrap w:val="0"/>
                  <w:vAlign w:val="center"/>
                </w:tcPr>
                <w:p w14:paraId="61718454">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17</w:t>
                  </w:r>
                </w:p>
              </w:tc>
              <w:tc>
                <w:tcPr>
                  <w:tcW w:w="1678" w:type="dxa"/>
                  <w:tcBorders>
                    <w:tl2br w:val="nil"/>
                    <w:tr2bl w:val="nil"/>
                  </w:tcBorders>
                  <w:noWrap w:val="0"/>
                  <w:vAlign w:val="center"/>
                </w:tcPr>
                <w:p w14:paraId="2C4D0800">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40</w:t>
                  </w:r>
                </w:p>
              </w:tc>
              <w:tc>
                <w:tcPr>
                  <w:tcW w:w="688" w:type="dxa"/>
                  <w:tcBorders>
                    <w:tl2br w:val="nil"/>
                    <w:tr2bl w:val="nil"/>
                  </w:tcBorders>
                  <w:noWrap w:val="0"/>
                  <w:vAlign w:val="center"/>
                </w:tcPr>
                <w:p w14:paraId="672625A9">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42.5</w:t>
                  </w:r>
                </w:p>
              </w:tc>
              <w:tc>
                <w:tcPr>
                  <w:tcW w:w="854" w:type="dxa"/>
                  <w:tcBorders>
                    <w:tl2br w:val="nil"/>
                    <w:tr2bl w:val="nil"/>
                  </w:tcBorders>
                  <w:noWrap w:val="0"/>
                  <w:vAlign w:val="center"/>
                </w:tcPr>
                <w:p w14:paraId="4411DE53">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达标</w:t>
                  </w:r>
                </w:p>
              </w:tc>
            </w:tr>
            <w:tr w14:paraId="4335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continue"/>
                  <w:tcBorders>
                    <w:tl2br w:val="nil"/>
                    <w:tr2bl w:val="nil"/>
                  </w:tcBorders>
                  <w:noWrap w:val="0"/>
                  <w:vAlign w:val="center"/>
                </w:tcPr>
                <w:p w14:paraId="7C631C19">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p>
              </w:tc>
              <w:tc>
                <w:tcPr>
                  <w:tcW w:w="2280" w:type="dxa"/>
                  <w:tcBorders>
                    <w:tl2br w:val="nil"/>
                    <w:tr2bl w:val="nil"/>
                  </w:tcBorders>
                  <w:noWrap w:val="0"/>
                  <w:vAlign w:val="center"/>
                </w:tcPr>
                <w:p w14:paraId="73402575">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24h平均第98百分位数</w:t>
                  </w:r>
                </w:p>
              </w:tc>
              <w:tc>
                <w:tcPr>
                  <w:tcW w:w="1072" w:type="dxa"/>
                  <w:tcBorders>
                    <w:tl2br w:val="nil"/>
                    <w:tr2bl w:val="nil"/>
                  </w:tcBorders>
                  <w:noWrap w:val="0"/>
                  <w:vAlign w:val="center"/>
                </w:tcPr>
                <w:p w14:paraId="281F1FC8">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45</w:t>
                  </w:r>
                </w:p>
              </w:tc>
              <w:tc>
                <w:tcPr>
                  <w:tcW w:w="1678" w:type="dxa"/>
                  <w:tcBorders>
                    <w:tl2br w:val="nil"/>
                    <w:tr2bl w:val="nil"/>
                  </w:tcBorders>
                  <w:noWrap w:val="0"/>
                  <w:vAlign w:val="center"/>
                </w:tcPr>
                <w:p w14:paraId="1CEEB098">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80</w:t>
                  </w:r>
                </w:p>
              </w:tc>
              <w:tc>
                <w:tcPr>
                  <w:tcW w:w="688" w:type="dxa"/>
                  <w:tcBorders>
                    <w:tl2br w:val="nil"/>
                    <w:tr2bl w:val="nil"/>
                  </w:tcBorders>
                  <w:noWrap w:val="0"/>
                  <w:vAlign w:val="center"/>
                </w:tcPr>
                <w:p w14:paraId="17DADF25">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56.2</w:t>
                  </w:r>
                </w:p>
              </w:tc>
              <w:tc>
                <w:tcPr>
                  <w:tcW w:w="854" w:type="dxa"/>
                  <w:tcBorders>
                    <w:tl2br w:val="nil"/>
                    <w:tr2bl w:val="nil"/>
                  </w:tcBorders>
                  <w:noWrap w:val="0"/>
                  <w:vAlign w:val="center"/>
                </w:tcPr>
                <w:p w14:paraId="1C33E137">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达标</w:t>
                  </w:r>
                </w:p>
              </w:tc>
            </w:tr>
            <w:tr w14:paraId="4080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noWrap w:val="0"/>
                  <w:vAlign w:val="center"/>
                </w:tcPr>
                <w:p w14:paraId="4C3B7E63">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CO</w:t>
                  </w:r>
                </w:p>
                <w:p w14:paraId="193F8E90">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eastAsia" w:ascii="Times New Roman" w:hAnsi="Times New Roman" w:eastAsia="宋体" w:cs="Times New Roman"/>
                      <w:color w:val="auto"/>
                      <w:lang w:eastAsia="zh-CN"/>
                    </w:rPr>
                  </w:pPr>
                  <w:r>
                    <w:rPr>
                      <w:rFonts w:hint="eastAsia" w:ascii="Times New Roman" w:cs="Times New Roman"/>
                      <w:color w:val="auto"/>
                      <w:lang w:eastAsia="zh-CN"/>
                    </w:rPr>
                    <w:t>(</w:t>
                  </w:r>
                  <w:r>
                    <w:rPr>
                      <w:rFonts w:hint="eastAsia" w:ascii="Times New Roman" w:hAnsi="Times New Roman" w:eastAsia="宋体" w:cs="Times New Roman"/>
                      <w:color w:val="auto"/>
                      <w:lang w:val="en-US" w:eastAsia="zh-CN"/>
                    </w:rPr>
                    <w:t>mg/m³</w:t>
                  </w:r>
                  <w:r>
                    <w:rPr>
                      <w:rFonts w:hint="eastAsia" w:ascii="Times New Roman" w:cs="Times New Roman"/>
                      <w:color w:val="auto"/>
                      <w:lang w:val="en-US" w:eastAsia="zh-CN"/>
                    </w:rPr>
                    <w:t>)</w:t>
                  </w:r>
                </w:p>
              </w:tc>
              <w:tc>
                <w:tcPr>
                  <w:tcW w:w="2280" w:type="dxa"/>
                  <w:tcBorders>
                    <w:tl2br w:val="nil"/>
                    <w:tr2bl w:val="nil"/>
                  </w:tcBorders>
                  <w:noWrap w:val="0"/>
                  <w:vAlign w:val="center"/>
                </w:tcPr>
                <w:p w14:paraId="2A4B2C6C">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24h平均第95百分位数</w:t>
                  </w:r>
                </w:p>
              </w:tc>
              <w:tc>
                <w:tcPr>
                  <w:tcW w:w="1072" w:type="dxa"/>
                  <w:tcBorders>
                    <w:tl2br w:val="nil"/>
                    <w:tr2bl w:val="nil"/>
                  </w:tcBorders>
                  <w:noWrap w:val="0"/>
                  <w:vAlign w:val="center"/>
                </w:tcPr>
                <w:p w14:paraId="7AF87E04">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2.3</w:t>
                  </w:r>
                </w:p>
              </w:tc>
              <w:tc>
                <w:tcPr>
                  <w:tcW w:w="1678" w:type="dxa"/>
                  <w:tcBorders>
                    <w:tl2br w:val="nil"/>
                    <w:tr2bl w:val="nil"/>
                  </w:tcBorders>
                  <w:noWrap w:val="0"/>
                  <w:vAlign w:val="center"/>
                </w:tcPr>
                <w:p w14:paraId="6848FFDB">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4</w:t>
                  </w:r>
                </w:p>
              </w:tc>
              <w:tc>
                <w:tcPr>
                  <w:tcW w:w="688" w:type="dxa"/>
                  <w:tcBorders>
                    <w:tl2br w:val="nil"/>
                    <w:tr2bl w:val="nil"/>
                  </w:tcBorders>
                  <w:noWrap w:val="0"/>
                  <w:vAlign w:val="center"/>
                </w:tcPr>
                <w:p w14:paraId="46351B5F">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57.5</w:t>
                  </w:r>
                </w:p>
              </w:tc>
              <w:tc>
                <w:tcPr>
                  <w:tcW w:w="854" w:type="dxa"/>
                  <w:tcBorders>
                    <w:tl2br w:val="nil"/>
                    <w:tr2bl w:val="nil"/>
                  </w:tcBorders>
                  <w:noWrap w:val="0"/>
                  <w:vAlign w:val="center"/>
                </w:tcPr>
                <w:p w14:paraId="73B90914">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达标</w:t>
                  </w:r>
                </w:p>
              </w:tc>
            </w:tr>
            <w:tr w14:paraId="4600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l2br w:val="nil"/>
                    <w:tr2bl w:val="nil"/>
                  </w:tcBorders>
                  <w:noWrap w:val="0"/>
                  <w:vAlign w:val="center"/>
                </w:tcPr>
                <w:p w14:paraId="37B8634F">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p>
              </w:tc>
              <w:tc>
                <w:tcPr>
                  <w:tcW w:w="2280" w:type="dxa"/>
                  <w:tcBorders>
                    <w:tl2br w:val="nil"/>
                    <w:tr2bl w:val="nil"/>
                  </w:tcBorders>
                  <w:noWrap w:val="0"/>
                  <w:vAlign w:val="center"/>
                </w:tcPr>
                <w:p w14:paraId="61027451">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最大8小时滑动平均值的第90百分位数</w:t>
                  </w:r>
                </w:p>
              </w:tc>
              <w:tc>
                <w:tcPr>
                  <w:tcW w:w="1072" w:type="dxa"/>
                  <w:tcBorders>
                    <w:tl2br w:val="nil"/>
                    <w:tr2bl w:val="nil"/>
                  </w:tcBorders>
                  <w:noWrap w:val="0"/>
                  <w:vAlign w:val="center"/>
                </w:tcPr>
                <w:p w14:paraId="1564510E">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113</w:t>
                  </w:r>
                </w:p>
              </w:tc>
              <w:tc>
                <w:tcPr>
                  <w:tcW w:w="1678" w:type="dxa"/>
                  <w:tcBorders>
                    <w:tl2br w:val="nil"/>
                    <w:tr2bl w:val="nil"/>
                  </w:tcBorders>
                  <w:noWrap w:val="0"/>
                  <w:vAlign w:val="center"/>
                </w:tcPr>
                <w:p w14:paraId="4B66A29E">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160</w:t>
                  </w:r>
                </w:p>
              </w:tc>
              <w:tc>
                <w:tcPr>
                  <w:tcW w:w="688" w:type="dxa"/>
                  <w:tcBorders>
                    <w:tl2br w:val="nil"/>
                    <w:tr2bl w:val="nil"/>
                  </w:tcBorders>
                  <w:noWrap w:val="0"/>
                  <w:vAlign w:val="center"/>
                </w:tcPr>
                <w:p w14:paraId="2E536F3B">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70.6</w:t>
                  </w:r>
                </w:p>
              </w:tc>
              <w:tc>
                <w:tcPr>
                  <w:tcW w:w="854" w:type="dxa"/>
                  <w:tcBorders>
                    <w:tl2br w:val="nil"/>
                    <w:tr2bl w:val="nil"/>
                  </w:tcBorders>
                  <w:noWrap w:val="0"/>
                  <w:vAlign w:val="center"/>
                </w:tcPr>
                <w:p w14:paraId="158742CE">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达标</w:t>
                  </w:r>
                </w:p>
              </w:tc>
            </w:tr>
            <w:tr w14:paraId="3F6C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83" w:type="dxa"/>
                  <w:vMerge w:val="restart"/>
                  <w:tcBorders>
                    <w:tl2br w:val="nil"/>
                    <w:tr2bl w:val="nil"/>
                  </w:tcBorders>
                  <w:noWrap w:val="0"/>
                  <w:vAlign w:val="center"/>
                </w:tcPr>
                <w:p w14:paraId="6DCB1D10">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p>
              </w:tc>
              <w:tc>
                <w:tcPr>
                  <w:tcW w:w="2280" w:type="dxa"/>
                  <w:tcBorders>
                    <w:tl2br w:val="nil"/>
                    <w:tr2bl w:val="nil"/>
                  </w:tcBorders>
                  <w:noWrap w:val="0"/>
                  <w:vAlign w:val="center"/>
                </w:tcPr>
                <w:p w14:paraId="3E289BF0">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年平均</w:t>
                  </w:r>
                </w:p>
              </w:tc>
              <w:tc>
                <w:tcPr>
                  <w:tcW w:w="1072" w:type="dxa"/>
                  <w:tcBorders>
                    <w:tl2br w:val="nil"/>
                    <w:tr2bl w:val="nil"/>
                  </w:tcBorders>
                  <w:noWrap w:val="0"/>
                  <w:vAlign w:val="center"/>
                </w:tcPr>
                <w:p w14:paraId="3C01506F">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119</w:t>
                  </w:r>
                </w:p>
              </w:tc>
              <w:tc>
                <w:tcPr>
                  <w:tcW w:w="1678" w:type="dxa"/>
                  <w:tcBorders>
                    <w:tl2br w:val="nil"/>
                    <w:tr2bl w:val="nil"/>
                  </w:tcBorders>
                  <w:noWrap w:val="0"/>
                  <w:vAlign w:val="center"/>
                </w:tcPr>
                <w:p w14:paraId="70373122">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70</w:t>
                  </w:r>
                </w:p>
              </w:tc>
              <w:tc>
                <w:tcPr>
                  <w:tcW w:w="688" w:type="dxa"/>
                  <w:tcBorders>
                    <w:tl2br w:val="nil"/>
                    <w:tr2bl w:val="nil"/>
                  </w:tcBorders>
                  <w:noWrap w:val="0"/>
                  <w:vAlign w:val="center"/>
                </w:tcPr>
                <w:p w14:paraId="029BC25E">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170</w:t>
                  </w:r>
                </w:p>
              </w:tc>
              <w:tc>
                <w:tcPr>
                  <w:tcW w:w="854" w:type="dxa"/>
                  <w:tcBorders>
                    <w:tl2br w:val="nil"/>
                    <w:tr2bl w:val="nil"/>
                  </w:tcBorders>
                  <w:noWrap w:val="0"/>
                  <w:vAlign w:val="center"/>
                </w:tcPr>
                <w:p w14:paraId="52F4886C">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不达标</w:t>
                  </w:r>
                </w:p>
              </w:tc>
            </w:tr>
            <w:tr w14:paraId="6CD2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continue"/>
                  <w:tcBorders>
                    <w:tl2br w:val="nil"/>
                    <w:tr2bl w:val="nil"/>
                  </w:tcBorders>
                  <w:noWrap w:val="0"/>
                  <w:vAlign w:val="center"/>
                </w:tcPr>
                <w:p w14:paraId="712E167D">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p>
              </w:tc>
              <w:tc>
                <w:tcPr>
                  <w:tcW w:w="2280" w:type="dxa"/>
                  <w:tcBorders>
                    <w:tl2br w:val="nil"/>
                    <w:tr2bl w:val="nil"/>
                  </w:tcBorders>
                  <w:noWrap w:val="0"/>
                  <w:vAlign w:val="center"/>
                </w:tcPr>
                <w:p w14:paraId="7E17FEE6">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24h平均第95百分位数</w:t>
                  </w:r>
                </w:p>
              </w:tc>
              <w:tc>
                <w:tcPr>
                  <w:tcW w:w="1072" w:type="dxa"/>
                  <w:tcBorders>
                    <w:tl2br w:val="nil"/>
                    <w:tr2bl w:val="nil"/>
                  </w:tcBorders>
                  <w:noWrap w:val="0"/>
                  <w:vAlign w:val="center"/>
                </w:tcPr>
                <w:p w14:paraId="4F102DC1">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309</w:t>
                  </w:r>
                </w:p>
              </w:tc>
              <w:tc>
                <w:tcPr>
                  <w:tcW w:w="1678" w:type="dxa"/>
                  <w:tcBorders>
                    <w:tl2br w:val="nil"/>
                    <w:tr2bl w:val="nil"/>
                  </w:tcBorders>
                  <w:noWrap w:val="0"/>
                  <w:vAlign w:val="center"/>
                </w:tcPr>
                <w:p w14:paraId="30EE9E9F">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150</w:t>
                  </w:r>
                </w:p>
              </w:tc>
              <w:tc>
                <w:tcPr>
                  <w:tcW w:w="688" w:type="dxa"/>
                  <w:tcBorders>
                    <w:tl2br w:val="nil"/>
                    <w:tr2bl w:val="nil"/>
                  </w:tcBorders>
                  <w:noWrap w:val="0"/>
                  <w:vAlign w:val="center"/>
                </w:tcPr>
                <w:p w14:paraId="4D173CAB">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206</w:t>
                  </w:r>
                </w:p>
              </w:tc>
              <w:tc>
                <w:tcPr>
                  <w:tcW w:w="854" w:type="dxa"/>
                  <w:tcBorders>
                    <w:tl2br w:val="nil"/>
                    <w:tr2bl w:val="nil"/>
                  </w:tcBorders>
                  <w:noWrap w:val="0"/>
                  <w:vAlign w:val="center"/>
                </w:tcPr>
                <w:p w14:paraId="32E5922F">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不达标</w:t>
                  </w:r>
                </w:p>
              </w:tc>
            </w:tr>
            <w:tr w14:paraId="3307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restart"/>
                  <w:tcBorders>
                    <w:tl2br w:val="nil"/>
                    <w:tr2bl w:val="nil"/>
                  </w:tcBorders>
                  <w:noWrap w:val="0"/>
                  <w:vAlign w:val="center"/>
                </w:tcPr>
                <w:p w14:paraId="168D9702">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p>
              </w:tc>
              <w:tc>
                <w:tcPr>
                  <w:tcW w:w="2280" w:type="dxa"/>
                  <w:tcBorders>
                    <w:tl2br w:val="nil"/>
                    <w:tr2bl w:val="nil"/>
                  </w:tcBorders>
                  <w:noWrap w:val="0"/>
                  <w:vAlign w:val="center"/>
                </w:tcPr>
                <w:p w14:paraId="49895FE2">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年平均</w:t>
                  </w:r>
                </w:p>
              </w:tc>
              <w:tc>
                <w:tcPr>
                  <w:tcW w:w="1072" w:type="dxa"/>
                  <w:tcBorders>
                    <w:tl2br w:val="nil"/>
                    <w:tr2bl w:val="nil"/>
                  </w:tcBorders>
                  <w:noWrap w:val="0"/>
                  <w:vAlign w:val="center"/>
                </w:tcPr>
                <w:p w14:paraId="0A4DB43A">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30</w:t>
                  </w:r>
                </w:p>
              </w:tc>
              <w:tc>
                <w:tcPr>
                  <w:tcW w:w="1678" w:type="dxa"/>
                  <w:tcBorders>
                    <w:tl2br w:val="nil"/>
                    <w:tr2bl w:val="nil"/>
                  </w:tcBorders>
                  <w:noWrap w:val="0"/>
                  <w:vAlign w:val="center"/>
                </w:tcPr>
                <w:p w14:paraId="5DB40FE7">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35</w:t>
                  </w:r>
                </w:p>
              </w:tc>
              <w:tc>
                <w:tcPr>
                  <w:tcW w:w="688" w:type="dxa"/>
                  <w:tcBorders>
                    <w:tl2br w:val="nil"/>
                    <w:tr2bl w:val="nil"/>
                  </w:tcBorders>
                  <w:noWrap w:val="0"/>
                  <w:vAlign w:val="center"/>
                </w:tcPr>
                <w:p w14:paraId="3D682CB6">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85.7</w:t>
                  </w:r>
                </w:p>
              </w:tc>
              <w:tc>
                <w:tcPr>
                  <w:tcW w:w="854" w:type="dxa"/>
                  <w:tcBorders>
                    <w:tl2br w:val="nil"/>
                    <w:tr2bl w:val="nil"/>
                  </w:tcBorders>
                  <w:noWrap w:val="0"/>
                  <w:vAlign w:val="center"/>
                </w:tcPr>
                <w:p w14:paraId="51D9A1F8">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达标</w:t>
                  </w:r>
                </w:p>
              </w:tc>
            </w:tr>
            <w:tr w14:paraId="01BC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continue"/>
                  <w:tcBorders>
                    <w:tl2br w:val="nil"/>
                    <w:tr2bl w:val="nil"/>
                  </w:tcBorders>
                  <w:noWrap w:val="0"/>
                  <w:vAlign w:val="center"/>
                </w:tcPr>
                <w:p w14:paraId="7861F037">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rPr>
                  </w:pPr>
                </w:p>
              </w:tc>
              <w:tc>
                <w:tcPr>
                  <w:tcW w:w="2280" w:type="dxa"/>
                  <w:tcBorders>
                    <w:tl2br w:val="nil"/>
                    <w:tr2bl w:val="nil"/>
                  </w:tcBorders>
                  <w:noWrap w:val="0"/>
                  <w:vAlign w:val="center"/>
                </w:tcPr>
                <w:p w14:paraId="554C1BB0">
                  <w:pPr>
                    <w:pStyle w:val="51"/>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24h平均第95百分位数</w:t>
                  </w:r>
                </w:p>
              </w:tc>
              <w:tc>
                <w:tcPr>
                  <w:tcW w:w="1072" w:type="dxa"/>
                  <w:tcBorders>
                    <w:tl2br w:val="nil"/>
                    <w:tr2bl w:val="nil"/>
                  </w:tcBorders>
                  <w:noWrap w:val="0"/>
                  <w:vAlign w:val="center"/>
                </w:tcPr>
                <w:p w14:paraId="530A56E3">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85</w:t>
                  </w:r>
                </w:p>
              </w:tc>
              <w:tc>
                <w:tcPr>
                  <w:tcW w:w="1678" w:type="dxa"/>
                  <w:tcBorders>
                    <w:tl2br w:val="nil"/>
                    <w:tr2bl w:val="nil"/>
                  </w:tcBorders>
                  <w:noWrap w:val="0"/>
                  <w:vAlign w:val="center"/>
                </w:tcPr>
                <w:p w14:paraId="5A9E5226">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75</w:t>
                  </w:r>
                </w:p>
              </w:tc>
              <w:tc>
                <w:tcPr>
                  <w:tcW w:w="688" w:type="dxa"/>
                  <w:tcBorders>
                    <w:tl2br w:val="nil"/>
                    <w:tr2bl w:val="nil"/>
                  </w:tcBorders>
                  <w:noWrap w:val="0"/>
                  <w:vAlign w:val="center"/>
                </w:tcPr>
                <w:p w14:paraId="7234DFA8">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113.3</w:t>
                  </w:r>
                </w:p>
              </w:tc>
              <w:tc>
                <w:tcPr>
                  <w:tcW w:w="854" w:type="dxa"/>
                  <w:tcBorders>
                    <w:tl2br w:val="nil"/>
                    <w:tr2bl w:val="nil"/>
                  </w:tcBorders>
                  <w:noWrap w:val="0"/>
                  <w:vAlign w:val="center"/>
                </w:tcPr>
                <w:p w14:paraId="7CBB0527">
                  <w:pPr>
                    <w:pStyle w:val="4"/>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0"/>
                      <w:lang w:val="en-US" w:eastAsia="zh-CN" w:bidi="ar-SA"/>
                    </w:rPr>
                  </w:pPr>
                  <w:r>
                    <w:rPr>
                      <w:rFonts w:hint="default" w:ascii="Times New Roman" w:hAnsi="Times New Roman" w:eastAsia="宋体" w:cs="Times New Roman"/>
                      <w:b w:val="0"/>
                      <w:bCs w:val="0"/>
                      <w:color w:val="auto"/>
                      <w:kern w:val="0"/>
                      <w:sz w:val="21"/>
                      <w:szCs w:val="20"/>
                      <w:lang w:val="en-US" w:eastAsia="zh-CN" w:bidi="ar-SA"/>
                    </w:rPr>
                    <w:t>不达标</w:t>
                  </w:r>
                </w:p>
              </w:tc>
            </w:tr>
          </w:tbl>
          <w:p w14:paraId="149E1B88">
            <w:pPr>
              <w:pStyle w:val="2"/>
              <w:keepNext/>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jc w:val="left"/>
              <w:textAlignment w:val="auto"/>
              <w:rPr>
                <w:rFonts w:hint="default" w:eastAsia="宋体"/>
                <w:b w:val="0"/>
                <w:bCs w:val="0"/>
                <w:color w:val="auto"/>
                <w:sz w:val="24"/>
                <w:szCs w:val="24"/>
              </w:rPr>
            </w:pPr>
            <w:r>
              <w:rPr>
                <w:rFonts w:hint="default" w:ascii="Times New Roman" w:hAnsi="Times New Roman" w:eastAsia="宋体" w:cs="Times New Roman"/>
                <w:b w:val="0"/>
                <w:bCs w:val="0"/>
                <w:color w:val="auto"/>
                <w:sz w:val="24"/>
                <w:szCs w:val="24"/>
                <w:highlight w:val="none"/>
              </w:rPr>
              <w:t>上表分析结果可知，区域</w:t>
            </w:r>
            <w:r>
              <w:rPr>
                <w:rFonts w:hint="default" w:ascii="Times New Roman" w:hAnsi="Times New Roman" w:eastAsia="宋体" w:cs="Times New Roman"/>
                <w:b w:val="0"/>
                <w:bCs w:val="0"/>
                <w:color w:val="auto"/>
                <w:sz w:val="24"/>
                <w:szCs w:val="24"/>
                <w:highlight w:val="none"/>
                <w:lang w:val="en-US" w:eastAsia="zh-CN"/>
              </w:rPr>
              <w:t>PM</w:t>
            </w:r>
            <w:r>
              <w:rPr>
                <w:rFonts w:hint="default" w:ascii="Times New Roman" w:hAnsi="Times New Roman" w:eastAsia="宋体" w:cs="Times New Roman"/>
                <w:b w:val="0"/>
                <w:bCs w:val="0"/>
                <w:color w:val="auto"/>
                <w:sz w:val="24"/>
                <w:szCs w:val="24"/>
                <w:highlight w:val="none"/>
                <w:vertAlign w:val="subscript"/>
                <w:lang w:val="en-US" w:eastAsia="zh-CN"/>
              </w:rPr>
              <w:t>10</w:t>
            </w:r>
            <w:r>
              <w:rPr>
                <w:rFonts w:hint="default" w:ascii="Times New Roman" w:hAnsi="Times New Roman" w:eastAsia="宋体" w:cs="Times New Roman"/>
                <w:b w:val="0"/>
                <w:bCs w:val="0"/>
                <w:color w:val="auto"/>
                <w:sz w:val="24"/>
                <w:szCs w:val="24"/>
                <w:highlight w:val="none"/>
                <w:lang w:val="en-US" w:eastAsia="zh-CN"/>
              </w:rPr>
              <w:t>年均值浓度</w:t>
            </w:r>
            <w:r>
              <w:rPr>
                <w:rFonts w:hint="eastAsia" w:eastAsia="宋体" w:cs="Times New Roman"/>
                <w:b w:val="0"/>
                <w:bCs w:val="0"/>
                <w:color w:val="auto"/>
                <w:sz w:val="24"/>
                <w:szCs w:val="24"/>
                <w:highlight w:val="none"/>
                <w:lang w:val="en-US" w:eastAsia="zh-CN"/>
              </w:rPr>
              <w:t>、24h平均第95百分位数浓度及PM</w:t>
            </w:r>
            <w:r>
              <w:rPr>
                <w:rFonts w:hint="eastAsia" w:eastAsia="宋体" w:cs="Times New Roman"/>
                <w:b w:val="0"/>
                <w:bCs w:val="0"/>
                <w:color w:val="auto"/>
                <w:sz w:val="24"/>
                <w:szCs w:val="24"/>
                <w:highlight w:val="none"/>
                <w:vertAlign w:val="subscript"/>
                <w:lang w:val="en-US" w:eastAsia="zh-CN"/>
              </w:rPr>
              <w:t>2.5</w:t>
            </w:r>
            <w:r>
              <w:rPr>
                <w:rFonts w:hint="eastAsia" w:eastAsia="宋体" w:cs="Times New Roman"/>
                <w:b w:val="0"/>
                <w:bCs w:val="0"/>
                <w:color w:val="auto"/>
                <w:sz w:val="24"/>
                <w:szCs w:val="24"/>
                <w:highlight w:val="none"/>
                <w:lang w:val="en-US" w:eastAsia="zh-CN"/>
              </w:rPr>
              <w:t>24h平均第95百分位数浓度</w:t>
            </w:r>
            <w:r>
              <w:rPr>
                <w:rFonts w:hint="default" w:ascii="Times New Roman" w:hAnsi="Times New Roman" w:eastAsia="宋体" w:cs="Times New Roman"/>
                <w:b w:val="0"/>
                <w:bCs w:val="0"/>
                <w:color w:val="auto"/>
                <w:sz w:val="24"/>
                <w:szCs w:val="24"/>
                <w:highlight w:val="none"/>
                <w:lang w:val="en-US" w:eastAsia="zh-CN"/>
              </w:rPr>
              <w:t>超过《环境空气质量标准（GB3095-2012）》》二级标准，SO</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lang w:val="en-US" w:eastAsia="zh-CN"/>
              </w:rPr>
              <w:t>、NO</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lang w:val="en-US" w:eastAsia="zh-CN"/>
              </w:rPr>
              <w:t>、CO、O</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等其他监测指标均满足二级标准</w:t>
            </w:r>
            <w:r>
              <w:rPr>
                <w:rFonts w:hint="default" w:ascii="Times New Roman" w:hAnsi="Times New Roman" w:eastAsia="宋体" w:cs="Times New Roman"/>
                <w:b w:val="0"/>
                <w:bCs w:val="0"/>
                <w:color w:val="auto"/>
                <w:sz w:val="24"/>
                <w:szCs w:val="24"/>
                <w:highlight w:val="none"/>
              </w:rPr>
              <w:t>，区域为不达标区域。导致PM</w:t>
            </w:r>
            <w:r>
              <w:rPr>
                <w:rFonts w:hint="default" w:ascii="Times New Roman" w:hAnsi="Times New Roman" w:eastAsia="宋体" w:cs="Times New Roman"/>
                <w:b w:val="0"/>
                <w:bCs w:val="0"/>
                <w:color w:val="auto"/>
                <w:sz w:val="24"/>
                <w:szCs w:val="24"/>
                <w:highlight w:val="none"/>
                <w:vertAlign w:val="subscript"/>
              </w:rPr>
              <w:t>10</w:t>
            </w:r>
            <w:r>
              <w:rPr>
                <w:rFonts w:hint="default" w:ascii="Times New Roman" w:hAnsi="Times New Roman" w:eastAsia="宋体" w:cs="Times New Roman"/>
                <w:b w:val="0"/>
                <w:bCs w:val="0"/>
                <w:color w:val="auto"/>
                <w:sz w:val="24"/>
                <w:szCs w:val="24"/>
                <w:highlight w:val="none"/>
              </w:rPr>
              <w:t>与PM</w:t>
            </w:r>
            <w:r>
              <w:rPr>
                <w:rFonts w:hint="default" w:ascii="Times New Roman" w:hAnsi="Times New Roman" w:eastAsia="宋体" w:cs="Times New Roman"/>
                <w:b w:val="0"/>
                <w:bCs w:val="0"/>
                <w:color w:val="auto"/>
                <w:sz w:val="24"/>
                <w:szCs w:val="24"/>
                <w:highlight w:val="none"/>
                <w:vertAlign w:val="subscript"/>
              </w:rPr>
              <w:t>2.5</w:t>
            </w:r>
            <w:r>
              <w:rPr>
                <w:rFonts w:hint="default" w:ascii="Times New Roman" w:hAnsi="Times New Roman" w:eastAsia="宋体" w:cs="Times New Roman"/>
                <w:b w:val="0"/>
                <w:bCs w:val="0"/>
                <w:color w:val="auto"/>
                <w:sz w:val="24"/>
                <w:szCs w:val="24"/>
                <w:highlight w:val="none"/>
              </w:rPr>
              <w:t>超标的主要原因是项目</w:t>
            </w:r>
            <w:r>
              <w:rPr>
                <w:rFonts w:hint="eastAsia" w:ascii="宋体" w:hAnsi="宋体" w:eastAsia="宋体" w:cs="宋体"/>
                <w:b w:val="0"/>
                <w:bCs w:val="0"/>
                <w:color w:val="auto"/>
                <w:sz w:val="24"/>
                <w:szCs w:val="24"/>
                <w:highlight w:val="none"/>
              </w:rPr>
              <w:t>区域地处</w:t>
            </w:r>
            <w:r>
              <w:rPr>
                <w:rFonts w:hint="default" w:ascii="Times New Roman" w:hAnsi="Times New Roman" w:eastAsia="宋体" w:cs="Times New Roman"/>
                <w:b w:val="0"/>
                <w:bCs w:val="0"/>
                <w:color w:val="auto"/>
                <w:sz w:val="24"/>
                <w:szCs w:val="24"/>
                <w:highlight w:val="none"/>
              </w:rPr>
              <w:t>干旱沙漠边缘有关，受自然因素的影响比较明显。</w:t>
            </w:r>
          </w:p>
          <w:p w14:paraId="409D7891">
            <w:pPr>
              <w:pStyle w:val="2"/>
              <w:keepLines w:val="0"/>
              <w:suppressLineNumbers w:val="0"/>
              <w:overflowPunct/>
              <w:spacing w:before="0" w:beforeAutospacing="0" w:after="0" w:afterAutospacing="0" w:line="480" w:lineRule="exact"/>
              <w:ind w:left="0" w:right="0" w:firstLine="482" w:firstLineChars="200"/>
              <w:jc w:val="left"/>
              <w:outlineLvl w:val="0"/>
              <w:rPr>
                <w:rFonts w:hint="default" w:eastAsia="宋体"/>
                <w:color w:val="auto"/>
                <w:sz w:val="24"/>
                <w:szCs w:val="24"/>
              </w:rPr>
            </w:pPr>
            <w:r>
              <w:rPr>
                <w:rFonts w:hint="eastAsia" w:eastAsia="宋体"/>
                <w:color w:val="auto"/>
                <w:sz w:val="24"/>
                <w:szCs w:val="24"/>
              </w:rPr>
              <w:t>2.2</w:t>
            </w:r>
            <w:bookmarkStart w:id="5" w:name="特征污染物"/>
            <w:r>
              <w:rPr>
                <w:rFonts w:hint="eastAsia" w:eastAsia="宋体"/>
                <w:color w:val="auto"/>
                <w:sz w:val="24"/>
                <w:szCs w:val="24"/>
              </w:rPr>
              <w:t>特征污染物</w:t>
            </w:r>
            <w:bookmarkEnd w:id="5"/>
          </w:p>
          <w:p w14:paraId="60B045B1">
            <w:pPr>
              <w:pStyle w:val="30"/>
              <w:keepNext w:val="0"/>
              <w:keepLines w:val="0"/>
              <w:pageBreakBefore w:val="0"/>
              <w:widowControl w:val="0"/>
              <w:suppressLineNumbers w:val="0"/>
              <w:kinsoku/>
              <w:wordWrap/>
              <w:overflowPunct/>
              <w:topLinePunct w:val="0"/>
              <w:bidi w:val="0"/>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本项目特征污染物为颗粒物，本次评价委托</w:t>
            </w:r>
            <w:r>
              <w:rPr>
                <w:rFonts w:hint="eastAsia" w:ascii="Times New Roman" w:hAnsi="Times New Roman" w:eastAsia="宋体" w:cs="Times New Roman"/>
                <w:b w:val="0"/>
                <w:bCs/>
                <w:color w:val="auto"/>
              </w:rPr>
              <w:t>新疆广宇众联环境监测有限公司对特征污染物总悬浮颗粒物（TSP）现状进行监测。</w:t>
            </w:r>
          </w:p>
          <w:p w14:paraId="0B6E318A">
            <w:pPr>
              <w:pStyle w:val="30"/>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监测点位、监测因子</w:t>
            </w:r>
          </w:p>
          <w:p w14:paraId="655D9944">
            <w:pPr>
              <w:pStyle w:val="30"/>
              <w:keepNext w:val="0"/>
              <w:keepLines w:val="0"/>
              <w:pageBreakBefore w:val="0"/>
              <w:widowControl w:val="0"/>
              <w:suppressLineNumbers w:val="0"/>
              <w:kinsoku/>
              <w:wordWrap/>
              <w:overflowPunct/>
              <w:topLinePunct w:val="0"/>
              <w:bidi w:val="0"/>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监测点位位于本</w:t>
            </w:r>
            <w:r>
              <w:rPr>
                <w:rFonts w:hint="eastAsia" w:ascii="Times New Roman" w:cs="Times New Roman"/>
                <w:b w:val="0"/>
                <w:bCs/>
                <w:color w:val="auto"/>
                <w:sz w:val="24"/>
                <w:lang w:eastAsia="zh-CN"/>
              </w:rPr>
              <w:t>项目区</w:t>
            </w:r>
            <w:r>
              <w:rPr>
                <w:rFonts w:hint="eastAsia" w:ascii="Times New Roman" w:hAnsi="Times New Roman" w:eastAsia="宋体" w:cs="Times New Roman"/>
                <w:b w:val="0"/>
                <w:bCs/>
                <w:color w:val="auto"/>
                <w:sz w:val="24"/>
                <w:lang w:val="en-US" w:eastAsia="zh-CN"/>
              </w:rPr>
              <w:t>东南侧</w:t>
            </w:r>
            <w:r>
              <w:rPr>
                <w:rFonts w:hint="default" w:ascii="Times New Roman" w:hAnsi="Times New Roman" w:eastAsia="宋体" w:cs="Times New Roman"/>
                <w:b w:val="0"/>
                <w:bCs/>
                <w:color w:val="auto"/>
                <w:sz w:val="24"/>
              </w:rPr>
              <w:t>。</w:t>
            </w:r>
          </w:p>
          <w:p w14:paraId="7A932063">
            <w:pPr>
              <w:pStyle w:val="30"/>
              <w:keepNext w:val="0"/>
              <w:keepLines w:val="0"/>
              <w:pageBreakBefore w:val="0"/>
              <w:widowControl w:val="0"/>
              <w:suppressLineNumbers w:val="0"/>
              <w:kinsoku/>
              <w:wordWrap/>
              <w:overflowPunct/>
              <w:topLinePunct w:val="0"/>
              <w:bidi w:val="0"/>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监测点位详见附图</w:t>
            </w:r>
            <w:r>
              <w:rPr>
                <w:rFonts w:hint="eastAsia" w:ascii="Times New Roman" w:cs="Times New Roman"/>
                <w:b w:val="0"/>
                <w:bCs/>
                <w:color w:val="auto"/>
                <w:sz w:val="24"/>
                <w:lang w:val="en-US" w:eastAsia="zh-CN"/>
              </w:rPr>
              <w:t>9</w:t>
            </w:r>
            <w:r>
              <w:rPr>
                <w:rFonts w:hint="default" w:ascii="Times New Roman" w:hAnsi="Times New Roman" w:eastAsia="宋体" w:cs="Times New Roman"/>
                <w:b w:val="0"/>
                <w:bCs/>
                <w:color w:val="auto"/>
                <w:sz w:val="24"/>
              </w:rPr>
              <w:t>。</w:t>
            </w:r>
          </w:p>
          <w:p w14:paraId="0B4E9760">
            <w:pPr>
              <w:pStyle w:val="30"/>
              <w:keepNext w:val="0"/>
              <w:keepLines w:val="0"/>
              <w:suppressLineNumbers w:val="0"/>
              <w:spacing w:before="0" w:beforeAutospacing="0" w:after="0" w:afterAutospacing="0" w:line="520" w:lineRule="exact"/>
              <w:ind w:left="0" w:right="0"/>
              <w:rPr>
                <w:rFonts w:hint="default" w:ascii="Times New Roman" w:cs="Times New Roman"/>
                <w:bCs/>
              </w:rPr>
            </w:pPr>
            <w:r>
              <w:rPr>
                <w:rFonts w:hint="default" w:ascii="Times New Roman" w:cs="Times New Roman"/>
                <w:bCs/>
              </w:rPr>
              <w:t>表</w:t>
            </w:r>
            <w:r>
              <w:rPr>
                <w:rFonts w:hint="eastAsia" w:ascii="Times New Roman" w:cs="Times New Roman"/>
                <w:bCs/>
              </w:rPr>
              <w:t>3-6</w:t>
            </w:r>
            <w:r>
              <w:rPr>
                <w:rFonts w:hint="default" w:ascii="Times New Roman" w:cs="Times New Roman"/>
                <w:bCs/>
              </w:rPr>
              <w:t xml:space="preserve">   特征污染物补充监测点位基本信息</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2361"/>
              <w:gridCol w:w="2431"/>
              <w:gridCol w:w="1895"/>
            </w:tblGrid>
            <w:tr w14:paraId="448A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5" w:type="pct"/>
                  <w:vAlign w:val="center"/>
                </w:tcPr>
                <w:p w14:paraId="7C3302C8">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 w:val="21"/>
                      <w:szCs w:val="21"/>
                    </w:rPr>
                  </w:pPr>
                  <w:r>
                    <w:rPr>
                      <w:rFonts w:hint="default" w:ascii="Times New Roman" w:hAnsi="Times New Roman" w:eastAsia="宋体"/>
                      <w:kern w:val="0"/>
                      <w:sz w:val="21"/>
                      <w:szCs w:val="21"/>
                    </w:rPr>
                    <w:t>监测点位</w:t>
                  </w:r>
                </w:p>
              </w:tc>
              <w:tc>
                <w:tcPr>
                  <w:tcW w:w="2933" w:type="pct"/>
                  <w:gridSpan w:val="2"/>
                  <w:vAlign w:val="center"/>
                </w:tcPr>
                <w:p w14:paraId="06952DB4">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 w:val="21"/>
                      <w:szCs w:val="21"/>
                    </w:rPr>
                  </w:pPr>
                  <w:r>
                    <w:rPr>
                      <w:rFonts w:hint="default" w:ascii="Times New Roman" w:hAnsi="Times New Roman" w:eastAsia="宋体"/>
                      <w:kern w:val="0"/>
                      <w:sz w:val="21"/>
                      <w:szCs w:val="21"/>
                    </w:rPr>
                    <w:t>经纬度坐标</w:t>
                  </w:r>
                </w:p>
              </w:tc>
              <w:tc>
                <w:tcPr>
                  <w:tcW w:w="1160" w:type="pct"/>
                  <w:vAlign w:val="center"/>
                </w:tcPr>
                <w:p w14:paraId="62D66A52">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 w:val="21"/>
                      <w:szCs w:val="21"/>
                    </w:rPr>
                  </w:pPr>
                  <w:r>
                    <w:rPr>
                      <w:rFonts w:hint="default" w:ascii="Times New Roman" w:hAnsi="Times New Roman" w:eastAsia="宋体"/>
                      <w:kern w:val="0"/>
                      <w:sz w:val="21"/>
                      <w:szCs w:val="21"/>
                    </w:rPr>
                    <w:t>位置关系及距离</w:t>
                  </w:r>
                </w:p>
              </w:tc>
            </w:tr>
            <w:tr w14:paraId="6D93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05" w:type="pct"/>
                  <w:vAlign w:val="center"/>
                </w:tcPr>
                <w:p w14:paraId="1F10150F">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 w:val="21"/>
                      <w:szCs w:val="21"/>
                    </w:rPr>
                  </w:pPr>
                  <w:r>
                    <w:rPr>
                      <w:rFonts w:hint="default" w:ascii="Times New Roman" w:hAnsi="Times New Roman" w:eastAsia="宋体"/>
                      <w:kern w:val="0"/>
                      <w:sz w:val="21"/>
                      <w:szCs w:val="21"/>
                      <w:lang w:val="en-US" w:eastAsia="zh-CN"/>
                    </w:rPr>
                    <w:t>项目区东南侧</w:t>
                  </w:r>
                </w:p>
              </w:tc>
              <w:tc>
                <w:tcPr>
                  <w:tcW w:w="1445" w:type="pct"/>
                  <w:vAlign w:val="center"/>
                </w:tcPr>
                <w:p w14:paraId="7AF5E063">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 w:val="21"/>
                      <w:szCs w:val="21"/>
                    </w:rPr>
                  </w:pPr>
                  <w:r>
                    <w:rPr>
                      <w:rFonts w:hint="eastAsia" w:ascii="Times New Roman" w:hAnsi="Times New Roman" w:eastAsia="宋体"/>
                      <w:sz w:val="21"/>
                      <w:lang w:val="en-US" w:eastAsia="zh-CN"/>
                    </w:rPr>
                    <w:t>E:</w:t>
                  </w:r>
                  <w:r>
                    <w:rPr>
                      <w:rFonts w:hint="default" w:ascii="Times New Roman" w:hAnsi="Times New Roman" w:eastAsia="宋体"/>
                      <w:sz w:val="21"/>
                    </w:rPr>
                    <w:t>86°</w:t>
                  </w:r>
                  <w:r>
                    <w:rPr>
                      <w:rFonts w:hint="eastAsia" w:ascii="Times New Roman" w:hAnsi="Times New Roman" w:eastAsia="宋体"/>
                      <w:sz w:val="21"/>
                      <w:lang w:val="en-US" w:eastAsia="zh-CN"/>
                    </w:rPr>
                    <w:t>21</w:t>
                  </w:r>
                  <w:r>
                    <w:rPr>
                      <w:rFonts w:hint="default" w:ascii="Times New Roman" w:hAnsi="Times New Roman" w:eastAsia="宋体"/>
                      <w:sz w:val="21"/>
                    </w:rPr>
                    <w:t>′</w:t>
                  </w:r>
                  <w:r>
                    <w:rPr>
                      <w:rFonts w:hint="eastAsia" w:ascii="Times New Roman" w:hAnsi="Times New Roman" w:eastAsia="宋体"/>
                      <w:sz w:val="21"/>
                      <w:lang w:val="en-US" w:eastAsia="zh-CN"/>
                    </w:rPr>
                    <w:t>12.465</w:t>
                  </w:r>
                  <w:r>
                    <w:rPr>
                      <w:rFonts w:hint="default" w:ascii="Times New Roman" w:hAnsi="Times New Roman" w:eastAsia="宋体"/>
                      <w:sz w:val="21"/>
                    </w:rPr>
                    <w:t>″</w:t>
                  </w:r>
                </w:p>
              </w:tc>
              <w:tc>
                <w:tcPr>
                  <w:tcW w:w="1488" w:type="pct"/>
                  <w:vAlign w:val="center"/>
                </w:tcPr>
                <w:p w14:paraId="2C8EC6E2">
                  <w:pPr>
                    <w:keepNext w:val="0"/>
                    <w:keepLines w:val="0"/>
                    <w:widowControl/>
                    <w:suppressLineNumbers w:val="0"/>
                    <w:spacing w:before="0" w:beforeAutospacing="0" w:after="0" w:afterAutospacing="0"/>
                    <w:ind w:left="0" w:right="0"/>
                    <w:jc w:val="center"/>
                    <w:rPr>
                      <w:rFonts w:hint="default" w:ascii="Times New Roman" w:hAnsi="Times New Roman" w:eastAsia="宋体"/>
                      <w:kern w:val="0"/>
                      <w:sz w:val="21"/>
                      <w:szCs w:val="21"/>
                    </w:rPr>
                  </w:pPr>
                  <w:r>
                    <w:rPr>
                      <w:rFonts w:hint="eastAsia" w:ascii="Times New Roman" w:hAnsi="Times New Roman" w:eastAsia="宋体"/>
                      <w:sz w:val="21"/>
                      <w:lang w:val="en-US" w:eastAsia="zh-CN"/>
                    </w:rPr>
                    <w:t>N:</w:t>
                  </w:r>
                  <w:r>
                    <w:rPr>
                      <w:rFonts w:hint="default" w:ascii="Times New Roman" w:hAnsi="Times New Roman" w:eastAsia="宋体"/>
                      <w:sz w:val="21"/>
                    </w:rPr>
                    <w:t>42°2</w:t>
                  </w:r>
                  <w:r>
                    <w:rPr>
                      <w:rFonts w:hint="eastAsia" w:ascii="Times New Roman" w:hAnsi="Times New Roman" w:eastAsia="宋体"/>
                      <w:sz w:val="21"/>
                      <w:lang w:val="en-US" w:eastAsia="zh-CN"/>
                    </w:rPr>
                    <w:t>9</w:t>
                  </w:r>
                  <w:r>
                    <w:rPr>
                      <w:rFonts w:hint="default" w:ascii="Times New Roman" w:hAnsi="Times New Roman" w:eastAsia="宋体"/>
                      <w:sz w:val="21"/>
                    </w:rPr>
                    <w:t>′</w:t>
                  </w:r>
                  <w:r>
                    <w:rPr>
                      <w:rFonts w:hint="eastAsia" w:ascii="Times New Roman" w:hAnsi="Times New Roman" w:eastAsia="宋体"/>
                      <w:sz w:val="21"/>
                      <w:lang w:val="en-US" w:eastAsia="zh-CN"/>
                    </w:rPr>
                    <w:t>29.184</w:t>
                  </w:r>
                  <w:r>
                    <w:rPr>
                      <w:rFonts w:hint="default" w:ascii="Times New Roman" w:hAnsi="Times New Roman" w:eastAsia="宋体"/>
                      <w:sz w:val="21"/>
                    </w:rPr>
                    <w:t>″</w:t>
                  </w:r>
                </w:p>
              </w:tc>
              <w:tc>
                <w:tcPr>
                  <w:tcW w:w="1160" w:type="pct"/>
                  <w:vAlign w:val="center"/>
                </w:tcPr>
                <w:p w14:paraId="044F917B">
                  <w:pPr>
                    <w:keepNext w:val="0"/>
                    <w:keepLines w:val="0"/>
                    <w:widowControl/>
                    <w:suppressLineNumbers w:val="0"/>
                    <w:spacing w:before="0" w:beforeAutospacing="0" w:after="0" w:afterAutospacing="0"/>
                    <w:ind w:left="0" w:right="0"/>
                    <w:jc w:val="center"/>
                    <w:rPr>
                      <w:rFonts w:hint="eastAsia" w:ascii="Times New Roman" w:hAnsi="Times New Roman" w:eastAsia="宋体"/>
                      <w:kern w:val="0"/>
                      <w:sz w:val="21"/>
                      <w:szCs w:val="21"/>
                      <w:lang w:val="en-US" w:eastAsia="zh-CN"/>
                    </w:rPr>
                  </w:pPr>
                  <w:r>
                    <w:rPr>
                      <w:rStyle w:val="29"/>
                      <w:rFonts w:hint="default" w:ascii="Times New Roman" w:hAnsi="Times New Roman" w:eastAsia="宋体"/>
                      <w:kern w:val="0"/>
                      <w:sz w:val="21"/>
                      <w:szCs w:val="20"/>
                    </w:rPr>
                    <w:t>项目区东</w:t>
                  </w:r>
                  <w:r>
                    <w:rPr>
                      <w:rStyle w:val="29"/>
                      <w:rFonts w:hint="eastAsia" w:ascii="Times New Roman" w:hAnsi="Times New Roman" w:eastAsia="宋体"/>
                      <w:kern w:val="0"/>
                      <w:sz w:val="21"/>
                      <w:szCs w:val="20"/>
                    </w:rPr>
                    <w:t>南</w:t>
                  </w:r>
                  <w:r>
                    <w:rPr>
                      <w:rStyle w:val="29"/>
                      <w:rFonts w:hint="eastAsia" w:ascii="Times New Roman" w:hAnsi="Times New Roman" w:eastAsia="宋体"/>
                      <w:kern w:val="0"/>
                      <w:sz w:val="21"/>
                      <w:szCs w:val="20"/>
                      <w:lang w:val="en-US" w:eastAsia="zh-CN"/>
                    </w:rPr>
                    <w:t>侧</w:t>
                  </w:r>
                </w:p>
              </w:tc>
            </w:tr>
          </w:tbl>
          <w:p w14:paraId="1E183A9B">
            <w:pPr>
              <w:pStyle w:val="30"/>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采样及分析方法</w:t>
            </w:r>
          </w:p>
          <w:p w14:paraId="43673AFA">
            <w:pPr>
              <w:pStyle w:val="30"/>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b w:val="0"/>
                <w:bCs/>
                <w:color w:val="auto"/>
                <w:sz w:val="24"/>
                <w:lang w:eastAsia="zh-CN"/>
              </w:rPr>
            </w:pPr>
            <w:r>
              <w:rPr>
                <w:rFonts w:hint="eastAsia" w:ascii="Times New Roman" w:cs="Times New Roman"/>
                <w:b w:val="0"/>
                <w:bCs/>
                <w:color w:val="auto"/>
                <w:sz w:val="24"/>
                <w:lang w:val="en-US" w:eastAsia="zh-CN"/>
              </w:rPr>
              <w:t>采用</w:t>
            </w:r>
            <w:r>
              <w:rPr>
                <w:rFonts w:hint="default" w:ascii="Times New Roman" w:hAnsi="Times New Roman" w:eastAsia="宋体" w:cs="Times New Roman"/>
                <w:b w:val="0"/>
                <w:bCs/>
                <w:color w:val="auto"/>
                <w:sz w:val="24"/>
              </w:rPr>
              <w:t>《</w:t>
            </w:r>
            <w:r>
              <w:rPr>
                <w:rFonts w:hint="default" w:ascii="Times New Roman" w:hAnsi="Times New Roman" w:eastAsia="宋体" w:cs="Times New Roman"/>
                <w:b w:val="0"/>
                <w:bCs/>
                <w:color w:val="auto"/>
                <w:sz w:val="24"/>
                <w:lang w:val="en-US" w:eastAsia="zh-CN"/>
              </w:rPr>
              <w:t>环境空气总悬浮颗粒物的测定重量法</w:t>
            </w:r>
            <w:r>
              <w:rPr>
                <w:rFonts w:hint="default" w:ascii="Times New Roman" w:hAnsi="Times New Roman" w:eastAsia="宋体" w:cs="Times New Roman"/>
                <w:b w:val="0"/>
                <w:bCs/>
                <w:color w:val="auto"/>
                <w:sz w:val="24"/>
              </w:rPr>
              <w:t>》（</w:t>
            </w:r>
            <w:r>
              <w:rPr>
                <w:rFonts w:hint="default" w:ascii="Times New Roman" w:hAnsi="Times New Roman" w:eastAsia="宋体" w:cs="Times New Roman"/>
                <w:b w:val="0"/>
                <w:bCs/>
                <w:color w:val="auto"/>
                <w:sz w:val="24"/>
                <w:lang w:val="en-US" w:eastAsia="zh-CN"/>
              </w:rPr>
              <w:t>HJ 1263-2022</w:t>
            </w:r>
            <w:r>
              <w:rPr>
                <w:rFonts w:hint="default" w:ascii="Times New Roman" w:hAnsi="Times New Roman" w:eastAsia="宋体" w:cs="Times New Roman"/>
                <w:b w:val="0"/>
                <w:bCs/>
                <w:color w:val="auto"/>
                <w:sz w:val="24"/>
              </w:rPr>
              <w:t>）。</w:t>
            </w:r>
          </w:p>
          <w:p w14:paraId="1BB2D860">
            <w:pPr>
              <w:pStyle w:val="30"/>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eastAsia="zh-CN"/>
              </w:rPr>
              <w:t>监测时间及频率</w:t>
            </w:r>
          </w:p>
          <w:p w14:paraId="667504B1">
            <w:pPr>
              <w:pStyle w:val="3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eastAsia="zh-CN"/>
              </w:rPr>
              <w:t>监测频率：TSP连续监测</w:t>
            </w:r>
            <w:r>
              <w:rPr>
                <w:rFonts w:hint="eastAsia" w:ascii="Times New Roman" w:hAnsi="Times New Roman" w:eastAsia="宋体" w:cs="Times New Roman"/>
                <w:b w:val="0"/>
                <w:bCs/>
                <w:color w:val="auto"/>
                <w:sz w:val="24"/>
                <w:lang w:val="en-US" w:eastAsia="zh-CN"/>
              </w:rPr>
              <w:t>3</w:t>
            </w:r>
            <w:r>
              <w:rPr>
                <w:rFonts w:hint="eastAsia" w:ascii="Times New Roman" w:hAnsi="Times New Roman" w:eastAsia="宋体" w:cs="Times New Roman"/>
                <w:b w:val="0"/>
                <w:bCs/>
                <w:color w:val="auto"/>
                <w:sz w:val="24"/>
                <w:lang w:eastAsia="zh-CN"/>
              </w:rPr>
              <w:t>天，TSP24小时平均浓度，每天采样24小时。</w:t>
            </w:r>
          </w:p>
          <w:p w14:paraId="417C4DEE">
            <w:pPr>
              <w:pStyle w:val="3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b w:val="0"/>
                <w:bCs/>
                <w:color w:val="auto"/>
                <w:sz w:val="24"/>
                <w:lang w:val="de-DE" w:eastAsia="zh-CN"/>
              </w:rPr>
            </w:pPr>
            <w:r>
              <w:rPr>
                <w:rFonts w:hint="eastAsia" w:ascii="Times New Roman" w:hAnsi="Times New Roman" w:eastAsia="宋体" w:cs="Times New Roman"/>
                <w:b w:val="0"/>
                <w:bCs/>
                <w:color w:val="auto"/>
                <w:sz w:val="24"/>
                <w:lang w:val="de-DE" w:eastAsia="zh-CN"/>
              </w:rPr>
              <w:t>监测时间：202</w:t>
            </w:r>
            <w:r>
              <w:rPr>
                <w:rFonts w:hint="eastAsia" w:ascii="Times New Roman" w:hAnsi="Times New Roman" w:eastAsia="宋体" w:cs="Times New Roman"/>
                <w:b w:val="0"/>
                <w:bCs/>
                <w:color w:val="auto"/>
                <w:sz w:val="24"/>
                <w:lang w:val="en-US" w:eastAsia="zh-CN"/>
              </w:rPr>
              <w:t>4</w:t>
            </w:r>
            <w:r>
              <w:rPr>
                <w:rFonts w:hint="eastAsia" w:ascii="Times New Roman" w:hAnsi="Times New Roman" w:eastAsia="宋体" w:cs="Times New Roman"/>
                <w:b w:val="0"/>
                <w:bCs/>
                <w:color w:val="auto"/>
                <w:sz w:val="24"/>
                <w:lang w:eastAsia="zh-CN"/>
              </w:rPr>
              <w:t>年</w:t>
            </w:r>
            <w:r>
              <w:rPr>
                <w:rFonts w:hint="eastAsia" w:ascii="Times New Roman" w:hAnsi="Times New Roman" w:eastAsia="宋体" w:cs="Times New Roman"/>
                <w:b w:val="0"/>
                <w:bCs/>
                <w:color w:val="auto"/>
                <w:sz w:val="24"/>
                <w:lang w:val="en-US" w:eastAsia="zh-CN"/>
              </w:rPr>
              <w:t>10</w:t>
            </w:r>
            <w:r>
              <w:rPr>
                <w:rFonts w:hint="eastAsia" w:ascii="Times New Roman" w:hAnsi="Times New Roman" w:eastAsia="宋体" w:cs="Times New Roman"/>
                <w:b w:val="0"/>
                <w:bCs/>
                <w:color w:val="auto"/>
                <w:sz w:val="24"/>
                <w:lang w:eastAsia="zh-CN"/>
              </w:rPr>
              <w:t>月</w:t>
            </w:r>
            <w:r>
              <w:rPr>
                <w:rFonts w:hint="eastAsia" w:ascii="Times New Roman" w:hAnsi="Times New Roman" w:eastAsia="宋体" w:cs="Times New Roman"/>
                <w:b w:val="0"/>
                <w:bCs/>
                <w:color w:val="auto"/>
                <w:sz w:val="24"/>
                <w:lang w:val="de-DE" w:eastAsia="zh-CN"/>
              </w:rPr>
              <w:t>1</w:t>
            </w:r>
            <w:r>
              <w:rPr>
                <w:rFonts w:hint="eastAsia" w:ascii="Times New Roman" w:hAnsi="Times New Roman" w:eastAsia="宋体" w:cs="Times New Roman"/>
                <w:b w:val="0"/>
                <w:bCs/>
                <w:color w:val="auto"/>
                <w:sz w:val="24"/>
                <w:lang w:val="en-US" w:eastAsia="zh-CN"/>
              </w:rPr>
              <w:t>5</w:t>
            </w:r>
            <w:r>
              <w:rPr>
                <w:rFonts w:hint="eastAsia" w:ascii="Times New Roman" w:hAnsi="Times New Roman" w:eastAsia="宋体" w:cs="Times New Roman"/>
                <w:b w:val="0"/>
                <w:bCs/>
                <w:color w:val="auto"/>
                <w:sz w:val="24"/>
                <w:lang w:eastAsia="zh-CN"/>
              </w:rPr>
              <w:t>日</w:t>
            </w:r>
            <w:r>
              <w:rPr>
                <w:rFonts w:hint="eastAsia" w:ascii="Times New Roman"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10</w:t>
            </w:r>
            <w:r>
              <w:rPr>
                <w:rFonts w:hint="eastAsia" w:ascii="Times New Roman" w:hAnsi="Times New Roman" w:eastAsia="宋体" w:cs="Times New Roman"/>
                <w:b w:val="0"/>
                <w:bCs/>
                <w:color w:val="auto"/>
                <w:sz w:val="24"/>
                <w:lang w:eastAsia="zh-CN"/>
              </w:rPr>
              <w:t>月</w:t>
            </w:r>
            <w:r>
              <w:rPr>
                <w:rFonts w:hint="eastAsia" w:ascii="Times New Roman" w:hAnsi="Times New Roman" w:eastAsia="宋体" w:cs="Times New Roman"/>
                <w:b w:val="0"/>
                <w:bCs/>
                <w:color w:val="auto"/>
                <w:sz w:val="24"/>
                <w:lang w:val="de-DE" w:eastAsia="zh-CN"/>
              </w:rPr>
              <w:t>17</w:t>
            </w:r>
            <w:r>
              <w:rPr>
                <w:rFonts w:hint="eastAsia" w:ascii="Times New Roman" w:hAnsi="Times New Roman" w:eastAsia="宋体" w:cs="Times New Roman"/>
                <w:b w:val="0"/>
                <w:bCs/>
                <w:color w:val="auto"/>
                <w:sz w:val="24"/>
                <w:lang w:eastAsia="zh-CN"/>
              </w:rPr>
              <w:t>日</w:t>
            </w:r>
            <w:r>
              <w:rPr>
                <w:rFonts w:hint="eastAsia" w:ascii="Times New Roman" w:hAnsi="Times New Roman" w:eastAsia="宋体" w:cs="Times New Roman"/>
                <w:b w:val="0"/>
                <w:bCs/>
                <w:color w:val="auto"/>
                <w:sz w:val="24"/>
                <w:lang w:val="de-DE" w:eastAsia="zh-CN"/>
              </w:rPr>
              <w:t>。</w:t>
            </w:r>
          </w:p>
          <w:p w14:paraId="390FF6F8">
            <w:pPr>
              <w:pStyle w:val="30"/>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b w:val="0"/>
                <w:bCs/>
                <w:color w:val="auto"/>
                <w:sz w:val="24"/>
                <w:lang w:eastAsia="zh-CN"/>
              </w:rPr>
            </w:pPr>
            <w:bookmarkStart w:id="6" w:name="_Toc28617"/>
            <w:r>
              <w:rPr>
                <w:rFonts w:hint="eastAsia" w:ascii="Times New Roman" w:hAnsi="Times New Roman" w:eastAsia="宋体" w:cs="Times New Roman"/>
                <w:b w:val="0"/>
                <w:bCs/>
                <w:color w:val="auto"/>
                <w:sz w:val="24"/>
                <w:lang w:eastAsia="zh-CN"/>
              </w:rPr>
              <w:t>评价标准</w:t>
            </w:r>
            <w:bookmarkEnd w:id="6"/>
          </w:p>
          <w:p w14:paraId="7A17FEAC">
            <w:pPr>
              <w:pStyle w:val="3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eastAsia="zh-CN"/>
              </w:rPr>
              <w:t>TSP执行《环境空气质量标准》（GB3095-2012）二级标准限值。</w:t>
            </w:r>
            <w:bookmarkStart w:id="7" w:name="_Toc12004"/>
          </w:p>
          <w:bookmarkEnd w:id="7"/>
          <w:p w14:paraId="75D4FA2D">
            <w:pPr>
              <w:pStyle w:val="30"/>
              <w:keepNext w:val="0"/>
              <w:keepLines w:val="0"/>
              <w:pageBreakBefore w:val="0"/>
              <w:widowControl w:val="0"/>
              <w:numPr>
                <w:ilvl w:val="0"/>
                <w:numId w:val="7"/>
              </w:numPr>
              <w:suppressLineNumbers w:val="0"/>
              <w:kinsoku/>
              <w:wordWrap/>
              <w:overflowPunct/>
              <w:topLinePunct w:val="0"/>
              <w:autoSpaceDE w:val="0"/>
              <w:autoSpaceDN w:val="0"/>
              <w:bidi w:val="0"/>
              <w:adjustRightInd w:val="0"/>
              <w:snapToGrid/>
              <w:spacing w:before="0" w:beforeAutospacing="0" w:after="0" w:afterAutospacing="0" w:line="480" w:lineRule="exact"/>
              <w:ind w:left="0" w:leftChars="0" w:right="0" w:firstLine="480" w:firstLineChars="200"/>
              <w:jc w:val="left"/>
              <w:textAlignment w:val="auto"/>
              <w:rPr>
                <w:rFonts w:hint="eastAsia"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eastAsia="zh-CN"/>
              </w:rPr>
              <w:t>评价方法</w:t>
            </w:r>
          </w:p>
          <w:p w14:paraId="66AAE9E0">
            <w:pPr>
              <w:keepNext w:val="0"/>
              <w:keepLines w:val="0"/>
              <w:suppressLineNumbers w:val="0"/>
              <w:spacing w:before="0" w:beforeAutospacing="0" w:after="0" w:afterAutospacing="0"/>
              <w:ind w:left="0" w:right="0"/>
              <w:jc w:val="center"/>
              <w:rPr>
                <w:rFonts w:hint="eastAsia"/>
                <w:lang w:eastAsia="zh-CN"/>
              </w:rPr>
            </w:pPr>
            <w:r>
              <w:rPr>
                <w:rFonts w:hint="default"/>
              </w:rPr>
              <w:drawing>
                <wp:inline distT="0" distB="0" distL="114300" distR="114300">
                  <wp:extent cx="1019175" cy="438150"/>
                  <wp:effectExtent l="0" t="0" r="9525"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18"/>
                          <a:stretch>
                            <a:fillRect/>
                          </a:stretch>
                        </pic:blipFill>
                        <pic:spPr>
                          <a:xfrm>
                            <a:off x="0" y="0"/>
                            <a:ext cx="1019175" cy="438150"/>
                          </a:xfrm>
                          <a:prstGeom prst="rect">
                            <a:avLst/>
                          </a:prstGeom>
                          <a:noFill/>
                          <a:ln>
                            <a:noFill/>
                          </a:ln>
                        </pic:spPr>
                      </pic:pic>
                    </a:graphicData>
                  </a:graphic>
                </wp:inline>
              </w:drawing>
            </w:r>
          </w:p>
          <w:p w14:paraId="63E3FAB2">
            <w:pPr>
              <w:pStyle w:val="3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eastAsia="zh-CN"/>
              </w:rPr>
              <w:t>式中</w:t>
            </w:r>
            <w:r>
              <w:rPr>
                <w:rFonts w:hint="eastAsia" w:ascii="Times New Roman" w:cs="Times New Roman"/>
                <w:b w:val="0"/>
                <w:bCs/>
                <w:color w:val="auto"/>
                <w:sz w:val="24"/>
                <w:lang w:eastAsia="zh-CN"/>
              </w:rPr>
              <w:t>：</w:t>
            </w:r>
            <w:r>
              <w:rPr>
                <w:rFonts w:hint="eastAsia" w:ascii="Times New Roman" w:hAnsi="Times New Roman" w:eastAsia="宋体" w:cs="Times New Roman"/>
                <w:b w:val="0"/>
                <w:bCs/>
                <w:color w:val="auto"/>
                <w:sz w:val="24"/>
                <w:lang w:eastAsia="zh-CN"/>
              </w:rPr>
              <w:t>Pi—第i个污染物的最大地面空气质量浓度占标率，%;</w:t>
            </w:r>
          </w:p>
          <w:p w14:paraId="4923EC73">
            <w:pPr>
              <w:pStyle w:val="3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eastAsia="zh-CN"/>
              </w:rPr>
              <w:object>
                <v:shape id="_x0000_i1025" o:spt="75" type="#_x0000_t75" style="height:17pt;width:13pt;" o:ole="t" filled="f" o:preferrelative="t" stroked="f" coordsize="21600,21600">
                  <v:path/>
                  <v:fill on="f" focussize="0,0"/>
                  <v:stroke on="f" joinstyle="miter"/>
                  <v:imagedata r:id="rId20" o:title=""/>
                  <o:lock v:ext="edit" aspectratio="t"/>
                  <w10:wrap type="none"/>
                  <w10:anchorlock/>
                </v:shape>
                <o:OLEObject Type="Embed" ProgID="Equation.KSEE3" ShapeID="_x0000_i1025" DrawAspect="Content" ObjectID="_1468075725" r:id="rId19">
                  <o:LockedField>false</o:LockedField>
                </o:OLEObject>
              </w:object>
            </w:r>
            <w:r>
              <w:rPr>
                <w:rFonts w:hint="eastAsia" w:ascii="Times New Roman" w:hAnsi="Times New Roman" w:eastAsia="宋体" w:cs="Times New Roman"/>
                <w:b w:val="0"/>
                <w:bCs/>
                <w:color w:val="auto"/>
                <w:sz w:val="24"/>
                <w:lang w:eastAsia="zh-CN"/>
              </w:rPr>
              <w:t>—采用估算模型计算出的第i个污染物的最大1h地面空气质量浓度，</w:t>
            </w:r>
            <w:r>
              <w:rPr>
                <w:rFonts w:hint="default" w:ascii="Times New Roman" w:hAnsi="Times New Roman" w:eastAsia="宋体" w:cs="Times New Roman"/>
                <w:b w:val="0"/>
                <w:bCs/>
                <w:kern w:val="2"/>
                <w:sz w:val="24"/>
                <w:szCs w:val="24"/>
                <w:lang w:val="en-US" w:eastAsia="zh-CN" w:bidi="ar"/>
              </w:rPr>
              <w:t>μg</w:t>
            </w:r>
            <w:r>
              <w:rPr>
                <w:rFonts w:hint="eastAsia" w:ascii="Times New Roman" w:hAnsi="Times New Roman" w:eastAsia="宋体" w:cs="Times New Roman"/>
                <w:b w:val="0"/>
                <w:bCs/>
                <w:kern w:val="2"/>
                <w:sz w:val="24"/>
                <w:szCs w:val="24"/>
                <w:lang w:val="en-US" w:eastAsia="zh-CN" w:bidi="ar"/>
              </w:rPr>
              <w:t>/m</w:t>
            </w:r>
            <w:r>
              <w:rPr>
                <w:rFonts w:hint="eastAsia" w:ascii="Times New Roman" w:hAnsi="Times New Roman" w:eastAsia="宋体" w:cs="Times New Roman"/>
                <w:b w:val="0"/>
                <w:bCs/>
                <w:kern w:val="2"/>
                <w:sz w:val="24"/>
                <w:szCs w:val="24"/>
                <w:vertAlign w:val="superscript"/>
                <w:lang w:val="en-US" w:eastAsia="zh-CN" w:bidi="ar"/>
              </w:rPr>
              <w:t>3</w:t>
            </w:r>
            <w:r>
              <w:rPr>
                <w:rFonts w:hint="eastAsia" w:ascii="Times New Roman" w:hAnsi="Times New Roman" w:eastAsia="宋体" w:cs="Times New Roman"/>
                <w:b w:val="0"/>
                <w:bCs/>
                <w:color w:val="auto"/>
                <w:sz w:val="24"/>
                <w:lang w:eastAsia="zh-CN"/>
              </w:rPr>
              <w:t>；</w:t>
            </w:r>
          </w:p>
          <w:p w14:paraId="4E730026">
            <w:pPr>
              <w:pStyle w:val="3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eastAsia="zh-CN"/>
              </w:rPr>
              <w:object>
                <v:shape id="_x0000_i1026" o:spt="75" type="#_x0000_t75" style="height:18pt;width:17pt;" o:ole="t" filled="f" o:preferrelative="t" stroked="f" coordsize="21600,21600">
                  <v:path/>
                  <v:fill on="f" focussize="0,0"/>
                  <v:stroke on="f" joinstyle="miter"/>
                  <v:imagedata r:id="rId22" o:title=""/>
                  <o:lock v:ext="edit" aspectratio="t"/>
                  <w10:wrap type="none"/>
                  <w10:anchorlock/>
                </v:shape>
                <o:OLEObject Type="Embed" ProgID="Equation.KSEE3" ShapeID="_x0000_i1026" DrawAspect="Content" ObjectID="_1468075726" r:id="rId21">
                  <o:LockedField>false</o:LockedField>
                </o:OLEObject>
              </w:object>
            </w:r>
            <w:r>
              <w:rPr>
                <w:rFonts w:hint="eastAsia" w:ascii="Times New Roman" w:hAnsi="Times New Roman" w:eastAsia="宋体" w:cs="Times New Roman"/>
                <w:b w:val="0"/>
                <w:bCs/>
                <w:color w:val="auto"/>
                <w:sz w:val="24"/>
                <w:lang w:eastAsia="zh-CN"/>
              </w:rPr>
              <w:t>—第i个污染物的环境空气质量浓度标准，</w:t>
            </w:r>
            <w:r>
              <w:rPr>
                <w:rFonts w:hint="default" w:ascii="Times New Roman" w:hAnsi="Times New Roman" w:eastAsia="宋体" w:cs="Times New Roman"/>
                <w:b w:val="0"/>
                <w:bCs/>
                <w:kern w:val="2"/>
                <w:sz w:val="24"/>
                <w:szCs w:val="24"/>
                <w:lang w:val="en-US" w:eastAsia="zh-CN" w:bidi="ar"/>
              </w:rPr>
              <w:t>μg</w:t>
            </w:r>
            <w:r>
              <w:rPr>
                <w:rFonts w:hint="eastAsia" w:ascii="Times New Roman" w:hAnsi="Times New Roman" w:eastAsia="宋体" w:cs="Times New Roman"/>
                <w:b w:val="0"/>
                <w:bCs/>
                <w:kern w:val="2"/>
                <w:sz w:val="24"/>
                <w:szCs w:val="24"/>
                <w:lang w:val="en-US" w:eastAsia="zh-CN" w:bidi="ar"/>
              </w:rPr>
              <w:t>/m</w:t>
            </w:r>
            <w:r>
              <w:rPr>
                <w:rFonts w:hint="eastAsia" w:ascii="Times New Roman" w:hAnsi="Times New Roman" w:eastAsia="宋体" w:cs="Times New Roman"/>
                <w:b w:val="0"/>
                <w:bCs/>
                <w:kern w:val="2"/>
                <w:sz w:val="24"/>
                <w:szCs w:val="24"/>
                <w:vertAlign w:val="superscript"/>
                <w:lang w:val="en-US" w:eastAsia="zh-CN" w:bidi="ar"/>
              </w:rPr>
              <w:t>3</w:t>
            </w:r>
            <w:r>
              <w:rPr>
                <w:rFonts w:hint="eastAsia" w:ascii="Times New Roman" w:hAnsi="Times New Roman" w:eastAsia="宋体" w:cs="Times New Roman"/>
                <w:b w:val="0"/>
                <w:bCs/>
                <w:color w:val="auto"/>
                <w:sz w:val="24"/>
                <w:lang w:eastAsia="zh-CN"/>
              </w:rPr>
              <w:t>。</w:t>
            </w:r>
          </w:p>
          <w:p w14:paraId="2EC0D30C">
            <w:pPr>
              <w:pStyle w:val="30"/>
              <w:keepNext w:val="0"/>
              <w:keepLines w:val="0"/>
              <w:pageBreakBefore w:val="0"/>
              <w:widowControl w:val="0"/>
              <w:numPr>
                <w:ilvl w:val="0"/>
                <w:numId w:val="7"/>
              </w:numPr>
              <w:suppressLineNumbers w:val="0"/>
              <w:kinsoku/>
              <w:wordWrap/>
              <w:overflowPunct/>
              <w:topLinePunct w:val="0"/>
              <w:autoSpaceDE w:val="0"/>
              <w:autoSpaceDN w:val="0"/>
              <w:bidi w:val="0"/>
              <w:adjustRightInd w:val="0"/>
              <w:snapToGrid/>
              <w:spacing w:before="0" w:beforeAutospacing="0" w:after="0" w:afterAutospacing="0" w:line="480" w:lineRule="exact"/>
              <w:ind w:left="0" w:leftChars="0" w:right="0" w:firstLine="480" w:firstLineChars="200"/>
              <w:jc w:val="left"/>
              <w:textAlignment w:val="auto"/>
              <w:rPr>
                <w:rFonts w:hint="eastAsia" w:ascii="Times New Roman" w:hAnsi="Times New Roman" w:eastAsia="宋体" w:cs="Times New Roman"/>
                <w:b w:val="0"/>
                <w:bCs/>
                <w:color w:val="auto"/>
                <w:sz w:val="24"/>
                <w:lang w:eastAsia="zh-CN"/>
              </w:rPr>
            </w:pPr>
            <w:r>
              <w:rPr>
                <w:rFonts w:hint="eastAsia" w:ascii="Times New Roman" w:cs="Times New Roman"/>
                <w:b w:val="0"/>
                <w:bCs/>
                <w:color w:val="auto"/>
                <w:sz w:val="24"/>
                <w:lang w:val="en-US" w:eastAsia="zh-CN"/>
              </w:rPr>
              <w:t>监测</w:t>
            </w:r>
            <w:r>
              <w:rPr>
                <w:rFonts w:hint="eastAsia" w:ascii="Times New Roman" w:hAnsi="Times New Roman" w:eastAsia="宋体" w:cs="Times New Roman"/>
                <w:b w:val="0"/>
                <w:bCs/>
                <w:color w:val="auto"/>
                <w:sz w:val="24"/>
                <w:lang w:eastAsia="zh-CN"/>
              </w:rPr>
              <w:t>结果</w:t>
            </w:r>
          </w:p>
          <w:p w14:paraId="1A852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监测结果见下表，TSP参考《环境空气质量标准》（GB3095-2012）中浓度限值0.3mg/m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w:t>
            </w:r>
          </w:p>
          <w:p w14:paraId="55082439">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3-7</w:t>
            </w:r>
            <w:r>
              <w:rPr>
                <w:rFonts w:hint="eastAsia" w:asci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颗粒物</w:t>
            </w:r>
            <w:r>
              <w:rPr>
                <w:rFonts w:hint="default" w:ascii="Times New Roman" w:hAnsi="Times New Roman" w:cs="Times New Roman"/>
                <w:b/>
                <w:color w:val="auto"/>
                <w:highlight w:val="none"/>
              </w:rPr>
              <w:t>质量现状</w:t>
            </w:r>
            <w:r>
              <w:rPr>
                <w:rFonts w:hint="default" w:ascii="Times New Roman" w:hAnsi="Times New Roman" w:cs="Times New Roman"/>
                <w:b/>
                <w:bCs/>
                <w:color w:val="auto"/>
                <w:highlight w:val="none"/>
              </w:rPr>
              <w:t>评价</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766"/>
              <w:gridCol w:w="1154"/>
              <w:gridCol w:w="2003"/>
              <w:gridCol w:w="1723"/>
            </w:tblGrid>
            <w:tr w14:paraId="0E5E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7" w:type="dxa"/>
                  <w:tcBorders>
                    <w:tl2br w:val="nil"/>
                    <w:tr2bl w:val="nil"/>
                  </w:tcBorders>
                  <w:noWrap w:val="0"/>
                  <w:vAlign w:val="center"/>
                </w:tcPr>
                <w:p w14:paraId="71D393EE">
                  <w:pPr>
                    <w:pStyle w:val="20"/>
                    <w:keepNext w:val="0"/>
                    <w:keepLines w:val="0"/>
                    <w:pageBreakBefore w:val="0"/>
                    <w:widowControl w:val="0"/>
                    <w:suppressLineNumbers w:val="0"/>
                    <w:kinsoku/>
                    <w:wordWrap/>
                    <w:overflowPunct/>
                    <w:topLinePunct w:val="0"/>
                    <w:bidi w:val="0"/>
                    <w:snapToGrid/>
                    <w:spacing w:before="0" w:beforeLines="0" w:beforeAutospacing="0" w:after="0" w:afterLines="0" w:afterAutospacing="0"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监测点位</w:t>
                  </w:r>
                </w:p>
              </w:tc>
              <w:tc>
                <w:tcPr>
                  <w:tcW w:w="1766" w:type="dxa"/>
                  <w:tcBorders>
                    <w:tl2br w:val="nil"/>
                    <w:tr2bl w:val="nil"/>
                  </w:tcBorders>
                  <w:noWrap w:val="0"/>
                  <w:vAlign w:val="center"/>
                </w:tcPr>
                <w:p w14:paraId="77FFFAA9">
                  <w:pPr>
                    <w:pStyle w:val="20"/>
                    <w:keepNext w:val="0"/>
                    <w:keepLines w:val="0"/>
                    <w:pageBreakBefore w:val="0"/>
                    <w:widowControl w:val="0"/>
                    <w:suppressLineNumbers w:val="0"/>
                    <w:kinsoku/>
                    <w:wordWrap/>
                    <w:overflowPunct/>
                    <w:topLinePunct w:val="0"/>
                    <w:bidi w:val="0"/>
                    <w:snapToGrid/>
                    <w:spacing w:before="0" w:beforeLines="0" w:beforeAutospacing="0" w:after="0" w:afterLines="0" w:afterAutospacing="0"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采样日期</w:t>
                  </w:r>
                </w:p>
              </w:tc>
              <w:tc>
                <w:tcPr>
                  <w:tcW w:w="1154" w:type="dxa"/>
                  <w:tcBorders>
                    <w:tl2br w:val="nil"/>
                    <w:tr2bl w:val="nil"/>
                  </w:tcBorders>
                  <w:noWrap w:val="0"/>
                  <w:vAlign w:val="center"/>
                </w:tcPr>
                <w:p w14:paraId="44741B2A">
                  <w:pPr>
                    <w:pStyle w:val="20"/>
                    <w:keepNext w:val="0"/>
                    <w:keepLines w:val="0"/>
                    <w:pageBreakBefore w:val="0"/>
                    <w:widowControl w:val="0"/>
                    <w:suppressLineNumbers w:val="0"/>
                    <w:kinsoku/>
                    <w:wordWrap/>
                    <w:overflowPunct/>
                    <w:topLinePunct w:val="0"/>
                    <w:bidi w:val="0"/>
                    <w:snapToGrid/>
                    <w:spacing w:before="0" w:beforeLines="0" w:beforeAutospacing="0" w:after="0" w:afterLines="0" w:afterAutospacing="0"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监测项目</w:t>
                  </w:r>
                </w:p>
              </w:tc>
              <w:tc>
                <w:tcPr>
                  <w:tcW w:w="2003" w:type="dxa"/>
                  <w:tcBorders>
                    <w:tl2br w:val="nil"/>
                    <w:tr2bl w:val="nil"/>
                  </w:tcBorders>
                  <w:noWrap w:val="0"/>
                  <w:vAlign w:val="center"/>
                </w:tcPr>
                <w:p w14:paraId="433D8281">
                  <w:pPr>
                    <w:pStyle w:val="20"/>
                    <w:keepNext w:val="0"/>
                    <w:keepLines w:val="0"/>
                    <w:pageBreakBefore w:val="0"/>
                    <w:widowControl w:val="0"/>
                    <w:suppressLineNumbers w:val="0"/>
                    <w:kinsoku/>
                    <w:wordWrap/>
                    <w:overflowPunct/>
                    <w:topLinePunct w:val="0"/>
                    <w:bidi w:val="0"/>
                    <w:snapToGrid/>
                    <w:spacing w:before="0" w:beforeLines="0" w:beforeAutospacing="0" w:after="0" w:afterLines="0" w:afterAutospacing="0"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监测结果</w:t>
                  </w:r>
                  <w:r>
                    <w:rPr>
                      <w:rFonts w:hint="eastAsia" w:ascii="Times New Roman" w:hAnsi="Times New Roman" w:cs="Times New Roman"/>
                      <w:b/>
                      <w:bCs/>
                      <w:color w:val="auto"/>
                      <w:kern w:val="2"/>
                      <w:sz w:val="21"/>
                      <w:szCs w:val="21"/>
                      <w:lang w:val="en-US" w:eastAsia="zh-CN" w:bidi="ar"/>
                    </w:rPr>
                    <w:t>（</w:t>
                  </w:r>
                  <w:r>
                    <w:rPr>
                      <w:rFonts w:hint="default" w:ascii="Times New Roman" w:hAnsi="Times New Roman" w:eastAsia="宋体" w:cs="Times New Roman"/>
                      <w:b/>
                      <w:bCs/>
                      <w:color w:val="auto"/>
                      <w:sz w:val="21"/>
                      <w:szCs w:val="21"/>
                      <w:lang w:val="en-US" w:eastAsia="zh-CN"/>
                    </w:rPr>
                    <w:t>μg</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lang w:val="en-US" w:eastAsia="zh-CN"/>
                    </w:rPr>
                    <w:t>3</w:t>
                  </w:r>
                  <w:r>
                    <w:rPr>
                      <w:rFonts w:hint="eastAsia" w:ascii="Times New Roman" w:hAnsi="Times New Roman" w:cs="Times New Roman"/>
                      <w:b/>
                      <w:bCs/>
                      <w:color w:val="auto"/>
                      <w:kern w:val="2"/>
                      <w:sz w:val="21"/>
                      <w:szCs w:val="21"/>
                      <w:lang w:val="en-US" w:eastAsia="zh-CN" w:bidi="ar"/>
                    </w:rPr>
                    <w:t>）</w:t>
                  </w:r>
                </w:p>
              </w:tc>
              <w:tc>
                <w:tcPr>
                  <w:tcW w:w="1723" w:type="dxa"/>
                  <w:tcBorders>
                    <w:tl2br w:val="nil"/>
                    <w:tr2bl w:val="nil"/>
                  </w:tcBorders>
                  <w:noWrap w:val="0"/>
                  <w:vAlign w:val="center"/>
                </w:tcPr>
                <w:p w14:paraId="2469EC82">
                  <w:pPr>
                    <w:pStyle w:val="20"/>
                    <w:keepNext w:val="0"/>
                    <w:keepLines w:val="0"/>
                    <w:pageBreakBefore w:val="0"/>
                    <w:widowControl w:val="0"/>
                    <w:suppressLineNumbers w:val="0"/>
                    <w:kinsoku/>
                    <w:wordWrap/>
                    <w:overflowPunct/>
                    <w:topLinePunct w:val="0"/>
                    <w:bidi w:val="0"/>
                    <w:snapToGrid/>
                    <w:spacing w:before="0" w:beforeLines="0" w:beforeAutospacing="0" w:after="0" w:afterLines="0" w:afterAutospacing="0"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标准限值</w:t>
                  </w:r>
                </w:p>
              </w:tc>
            </w:tr>
            <w:tr w14:paraId="4BCC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7" w:type="dxa"/>
                  <w:vMerge w:val="restart"/>
                  <w:tcBorders>
                    <w:tl2br w:val="nil"/>
                    <w:tr2bl w:val="nil"/>
                  </w:tcBorders>
                  <w:noWrap w:val="0"/>
                  <w:vAlign w:val="center"/>
                </w:tcPr>
                <w:p w14:paraId="7E417B10">
                  <w:pPr>
                    <w:pStyle w:val="20"/>
                    <w:keepNext w:val="0"/>
                    <w:keepLines w:val="0"/>
                    <w:pageBreakBefore w:val="0"/>
                    <w:widowControl w:val="0"/>
                    <w:suppressLineNumbers w:val="0"/>
                    <w:kinsoku/>
                    <w:wordWrap/>
                    <w:overflowPunct/>
                    <w:topLinePunct w:val="0"/>
                    <w:bidi w:val="0"/>
                    <w:snapToGrid/>
                    <w:spacing w:before="0" w:beforeLines="0" w:beforeAutospacing="0" w:after="0" w:afterLines="0" w:afterAutospacing="0" w:line="240" w:lineRule="auto"/>
                    <w:ind w:left="-105" w:leftChars="-50" w:right="-105" w:rightChars="-50" w:firstLine="0" w:firstLineChars="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eastAsia="zh-CN" w:bidi="ar"/>
                    </w:rPr>
                    <w:t>项目区</w:t>
                  </w:r>
                  <w:r>
                    <w:rPr>
                      <w:rFonts w:hint="eastAsia" w:ascii="Times New Roman" w:hAnsi="Times New Roman" w:eastAsia="宋体" w:cs="Times New Roman"/>
                      <w:color w:val="auto"/>
                      <w:kern w:val="2"/>
                      <w:sz w:val="21"/>
                      <w:szCs w:val="21"/>
                      <w:lang w:val="en-US" w:eastAsia="zh-CN" w:bidi="ar"/>
                    </w:rPr>
                    <w:t>东南侧</w:t>
                  </w:r>
                </w:p>
              </w:tc>
              <w:tc>
                <w:tcPr>
                  <w:tcW w:w="1766" w:type="dxa"/>
                  <w:tcBorders>
                    <w:tl2br w:val="nil"/>
                    <w:tr2bl w:val="nil"/>
                  </w:tcBorders>
                  <w:noWrap w:val="0"/>
                  <w:vAlign w:val="center"/>
                </w:tcPr>
                <w:p w14:paraId="4E7E6449">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b w:val="0"/>
                      <w:bCs w:val="0"/>
                      <w:color w:val="auto"/>
                      <w:sz w:val="21"/>
                      <w:szCs w:val="21"/>
                      <w:highlight w:val="none"/>
                      <w:lang w:val="en-US" w:eastAsia="zh-CN"/>
                    </w:rPr>
                    <w:t>202</w:t>
                  </w:r>
                  <w:r>
                    <w:rPr>
                      <w:rFonts w:hint="eastAsia" w:ascii="Times New Roman" w:hAnsi="Times New Roman" w:eastAsia="宋体" w:cs="Times New Roman"/>
                      <w:b w:val="0"/>
                      <w:bCs w:val="0"/>
                      <w:color w:val="auto"/>
                      <w:sz w:val="21"/>
                      <w:szCs w:val="21"/>
                      <w:highlight w:val="none"/>
                      <w:lang w:val="en-US" w:eastAsia="zh-CN"/>
                    </w:rPr>
                    <w:t>4.10.15.</w:t>
                  </w:r>
                </w:p>
              </w:tc>
              <w:tc>
                <w:tcPr>
                  <w:tcW w:w="1154" w:type="dxa"/>
                  <w:vMerge w:val="restart"/>
                  <w:tcBorders>
                    <w:tl2br w:val="nil"/>
                    <w:tr2bl w:val="nil"/>
                  </w:tcBorders>
                  <w:noWrap w:val="0"/>
                  <w:vAlign w:val="center"/>
                </w:tcPr>
                <w:p w14:paraId="05812165">
                  <w:pPr>
                    <w:pStyle w:val="20"/>
                    <w:keepNext w:val="0"/>
                    <w:keepLines w:val="0"/>
                    <w:pageBreakBefore w:val="0"/>
                    <w:widowControl w:val="0"/>
                    <w:suppressLineNumbers w:val="0"/>
                    <w:kinsoku/>
                    <w:wordWrap/>
                    <w:overflowPunct/>
                    <w:topLinePunct w:val="0"/>
                    <w:bidi w:val="0"/>
                    <w:snapToGrid/>
                    <w:spacing w:before="0" w:beforeLines="0" w:beforeAutospacing="0" w:after="0" w:afterLines="0" w:afterAutospacing="0" w:line="240" w:lineRule="auto"/>
                    <w:ind w:left="-105" w:leftChars="-50" w:right="-105" w:rightChars="-5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TSP</w:t>
                  </w:r>
                </w:p>
              </w:tc>
              <w:tc>
                <w:tcPr>
                  <w:tcW w:w="2003" w:type="dxa"/>
                  <w:tcBorders>
                    <w:tl2br w:val="nil"/>
                    <w:tr2bl w:val="nil"/>
                  </w:tcBorders>
                  <w:noWrap w:val="0"/>
                  <w:vAlign w:val="center"/>
                </w:tcPr>
                <w:p w14:paraId="237FBDD1">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161</w:t>
                  </w:r>
                </w:p>
              </w:tc>
              <w:tc>
                <w:tcPr>
                  <w:tcW w:w="1723" w:type="dxa"/>
                  <w:vMerge w:val="restart"/>
                  <w:tcBorders>
                    <w:tl2br w:val="nil"/>
                    <w:tr2bl w:val="nil"/>
                  </w:tcBorders>
                  <w:noWrap w:val="0"/>
                  <w:vAlign w:val="center"/>
                </w:tcPr>
                <w:p w14:paraId="6FA6E0B9">
                  <w:pPr>
                    <w:pStyle w:val="20"/>
                    <w:keepNext w:val="0"/>
                    <w:keepLines w:val="0"/>
                    <w:pageBreakBefore w:val="0"/>
                    <w:widowControl w:val="0"/>
                    <w:suppressLineNumbers w:val="0"/>
                    <w:kinsoku/>
                    <w:wordWrap/>
                    <w:overflowPunct/>
                    <w:topLinePunct w:val="0"/>
                    <w:bidi w:val="0"/>
                    <w:snapToGrid/>
                    <w:spacing w:before="0" w:beforeLines="0" w:beforeAutospacing="0" w:after="0" w:afterLines="0" w:afterAutospacing="0" w:line="240" w:lineRule="auto"/>
                    <w:ind w:left="-105" w:leftChars="-50" w:right="-105" w:rightChars="-5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w:t>
                  </w:r>
                  <w:r>
                    <w:rPr>
                      <w:rFonts w:hint="eastAsia" w:ascii="Times New Roman" w:hAnsi="Times New Roman" w:eastAsia="宋体" w:cs="Times New Roman"/>
                      <w:color w:val="auto"/>
                      <w:kern w:val="2"/>
                      <w:sz w:val="21"/>
                      <w:szCs w:val="21"/>
                      <w:lang w:val="en-US" w:eastAsia="zh-CN" w:bidi="ar"/>
                    </w:rPr>
                    <w:t>00</w:t>
                  </w:r>
                  <w:r>
                    <w:rPr>
                      <w:rFonts w:hint="default" w:ascii="Times New Roman" w:hAnsi="Times New Roman" w:eastAsia="宋体" w:cs="Times New Roman"/>
                      <w:b w:val="0"/>
                      <w:bCs w:val="0"/>
                      <w:color w:val="auto"/>
                      <w:kern w:val="2"/>
                      <w:sz w:val="21"/>
                      <w:szCs w:val="21"/>
                      <w:highlight w:val="none"/>
                      <w:lang w:val="en-US" w:eastAsia="zh-CN" w:bidi="ar-SA"/>
                    </w:rPr>
                    <w:t>μg</w:t>
                  </w: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eastAsia="宋体" w:cs="Times New Roman"/>
                      <w:bCs/>
                      <w:color w:val="auto"/>
                      <w:kern w:val="0"/>
                      <w:sz w:val="21"/>
                      <w:szCs w:val="21"/>
                      <w:vertAlign w:val="superscript"/>
                      <w:lang w:val="en-US" w:eastAsia="zh-CN" w:bidi="ar"/>
                    </w:rPr>
                    <w:t>3</w:t>
                  </w:r>
                </w:p>
              </w:tc>
            </w:tr>
            <w:tr w14:paraId="198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7" w:type="dxa"/>
                  <w:vMerge w:val="continue"/>
                  <w:tcBorders>
                    <w:tl2br w:val="nil"/>
                    <w:tr2bl w:val="nil"/>
                  </w:tcBorders>
                  <w:noWrap w:val="0"/>
                  <w:vAlign w:val="center"/>
                </w:tcPr>
                <w:p w14:paraId="70E2A76C">
                  <w:pPr>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rPr>
                  </w:pPr>
                </w:p>
              </w:tc>
              <w:tc>
                <w:tcPr>
                  <w:tcW w:w="1766" w:type="dxa"/>
                  <w:tcBorders>
                    <w:tl2br w:val="nil"/>
                    <w:tr2bl w:val="nil"/>
                  </w:tcBorders>
                  <w:noWrap w:val="0"/>
                  <w:vAlign w:val="center"/>
                </w:tcPr>
                <w:p w14:paraId="2D419545">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b w:val="0"/>
                      <w:bCs w:val="0"/>
                      <w:color w:val="auto"/>
                      <w:sz w:val="21"/>
                      <w:szCs w:val="21"/>
                      <w:highlight w:val="none"/>
                      <w:lang w:val="en-US" w:eastAsia="zh-CN"/>
                    </w:rPr>
                    <w:t>202</w:t>
                  </w:r>
                  <w:r>
                    <w:rPr>
                      <w:rFonts w:hint="eastAsia" w:ascii="Times New Roman" w:hAnsi="Times New Roman" w:eastAsia="宋体" w:cs="Times New Roman"/>
                      <w:b w:val="0"/>
                      <w:bCs w:val="0"/>
                      <w:color w:val="auto"/>
                      <w:sz w:val="21"/>
                      <w:szCs w:val="21"/>
                      <w:highlight w:val="none"/>
                      <w:lang w:val="en-US" w:eastAsia="zh-CN"/>
                    </w:rPr>
                    <w:t>4.10.16</w:t>
                  </w:r>
                </w:p>
              </w:tc>
              <w:tc>
                <w:tcPr>
                  <w:tcW w:w="1154" w:type="dxa"/>
                  <w:vMerge w:val="continue"/>
                  <w:tcBorders>
                    <w:tl2br w:val="nil"/>
                    <w:tr2bl w:val="nil"/>
                  </w:tcBorders>
                  <w:noWrap w:val="0"/>
                  <w:vAlign w:val="center"/>
                </w:tcPr>
                <w:p w14:paraId="42383EA2">
                  <w:pPr>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rPr>
                  </w:pPr>
                </w:p>
              </w:tc>
              <w:tc>
                <w:tcPr>
                  <w:tcW w:w="2003" w:type="dxa"/>
                  <w:tcBorders>
                    <w:tl2br w:val="nil"/>
                    <w:tr2bl w:val="nil"/>
                  </w:tcBorders>
                  <w:noWrap w:val="0"/>
                  <w:vAlign w:val="center"/>
                </w:tcPr>
                <w:p w14:paraId="6BFABB4D">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161</w:t>
                  </w:r>
                </w:p>
              </w:tc>
              <w:tc>
                <w:tcPr>
                  <w:tcW w:w="1723" w:type="dxa"/>
                  <w:vMerge w:val="continue"/>
                  <w:tcBorders>
                    <w:tl2br w:val="nil"/>
                    <w:tr2bl w:val="nil"/>
                  </w:tcBorders>
                  <w:noWrap w:val="0"/>
                  <w:vAlign w:val="center"/>
                </w:tcPr>
                <w:p w14:paraId="41EFDF96">
                  <w:pPr>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rPr>
                  </w:pPr>
                </w:p>
              </w:tc>
            </w:tr>
            <w:tr w14:paraId="6ED1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7" w:type="dxa"/>
                  <w:vMerge w:val="continue"/>
                  <w:tcBorders>
                    <w:tl2br w:val="nil"/>
                    <w:tr2bl w:val="nil"/>
                  </w:tcBorders>
                  <w:noWrap w:val="0"/>
                  <w:vAlign w:val="center"/>
                </w:tcPr>
                <w:p w14:paraId="3AC4A61B">
                  <w:pPr>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rPr>
                  </w:pPr>
                </w:p>
              </w:tc>
              <w:tc>
                <w:tcPr>
                  <w:tcW w:w="1766" w:type="dxa"/>
                  <w:tcBorders>
                    <w:tl2br w:val="nil"/>
                    <w:tr2bl w:val="nil"/>
                  </w:tcBorders>
                  <w:noWrap w:val="0"/>
                  <w:vAlign w:val="center"/>
                </w:tcPr>
                <w:p w14:paraId="46E5F4E0">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 w:val="0"/>
                      <w:bCs w:val="0"/>
                      <w:color w:val="auto"/>
                      <w:sz w:val="21"/>
                      <w:szCs w:val="21"/>
                      <w:highlight w:val="none"/>
                      <w:lang w:val="en-US" w:eastAsia="zh-CN"/>
                    </w:rPr>
                    <w:t>202</w:t>
                  </w:r>
                  <w:r>
                    <w:rPr>
                      <w:rFonts w:hint="eastAsia" w:ascii="Times New Roman" w:hAnsi="Times New Roman" w:eastAsia="宋体" w:cs="Times New Roman"/>
                      <w:b w:val="0"/>
                      <w:bCs w:val="0"/>
                      <w:color w:val="auto"/>
                      <w:sz w:val="21"/>
                      <w:szCs w:val="21"/>
                      <w:highlight w:val="none"/>
                      <w:lang w:val="en-US" w:eastAsia="zh-CN"/>
                    </w:rPr>
                    <w:t>4.10.17</w:t>
                  </w:r>
                </w:p>
              </w:tc>
              <w:tc>
                <w:tcPr>
                  <w:tcW w:w="1154" w:type="dxa"/>
                  <w:vMerge w:val="continue"/>
                  <w:tcBorders>
                    <w:tl2br w:val="nil"/>
                    <w:tr2bl w:val="nil"/>
                  </w:tcBorders>
                  <w:noWrap w:val="0"/>
                  <w:vAlign w:val="center"/>
                </w:tcPr>
                <w:p w14:paraId="3A7C5680">
                  <w:pPr>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rPr>
                  </w:pPr>
                </w:p>
              </w:tc>
              <w:tc>
                <w:tcPr>
                  <w:tcW w:w="2003" w:type="dxa"/>
                  <w:tcBorders>
                    <w:tl2br w:val="nil"/>
                    <w:tr2bl w:val="nil"/>
                  </w:tcBorders>
                  <w:noWrap w:val="0"/>
                  <w:vAlign w:val="center"/>
                </w:tcPr>
                <w:p w14:paraId="33AF5A6C">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i w:val="0"/>
                      <w:color w:val="auto"/>
                      <w:kern w:val="0"/>
                      <w:sz w:val="21"/>
                      <w:szCs w:val="21"/>
                      <w:u w:val="none"/>
                      <w:lang w:val="en-US" w:eastAsia="zh-CN" w:bidi="ar"/>
                    </w:rPr>
                    <w:t>2</w:t>
                  </w:r>
                  <w:r>
                    <w:rPr>
                      <w:rFonts w:hint="eastAsia" w:ascii="Times New Roman" w:hAnsi="Times New Roman" w:eastAsia="宋体" w:cs="Times New Roman"/>
                      <w:i w:val="0"/>
                      <w:color w:val="auto"/>
                      <w:kern w:val="0"/>
                      <w:sz w:val="21"/>
                      <w:szCs w:val="21"/>
                      <w:u w:val="none"/>
                      <w:lang w:val="en-US" w:eastAsia="zh-CN" w:bidi="ar"/>
                    </w:rPr>
                    <w:t>31</w:t>
                  </w:r>
                </w:p>
              </w:tc>
              <w:tc>
                <w:tcPr>
                  <w:tcW w:w="1723" w:type="dxa"/>
                  <w:vMerge w:val="continue"/>
                  <w:tcBorders>
                    <w:tl2br w:val="nil"/>
                    <w:tr2bl w:val="nil"/>
                  </w:tcBorders>
                  <w:noWrap w:val="0"/>
                  <w:vAlign w:val="center"/>
                </w:tcPr>
                <w:p w14:paraId="01E6A2F9">
                  <w:pPr>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rPr>
                  </w:pPr>
                </w:p>
              </w:tc>
            </w:tr>
          </w:tbl>
          <w:p w14:paraId="10F31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监测数据分析：TSP监测结果小于标准限值，现状满足《环境空气质量标准》（GB3095-2012）中总悬浮颗粒物（TSP）24小时均值：300μg/m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w:t>
            </w:r>
          </w:p>
          <w:p w14:paraId="6DB38DA1">
            <w:pPr>
              <w:pStyle w:val="2"/>
              <w:keepNext/>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right="0"/>
              <w:jc w:val="left"/>
              <w:textAlignment w:val="auto"/>
              <w:outlineLvl w:val="0"/>
              <w:rPr>
                <w:rFonts w:hint="default" w:eastAsia="宋体"/>
                <w:color w:val="auto"/>
                <w:sz w:val="24"/>
                <w:szCs w:val="24"/>
              </w:rPr>
            </w:pPr>
            <w:r>
              <w:rPr>
                <w:rFonts w:hint="eastAsia" w:eastAsia="宋体"/>
                <w:color w:val="auto"/>
                <w:sz w:val="24"/>
                <w:szCs w:val="24"/>
                <w:lang w:val="en-US" w:eastAsia="zh-CN"/>
              </w:rPr>
              <w:t>3地表</w:t>
            </w:r>
            <w:r>
              <w:rPr>
                <w:rFonts w:hint="default" w:eastAsia="宋体"/>
                <w:color w:val="auto"/>
                <w:sz w:val="24"/>
                <w:szCs w:val="24"/>
              </w:rPr>
              <w:t>水环境质量现状调查与评价</w:t>
            </w:r>
          </w:p>
          <w:p w14:paraId="43A06B69">
            <w:pPr>
              <w:keepNext w:val="0"/>
              <w:keepLines w:val="0"/>
              <w:suppressLineNumbers w:val="0"/>
              <w:spacing w:before="0" w:beforeAutospacing="0" w:after="0" w:afterAutospacing="0" w:line="480" w:lineRule="exact"/>
              <w:ind w:left="0" w:right="0" w:firstLine="480" w:firstLineChars="200"/>
              <w:jc w:val="left"/>
              <w:rPr>
                <w:rFonts w:hint="eastAsia"/>
                <w:sz w:val="24"/>
              </w:rPr>
            </w:pPr>
            <w:r>
              <w:rPr>
                <w:rFonts w:hint="eastAsia"/>
                <w:sz w:val="24"/>
              </w:rPr>
              <w:t>根据《20</w:t>
            </w:r>
            <w:r>
              <w:rPr>
                <w:rFonts w:hint="eastAsia"/>
                <w:sz w:val="24"/>
                <w:lang w:val="en-US" w:eastAsia="zh-CN"/>
              </w:rPr>
              <w:t>23</w:t>
            </w:r>
            <w:r>
              <w:rPr>
                <w:rFonts w:hint="eastAsia"/>
                <w:sz w:val="24"/>
              </w:rPr>
              <w:t>年巴音郭楞蒙古自治州生态环境状况公报》可知：2023年，全州地表水监测的31个考核断面（点位）中，Ⅰ~Ⅲ类优良水质断面（点位）占77.42%，Ⅳ类水质断面（点位）占22.58%。6条主要河流19个监测断面中Ⅰ~Ⅲ类优良水质断面占100%，3个重要湖泊（水库）12个监测点位中Ⅰ~Ⅲ类优良水质点位占42%，无劣Ⅴ类水体</w:t>
            </w:r>
            <w:r>
              <w:rPr>
                <w:rFonts w:hint="eastAsia"/>
                <w:sz w:val="24"/>
                <w:lang w:eastAsia="zh-CN"/>
              </w:rPr>
              <w:t>，</w:t>
            </w:r>
            <w:r>
              <w:rPr>
                <w:rFonts w:hint="eastAsia"/>
                <w:sz w:val="24"/>
                <w:lang w:val="en-US" w:eastAsia="zh-CN"/>
              </w:rPr>
              <w:t>符合2023年水质考核目标。</w:t>
            </w:r>
          </w:p>
          <w:p w14:paraId="529973A2">
            <w:pPr>
              <w:keepNext w:val="0"/>
              <w:keepLines w:val="0"/>
              <w:suppressLineNumbers w:val="0"/>
              <w:spacing w:before="0" w:beforeAutospacing="0" w:after="0" w:afterAutospacing="0" w:line="480" w:lineRule="exact"/>
              <w:ind w:left="0" w:right="0" w:firstLine="480" w:firstLineChars="200"/>
              <w:jc w:val="left"/>
              <w:rPr>
                <w:rFonts w:hint="default"/>
                <w:color w:val="000000"/>
                <w:sz w:val="24"/>
              </w:rPr>
            </w:pPr>
            <w:r>
              <w:rPr>
                <w:rFonts w:hint="eastAsia"/>
                <w:sz w:val="24"/>
                <w:lang w:val="en-US" w:eastAsia="zh-CN"/>
              </w:rPr>
              <w:t>2023年我州境内的6条主要河流孔雀河、开都河、黄水沟、迪那河、车尔臣河、塔里木河19个监测断面中I~Ⅲ优良水质断面占100%，与2022年相比无变化，</w:t>
            </w:r>
            <w:r>
              <w:rPr>
                <w:rFonts w:hint="eastAsia"/>
                <w:sz w:val="24"/>
              </w:rPr>
              <w:t>本项目最近地表水体位</w:t>
            </w:r>
            <w:r>
              <w:rPr>
                <w:rFonts w:hint="eastAsia"/>
                <w:sz w:val="24"/>
                <w:lang w:val="en-US" w:eastAsia="zh-CN"/>
              </w:rPr>
              <w:t>西</w:t>
            </w:r>
            <w:r>
              <w:rPr>
                <w:rFonts w:hint="eastAsia"/>
                <w:sz w:val="24"/>
              </w:rPr>
              <w:t>侧</w:t>
            </w:r>
            <w:r>
              <w:rPr>
                <w:rFonts w:hint="eastAsia"/>
                <w:sz w:val="24"/>
                <w:lang w:val="en-US" w:eastAsia="zh-CN"/>
              </w:rPr>
              <w:t>7k</w:t>
            </w:r>
            <w:r>
              <w:rPr>
                <w:rFonts w:hint="eastAsia"/>
                <w:sz w:val="24"/>
              </w:rPr>
              <w:t>m</w:t>
            </w:r>
            <w:r>
              <w:rPr>
                <w:rFonts w:hint="eastAsia"/>
                <w:sz w:val="24"/>
                <w:lang w:val="en-US" w:eastAsia="zh-CN"/>
              </w:rPr>
              <w:t>乌拉斯台</w:t>
            </w:r>
            <w:r>
              <w:rPr>
                <w:rFonts w:hint="eastAsia" w:ascii="Times New Roman" w:hAnsi="Times New Roman" w:eastAsia="宋体" w:cs="Times New Roman"/>
                <w:sz w:val="24"/>
              </w:rPr>
              <w:t>河，</w:t>
            </w:r>
            <w:r>
              <w:rPr>
                <w:rFonts w:hint="eastAsia" w:cs="Times New Roman"/>
                <w:sz w:val="24"/>
                <w:lang w:val="en-US" w:eastAsia="zh-CN"/>
              </w:rPr>
              <w:t>其为开都河支流，</w:t>
            </w:r>
            <w:r>
              <w:rPr>
                <w:rFonts w:hint="default"/>
                <w:sz w:val="24"/>
              </w:rPr>
              <w:t>根据巴音郭楞蒙古自治州人民政府发布的《202</w:t>
            </w:r>
            <w:r>
              <w:rPr>
                <w:rFonts w:hint="eastAsia"/>
                <w:sz w:val="24"/>
                <w:lang w:val="en-US" w:eastAsia="zh-CN"/>
              </w:rPr>
              <w:t>3</w:t>
            </w:r>
            <w:r>
              <w:rPr>
                <w:rFonts w:hint="default"/>
                <w:sz w:val="24"/>
              </w:rPr>
              <w:t>年巴音郭楞蒙古自治州生态环境状况公报》可知</w:t>
            </w:r>
            <w:r>
              <w:rPr>
                <w:rFonts w:hint="eastAsia"/>
                <w:sz w:val="24"/>
                <w:lang w:eastAsia="zh-CN"/>
              </w:rPr>
              <w:t>：</w:t>
            </w:r>
            <w:r>
              <w:rPr>
                <w:rFonts w:hint="eastAsia"/>
                <w:sz w:val="24"/>
                <w:lang w:val="en-US" w:eastAsia="zh-CN"/>
              </w:rPr>
              <w:t>开都河</w:t>
            </w:r>
            <w:r>
              <w:rPr>
                <w:rFonts w:hint="default"/>
                <w:sz w:val="24"/>
              </w:rPr>
              <w:t>水质满足《地表水环境质量标准》（GB3838-2002）中的</w:t>
            </w:r>
            <w:r>
              <w:rPr>
                <w:rFonts w:hint="eastAsia"/>
                <w:sz w:val="24"/>
                <w:lang w:val="en-US" w:eastAsia="zh-CN"/>
              </w:rPr>
              <w:t>I</w:t>
            </w:r>
            <w:r>
              <w:rPr>
                <w:rFonts w:hint="default"/>
                <w:sz w:val="24"/>
              </w:rPr>
              <w:t>类水体水质标准，区域水环境质量达标。</w:t>
            </w:r>
          </w:p>
          <w:p w14:paraId="427CA5F9">
            <w:pPr>
              <w:pStyle w:val="2"/>
              <w:keepLines w:val="0"/>
              <w:suppressLineNumbers w:val="0"/>
              <w:overflowPunct/>
              <w:spacing w:before="0" w:beforeAutospacing="0" w:after="0" w:afterAutospacing="0" w:line="480" w:lineRule="exact"/>
              <w:ind w:right="0"/>
              <w:jc w:val="left"/>
              <w:outlineLvl w:val="0"/>
              <w:rPr>
                <w:rFonts w:hint="default" w:eastAsia="宋体"/>
                <w:color w:val="auto"/>
                <w:sz w:val="24"/>
                <w:szCs w:val="24"/>
              </w:rPr>
            </w:pPr>
            <w:r>
              <w:rPr>
                <w:rFonts w:hint="eastAsia" w:eastAsia="宋体"/>
                <w:color w:val="auto"/>
                <w:sz w:val="24"/>
                <w:szCs w:val="24"/>
                <w:lang w:val="en-US" w:eastAsia="zh-CN"/>
              </w:rPr>
              <w:t>4</w:t>
            </w:r>
            <w:r>
              <w:rPr>
                <w:rFonts w:hint="default" w:eastAsia="宋体"/>
                <w:color w:val="auto"/>
                <w:sz w:val="24"/>
                <w:szCs w:val="24"/>
              </w:rPr>
              <w:t>声环境质量现状调查与评价</w:t>
            </w:r>
          </w:p>
          <w:p w14:paraId="5B5587C2">
            <w:pPr>
              <w:keepNext w:val="0"/>
              <w:keepLines w:val="0"/>
              <w:suppressLineNumbers w:val="0"/>
              <w:spacing w:before="0" w:beforeAutospacing="0" w:after="0" w:afterAutospacing="0" w:line="480" w:lineRule="exact"/>
              <w:ind w:left="0" w:right="0" w:firstLine="480" w:firstLineChars="200"/>
              <w:jc w:val="left"/>
              <w:rPr>
                <w:rFonts w:hint="default" w:eastAsia="宋体"/>
                <w:b/>
                <w:bCs/>
                <w:sz w:val="24"/>
                <w:lang w:val="en-US" w:eastAsia="zh-CN"/>
              </w:rPr>
            </w:pPr>
            <w:r>
              <w:rPr>
                <w:rFonts w:hint="default"/>
                <w:sz w:val="24"/>
              </w:rPr>
              <w:t>参照《建设项目环境影响报告表编制技术指南（污染影响类）（试行）》，</w:t>
            </w:r>
            <w:r>
              <w:rPr>
                <w:rFonts w:hint="eastAsia"/>
                <w:sz w:val="24"/>
              </w:rPr>
              <w:t>本项目</w:t>
            </w:r>
            <w:r>
              <w:rPr>
                <w:rFonts w:hint="default"/>
                <w:sz w:val="24"/>
              </w:rPr>
              <w:t>厂界外周边50米范围内不存在声环境保护目标，不需要</w:t>
            </w:r>
            <w:r>
              <w:rPr>
                <w:rFonts w:hint="eastAsia"/>
                <w:sz w:val="24"/>
              </w:rPr>
              <w:t>开展</w:t>
            </w:r>
            <w:r>
              <w:rPr>
                <w:rFonts w:hint="default"/>
                <w:sz w:val="24"/>
              </w:rPr>
              <w:t>声环境质量现状并评价达标情况。</w:t>
            </w:r>
          </w:p>
          <w:p w14:paraId="14082DAB">
            <w:pPr>
              <w:pStyle w:val="2"/>
              <w:keepLines w:val="0"/>
              <w:suppressLineNumbers w:val="0"/>
              <w:overflowPunct/>
              <w:spacing w:before="0" w:beforeAutospacing="0" w:after="0" w:afterAutospacing="0" w:line="480" w:lineRule="exact"/>
              <w:ind w:right="0"/>
              <w:jc w:val="left"/>
              <w:outlineLvl w:val="0"/>
              <w:rPr>
                <w:rFonts w:hint="default" w:eastAsia="宋体"/>
                <w:color w:val="auto"/>
                <w:sz w:val="24"/>
                <w:szCs w:val="24"/>
              </w:rPr>
            </w:pPr>
            <w:bookmarkStart w:id="8" w:name="土壤环境质量现状调查与评价"/>
            <w:r>
              <w:rPr>
                <w:rFonts w:hint="eastAsia" w:eastAsia="宋体"/>
                <w:color w:val="auto"/>
                <w:sz w:val="24"/>
                <w:szCs w:val="24"/>
                <w:lang w:val="en-US" w:eastAsia="zh-CN"/>
              </w:rPr>
              <w:t>5</w:t>
            </w:r>
            <w:r>
              <w:rPr>
                <w:rFonts w:hint="default" w:eastAsia="宋体"/>
                <w:color w:val="auto"/>
                <w:sz w:val="24"/>
                <w:szCs w:val="24"/>
              </w:rPr>
              <w:t>土壤环境质量现状调查与评价</w:t>
            </w:r>
            <w:bookmarkEnd w:id="8"/>
          </w:p>
          <w:p w14:paraId="771D134C">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根据《环境影响评价技术导则 土壤环境》（HJ964-2018），</w:t>
            </w:r>
            <w:r>
              <w:rPr>
                <w:rFonts w:hint="eastAsia"/>
                <w:sz w:val="24"/>
              </w:rPr>
              <w:t>本项目行业类别</w:t>
            </w:r>
            <w:r>
              <w:rPr>
                <w:rFonts w:hint="default"/>
                <w:sz w:val="24"/>
              </w:rPr>
              <w:t>属于“</w:t>
            </w:r>
            <w:r>
              <w:rPr>
                <w:rFonts w:hint="eastAsia"/>
                <w:sz w:val="24"/>
              </w:rPr>
              <w:t>采矿业</w:t>
            </w:r>
            <w:r>
              <w:rPr>
                <w:rFonts w:hint="eastAsia"/>
                <w:sz w:val="24"/>
                <w:lang w:eastAsia="zh-CN"/>
              </w:rPr>
              <w:t>－</w:t>
            </w:r>
            <w:r>
              <w:rPr>
                <w:rFonts w:hint="default"/>
                <w:sz w:val="24"/>
              </w:rPr>
              <w:t>其他”，项目类别为Ⅲ类。</w:t>
            </w:r>
            <w:r>
              <w:rPr>
                <w:rFonts w:hint="eastAsia"/>
                <w:sz w:val="24"/>
              </w:rPr>
              <w:t>根据《</w:t>
            </w:r>
            <w:r>
              <w:rPr>
                <w:rFonts w:hint="eastAsia"/>
                <w:sz w:val="24"/>
                <w:lang w:val="en-US" w:eastAsia="zh-CN"/>
              </w:rPr>
              <w:t>巴州泽丰矿业有限责任公司新疆和静夏翁沟口水泥用石灰岩</w:t>
            </w:r>
            <w:r>
              <w:rPr>
                <w:rFonts w:hint="eastAsia"/>
                <w:sz w:val="24"/>
              </w:rPr>
              <w:t>矿矿产资源开发利用与生态保护修复方案》中提供资料，和静县</w:t>
            </w:r>
            <w:r>
              <w:rPr>
                <w:rFonts w:hint="default"/>
                <w:sz w:val="24"/>
              </w:rPr>
              <w:t>多年平均降水量</w:t>
            </w:r>
            <w:r>
              <w:rPr>
                <w:rFonts w:hint="eastAsia"/>
                <w:sz w:val="24"/>
              </w:rPr>
              <w:t>68.5</w:t>
            </w:r>
            <w:r>
              <w:rPr>
                <w:rFonts w:hint="default"/>
                <w:sz w:val="24"/>
              </w:rPr>
              <w:t>mm，多年平均蒸发量</w:t>
            </w:r>
            <w:r>
              <w:rPr>
                <w:rFonts w:hint="eastAsia"/>
                <w:sz w:val="24"/>
              </w:rPr>
              <w:t>（</w:t>
            </w:r>
            <w:r>
              <w:rPr>
                <w:rFonts w:hint="default"/>
                <w:sz w:val="24"/>
              </w:rPr>
              <w:t>E601</w:t>
            </w:r>
            <w:r>
              <w:rPr>
                <w:rFonts w:hint="eastAsia"/>
                <w:sz w:val="24"/>
              </w:rPr>
              <w:t>）2100</w:t>
            </w:r>
            <w:r>
              <w:rPr>
                <w:rFonts w:hint="default"/>
                <w:sz w:val="24"/>
              </w:rPr>
              <w:t>mm，其干燥度为</w:t>
            </w:r>
            <w:r>
              <w:rPr>
                <w:rFonts w:hint="eastAsia"/>
                <w:sz w:val="24"/>
              </w:rPr>
              <w:t>30</w:t>
            </w:r>
            <w:r>
              <w:rPr>
                <w:rFonts w:hint="default"/>
                <w:sz w:val="24"/>
              </w:rPr>
              <w:t>。</w:t>
            </w:r>
            <w:r>
              <w:rPr>
                <w:rFonts w:hint="eastAsia"/>
                <w:sz w:val="24"/>
              </w:rPr>
              <w:t>本项目为生态类项目，评价范围为项目区周边1km，资料收集阶段未收集到其他有效现状监测资料，本次环评需组织现场调查、监测获取有效数据。</w:t>
            </w:r>
          </w:p>
          <w:p w14:paraId="4EF147A8">
            <w:pPr>
              <w:pStyle w:val="44"/>
              <w:keepNext w:val="0"/>
              <w:keepLines w:val="0"/>
              <w:suppressLineNumbers w:val="0"/>
              <w:spacing w:before="0" w:beforeAutospacing="0" w:after="0" w:afterAutospacing="0" w:line="480" w:lineRule="exact"/>
              <w:ind w:left="0" w:right="0" w:firstLine="482"/>
              <w:rPr>
                <w:rFonts w:hint="default"/>
                <w:b/>
                <w:bCs/>
                <w:kern w:val="44"/>
                <w:sz w:val="24"/>
                <w:szCs w:val="24"/>
              </w:rPr>
            </w:pPr>
            <w:r>
              <w:rPr>
                <w:rFonts w:hint="eastAsia"/>
                <w:b/>
                <w:bCs/>
                <w:kern w:val="44"/>
                <w:sz w:val="24"/>
                <w:szCs w:val="24"/>
                <w:lang w:val="en-US" w:eastAsia="zh-CN"/>
              </w:rPr>
              <w:t>5</w:t>
            </w:r>
            <w:r>
              <w:rPr>
                <w:rFonts w:hint="default"/>
                <w:b/>
                <w:bCs/>
                <w:kern w:val="44"/>
                <w:sz w:val="24"/>
                <w:szCs w:val="24"/>
              </w:rPr>
              <w:t>.</w:t>
            </w:r>
            <w:r>
              <w:rPr>
                <w:rFonts w:hint="eastAsia"/>
                <w:b/>
                <w:bCs/>
                <w:kern w:val="44"/>
                <w:sz w:val="24"/>
                <w:szCs w:val="24"/>
              </w:rPr>
              <w:t>1</w:t>
            </w:r>
            <w:r>
              <w:rPr>
                <w:rFonts w:hint="default"/>
                <w:b/>
                <w:bCs/>
                <w:kern w:val="44"/>
                <w:sz w:val="24"/>
                <w:szCs w:val="24"/>
              </w:rPr>
              <w:t>现状</w:t>
            </w:r>
            <w:r>
              <w:rPr>
                <w:rFonts w:hint="eastAsia"/>
                <w:b/>
                <w:bCs/>
                <w:kern w:val="44"/>
                <w:sz w:val="24"/>
                <w:szCs w:val="24"/>
                <w:lang w:val="en-US" w:eastAsia="zh-CN"/>
              </w:rPr>
              <w:t>监测</w:t>
            </w:r>
            <w:r>
              <w:rPr>
                <w:rFonts w:hint="default"/>
                <w:b/>
                <w:bCs/>
                <w:kern w:val="44"/>
                <w:sz w:val="24"/>
                <w:szCs w:val="24"/>
              </w:rPr>
              <w:t>内容</w:t>
            </w:r>
          </w:p>
          <w:p w14:paraId="40743199">
            <w:pPr>
              <w:keepNext w:val="0"/>
              <w:keepLines w:val="0"/>
              <w:suppressLineNumbers w:val="0"/>
              <w:spacing w:before="0" w:beforeAutospacing="0" w:after="0" w:afterAutospacing="0" w:line="480" w:lineRule="exact"/>
              <w:ind w:left="0" w:right="0" w:firstLine="480" w:firstLineChars="200"/>
              <w:rPr>
                <w:rFonts w:hint="default"/>
                <w:color w:val="auto"/>
              </w:rPr>
            </w:pPr>
            <w:r>
              <w:rPr>
                <w:rFonts w:hint="eastAsia"/>
                <w:bCs/>
                <w:color w:val="auto"/>
                <w:sz w:val="24"/>
                <w:szCs w:val="20"/>
              </w:rPr>
              <w:t>本次环境土壤质量现状调查委托新疆广宇众联环境监测有限公司进行实地监测，</w:t>
            </w:r>
            <w:r>
              <w:rPr>
                <w:rFonts w:hint="default"/>
                <w:color w:val="auto"/>
                <w:sz w:val="24"/>
              </w:rPr>
              <w:t>共设3处监测点，项目占地范围内1个表层样点，</w:t>
            </w:r>
            <w:r>
              <w:rPr>
                <w:rFonts w:hint="eastAsia"/>
                <w:color w:val="auto"/>
                <w:sz w:val="24"/>
                <w:lang w:val="en-US" w:eastAsia="zh-CN"/>
              </w:rPr>
              <w:t>项目南侧1</w:t>
            </w:r>
            <w:r>
              <w:rPr>
                <w:rFonts w:hint="default"/>
                <w:color w:val="auto"/>
                <w:sz w:val="24"/>
              </w:rPr>
              <w:t>个表层样</w:t>
            </w:r>
            <w:r>
              <w:rPr>
                <w:rFonts w:hint="eastAsia"/>
                <w:color w:val="auto"/>
                <w:sz w:val="24"/>
              </w:rPr>
              <w:t>，</w:t>
            </w:r>
            <w:r>
              <w:rPr>
                <w:rFonts w:hint="eastAsia"/>
                <w:color w:val="auto"/>
                <w:sz w:val="24"/>
                <w:lang w:val="en-US" w:eastAsia="zh-CN"/>
              </w:rPr>
              <w:t>项目西侧1</w:t>
            </w:r>
            <w:r>
              <w:rPr>
                <w:rFonts w:hint="default"/>
                <w:color w:val="auto"/>
                <w:sz w:val="24"/>
              </w:rPr>
              <w:t>个表层样</w:t>
            </w:r>
            <w:r>
              <w:rPr>
                <w:rFonts w:hint="eastAsia"/>
                <w:color w:val="auto"/>
                <w:sz w:val="24"/>
                <w:lang w:eastAsia="zh-CN"/>
              </w:rPr>
              <w:t>，</w:t>
            </w:r>
            <w:r>
              <w:rPr>
                <w:rFonts w:hint="eastAsia"/>
                <w:bCs/>
                <w:color w:val="auto"/>
                <w:sz w:val="24"/>
                <w:szCs w:val="20"/>
              </w:rPr>
              <w:t>表层样取样深度0.2m。项目土壤环境现状监测布点图详见附图</w:t>
            </w:r>
            <w:r>
              <w:rPr>
                <w:rFonts w:hint="eastAsia"/>
                <w:bCs/>
                <w:color w:val="auto"/>
                <w:sz w:val="24"/>
                <w:szCs w:val="20"/>
                <w:lang w:val="en-US" w:eastAsia="zh-CN"/>
              </w:rPr>
              <w:t>9</w:t>
            </w:r>
            <w:r>
              <w:rPr>
                <w:rFonts w:hint="eastAsia"/>
                <w:bCs/>
                <w:color w:val="auto"/>
                <w:sz w:val="24"/>
                <w:szCs w:val="20"/>
              </w:rPr>
              <w:t>。</w:t>
            </w:r>
          </w:p>
          <w:p w14:paraId="2A846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0"/>
              <w:rPr>
                <w:rFonts w:hint="default" w:ascii="黑体" w:hAnsi="黑体" w:eastAsia="黑体"/>
                <w:snapToGrid w:val="0"/>
                <w:sz w:val="36"/>
                <w:szCs w:val="36"/>
              </w:rPr>
            </w:pPr>
            <w:r>
              <w:rPr>
                <w:rFonts w:hint="default" w:ascii="Times New Roman" w:hAnsi="Times New Roman" w:eastAsia="宋体" w:cs="Times New Roman"/>
                <w:color w:val="auto"/>
                <w:sz w:val="24"/>
                <w:highlight w:val="none"/>
                <w:lang w:val="en-US" w:eastAsia="zh-CN"/>
              </w:rPr>
              <w:t>监测内容如下</w:t>
            </w:r>
            <w:r>
              <w:rPr>
                <w:rFonts w:hint="eastAsia" w:ascii="Times New Roman" w:hAnsi="Times New Roman" w:cs="Times New Roman"/>
                <w:color w:val="auto"/>
                <w:sz w:val="24"/>
                <w:highlight w:val="none"/>
                <w:lang w:val="en-US" w:eastAsia="zh-CN"/>
              </w:rPr>
              <w:t>：</w:t>
            </w:r>
          </w:p>
          <w:p w14:paraId="244CE435">
            <w:pPr>
              <w:keepNext w:val="0"/>
              <w:keepLines w:val="0"/>
              <w:suppressLineNumbers w:val="0"/>
              <w:spacing w:before="0" w:beforeAutospacing="0" w:after="0" w:afterAutospacing="0"/>
              <w:ind w:left="0" w:right="0"/>
              <w:jc w:val="center"/>
              <w:outlineLvl w:val="0"/>
              <w:rPr>
                <w:rFonts w:hint="default" w:ascii="黑体" w:hAnsi="黑体" w:eastAsia="黑体"/>
                <w:snapToGrid w:val="0"/>
                <w:sz w:val="36"/>
                <w:szCs w:val="36"/>
              </w:rPr>
            </w:pPr>
            <w:r>
              <w:rPr>
                <w:rFonts w:hint="default"/>
                <w:b/>
                <w:bCs/>
                <w:sz w:val="24"/>
              </w:rPr>
              <w:t>表3-</w:t>
            </w:r>
            <w:r>
              <w:rPr>
                <w:rFonts w:hint="eastAsia"/>
                <w:b/>
                <w:bCs/>
                <w:sz w:val="24"/>
                <w:lang w:val="en-US" w:eastAsia="zh-CN"/>
              </w:rPr>
              <w:t>8</w:t>
            </w:r>
            <w:r>
              <w:rPr>
                <w:rFonts w:hint="default"/>
                <w:b/>
                <w:bCs/>
                <w:sz w:val="24"/>
              </w:rPr>
              <w:t xml:space="preserve">    监测内容一览表</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3784"/>
              <w:gridCol w:w="2083"/>
              <w:gridCol w:w="1360"/>
            </w:tblGrid>
            <w:tr w14:paraId="5AA9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noWrap w:val="0"/>
                  <w:vAlign w:val="center"/>
                </w:tcPr>
                <w:p w14:paraId="66BA1827">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监测点位</w:t>
                  </w:r>
                </w:p>
              </w:tc>
              <w:tc>
                <w:tcPr>
                  <w:tcW w:w="2339" w:type="pct"/>
                  <w:noWrap w:val="0"/>
                  <w:vAlign w:val="center"/>
                </w:tcPr>
                <w:p w14:paraId="7E754EEF">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监测项目</w:t>
                  </w:r>
                </w:p>
              </w:tc>
              <w:tc>
                <w:tcPr>
                  <w:tcW w:w="1214" w:type="pct"/>
                  <w:noWrap w:val="0"/>
                  <w:vAlign w:val="center"/>
                </w:tcPr>
                <w:p w14:paraId="60D16917">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评价标准</w:t>
                  </w:r>
                </w:p>
              </w:tc>
              <w:tc>
                <w:tcPr>
                  <w:tcW w:w="854" w:type="pct"/>
                  <w:noWrap w:val="0"/>
                  <w:vAlign w:val="center"/>
                </w:tcPr>
                <w:p w14:paraId="2DCD4ED4">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采样及方法</w:t>
                  </w:r>
                </w:p>
              </w:tc>
            </w:tr>
            <w:tr w14:paraId="226E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noWrap w:val="0"/>
                  <w:vAlign w:val="center"/>
                </w:tcPr>
                <w:p w14:paraId="041F3E7A">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项目区占地范围内</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1个监测点</w:t>
                  </w:r>
                  <w:r>
                    <w:rPr>
                      <w:rFonts w:hint="default" w:ascii="Times New Roman" w:hAnsi="Times New Roman" w:eastAsia="宋体" w:cs="Times New Roman"/>
                      <w:color w:val="auto"/>
                      <w:lang w:eastAsia="zh-CN"/>
                    </w:rPr>
                    <w:t>）</w:t>
                  </w:r>
                </w:p>
              </w:tc>
              <w:tc>
                <w:tcPr>
                  <w:tcW w:w="2339" w:type="pct"/>
                  <w:noWrap w:val="0"/>
                  <w:vAlign w:val="center"/>
                </w:tcPr>
                <w:p w14:paraId="1AD2A829">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pH、含盐量、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并[α]芘、苯并[b]荧蒽、苯并[k]荧蒽、䓛、二苯并[α、h]蒽、茚并[1,2,3-cd]芘、萘基本47项进行监测</w:t>
                  </w:r>
                  <w:r>
                    <w:rPr>
                      <w:rFonts w:hint="default" w:ascii="Times New Roman" w:hAnsi="Times New Roman" w:eastAsia="宋体" w:cs="Times New Roman"/>
                      <w:color w:val="auto"/>
                      <w:lang w:eastAsia="zh-CN"/>
                    </w:rPr>
                    <w:t>。</w:t>
                  </w:r>
                </w:p>
              </w:tc>
              <w:tc>
                <w:tcPr>
                  <w:tcW w:w="1214" w:type="pct"/>
                  <w:noWrap w:val="0"/>
                  <w:vAlign w:val="center"/>
                </w:tcPr>
                <w:p w14:paraId="4FD79FCB">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《土壤环境质量建设用地土壤污染风险管控标准（试行）》（GB36600—2018）中筛选值第二类用地的标准</w:t>
                  </w:r>
                </w:p>
              </w:tc>
              <w:tc>
                <w:tcPr>
                  <w:tcW w:w="854" w:type="pct"/>
                  <w:vMerge w:val="restart"/>
                  <w:noWrap w:val="0"/>
                  <w:vAlign w:val="center"/>
                </w:tcPr>
                <w:p w14:paraId="1FE580A6">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采样表层土壤，采样深度20cm，</w:t>
                  </w:r>
                  <w:r>
                    <w:rPr>
                      <w:rFonts w:hint="eastAsia" w:cs="Times New Roman"/>
                      <w:color w:val="auto"/>
                      <w:lang w:eastAsia="zh-CN"/>
                    </w:rPr>
                    <w:t>按照</w:t>
                  </w:r>
                  <w:r>
                    <w:rPr>
                      <w:rFonts w:hint="default" w:ascii="Times New Roman" w:hAnsi="Times New Roman" w:eastAsia="宋体" w:cs="Times New Roman"/>
                      <w:color w:val="auto"/>
                    </w:rPr>
                    <w:t>《土壤环境监测技术规范》（HJ/T</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166-2004）的有关规范执行。</w:t>
                  </w:r>
                </w:p>
              </w:tc>
            </w:tr>
            <w:tr w14:paraId="6D0F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noWrap w:val="0"/>
                  <w:vAlign w:val="center"/>
                </w:tcPr>
                <w:p w14:paraId="716F3E9C">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项目区</w:t>
                  </w:r>
                  <w:r>
                    <w:rPr>
                      <w:rFonts w:hint="eastAsia" w:ascii="Times New Roman" w:hAnsi="Times New Roman" w:eastAsia="宋体" w:cs="Times New Roman"/>
                      <w:color w:val="auto"/>
                      <w:lang w:val="en-US" w:eastAsia="zh-CN"/>
                    </w:rPr>
                    <w:t>南侧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项目区</w:t>
                  </w:r>
                  <w:r>
                    <w:rPr>
                      <w:rFonts w:hint="eastAsia" w:ascii="Times New Roman" w:hAnsi="Times New Roman" w:eastAsia="宋体" w:cs="Times New Roman"/>
                      <w:sz w:val="21"/>
                      <w:szCs w:val="21"/>
                      <w:lang w:val="en-US" w:eastAsia="zh-CN"/>
                    </w:rPr>
                    <w:t>南侧1km范围内1个点位</w:t>
                  </w:r>
                  <w:r>
                    <w:rPr>
                      <w:rFonts w:hint="default" w:ascii="Times New Roman" w:hAnsi="Times New Roman" w:eastAsia="宋体" w:cs="Times New Roman"/>
                      <w:color w:val="auto"/>
                      <w:lang w:eastAsia="zh-CN"/>
                    </w:rPr>
                    <w:t>）</w:t>
                  </w:r>
                </w:p>
              </w:tc>
              <w:tc>
                <w:tcPr>
                  <w:tcW w:w="2339" w:type="pct"/>
                  <w:vMerge w:val="restart"/>
                  <w:noWrap w:val="0"/>
                  <w:vAlign w:val="center"/>
                </w:tcPr>
                <w:p w14:paraId="5F0D148E">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pH、含盐量、镉、汞、砷、铅、铬</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六价</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、铜、镍</w:t>
                  </w:r>
                </w:p>
              </w:tc>
              <w:tc>
                <w:tcPr>
                  <w:tcW w:w="1214" w:type="pct"/>
                  <w:vMerge w:val="restart"/>
                  <w:noWrap w:val="0"/>
                  <w:vAlign w:val="center"/>
                </w:tcPr>
                <w:p w14:paraId="0A2E4C21">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《土壤环境质量建设用地土壤污染风险管控标准（试行）》（GB36600—2018）中筛选值第二类用地的标准</w:t>
                  </w:r>
                </w:p>
              </w:tc>
              <w:tc>
                <w:tcPr>
                  <w:tcW w:w="854" w:type="pct"/>
                  <w:vMerge w:val="continue"/>
                  <w:noWrap w:val="0"/>
                  <w:vAlign w:val="center"/>
                </w:tcPr>
                <w:p w14:paraId="5295BB80">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p>
              </w:tc>
            </w:tr>
            <w:tr w14:paraId="0705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noWrap w:val="0"/>
                  <w:vAlign w:val="center"/>
                </w:tcPr>
                <w:p w14:paraId="1CDCFE38">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项目区</w:t>
                  </w:r>
                  <w:r>
                    <w:rPr>
                      <w:rFonts w:hint="eastAsia" w:ascii="Times New Roman" w:hAnsi="Times New Roman" w:eastAsia="宋体" w:cs="Times New Roman"/>
                      <w:color w:val="auto"/>
                      <w:lang w:val="en-US" w:eastAsia="zh-CN"/>
                    </w:rPr>
                    <w:t>西侧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项目区</w:t>
                  </w:r>
                  <w:r>
                    <w:rPr>
                      <w:rFonts w:hint="eastAsia" w:ascii="Times New Roman" w:hAnsi="Times New Roman" w:eastAsia="宋体" w:cs="Times New Roman"/>
                      <w:sz w:val="21"/>
                      <w:szCs w:val="21"/>
                      <w:lang w:val="en-US" w:eastAsia="zh-CN"/>
                    </w:rPr>
                    <w:t>南侧1km范围内1个点位</w:t>
                  </w:r>
                  <w:r>
                    <w:rPr>
                      <w:rFonts w:hint="default" w:ascii="Times New Roman" w:hAnsi="Times New Roman" w:eastAsia="宋体" w:cs="Times New Roman"/>
                      <w:color w:val="auto"/>
                      <w:lang w:eastAsia="zh-CN"/>
                    </w:rPr>
                    <w:t>）</w:t>
                  </w:r>
                </w:p>
              </w:tc>
              <w:tc>
                <w:tcPr>
                  <w:tcW w:w="2339" w:type="pct"/>
                  <w:vMerge w:val="continue"/>
                  <w:noWrap w:val="0"/>
                  <w:vAlign w:val="center"/>
                </w:tcPr>
                <w:p w14:paraId="055DC310">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p>
              </w:tc>
              <w:tc>
                <w:tcPr>
                  <w:tcW w:w="1214" w:type="pct"/>
                  <w:vMerge w:val="continue"/>
                  <w:noWrap w:val="0"/>
                  <w:vAlign w:val="center"/>
                </w:tcPr>
                <w:p w14:paraId="0F08CEB7">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p>
              </w:tc>
              <w:tc>
                <w:tcPr>
                  <w:tcW w:w="854" w:type="pct"/>
                  <w:vMerge w:val="continue"/>
                  <w:noWrap w:val="0"/>
                  <w:vAlign w:val="center"/>
                </w:tcPr>
                <w:p w14:paraId="672C58D5">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p>
              </w:tc>
            </w:tr>
          </w:tbl>
          <w:p w14:paraId="0528EE61">
            <w:pPr>
              <w:pStyle w:val="44"/>
              <w:keepNext w:val="0"/>
              <w:keepLines w:val="0"/>
              <w:suppressLineNumbers w:val="0"/>
              <w:spacing w:before="0" w:beforeAutospacing="0" w:after="0" w:afterAutospacing="0" w:line="480" w:lineRule="exact"/>
              <w:ind w:left="0" w:right="0" w:firstLine="482"/>
              <w:rPr>
                <w:rFonts w:hint="default"/>
                <w:b/>
                <w:bCs/>
                <w:kern w:val="44"/>
                <w:sz w:val="24"/>
                <w:szCs w:val="24"/>
              </w:rPr>
            </w:pPr>
            <w:r>
              <w:rPr>
                <w:rFonts w:hint="eastAsia"/>
                <w:b/>
                <w:bCs/>
                <w:kern w:val="44"/>
                <w:sz w:val="24"/>
                <w:szCs w:val="24"/>
                <w:lang w:val="en-US" w:eastAsia="zh-CN"/>
              </w:rPr>
              <w:t>5</w:t>
            </w:r>
            <w:r>
              <w:rPr>
                <w:rFonts w:hint="default"/>
                <w:b/>
                <w:bCs/>
                <w:kern w:val="44"/>
                <w:sz w:val="24"/>
                <w:szCs w:val="24"/>
              </w:rPr>
              <w:t>.</w:t>
            </w:r>
            <w:r>
              <w:rPr>
                <w:rFonts w:hint="eastAsia"/>
                <w:b/>
                <w:bCs/>
                <w:kern w:val="44"/>
                <w:sz w:val="24"/>
                <w:szCs w:val="24"/>
                <w:lang w:val="en-US" w:eastAsia="zh-CN"/>
              </w:rPr>
              <w:t>2</w:t>
            </w:r>
            <w:r>
              <w:rPr>
                <w:rFonts w:hint="default"/>
                <w:b/>
                <w:bCs/>
                <w:kern w:val="44"/>
                <w:sz w:val="24"/>
                <w:szCs w:val="24"/>
              </w:rPr>
              <w:t>现状监测结果与结论</w:t>
            </w:r>
          </w:p>
          <w:p w14:paraId="6DE9884F">
            <w:pPr>
              <w:pStyle w:val="44"/>
              <w:keepNext w:val="0"/>
              <w:keepLines w:val="0"/>
              <w:suppressLineNumbers w:val="0"/>
              <w:spacing w:before="0" w:beforeAutospacing="0" w:after="0" w:afterAutospacing="0" w:line="480" w:lineRule="exact"/>
              <w:ind w:left="0" w:right="0" w:firstLine="480"/>
              <w:rPr>
                <w:rFonts w:hint="default"/>
                <w:b/>
                <w:bCs/>
                <w:kern w:val="44"/>
                <w:sz w:val="24"/>
                <w:szCs w:val="24"/>
              </w:rPr>
            </w:pPr>
            <w:r>
              <w:rPr>
                <w:rFonts w:hint="default"/>
                <w:kern w:val="44"/>
                <w:sz w:val="24"/>
                <w:szCs w:val="24"/>
              </w:rPr>
              <w:t>项目区占地范围内土壤盐化、酸化、碱化情况分级评价结果如下。</w:t>
            </w:r>
          </w:p>
          <w:p w14:paraId="554FB82D">
            <w:pPr>
              <w:pStyle w:val="44"/>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520" w:lineRule="exact"/>
              <w:ind w:left="0" w:right="0" w:firstLine="0" w:firstLineChars="0"/>
              <w:jc w:val="center"/>
              <w:textAlignment w:val="auto"/>
              <w:rPr>
                <w:rFonts w:hint="default"/>
                <w:b/>
                <w:bCs/>
                <w:kern w:val="44"/>
                <w:sz w:val="24"/>
                <w:szCs w:val="24"/>
              </w:rPr>
            </w:pPr>
            <w:r>
              <w:rPr>
                <w:rFonts w:hint="default"/>
                <w:b/>
                <w:bCs/>
                <w:kern w:val="44"/>
                <w:sz w:val="24"/>
                <w:szCs w:val="24"/>
              </w:rPr>
              <w:t>表3-</w:t>
            </w:r>
            <w:r>
              <w:rPr>
                <w:rFonts w:hint="eastAsia"/>
                <w:b/>
                <w:bCs/>
                <w:kern w:val="44"/>
                <w:sz w:val="24"/>
                <w:szCs w:val="24"/>
              </w:rPr>
              <w:t>9</w:t>
            </w:r>
            <w:r>
              <w:rPr>
                <w:rFonts w:hint="default"/>
                <w:b/>
                <w:bCs/>
                <w:kern w:val="44"/>
                <w:sz w:val="24"/>
                <w:szCs w:val="24"/>
              </w:rPr>
              <w:t xml:space="preserve">    土壤盐化、酸化、碱化情况判定表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037"/>
              <w:gridCol w:w="1160"/>
              <w:gridCol w:w="1581"/>
              <w:gridCol w:w="1628"/>
            </w:tblGrid>
            <w:tr w14:paraId="6F5C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77" w:type="pct"/>
                  <w:vAlign w:val="center"/>
                </w:tcPr>
                <w:p w14:paraId="793ACE3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项目</w:t>
                  </w:r>
                </w:p>
              </w:tc>
              <w:tc>
                <w:tcPr>
                  <w:tcW w:w="1247" w:type="pct"/>
                  <w:vAlign w:val="center"/>
                </w:tcPr>
                <w:p w14:paraId="0007D39D">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指标</w:t>
                  </w:r>
                </w:p>
              </w:tc>
              <w:tc>
                <w:tcPr>
                  <w:tcW w:w="710" w:type="pct"/>
                  <w:vAlign w:val="center"/>
                </w:tcPr>
                <w:p w14:paraId="4FE5CE99">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监测结果</w:t>
                  </w:r>
                </w:p>
              </w:tc>
              <w:tc>
                <w:tcPr>
                  <w:tcW w:w="968" w:type="pct"/>
                  <w:vAlign w:val="center"/>
                </w:tcPr>
                <w:p w14:paraId="149F981E">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所属级别</w:t>
                  </w:r>
                </w:p>
              </w:tc>
              <w:tc>
                <w:tcPr>
                  <w:tcW w:w="997" w:type="pct"/>
                  <w:vAlign w:val="center"/>
                </w:tcPr>
                <w:p w14:paraId="5A81B51B">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分级</w:t>
                  </w:r>
                </w:p>
              </w:tc>
            </w:tr>
            <w:tr w14:paraId="16C2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77" w:type="pct"/>
                  <w:vAlign w:val="center"/>
                </w:tcPr>
                <w:p w14:paraId="6E676CA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土壤盐化</w:t>
                  </w:r>
                </w:p>
              </w:tc>
              <w:tc>
                <w:tcPr>
                  <w:tcW w:w="1247" w:type="pct"/>
                  <w:vAlign w:val="center"/>
                </w:tcPr>
                <w:p w14:paraId="103A241D">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土壤含盐量（g/kg）</w:t>
                  </w:r>
                </w:p>
              </w:tc>
              <w:tc>
                <w:tcPr>
                  <w:tcW w:w="710" w:type="pct"/>
                  <w:vAlign w:val="center"/>
                </w:tcPr>
                <w:p w14:paraId="22E22FC8">
                  <w:pPr>
                    <w:pStyle w:val="45"/>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eastAsia="宋体"/>
                    </w:rPr>
                    <w:t>0.</w:t>
                  </w:r>
                  <w:r>
                    <w:rPr>
                      <w:rFonts w:hint="eastAsia" w:ascii="Times New Roman" w:hAnsi="Times New Roman" w:eastAsia="宋体"/>
                      <w:lang w:val="en-US" w:eastAsia="zh-CN"/>
                    </w:rPr>
                    <w:t>7</w:t>
                  </w:r>
                </w:p>
              </w:tc>
              <w:tc>
                <w:tcPr>
                  <w:tcW w:w="968" w:type="pct"/>
                  <w:vAlign w:val="center"/>
                </w:tcPr>
                <w:p w14:paraId="39C08644">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SSC</w:t>
                  </w:r>
                  <w:r>
                    <w:rPr>
                      <w:rFonts w:hint="eastAsia"/>
                      <w:lang w:eastAsia="zh-CN"/>
                    </w:rPr>
                    <w:t>&lt;</w:t>
                  </w:r>
                  <w:r>
                    <w:rPr>
                      <w:rFonts w:hint="eastAsia" w:ascii="Times New Roman" w:hAnsi="Times New Roman" w:eastAsia="宋体"/>
                    </w:rPr>
                    <w:t>2</w:t>
                  </w:r>
                </w:p>
              </w:tc>
              <w:tc>
                <w:tcPr>
                  <w:tcW w:w="997" w:type="pct"/>
                  <w:vAlign w:val="center"/>
                </w:tcPr>
                <w:p w14:paraId="1A14574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未盐化</w:t>
                  </w:r>
                </w:p>
              </w:tc>
            </w:tr>
            <w:tr w14:paraId="483F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77" w:type="pct"/>
                  <w:vAlign w:val="center"/>
                </w:tcPr>
                <w:p w14:paraId="077E5D28">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土壤酸化、碱化</w:t>
                  </w:r>
                </w:p>
              </w:tc>
              <w:tc>
                <w:tcPr>
                  <w:tcW w:w="1247" w:type="pct"/>
                  <w:vAlign w:val="center"/>
                </w:tcPr>
                <w:p w14:paraId="17E76949">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pH</w:t>
                  </w:r>
                </w:p>
              </w:tc>
              <w:tc>
                <w:tcPr>
                  <w:tcW w:w="710" w:type="pct"/>
                  <w:vAlign w:val="center"/>
                </w:tcPr>
                <w:p w14:paraId="47492766">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lang w:val="en-US" w:eastAsia="zh-CN"/>
                    </w:rPr>
                    <w:t>8.72</w:t>
                  </w:r>
                </w:p>
              </w:tc>
              <w:tc>
                <w:tcPr>
                  <w:tcW w:w="968" w:type="pct"/>
                  <w:vAlign w:val="center"/>
                </w:tcPr>
                <w:p w14:paraId="456E50FD">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lang w:val="en-US" w:eastAsia="zh-CN"/>
                    </w:rPr>
                    <w:t>8.5≤pH</w:t>
                  </w:r>
                  <w:r>
                    <w:rPr>
                      <w:rFonts w:hint="eastAsia"/>
                      <w:lang w:val="en-US" w:eastAsia="zh-CN"/>
                    </w:rPr>
                    <w:t>&lt;</w:t>
                  </w:r>
                  <w:r>
                    <w:rPr>
                      <w:rFonts w:hint="eastAsia" w:ascii="Times New Roman" w:hAnsi="Times New Roman" w:eastAsia="宋体"/>
                      <w:lang w:val="en-US" w:eastAsia="zh-CN"/>
                    </w:rPr>
                    <w:t>9.0</w:t>
                  </w:r>
                </w:p>
              </w:tc>
              <w:tc>
                <w:tcPr>
                  <w:tcW w:w="997" w:type="pct"/>
                  <w:vAlign w:val="center"/>
                </w:tcPr>
                <w:p w14:paraId="000EC907">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lang w:val="en-US" w:eastAsia="zh-CN"/>
                    </w:rPr>
                    <w:t>轻度</w:t>
                  </w:r>
                  <w:r>
                    <w:rPr>
                      <w:rFonts w:hint="eastAsia" w:ascii="Times New Roman" w:hAnsi="Times New Roman" w:eastAsia="宋体"/>
                    </w:rPr>
                    <w:t>碱化</w:t>
                  </w:r>
                </w:p>
              </w:tc>
            </w:tr>
          </w:tbl>
          <w:p w14:paraId="085EB3EB">
            <w:pPr>
              <w:pStyle w:val="44"/>
              <w:keepNext w:val="0"/>
              <w:keepLines w:val="0"/>
              <w:suppressLineNumbers w:val="0"/>
              <w:spacing w:before="0" w:beforeAutospacing="0" w:after="0" w:afterAutospacing="0" w:line="480" w:lineRule="exact"/>
              <w:ind w:left="0" w:right="0" w:firstLine="480"/>
              <w:rPr>
                <w:rFonts w:hint="default"/>
                <w:kern w:val="44"/>
                <w:sz w:val="24"/>
                <w:szCs w:val="24"/>
              </w:rPr>
            </w:pPr>
            <w:r>
              <w:rPr>
                <w:rFonts w:hint="default"/>
                <w:kern w:val="44"/>
                <w:sz w:val="24"/>
                <w:szCs w:val="24"/>
              </w:rPr>
              <w:t>项目区占地范围内土壤监测结果及评价结果如下：</w:t>
            </w:r>
          </w:p>
          <w:p w14:paraId="45DE19E3">
            <w:pPr>
              <w:pStyle w:val="44"/>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520" w:lineRule="exact"/>
              <w:ind w:left="0" w:right="0" w:firstLine="0" w:firstLineChars="0"/>
              <w:jc w:val="center"/>
              <w:textAlignment w:val="auto"/>
              <w:rPr>
                <w:rFonts w:hint="default"/>
                <w:b/>
                <w:bCs/>
                <w:kern w:val="44"/>
                <w:sz w:val="24"/>
                <w:szCs w:val="24"/>
              </w:rPr>
            </w:pPr>
            <w:r>
              <w:rPr>
                <w:rFonts w:hint="default"/>
                <w:b/>
                <w:bCs/>
                <w:kern w:val="44"/>
                <w:sz w:val="24"/>
                <w:szCs w:val="24"/>
              </w:rPr>
              <w:t>表3-</w:t>
            </w:r>
            <w:r>
              <w:rPr>
                <w:rFonts w:hint="eastAsia"/>
                <w:b/>
                <w:bCs/>
                <w:kern w:val="44"/>
                <w:sz w:val="24"/>
                <w:szCs w:val="24"/>
              </w:rPr>
              <w:t>10</w:t>
            </w:r>
            <w:r>
              <w:rPr>
                <w:rFonts w:hint="default"/>
                <w:b/>
                <w:bCs/>
                <w:kern w:val="44"/>
                <w:sz w:val="24"/>
                <w:szCs w:val="24"/>
              </w:rPr>
              <w:t xml:space="preserve">    项目区占地范围内土壤监测结果    单位：mg/kg</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1435"/>
              <w:gridCol w:w="2530"/>
              <w:gridCol w:w="1871"/>
            </w:tblGrid>
            <w:tr w14:paraId="64F3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26" w:type="pct"/>
                  <w:vMerge w:val="restart"/>
                  <w:vAlign w:val="center"/>
                </w:tcPr>
                <w:p w14:paraId="1B393FD3">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检测项目</w:t>
                  </w:r>
                </w:p>
              </w:tc>
              <w:tc>
                <w:tcPr>
                  <w:tcW w:w="879" w:type="pct"/>
                  <w:vMerge w:val="restart"/>
                  <w:vAlign w:val="center"/>
                </w:tcPr>
                <w:p w14:paraId="59C62F2B">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二类用地筛选值</w:t>
                  </w:r>
                </w:p>
              </w:tc>
              <w:tc>
                <w:tcPr>
                  <w:tcW w:w="1549" w:type="pct"/>
                  <w:vAlign w:val="center"/>
                </w:tcPr>
                <w:p w14:paraId="31F429B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监测点位</w:t>
                  </w:r>
                </w:p>
              </w:tc>
              <w:tc>
                <w:tcPr>
                  <w:tcW w:w="1144" w:type="pct"/>
                  <w:vMerge w:val="restart"/>
                  <w:vAlign w:val="center"/>
                </w:tcPr>
                <w:p w14:paraId="20CF9234">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占标率（%）</w:t>
                  </w:r>
                </w:p>
              </w:tc>
            </w:tr>
            <w:tr w14:paraId="097D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426" w:type="pct"/>
                  <w:vMerge w:val="continue"/>
                  <w:vAlign w:val="center"/>
                </w:tcPr>
                <w:p w14:paraId="22CAB0E2">
                  <w:pPr>
                    <w:pStyle w:val="45"/>
                    <w:keepNext w:val="0"/>
                    <w:keepLines w:val="0"/>
                    <w:suppressLineNumbers w:val="0"/>
                    <w:spacing w:before="0" w:beforeAutospacing="0" w:after="0" w:afterAutospacing="0"/>
                    <w:ind w:left="0" w:right="0"/>
                    <w:rPr>
                      <w:rFonts w:hint="default" w:ascii="Times New Roman" w:hAnsi="Times New Roman" w:eastAsia="宋体"/>
                    </w:rPr>
                  </w:pPr>
                </w:p>
              </w:tc>
              <w:tc>
                <w:tcPr>
                  <w:tcW w:w="879" w:type="pct"/>
                  <w:vMerge w:val="continue"/>
                  <w:vAlign w:val="center"/>
                </w:tcPr>
                <w:p w14:paraId="5462E463">
                  <w:pPr>
                    <w:pStyle w:val="45"/>
                    <w:keepNext w:val="0"/>
                    <w:keepLines w:val="0"/>
                    <w:suppressLineNumbers w:val="0"/>
                    <w:spacing w:before="0" w:beforeAutospacing="0" w:after="0" w:afterAutospacing="0"/>
                    <w:ind w:left="0" w:right="0"/>
                    <w:rPr>
                      <w:rFonts w:hint="default" w:ascii="Times New Roman" w:hAnsi="Times New Roman" w:eastAsia="宋体"/>
                    </w:rPr>
                  </w:pPr>
                </w:p>
              </w:tc>
              <w:tc>
                <w:tcPr>
                  <w:tcW w:w="1549" w:type="pct"/>
                  <w:vAlign w:val="center"/>
                </w:tcPr>
                <w:p w14:paraId="7D37CBC4">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占地范围内1#点位</w:t>
                  </w:r>
                </w:p>
              </w:tc>
              <w:tc>
                <w:tcPr>
                  <w:tcW w:w="1144" w:type="pct"/>
                  <w:vMerge w:val="continue"/>
                  <w:vAlign w:val="center"/>
                </w:tcPr>
                <w:p w14:paraId="10AC579D">
                  <w:pPr>
                    <w:pStyle w:val="45"/>
                    <w:keepNext w:val="0"/>
                    <w:keepLines w:val="0"/>
                    <w:suppressLineNumbers w:val="0"/>
                    <w:spacing w:before="0" w:beforeAutospacing="0" w:after="0" w:afterAutospacing="0"/>
                    <w:ind w:left="0" w:right="0"/>
                    <w:rPr>
                      <w:rFonts w:hint="default" w:ascii="Times New Roman" w:hAnsi="Times New Roman" w:eastAsia="宋体"/>
                    </w:rPr>
                  </w:pPr>
                </w:p>
              </w:tc>
            </w:tr>
            <w:tr w14:paraId="796E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6" w:type="pct"/>
                  <w:vAlign w:val="center"/>
                </w:tcPr>
                <w:p w14:paraId="1A5A6F30">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砷</w:t>
                  </w:r>
                </w:p>
              </w:tc>
              <w:tc>
                <w:tcPr>
                  <w:tcW w:w="879" w:type="pct"/>
                  <w:vAlign w:val="center"/>
                </w:tcPr>
                <w:p w14:paraId="28ED940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60</w:t>
                  </w:r>
                </w:p>
              </w:tc>
              <w:tc>
                <w:tcPr>
                  <w:tcW w:w="1549" w:type="pct"/>
                  <w:vAlign w:val="center"/>
                </w:tcPr>
                <w:p w14:paraId="2A3E0CA5">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lang w:val="en-US" w:eastAsia="zh-CN"/>
                    </w:rPr>
                    <w:t>13.8</w:t>
                  </w:r>
                </w:p>
              </w:tc>
              <w:tc>
                <w:tcPr>
                  <w:tcW w:w="1144" w:type="pct"/>
                  <w:vAlign w:val="center"/>
                </w:tcPr>
                <w:p w14:paraId="64404BB4">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lang w:val="en-US" w:eastAsia="zh-CN"/>
                    </w:rPr>
                    <w:t>23</w:t>
                  </w:r>
                </w:p>
              </w:tc>
            </w:tr>
            <w:tr w14:paraId="7EBC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6" w:type="pct"/>
                  <w:vAlign w:val="center"/>
                </w:tcPr>
                <w:p w14:paraId="432693D2">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镉</w:t>
                  </w:r>
                </w:p>
              </w:tc>
              <w:tc>
                <w:tcPr>
                  <w:tcW w:w="879" w:type="pct"/>
                  <w:vAlign w:val="center"/>
                </w:tcPr>
                <w:p w14:paraId="3FAAC6D7">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65</w:t>
                  </w:r>
                </w:p>
              </w:tc>
              <w:tc>
                <w:tcPr>
                  <w:tcW w:w="1549" w:type="pct"/>
                  <w:vAlign w:val="center"/>
                </w:tcPr>
                <w:p w14:paraId="6A810294">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rPr>
                    <w:t>0.</w:t>
                  </w:r>
                  <w:r>
                    <w:rPr>
                      <w:rFonts w:hint="eastAsia" w:ascii="Times New Roman" w:hAnsi="Times New Roman" w:eastAsia="宋体"/>
                      <w:lang w:val="en-US" w:eastAsia="zh-CN"/>
                    </w:rPr>
                    <w:t>12</w:t>
                  </w:r>
                </w:p>
              </w:tc>
              <w:tc>
                <w:tcPr>
                  <w:tcW w:w="1144" w:type="pct"/>
                  <w:vAlign w:val="center"/>
                </w:tcPr>
                <w:p w14:paraId="5F83612C">
                  <w:pPr>
                    <w:pStyle w:val="45"/>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eastAsia="宋体"/>
                    </w:rPr>
                    <w:t>0.</w:t>
                  </w:r>
                  <w:r>
                    <w:rPr>
                      <w:rFonts w:hint="eastAsia" w:ascii="Times New Roman" w:hAnsi="Times New Roman" w:eastAsia="宋体"/>
                      <w:lang w:val="en-US" w:eastAsia="zh-CN"/>
                    </w:rPr>
                    <w:t>1</w:t>
                  </w:r>
                </w:p>
              </w:tc>
            </w:tr>
            <w:tr w14:paraId="2670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40ED6172">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铬（六价）</w:t>
                  </w:r>
                </w:p>
              </w:tc>
              <w:tc>
                <w:tcPr>
                  <w:tcW w:w="879" w:type="pct"/>
                  <w:vAlign w:val="center"/>
                </w:tcPr>
                <w:p w14:paraId="6BA04B09">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5.7</w:t>
                  </w:r>
                </w:p>
              </w:tc>
              <w:tc>
                <w:tcPr>
                  <w:tcW w:w="1549" w:type="pct"/>
                  <w:vAlign w:val="center"/>
                </w:tcPr>
                <w:p w14:paraId="74F6A8D0">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0.5L</w:t>
                  </w:r>
                </w:p>
              </w:tc>
              <w:tc>
                <w:tcPr>
                  <w:tcW w:w="1144" w:type="pct"/>
                  <w:vAlign w:val="center"/>
                </w:tcPr>
                <w:p w14:paraId="55F635C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w:t>
                  </w:r>
                </w:p>
              </w:tc>
            </w:tr>
            <w:tr w14:paraId="0F54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1634114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铜</w:t>
                  </w:r>
                </w:p>
              </w:tc>
              <w:tc>
                <w:tcPr>
                  <w:tcW w:w="879" w:type="pct"/>
                  <w:vAlign w:val="center"/>
                </w:tcPr>
                <w:p w14:paraId="41F1D957">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18000</w:t>
                  </w:r>
                </w:p>
              </w:tc>
              <w:tc>
                <w:tcPr>
                  <w:tcW w:w="1549" w:type="pct"/>
                  <w:vAlign w:val="center"/>
                </w:tcPr>
                <w:p w14:paraId="2C755FB9">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lang w:val="en-US" w:eastAsia="zh-CN"/>
                    </w:rPr>
                    <w:t>34</w:t>
                  </w:r>
                </w:p>
              </w:tc>
              <w:tc>
                <w:tcPr>
                  <w:tcW w:w="1144" w:type="pct"/>
                  <w:vAlign w:val="center"/>
                </w:tcPr>
                <w:p w14:paraId="32CDCDA9">
                  <w:pPr>
                    <w:pStyle w:val="45"/>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eastAsia="宋体"/>
                    </w:rPr>
                    <w:t>0.</w:t>
                  </w:r>
                  <w:r>
                    <w:rPr>
                      <w:rFonts w:hint="eastAsia" w:ascii="Times New Roman" w:hAnsi="Times New Roman" w:eastAsia="宋体"/>
                      <w:lang w:val="en-US" w:eastAsia="zh-CN"/>
                    </w:rPr>
                    <w:t>2</w:t>
                  </w:r>
                </w:p>
              </w:tc>
            </w:tr>
            <w:tr w14:paraId="6660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6" w:type="pct"/>
                  <w:vAlign w:val="center"/>
                </w:tcPr>
                <w:p w14:paraId="04B7D3AD">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铅</w:t>
                  </w:r>
                </w:p>
              </w:tc>
              <w:tc>
                <w:tcPr>
                  <w:tcW w:w="879" w:type="pct"/>
                  <w:vAlign w:val="center"/>
                </w:tcPr>
                <w:p w14:paraId="0C1880CD">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800</w:t>
                  </w:r>
                </w:p>
              </w:tc>
              <w:tc>
                <w:tcPr>
                  <w:tcW w:w="1549" w:type="pct"/>
                  <w:vAlign w:val="center"/>
                </w:tcPr>
                <w:p w14:paraId="34AA8DF9">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rPr>
                    <w:t>1</w:t>
                  </w:r>
                  <w:r>
                    <w:rPr>
                      <w:rFonts w:hint="eastAsia" w:ascii="Times New Roman" w:hAnsi="Times New Roman" w:eastAsia="宋体"/>
                      <w:lang w:val="en-US" w:eastAsia="zh-CN"/>
                    </w:rPr>
                    <w:t>4.2</w:t>
                  </w:r>
                </w:p>
              </w:tc>
              <w:tc>
                <w:tcPr>
                  <w:tcW w:w="1144" w:type="pct"/>
                  <w:vAlign w:val="center"/>
                </w:tcPr>
                <w:p w14:paraId="63D06367">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lang w:val="en-US" w:eastAsia="zh-CN"/>
                    </w:rPr>
                    <w:t>1.8</w:t>
                  </w:r>
                </w:p>
              </w:tc>
            </w:tr>
            <w:tr w14:paraId="234F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362380C1">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汞</w:t>
                  </w:r>
                </w:p>
              </w:tc>
              <w:tc>
                <w:tcPr>
                  <w:tcW w:w="879" w:type="pct"/>
                  <w:vAlign w:val="center"/>
                </w:tcPr>
                <w:p w14:paraId="5849E5E6">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38</w:t>
                  </w:r>
                </w:p>
              </w:tc>
              <w:tc>
                <w:tcPr>
                  <w:tcW w:w="1549" w:type="pct"/>
                  <w:vAlign w:val="center"/>
                </w:tcPr>
                <w:p w14:paraId="353E30A6">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rPr>
                    <w:t>0.</w:t>
                  </w:r>
                  <w:r>
                    <w:rPr>
                      <w:rFonts w:hint="eastAsia" w:ascii="Times New Roman" w:hAnsi="Times New Roman" w:eastAsia="宋体"/>
                      <w:lang w:val="en-US" w:eastAsia="zh-CN"/>
                    </w:rPr>
                    <w:t>174</w:t>
                  </w:r>
                </w:p>
              </w:tc>
              <w:tc>
                <w:tcPr>
                  <w:tcW w:w="1144" w:type="pct"/>
                  <w:vAlign w:val="center"/>
                </w:tcPr>
                <w:p w14:paraId="4F6B224B">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0.6</w:t>
                  </w:r>
                </w:p>
              </w:tc>
            </w:tr>
            <w:tr w14:paraId="16AF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5B016F7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镍</w:t>
                  </w:r>
                </w:p>
              </w:tc>
              <w:tc>
                <w:tcPr>
                  <w:tcW w:w="879" w:type="pct"/>
                  <w:vAlign w:val="center"/>
                </w:tcPr>
                <w:p w14:paraId="4751A4AE">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900</w:t>
                  </w:r>
                </w:p>
              </w:tc>
              <w:tc>
                <w:tcPr>
                  <w:tcW w:w="1549" w:type="pct"/>
                  <w:vAlign w:val="center"/>
                </w:tcPr>
                <w:p w14:paraId="2787CF6C">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lang w:val="en-US" w:eastAsia="zh-CN"/>
                    </w:rPr>
                    <w:t>40</w:t>
                  </w:r>
                </w:p>
              </w:tc>
              <w:tc>
                <w:tcPr>
                  <w:tcW w:w="1144" w:type="pct"/>
                  <w:vAlign w:val="center"/>
                </w:tcPr>
                <w:p w14:paraId="10F35E00">
                  <w:pPr>
                    <w:pStyle w:val="45"/>
                    <w:keepNext w:val="0"/>
                    <w:keepLines w:val="0"/>
                    <w:suppressLineNumbers w:val="0"/>
                    <w:spacing w:before="0" w:beforeAutospacing="0" w:after="0" w:afterAutospacing="0"/>
                    <w:ind w:left="0" w:right="0"/>
                    <w:rPr>
                      <w:rFonts w:hint="default" w:ascii="Times New Roman" w:hAnsi="Times New Roman" w:eastAsia="宋体"/>
                      <w:lang w:val="en-US" w:eastAsia="zh-CN"/>
                    </w:rPr>
                  </w:pPr>
                  <w:r>
                    <w:rPr>
                      <w:rFonts w:hint="eastAsia" w:ascii="Times New Roman" w:hAnsi="Times New Roman" w:eastAsia="宋体"/>
                      <w:lang w:val="en-US" w:eastAsia="zh-CN"/>
                    </w:rPr>
                    <w:t>4.4</w:t>
                  </w:r>
                </w:p>
              </w:tc>
            </w:tr>
            <w:tr w14:paraId="2D3D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7F6E4C29">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四氯化碳</w:t>
                  </w:r>
                </w:p>
              </w:tc>
              <w:tc>
                <w:tcPr>
                  <w:tcW w:w="879" w:type="pct"/>
                  <w:vAlign w:val="center"/>
                </w:tcPr>
                <w:p w14:paraId="4FA4F46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2.8</w:t>
                  </w:r>
                </w:p>
              </w:tc>
              <w:tc>
                <w:tcPr>
                  <w:tcW w:w="1549" w:type="pct"/>
                  <w:vAlign w:val="center"/>
                </w:tcPr>
                <w:p w14:paraId="2F63B7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1.3×10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48506BC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eastAsia" w:ascii="Times New Roman" w:hAnsi="Times New Roman" w:eastAsia="宋体"/>
                    </w:rPr>
                    <w:t>/</w:t>
                  </w:r>
                </w:p>
              </w:tc>
            </w:tr>
            <w:tr w14:paraId="17D3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6" w:type="pct"/>
                  <w:vAlign w:val="center"/>
                </w:tcPr>
                <w:p w14:paraId="7FB7B227">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氯仿</w:t>
                  </w:r>
                </w:p>
              </w:tc>
              <w:tc>
                <w:tcPr>
                  <w:tcW w:w="879" w:type="pct"/>
                  <w:vAlign w:val="center"/>
                </w:tcPr>
                <w:p w14:paraId="5902C04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0.9</w:t>
                  </w:r>
                </w:p>
              </w:tc>
              <w:tc>
                <w:tcPr>
                  <w:tcW w:w="1549" w:type="pct"/>
                  <w:vAlign w:val="center"/>
                </w:tcPr>
                <w:p w14:paraId="7F29B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1.1×10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4B62BE46">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2CDE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6936A82A">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氯甲烷</w:t>
                  </w:r>
                </w:p>
              </w:tc>
              <w:tc>
                <w:tcPr>
                  <w:tcW w:w="879" w:type="pct"/>
                  <w:vAlign w:val="center"/>
                </w:tcPr>
                <w:p w14:paraId="06ED9822">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37</w:t>
                  </w:r>
                </w:p>
              </w:tc>
              <w:tc>
                <w:tcPr>
                  <w:tcW w:w="1549" w:type="pct"/>
                  <w:vAlign w:val="center"/>
                </w:tcPr>
                <w:p w14:paraId="5C13C1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1.0×10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4A501FC5">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7603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43C38B5D">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1,1-二氯乙烷</w:t>
                  </w:r>
                </w:p>
              </w:tc>
              <w:tc>
                <w:tcPr>
                  <w:tcW w:w="879" w:type="pct"/>
                  <w:vAlign w:val="center"/>
                </w:tcPr>
                <w:p w14:paraId="602B982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9</w:t>
                  </w:r>
                </w:p>
              </w:tc>
              <w:tc>
                <w:tcPr>
                  <w:tcW w:w="1549" w:type="pct"/>
                  <w:vAlign w:val="center"/>
                </w:tcPr>
                <w:p w14:paraId="5B7439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5C8F7E5D">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695D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1FD05F6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1,2-二氯乙烷</w:t>
                  </w:r>
                </w:p>
              </w:tc>
              <w:tc>
                <w:tcPr>
                  <w:tcW w:w="879" w:type="pct"/>
                  <w:vAlign w:val="center"/>
                </w:tcPr>
                <w:p w14:paraId="7E3FAD0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5</w:t>
                  </w:r>
                </w:p>
              </w:tc>
              <w:tc>
                <w:tcPr>
                  <w:tcW w:w="1549" w:type="pct"/>
                  <w:vAlign w:val="center"/>
                </w:tcPr>
                <w:p w14:paraId="7662C8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1.3×10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13DC9E96">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2A7B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62499B94">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1,1-二氯乙烯</w:t>
                  </w:r>
                </w:p>
              </w:tc>
              <w:tc>
                <w:tcPr>
                  <w:tcW w:w="879" w:type="pct"/>
                  <w:vAlign w:val="center"/>
                </w:tcPr>
                <w:p w14:paraId="62A01DD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66</w:t>
                  </w:r>
                </w:p>
              </w:tc>
              <w:tc>
                <w:tcPr>
                  <w:tcW w:w="1549" w:type="pct"/>
                  <w:vAlign w:val="center"/>
                </w:tcPr>
                <w:p w14:paraId="75DD00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1.0×10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1CFFF866">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4F3E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22EDE031">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顺-1,2-二氯乙烯</w:t>
                  </w:r>
                </w:p>
              </w:tc>
              <w:tc>
                <w:tcPr>
                  <w:tcW w:w="879" w:type="pct"/>
                  <w:vAlign w:val="center"/>
                </w:tcPr>
                <w:p w14:paraId="5003A8B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596</w:t>
                  </w:r>
                </w:p>
              </w:tc>
              <w:tc>
                <w:tcPr>
                  <w:tcW w:w="1549" w:type="pct"/>
                  <w:vAlign w:val="center"/>
                </w:tcPr>
                <w:p w14:paraId="3DADA9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1.3×10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19A4A293">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76C8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7D23E821">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反-1,2-二氯乙烯</w:t>
                  </w:r>
                </w:p>
              </w:tc>
              <w:tc>
                <w:tcPr>
                  <w:tcW w:w="879" w:type="pct"/>
                  <w:vAlign w:val="center"/>
                </w:tcPr>
                <w:p w14:paraId="1DAAC6F6">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54</w:t>
                  </w:r>
                </w:p>
              </w:tc>
              <w:tc>
                <w:tcPr>
                  <w:tcW w:w="1549" w:type="pct"/>
                  <w:vAlign w:val="center"/>
                </w:tcPr>
                <w:p w14:paraId="17D015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1.4×10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7C114D48">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3140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5D6F1C92">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二氯甲烷</w:t>
                  </w:r>
                </w:p>
              </w:tc>
              <w:tc>
                <w:tcPr>
                  <w:tcW w:w="879" w:type="pct"/>
                  <w:vAlign w:val="center"/>
                </w:tcPr>
                <w:p w14:paraId="37C98940">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616</w:t>
                  </w:r>
                </w:p>
              </w:tc>
              <w:tc>
                <w:tcPr>
                  <w:tcW w:w="1549" w:type="pct"/>
                  <w:vAlign w:val="center"/>
                </w:tcPr>
                <w:p w14:paraId="570A1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1.5×10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76FE9DB1">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15FC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2B0EBAA3">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1,2-二氯丙烷</w:t>
                  </w:r>
                </w:p>
              </w:tc>
              <w:tc>
                <w:tcPr>
                  <w:tcW w:w="879" w:type="pct"/>
                  <w:vAlign w:val="center"/>
                </w:tcPr>
                <w:p w14:paraId="11184D6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5</w:t>
                  </w:r>
                </w:p>
              </w:tc>
              <w:tc>
                <w:tcPr>
                  <w:tcW w:w="1549" w:type="pct"/>
                  <w:vAlign w:val="center"/>
                </w:tcPr>
                <w:p w14:paraId="089008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1.1×10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30A63CC3">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5956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42C7E850">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1,1,1,2-四氯乙烷</w:t>
                  </w:r>
                </w:p>
              </w:tc>
              <w:tc>
                <w:tcPr>
                  <w:tcW w:w="879" w:type="pct"/>
                  <w:vAlign w:val="center"/>
                </w:tcPr>
                <w:p w14:paraId="06301D9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10</w:t>
                  </w:r>
                </w:p>
              </w:tc>
              <w:tc>
                <w:tcPr>
                  <w:tcW w:w="1549" w:type="pct"/>
                  <w:vAlign w:val="center"/>
                </w:tcPr>
                <w:p w14:paraId="74191C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16666BFB">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2A6B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6AF93287">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1,1,2,2-四氯乙烷</w:t>
                  </w:r>
                </w:p>
              </w:tc>
              <w:tc>
                <w:tcPr>
                  <w:tcW w:w="879" w:type="pct"/>
                  <w:vAlign w:val="center"/>
                </w:tcPr>
                <w:p w14:paraId="14E0F8C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6.8</w:t>
                  </w:r>
                </w:p>
              </w:tc>
              <w:tc>
                <w:tcPr>
                  <w:tcW w:w="1549" w:type="pct"/>
                  <w:vAlign w:val="center"/>
                </w:tcPr>
                <w:p w14:paraId="313E88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4279DBE5">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5A5E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51278F8E">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四氯乙烯</w:t>
                  </w:r>
                </w:p>
              </w:tc>
              <w:tc>
                <w:tcPr>
                  <w:tcW w:w="879" w:type="pct"/>
                  <w:vAlign w:val="center"/>
                </w:tcPr>
                <w:p w14:paraId="7FAC318E">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53</w:t>
                  </w:r>
                </w:p>
              </w:tc>
              <w:tc>
                <w:tcPr>
                  <w:tcW w:w="1549" w:type="pct"/>
                  <w:vAlign w:val="center"/>
                </w:tcPr>
                <w:p w14:paraId="08150E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1.4×10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14EE001F">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1429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16E3F0E7">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1,1,1-三氯乙烷</w:t>
                  </w:r>
                </w:p>
              </w:tc>
              <w:tc>
                <w:tcPr>
                  <w:tcW w:w="879" w:type="pct"/>
                  <w:vAlign w:val="center"/>
                </w:tcPr>
                <w:p w14:paraId="2A262936">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840</w:t>
                  </w:r>
                </w:p>
              </w:tc>
              <w:tc>
                <w:tcPr>
                  <w:tcW w:w="1549" w:type="pct"/>
                  <w:vAlign w:val="center"/>
                </w:tcPr>
                <w:p w14:paraId="5DF381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1.3×10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02E6E137">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7060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295C013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1,1,2-三氯乙烷</w:t>
                  </w:r>
                </w:p>
              </w:tc>
              <w:tc>
                <w:tcPr>
                  <w:tcW w:w="879" w:type="pct"/>
                  <w:vAlign w:val="center"/>
                </w:tcPr>
                <w:p w14:paraId="5F4FF39A">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2.8</w:t>
                  </w:r>
                </w:p>
              </w:tc>
              <w:tc>
                <w:tcPr>
                  <w:tcW w:w="1549" w:type="pct"/>
                  <w:vAlign w:val="center"/>
                </w:tcPr>
                <w:p w14:paraId="26C18F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7E51677F">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6C87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19C3453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三氯乙烯</w:t>
                  </w:r>
                </w:p>
              </w:tc>
              <w:tc>
                <w:tcPr>
                  <w:tcW w:w="879" w:type="pct"/>
                  <w:vAlign w:val="center"/>
                </w:tcPr>
                <w:p w14:paraId="3F4E2D5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2.8</w:t>
                  </w:r>
                </w:p>
              </w:tc>
              <w:tc>
                <w:tcPr>
                  <w:tcW w:w="1549" w:type="pct"/>
                  <w:vAlign w:val="center"/>
                </w:tcPr>
                <w:p w14:paraId="781617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4718BF95">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7AC6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54DC64CB">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1,2,3-三氯丙烷</w:t>
                  </w:r>
                </w:p>
              </w:tc>
              <w:tc>
                <w:tcPr>
                  <w:tcW w:w="879" w:type="pct"/>
                  <w:vAlign w:val="center"/>
                </w:tcPr>
                <w:p w14:paraId="3058D45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0.5</w:t>
                  </w:r>
                </w:p>
              </w:tc>
              <w:tc>
                <w:tcPr>
                  <w:tcW w:w="1549" w:type="pct"/>
                  <w:vAlign w:val="center"/>
                </w:tcPr>
                <w:p w14:paraId="33C8E5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5C8FD472">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2385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50324689">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氯乙烯</w:t>
                  </w:r>
                </w:p>
              </w:tc>
              <w:tc>
                <w:tcPr>
                  <w:tcW w:w="879" w:type="pct"/>
                  <w:vAlign w:val="center"/>
                </w:tcPr>
                <w:p w14:paraId="77081C2E">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0.43</w:t>
                  </w:r>
                </w:p>
              </w:tc>
              <w:tc>
                <w:tcPr>
                  <w:tcW w:w="1549" w:type="pct"/>
                  <w:vAlign w:val="center"/>
                </w:tcPr>
                <w:p w14:paraId="62B16E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1.0×10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26E267B5">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4B9A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1B6B12AD">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苯</w:t>
                  </w:r>
                </w:p>
              </w:tc>
              <w:tc>
                <w:tcPr>
                  <w:tcW w:w="879" w:type="pct"/>
                  <w:vAlign w:val="center"/>
                </w:tcPr>
                <w:p w14:paraId="4174217E">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4</w:t>
                  </w:r>
                </w:p>
              </w:tc>
              <w:tc>
                <w:tcPr>
                  <w:tcW w:w="1549" w:type="pct"/>
                  <w:vAlign w:val="center"/>
                </w:tcPr>
                <w:p w14:paraId="70150D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1.9×10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50290DA2">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2AA8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47EB51A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氯苯</w:t>
                  </w:r>
                </w:p>
              </w:tc>
              <w:tc>
                <w:tcPr>
                  <w:tcW w:w="879" w:type="pct"/>
                  <w:vAlign w:val="center"/>
                </w:tcPr>
                <w:p w14:paraId="1BFD1E59">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270</w:t>
                  </w:r>
                </w:p>
              </w:tc>
              <w:tc>
                <w:tcPr>
                  <w:tcW w:w="1549" w:type="pct"/>
                  <w:vAlign w:val="center"/>
                </w:tcPr>
                <w:p w14:paraId="46B9D8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3A1E1C92">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1040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6" w:type="pct"/>
                  <w:vAlign w:val="center"/>
                </w:tcPr>
                <w:p w14:paraId="00943051">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1,2-二氯苯</w:t>
                  </w:r>
                </w:p>
              </w:tc>
              <w:tc>
                <w:tcPr>
                  <w:tcW w:w="879" w:type="pct"/>
                  <w:vAlign w:val="center"/>
                </w:tcPr>
                <w:p w14:paraId="7E5464EE">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560</w:t>
                  </w:r>
                </w:p>
              </w:tc>
              <w:tc>
                <w:tcPr>
                  <w:tcW w:w="1549" w:type="pct"/>
                  <w:vAlign w:val="center"/>
                </w:tcPr>
                <w:p w14:paraId="6FE10D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1.5×10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025C0266">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2E39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6F4C9774">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1,4-二氯苯</w:t>
                  </w:r>
                </w:p>
              </w:tc>
              <w:tc>
                <w:tcPr>
                  <w:tcW w:w="879" w:type="pct"/>
                  <w:vAlign w:val="center"/>
                </w:tcPr>
                <w:p w14:paraId="478447FA">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20</w:t>
                  </w:r>
                </w:p>
              </w:tc>
              <w:tc>
                <w:tcPr>
                  <w:tcW w:w="1549" w:type="pct"/>
                  <w:vAlign w:val="center"/>
                </w:tcPr>
                <w:p w14:paraId="46DD56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1.5×10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09E7B11D">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3C5E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3F989479">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乙苯</w:t>
                  </w:r>
                </w:p>
              </w:tc>
              <w:tc>
                <w:tcPr>
                  <w:tcW w:w="879" w:type="pct"/>
                  <w:vAlign w:val="center"/>
                </w:tcPr>
                <w:p w14:paraId="67F503F8">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28</w:t>
                  </w:r>
                </w:p>
              </w:tc>
              <w:tc>
                <w:tcPr>
                  <w:tcW w:w="1549" w:type="pct"/>
                  <w:vAlign w:val="center"/>
                </w:tcPr>
                <w:p w14:paraId="4FD9D9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2E361D46">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4ABF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45282144">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苯乙烯</w:t>
                  </w:r>
                </w:p>
              </w:tc>
              <w:tc>
                <w:tcPr>
                  <w:tcW w:w="879" w:type="pct"/>
                  <w:vAlign w:val="center"/>
                </w:tcPr>
                <w:p w14:paraId="50673A93">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1290</w:t>
                  </w:r>
                </w:p>
              </w:tc>
              <w:tc>
                <w:tcPr>
                  <w:tcW w:w="1549" w:type="pct"/>
                  <w:vAlign w:val="center"/>
                </w:tcPr>
                <w:p w14:paraId="484C37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1.1×0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7D1C5F73">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0409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265107BA">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甲苯</w:t>
                  </w:r>
                </w:p>
              </w:tc>
              <w:tc>
                <w:tcPr>
                  <w:tcW w:w="879" w:type="pct"/>
                  <w:vAlign w:val="center"/>
                </w:tcPr>
                <w:p w14:paraId="43C164AD">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1200</w:t>
                  </w:r>
                </w:p>
              </w:tc>
              <w:tc>
                <w:tcPr>
                  <w:tcW w:w="1549" w:type="pct"/>
                  <w:vAlign w:val="center"/>
                </w:tcPr>
                <w:p w14:paraId="5814FB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1.3×0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1A03DB63">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0D4B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46B61B7B">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间二甲苯+对二甲苯</w:t>
                  </w:r>
                </w:p>
              </w:tc>
              <w:tc>
                <w:tcPr>
                  <w:tcW w:w="879" w:type="pct"/>
                  <w:vAlign w:val="center"/>
                </w:tcPr>
                <w:p w14:paraId="25759B1A">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570</w:t>
                  </w:r>
                </w:p>
              </w:tc>
              <w:tc>
                <w:tcPr>
                  <w:tcW w:w="1549" w:type="pct"/>
                  <w:vAlign w:val="center"/>
                </w:tcPr>
                <w:p w14:paraId="3FF561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5C86F4D0">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3447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5E6ACC1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邻二甲苯</w:t>
                  </w:r>
                </w:p>
              </w:tc>
              <w:tc>
                <w:tcPr>
                  <w:tcW w:w="879" w:type="pct"/>
                  <w:vAlign w:val="center"/>
                </w:tcPr>
                <w:p w14:paraId="52D06E91">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640</w:t>
                  </w:r>
                </w:p>
              </w:tc>
              <w:tc>
                <w:tcPr>
                  <w:tcW w:w="1549" w:type="pct"/>
                  <w:vAlign w:val="center"/>
                </w:tcPr>
                <w:p w14:paraId="2587EE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1.2×0</w:t>
                  </w:r>
                  <w:r>
                    <w:rPr>
                      <w:rFonts w:hint="default" w:ascii="Times New Roman" w:hAnsi="Times New Roman" w:eastAsia="宋体"/>
                      <w:color w:val="000000"/>
                      <w:kern w:val="0"/>
                      <w:sz w:val="22"/>
                      <w:szCs w:val="22"/>
                      <w:vertAlign w:val="superscript"/>
                      <w:lang w:bidi="ar"/>
                    </w:rPr>
                    <w:t>-3</w:t>
                  </w:r>
                  <w:r>
                    <w:rPr>
                      <w:rFonts w:hint="default" w:ascii="Times New Roman" w:hAnsi="Times New Roman" w:eastAsia="宋体"/>
                      <w:color w:val="000000"/>
                      <w:kern w:val="0"/>
                      <w:sz w:val="22"/>
                      <w:szCs w:val="22"/>
                      <w:lang w:bidi="ar"/>
                    </w:rPr>
                    <w:t>L</w:t>
                  </w:r>
                </w:p>
              </w:tc>
              <w:tc>
                <w:tcPr>
                  <w:tcW w:w="1144" w:type="pct"/>
                  <w:vAlign w:val="center"/>
                </w:tcPr>
                <w:p w14:paraId="04890A50">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735A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1C2DAFE3">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硝基苯</w:t>
                  </w:r>
                </w:p>
              </w:tc>
              <w:tc>
                <w:tcPr>
                  <w:tcW w:w="879" w:type="pct"/>
                  <w:vAlign w:val="center"/>
                </w:tcPr>
                <w:p w14:paraId="6E7F42EB">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76</w:t>
                  </w:r>
                </w:p>
              </w:tc>
              <w:tc>
                <w:tcPr>
                  <w:tcW w:w="1549" w:type="pct"/>
                  <w:vAlign w:val="center"/>
                </w:tcPr>
                <w:p w14:paraId="3DC53C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0.09L</w:t>
                  </w:r>
                </w:p>
              </w:tc>
              <w:tc>
                <w:tcPr>
                  <w:tcW w:w="1144" w:type="pct"/>
                  <w:vAlign w:val="center"/>
                </w:tcPr>
                <w:p w14:paraId="182B1C12">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4285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648FA96D">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苯胺</w:t>
                  </w:r>
                </w:p>
              </w:tc>
              <w:tc>
                <w:tcPr>
                  <w:tcW w:w="879" w:type="pct"/>
                  <w:vAlign w:val="center"/>
                </w:tcPr>
                <w:p w14:paraId="4A89C587">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260</w:t>
                  </w:r>
                </w:p>
              </w:tc>
              <w:tc>
                <w:tcPr>
                  <w:tcW w:w="1549" w:type="pct"/>
                  <w:vAlign w:val="center"/>
                </w:tcPr>
                <w:p w14:paraId="401E15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0.09L</w:t>
                  </w:r>
                </w:p>
              </w:tc>
              <w:tc>
                <w:tcPr>
                  <w:tcW w:w="1144" w:type="pct"/>
                  <w:vAlign w:val="center"/>
                </w:tcPr>
                <w:p w14:paraId="757A4D21">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28F9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5D246AC1">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2-氯酚</w:t>
                  </w:r>
                </w:p>
              </w:tc>
              <w:tc>
                <w:tcPr>
                  <w:tcW w:w="879" w:type="pct"/>
                  <w:vAlign w:val="center"/>
                </w:tcPr>
                <w:p w14:paraId="0C8DD21B">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2256</w:t>
                  </w:r>
                </w:p>
              </w:tc>
              <w:tc>
                <w:tcPr>
                  <w:tcW w:w="1549" w:type="pct"/>
                  <w:vAlign w:val="center"/>
                </w:tcPr>
                <w:p w14:paraId="1B3A06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0.06L</w:t>
                  </w:r>
                </w:p>
              </w:tc>
              <w:tc>
                <w:tcPr>
                  <w:tcW w:w="1144" w:type="pct"/>
                  <w:vAlign w:val="center"/>
                </w:tcPr>
                <w:p w14:paraId="35F4781D">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2D9F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76D4EC0E">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苯并[a]蒽</w:t>
                  </w:r>
                </w:p>
              </w:tc>
              <w:tc>
                <w:tcPr>
                  <w:tcW w:w="879" w:type="pct"/>
                  <w:vAlign w:val="center"/>
                </w:tcPr>
                <w:p w14:paraId="79FECF0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15</w:t>
                  </w:r>
                </w:p>
              </w:tc>
              <w:tc>
                <w:tcPr>
                  <w:tcW w:w="1549" w:type="pct"/>
                  <w:vAlign w:val="center"/>
                </w:tcPr>
                <w:p w14:paraId="06FAE3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0.1L</w:t>
                  </w:r>
                </w:p>
              </w:tc>
              <w:tc>
                <w:tcPr>
                  <w:tcW w:w="1144" w:type="pct"/>
                  <w:vAlign w:val="center"/>
                </w:tcPr>
                <w:p w14:paraId="59656C84">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0DC9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6E6F6132">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苯并[a]芘</w:t>
                  </w:r>
                </w:p>
              </w:tc>
              <w:tc>
                <w:tcPr>
                  <w:tcW w:w="879" w:type="pct"/>
                  <w:vAlign w:val="center"/>
                </w:tcPr>
                <w:p w14:paraId="337300E6">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1.5</w:t>
                  </w:r>
                </w:p>
              </w:tc>
              <w:tc>
                <w:tcPr>
                  <w:tcW w:w="1549" w:type="pct"/>
                  <w:vAlign w:val="center"/>
                </w:tcPr>
                <w:p w14:paraId="28C524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0.1L</w:t>
                  </w:r>
                </w:p>
              </w:tc>
              <w:tc>
                <w:tcPr>
                  <w:tcW w:w="1144" w:type="pct"/>
                  <w:vAlign w:val="center"/>
                </w:tcPr>
                <w:p w14:paraId="717E0F42">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7C9A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51F3ED3B">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苯并[b]荧蒽</w:t>
                  </w:r>
                </w:p>
              </w:tc>
              <w:tc>
                <w:tcPr>
                  <w:tcW w:w="879" w:type="pct"/>
                  <w:vAlign w:val="center"/>
                </w:tcPr>
                <w:p w14:paraId="6FC57818">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15</w:t>
                  </w:r>
                </w:p>
              </w:tc>
              <w:tc>
                <w:tcPr>
                  <w:tcW w:w="1549" w:type="pct"/>
                  <w:vAlign w:val="center"/>
                </w:tcPr>
                <w:p w14:paraId="39E2D8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0.2L</w:t>
                  </w:r>
                </w:p>
              </w:tc>
              <w:tc>
                <w:tcPr>
                  <w:tcW w:w="1144" w:type="pct"/>
                  <w:vAlign w:val="center"/>
                </w:tcPr>
                <w:p w14:paraId="0D6EDAF2">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7D9E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727CF31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苯并[K]荧蒽</w:t>
                  </w:r>
                </w:p>
              </w:tc>
              <w:tc>
                <w:tcPr>
                  <w:tcW w:w="879" w:type="pct"/>
                  <w:vAlign w:val="center"/>
                </w:tcPr>
                <w:p w14:paraId="6FC34D3A">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151</w:t>
                  </w:r>
                </w:p>
              </w:tc>
              <w:tc>
                <w:tcPr>
                  <w:tcW w:w="1549" w:type="pct"/>
                  <w:vAlign w:val="center"/>
                </w:tcPr>
                <w:p w14:paraId="321E7A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0.1L</w:t>
                  </w:r>
                </w:p>
              </w:tc>
              <w:tc>
                <w:tcPr>
                  <w:tcW w:w="1144" w:type="pct"/>
                  <w:vAlign w:val="center"/>
                </w:tcPr>
                <w:p w14:paraId="6DF9F98B">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617B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649C15E0">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䓛</w:t>
                  </w:r>
                </w:p>
              </w:tc>
              <w:tc>
                <w:tcPr>
                  <w:tcW w:w="879" w:type="pct"/>
                  <w:vAlign w:val="center"/>
                </w:tcPr>
                <w:p w14:paraId="2C729D7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1293</w:t>
                  </w:r>
                </w:p>
              </w:tc>
              <w:tc>
                <w:tcPr>
                  <w:tcW w:w="1549" w:type="pct"/>
                  <w:vAlign w:val="center"/>
                </w:tcPr>
                <w:p w14:paraId="0F808A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0.1L</w:t>
                  </w:r>
                </w:p>
              </w:tc>
              <w:tc>
                <w:tcPr>
                  <w:tcW w:w="1144" w:type="pct"/>
                  <w:vAlign w:val="center"/>
                </w:tcPr>
                <w:p w14:paraId="1D83F081">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3113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6" w:type="pct"/>
                  <w:vAlign w:val="center"/>
                </w:tcPr>
                <w:p w14:paraId="25478F4F">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二苯并[a，h]蒽</w:t>
                  </w:r>
                </w:p>
              </w:tc>
              <w:tc>
                <w:tcPr>
                  <w:tcW w:w="879" w:type="pct"/>
                  <w:vAlign w:val="center"/>
                </w:tcPr>
                <w:p w14:paraId="6841B789">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1.5</w:t>
                  </w:r>
                </w:p>
              </w:tc>
              <w:tc>
                <w:tcPr>
                  <w:tcW w:w="1549" w:type="pct"/>
                  <w:vAlign w:val="center"/>
                </w:tcPr>
                <w:p w14:paraId="772EFA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0.1L</w:t>
                  </w:r>
                </w:p>
              </w:tc>
              <w:tc>
                <w:tcPr>
                  <w:tcW w:w="1144" w:type="pct"/>
                  <w:vAlign w:val="center"/>
                </w:tcPr>
                <w:p w14:paraId="02D063E3">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2D30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5617A0D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茚并[1，2，3-cd]芘</w:t>
                  </w:r>
                </w:p>
              </w:tc>
              <w:tc>
                <w:tcPr>
                  <w:tcW w:w="879" w:type="pct"/>
                  <w:vAlign w:val="center"/>
                </w:tcPr>
                <w:p w14:paraId="18898259">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15</w:t>
                  </w:r>
                </w:p>
              </w:tc>
              <w:tc>
                <w:tcPr>
                  <w:tcW w:w="1549" w:type="pct"/>
                  <w:vAlign w:val="center"/>
                </w:tcPr>
                <w:p w14:paraId="49687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0.1L</w:t>
                  </w:r>
                </w:p>
              </w:tc>
              <w:tc>
                <w:tcPr>
                  <w:tcW w:w="1144" w:type="pct"/>
                  <w:vAlign w:val="center"/>
                </w:tcPr>
                <w:p w14:paraId="778BBFC7">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749D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vAlign w:val="center"/>
                </w:tcPr>
                <w:p w14:paraId="0D071EDC">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萘</w:t>
                  </w:r>
                </w:p>
              </w:tc>
              <w:tc>
                <w:tcPr>
                  <w:tcW w:w="879" w:type="pct"/>
                  <w:vAlign w:val="center"/>
                </w:tcPr>
                <w:p w14:paraId="091B73E5">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70</w:t>
                  </w:r>
                </w:p>
              </w:tc>
              <w:tc>
                <w:tcPr>
                  <w:tcW w:w="1549" w:type="pct"/>
                  <w:vAlign w:val="center"/>
                </w:tcPr>
                <w:p w14:paraId="20D1CB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sz w:val="22"/>
                      <w:szCs w:val="22"/>
                    </w:rPr>
                  </w:pPr>
                  <w:r>
                    <w:rPr>
                      <w:rFonts w:hint="default" w:ascii="Times New Roman" w:hAnsi="Times New Roman" w:eastAsia="宋体"/>
                      <w:color w:val="000000"/>
                      <w:kern w:val="0"/>
                      <w:sz w:val="22"/>
                      <w:szCs w:val="22"/>
                      <w:lang w:bidi="ar"/>
                    </w:rPr>
                    <w:t>0.09L</w:t>
                  </w:r>
                </w:p>
              </w:tc>
              <w:tc>
                <w:tcPr>
                  <w:tcW w:w="1144" w:type="pct"/>
                  <w:vAlign w:val="center"/>
                </w:tcPr>
                <w:p w14:paraId="30745ADC">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eastAsia" w:ascii="Times New Roman" w:hAnsi="Times New Roman" w:eastAsia="宋体"/>
                    </w:rPr>
                    <w:t>/</w:t>
                  </w:r>
                </w:p>
              </w:tc>
            </w:tr>
            <w:tr w14:paraId="45F2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3538A223">
                  <w:pPr>
                    <w:pStyle w:val="45"/>
                    <w:keepNext w:val="0"/>
                    <w:keepLines w:val="0"/>
                    <w:suppressLineNumbers w:val="0"/>
                    <w:spacing w:before="0" w:beforeAutospacing="0" w:after="0" w:afterAutospacing="0"/>
                    <w:ind w:left="0" w:right="0"/>
                    <w:rPr>
                      <w:rFonts w:hint="default" w:ascii="Times New Roman" w:hAnsi="Times New Roman" w:eastAsia="宋体"/>
                    </w:rPr>
                  </w:pPr>
                  <w:r>
                    <w:rPr>
                      <w:rFonts w:hint="default" w:ascii="Times New Roman" w:hAnsi="Times New Roman" w:eastAsia="宋体"/>
                    </w:rPr>
                    <w:t>备注：“方法检出限”加标志“L”表示测定结果低于分析方法检出限。</w:t>
                  </w:r>
                </w:p>
              </w:tc>
            </w:tr>
          </w:tbl>
          <w:p w14:paraId="2B64115B">
            <w:pPr>
              <w:pStyle w:val="44"/>
              <w:keepNext w:val="0"/>
              <w:keepLines w:val="0"/>
              <w:suppressLineNumbers w:val="0"/>
              <w:spacing w:before="0" w:beforeAutospacing="0" w:after="0" w:afterAutospacing="0" w:line="480" w:lineRule="exact"/>
              <w:ind w:left="0" w:right="0" w:firstLine="480"/>
              <w:rPr>
                <w:rFonts w:hint="default"/>
                <w:kern w:val="44"/>
                <w:sz w:val="24"/>
                <w:szCs w:val="24"/>
              </w:rPr>
            </w:pPr>
            <w:r>
              <w:rPr>
                <w:rFonts w:hint="default"/>
                <w:kern w:val="44"/>
                <w:sz w:val="24"/>
                <w:szCs w:val="24"/>
              </w:rPr>
              <w:t>项目区占地</w:t>
            </w:r>
            <w:r>
              <w:rPr>
                <w:rFonts w:hint="eastAsia"/>
                <w:kern w:val="44"/>
                <w:sz w:val="24"/>
                <w:szCs w:val="24"/>
                <w:lang w:val="en-US" w:eastAsia="zh-CN"/>
              </w:rPr>
              <w:t>南侧、西侧</w:t>
            </w:r>
            <w:r>
              <w:rPr>
                <w:rFonts w:hint="default"/>
                <w:kern w:val="44"/>
                <w:sz w:val="24"/>
                <w:szCs w:val="24"/>
              </w:rPr>
              <w:t>土壤盐化、酸化、碱化情况分级评价结果如下。</w:t>
            </w:r>
          </w:p>
          <w:p w14:paraId="3F4A070A">
            <w:pPr>
              <w:pStyle w:val="44"/>
              <w:keepNext w:val="0"/>
              <w:keepLines w:val="0"/>
              <w:suppressLineNumbers w:val="0"/>
              <w:spacing w:before="0" w:beforeAutospacing="0" w:after="0" w:afterAutospacing="0" w:line="480" w:lineRule="exact"/>
              <w:ind w:left="0" w:right="0" w:firstLine="0" w:firstLineChars="0"/>
              <w:jc w:val="center"/>
              <w:rPr>
                <w:rFonts w:hint="default"/>
                <w:b/>
                <w:bCs/>
                <w:kern w:val="44"/>
                <w:sz w:val="24"/>
                <w:szCs w:val="24"/>
              </w:rPr>
            </w:pPr>
            <w:r>
              <w:rPr>
                <w:rFonts w:hint="default"/>
                <w:b/>
                <w:bCs/>
                <w:kern w:val="44"/>
                <w:sz w:val="24"/>
                <w:szCs w:val="24"/>
              </w:rPr>
              <w:t>表3-</w:t>
            </w:r>
            <w:r>
              <w:rPr>
                <w:rFonts w:hint="eastAsia"/>
                <w:b/>
                <w:bCs/>
                <w:kern w:val="44"/>
                <w:sz w:val="24"/>
                <w:szCs w:val="24"/>
              </w:rPr>
              <w:t>11</w:t>
            </w:r>
            <w:r>
              <w:rPr>
                <w:rFonts w:hint="default"/>
                <w:b/>
                <w:bCs/>
                <w:kern w:val="44"/>
                <w:sz w:val="24"/>
                <w:szCs w:val="24"/>
              </w:rPr>
              <w:t xml:space="preserve">    土壤盐化、酸化、碱化情况判定表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447"/>
              <w:gridCol w:w="1355"/>
              <w:gridCol w:w="1275"/>
              <w:gridCol w:w="1299"/>
              <w:gridCol w:w="1342"/>
            </w:tblGrid>
            <w:tr w14:paraId="6428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86" w:type="pct"/>
                  <w:vAlign w:val="center"/>
                </w:tcPr>
                <w:p w14:paraId="62B728B5">
                  <w:pPr>
                    <w:pStyle w:val="45"/>
                    <w:keepNext w:val="0"/>
                    <w:keepLines w:val="0"/>
                    <w:suppressLineNumbers w:val="0"/>
                    <w:spacing w:before="0" w:beforeAutospacing="0" w:after="0" w:afterAutospacing="0"/>
                    <w:ind w:left="0" w:right="0"/>
                    <w:rPr>
                      <w:rFonts w:hint="default"/>
                    </w:rPr>
                  </w:pPr>
                  <w:r>
                    <w:rPr>
                      <w:rFonts w:hint="default"/>
                    </w:rPr>
                    <w:t>样点</w:t>
                  </w:r>
                </w:p>
              </w:tc>
              <w:tc>
                <w:tcPr>
                  <w:tcW w:w="886" w:type="pct"/>
                  <w:vAlign w:val="center"/>
                </w:tcPr>
                <w:p w14:paraId="5D83D35B">
                  <w:pPr>
                    <w:pStyle w:val="45"/>
                    <w:keepNext w:val="0"/>
                    <w:keepLines w:val="0"/>
                    <w:suppressLineNumbers w:val="0"/>
                    <w:spacing w:before="0" w:beforeAutospacing="0" w:after="0" w:afterAutospacing="0"/>
                    <w:ind w:left="0" w:right="0"/>
                    <w:rPr>
                      <w:rFonts w:hint="default"/>
                    </w:rPr>
                  </w:pPr>
                  <w:r>
                    <w:rPr>
                      <w:rFonts w:hint="default"/>
                    </w:rPr>
                    <w:t>项目</w:t>
                  </w:r>
                </w:p>
              </w:tc>
              <w:tc>
                <w:tcPr>
                  <w:tcW w:w="829" w:type="pct"/>
                  <w:vAlign w:val="center"/>
                </w:tcPr>
                <w:p w14:paraId="1733C3BB">
                  <w:pPr>
                    <w:pStyle w:val="45"/>
                    <w:keepNext w:val="0"/>
                    <w:keepLines w:val="0"/>
                    <w:suppressLineNumbers w:val="0"/>
                    <w:spacing w:before="0" w:beforeAutospacing="0" w:after="0" w:afterAutospacing="0"/>
                    <w:ind w:left="0" w:right="0"/>
                    <w:rPr>
                      <w:rFonts w:hint="default"/>
                    </w:rPr>
                  </w:pPr>
                  <w:r>
                    <w:rPr>
                      <w:rFonts w:hint="default"/>
                    </w:rPr>
                    <w:t>指标</w:t>
                  </w:r>
                </w:p>
              </w:tc>
              <w:tc>
                <w:tcPr>
                  <w:tcW w:w="780" w:type="pct"/>
                  <w:vAlign w:val="center"/>
                </w:tcPr>
                <w:p w14:paraId="218CE7A7">
                  <w:pPr>
                    <w:pStyle w:val="45"/>
                    <w:keepNext w:val="0"/>
                    <w:keepLines w:val="0"/>
                    <w:suppressLineNumbers w:val="0"/>
                    <w:spacing w:before="0" w:beforeAutospacing="0" w:after="0" w:afterAutospacing="0"/>
                    <w:ind w:left="0" w:right="0"/>
                    <w:rPr>
                      <w:rFonts w:hint="default"/>
                    </w:rPr>
                  </w:pPr>
                  <w:r>
                    <w:rPr>
                      <w:rFonts w:hint="default"/>
                    </w:rPr>
                    <w:t>监测结果</w:t>
                  </w:r>
                </w:p>
              </w:tc>
              <w:tc>
                <w:tcPr>
                  <w:tcW w:w="795" w:type="pct"/>
                  <w:vAlign w:val="center"/>
                </w:tcPr>
                <w:p w14:paraId="664F0BE9">
                  <w:pPr>
                    <w:pStyle w:val="45"/>
                    <w:keepNext w:val="0"/>
                    <w:keepLines w:val="0"/>
                    <w:suppressLineNumbers w:val="0"/>
                    <w:spacing w:before="0" w:beforeAutospacing="0" w:after="0" w:afterAutospacing="0"/>
                    <w:ind w:left="0" w:right="0"/>
                    <w:rPr>
                      <w:rFonts w:hint="default"/>
                    </w:rPr>
                  </w:pPr>
                  <w:r>
                    <w:rPr>
                      <w:rFonts w:hint="default"/>
                    </w:rPr>
                    <w:t>所属级别</w:t>
                  </w:r>
                </w:p>
              </w:tc>
              <w:tc>
                <w:tcPr>
                  <w:tcW w:w="821" w:type="pct"/>
                  <w:vAlign w:val="center"/>
                </w:tcPr>
                <w:p w14:paraId="743DDD6B">
                  <w:pPr>
                    <w:pStyle w:val="45"/>
                    <w:keepNext w:val="0"/>
                    <w:keepLines w:val="0"/>
                    <w:suppressLineNumbers w:val="0"/>
                    <w:spacing w:before="0" w:beforeAutospacing="0" w:after="0" w:afterAutospacing="0"/>
                    <w:ind w:left="0" w:right="0"/>
                    <w:rPr>
                      <w:rFonts w:hint="default"/>
                    </w:rPr>
                  </w:pPr>
                  <w:r>
                    <w:rPr>
                      <w:rFonts w:hint="default"/>
                    </w:rPr>
                    <w:t>分级</w:t>
                  </w:r>
                </w:p>
              </w:tc>
            </w:tr>
            <w:tr w14:paraId="4278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restart"/>
                  <w:vAlign w:val="center"/>
                </w:tcPr>
                <w:p w14:paraId="06FB6F58">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项目区南侧</w:t>
                  </w:r>
                </w:p>
              </w:tc>
              <w:tc>
                <w:tcPr>
                  <w:tcW w:w="886" w:type="pct"/>
                  <w:vAlign w:val="center"/>
                </w:tcPr>
                <w:p w14:paraId="4DC4DEC6">
                  <w:pPr>
                    <w:pStyle w:val="45"/>
                    <w:keepNext w:val="0"/>
                    <w:keepLines w:val="0"/>
                    <w:suppressLineNumbers w:val="0"/>
                    <w:spacing w:before="0" w:beforeAutospacing="0" w:after="0" w:afterAutospacing="0"/>
                    <w:ind w:left="0" w:right="0"/>
                    <w:rPr>
                      <w:rFonts w:hint="default"/>
                    </w:rPr>
                  </w:pPr>
                  <w:r>
                    <w:rPr>
                      <w:rFonts w:hint="default"/>
                    </w:rPr>
                    <w:t>土壤盐化</w:t>
                  </w:r>
                </w:p>
              </w:tc>
              <w:tc>
                <w:tcPr>
                  <w:tcW w:w="829" w:type="pct"/>
                  <w:vAlign w:val="center"/>
                </w:tcPr>
                <w:p w14:paraId="69645CD1">
                  <w:pPr>
                    <w:pStyle w:val="45"/>
                    <w:keepNext w:val="0"/>
                    <w:keepLines w:val="0"/>
                    <w:suppressLineNumbers w:val="0"/>
                    <w:spacing w:before="0" w:beforeAutospacing="0" w:after="0" w:afterAutospacing="0"/>
                    <w:ind w:left="0" w:right="0"/>
                    <w:rPr>
                      <w:rFonts w:hint="default"/>
                    </w:rPr>
                  </w:pPr>
                  <w:r>
                    <w:rPr>
                      <w:rFonts w:hint="default"/>
                    </w:rPr>
                    <w:t>土壤含盐量（g/kg）</w:t>
                  </w:r>
                </w:p>
              </w:tc>
              <w:tc>
                <w:tcPr>
                  <w:tcW w:w="780" w:type="pct"/>
                  <w:vAlign w:val="center"/>
                </w:tcPr>
                <w:p w14:paraId="66F7F48E">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0.5</w:t>
                  </w:r>
                </w:p>
              </w:tc>
              <w:tc>
                <w:tcPr>
                  <w:tcW w:w="1359" w:type="dxa"/>
                  <w:vAlign w:val="center"/>
                </w:tcPr>
                <w:p w14:paraId="46A9A8EC">
                  <w:pPr>
                    <w:pStyle w:val="45"/>
                    <w:keepNext w:val="0"/>
                    <w:keepLines w:val="0"/>
                    <w:suppressLineNumbers w:val="0"/>
                    <w:spacing w:before="0" w:beforeAutospacing="0" w:after="0" w:afterAutospacing="0"/>
                    <w:ind w:left="0" w:right="0"/>
                    <w:rPr>
                      <w:rFonts w:hint="default"/>
                    </w:rPr>
                  </w:pPr>
                  <w:r>
                    <w:rPr>
                      <w:rFonts w:hint="eastAsia" w:ascii="Times New Roman" w:hAnsi="Times New Roman" w:eastAsia="宋体" w:cs="Times New Roman"/>
                      <w:lang w:val="en-US" w:eastAsia="zh-CN"/>
                    </w:rPr>
                    <w:t>SSC</w:t>
                  </w:r>
                  <w:r>
                    <w:rPr>
                      <w:rFonts w:hint="eastAsia" w:cs="Times New Roman"/>
                      <w:lang w:val="en-US" w:eastAsia="zh-CN"/>
                    </w:rPr>
                    <w:t>&lt;</w:t>
                  </w:r>
                  <w:r>
                    <w:rPr>
                      <w:rFonts w:hint="eastAsia" w:ascii="Times New Roman" w:hAnsi="Times New Roman" w:eastAsia="宋体" w:cs="Times New Roman"/>
                      <w:lang w:val="en-US" w:eastAsia="zh-CN"/>
                    </w:rPr>
                    <w:t>2</w:t>
                  </w:r>
                </w:p>
              </w:tc>
              <w:tc>
                <w:tcPr>
                  <w:tcW w:w="1259" w:type="dxa"/>
                  <w:vAlign w:val="center"/>
                </w:tcPr>
                <w:p w14:paraId="77904A50">
                  <w:pPr>
                    <w:pStyle w:val="45"/>
                    <w:keepNext w:val="0"/>
                    <w:keepLines w:val="0"/>
                    <w:suppressLineNumbers w:val="0"/>
                    <w:spacing w:before="0" w:beforeAutospacing="0" w:after="0" w:afterAutospacing="0"/>
                    <w:ind w:left="0" w:right="0"/>
                    <w:rPr>
                      <w:rFonts w:hint="default"/>
                    </w:rPr>
                  </w:pPr>
                  <w:r>
                    <w:rPr>
                      <w:rFonts w:hint="eastAsia"/>
                      <w:lang w:val="en-US" w:eastAsia="zh-CN"/>
                    </w:rPr>
                    <w:t>未</w:t>
                  </w:r>
                  <w:r>
                    <w:rPr>
                      <w:rFonts w:hint="default"/>
                    </w:rPr>
                    <w:t>盐化</w:t>
                  </w:r>
                </w:p>
              </w:tc>
            </w:tr>
            <w:tr w14:paraId="4ADC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4CAAF367">
                  <w:pPr>
                    <w:pStyle w:val="45"/>
                    <w:keepNext w:val="0"/>
                    <w:keepLines w:val="0"/>
                    <w:suppressLineNumbers w:val="0"/>
                    <w:spacing w:before="0" w:beforeAutospacing="0" w:after="0" w:afterAutospacing="0"/>
                    <w:ind w:left="0" w:right="0"/>
                    <w:rPr>
                      <w:rFonts w:hint="default"/>
                    </w:rPr>
                  </w:pPr>
                </w:p>
              </w:tc>
              <w:tc>
                <w:tcPr>
                  <w:tcW w:w="886" w:type="pct"/>
                  <w:vAlign w:val="center"/>
                </w:tcPr>
                <w:p w14:paraId="6A879262">
                  <w:pPr>
                    <w:pStyle w:val="45"/>
                    <w:keepNext w:val="0"/>
                    <w:keepLines w:val="0"/>
                    <w:suppressLineNumbers w:val="0"/>
                    <w:spacing w:before="0" w:beforeAutospacing="0" w:after="0" w:afterAutospacing="0"/>
                    <w:ind w:left="0" w:right="0"/>
                    <w:rPr>
                      <w:rFonts w:hint="default"/>
                    </w:rPr>
                  </w:pPr>
                  <w:r>
                    <w:rPr>
                      <w:rFonts w:hint="default"/>
                    </w:rPr>
                    <w:t>土壤酸化、碱化</w:t>
                  </w:r>
                </w:p>
              </w:tc>
              <w:tc>
                <w:tcPr>
                  <w:tcW w:w="829" w:type="pct"/>
                  <w:vAlign w:val="center"/>
                </w:tcPr>
                <w:p w14:paraId="10446E2F">
                  <w:pPr>
                    <w:pStyle w:val="45"/>
                    <w:keepNext w:val="0"/>
                    <w:keepLines w:val="0"/>
                    <w:suppressLineNumbers w:val="0"/>
                    <w:spacing w:before="0" w:beforeAutospacing="0" w:after="0" w:afterAutospacing="0"/>
                    <w:ind w:left="0" w:right="0"/>
                    <w:rPr>
                      <w:rFonts w:hint="default"/>
                    </w:rPr>
                  </w:pPr>
                  <w:r>
                    <w:rPr>
                      <w:rFonts w:hint="default"/>
                    </w:rPr>
                    <w:t>pH</w:t>
                  </w:r>
                </w:p>
              </w:tc>
              <w:tc>
                <w:tcPr>
                  <w:tcW w:w="780" w:type="pct"/>
                  <w:vAlign w:val="center"/>
                </w:tcPr>
                <w:p w14:paraId="5E9E1DC9">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8.73</w:t>
                  </w:r>
                </w:p>
              </w:tc>
              <w:tc>
                <w:tcPr>
                  <w:tcW w:w="1359" w:type="dxa"/>
                  <w:vAlign w:val="center"/>
                </w:tcPr>
                <w:p w14:paraId="7D2A9FC2">
                  <w:pPr>
                    <w:pStyle w:val="45"/>
                    <w:keepNext w:val="0"/>
                    <w:keepLines w:val="0"/>
                    <w:suppressLineNumbers w:val="0"/>
                    <w:spacing w:before="0" w:beforeAutospacing="0" w:after="0" w:afterAutospacing="0"/>
                    <w:ind w:left="0" w:right="0"/>
                    <w:rPr>
                      <w:rFonts w:hint="default" w:eastAsia="宋体"/>
                      <w:lang w:val="en-US" w:eastAsia="zh-CN"/>
                    </w:rPr>
                  </w:pPr>
                  <w:r>
                    <w:rPr>
                      <w:rFonts w:hint="eastAsia" w:ascii="Times New Roman" w:hAnsi="Times New Roman" w:eastAsia="宋体" w:cs="Times New Roman"/>
                      <w:lang w:val="en-US" w:eastAsia="zh-CN"/>
                    </w:rPr>
                    <w:t>8.5≤pH</w:t>
                  </w:r>
                  <w:r>
                    <w:rPr>
                      <w:rFonts w:hint="eastAsia" w:cs="Times New Roman"/>
                      <w:lang w:val="en-US" w:eastAsia="zh-CN"/>
                    </w:rPr>
                    <w:t>&lt;</w:t>
                  </w:r>
                  <w:r>
                    <w:rPr>
                      <w:rFonts w:hint="eastAsia" w:ascii="Times New Roman" w:hAnsi="Times New Roman" w:eastAsia="宋体" w:cs="Times New Roman"/>
                      <w:lang w:val="en-US" w:eastAsia="zh-CN"/>
                    </w:rPr>
                    <w:t>9.0</w:t>
                  </w:r>
                </w:p>
              </w:tc>
              <w:tc>
                <w:tcPr>
                  <w:tcW w:w="1259" w:type="dxa"/>
                  <w:vAlign w:val="center"/>
                </w:tcPr>
                <w:p w14:paraId="60308C87">
                  <w:pPr>
                    <w:pStyle w:val="45"/>
                    <w:keepNext w:val="0"/>
                    <w:keepLines w:val="0"/>
                    <w:suppressLineNumbers w:val="0"/>
                    <w:spacing w:before="0" w:beforeAutospacing="0" w:after="0" w:afterAutospacing="0"/>
                    <w:ind w:left="0" w:right="0"/>
                    <w:rPr>
                      <w:rFonts w:hint="default"/>
                    </w:rPr>
                  </w:pPr>
                  <w:r>
                    <w:rPr>
                      <w:rFonts w:hint="eastAsia"/>
                      <w:lang w:val="en-US" w:eastAsia="zh-CN"/>
                    </w:rPr>
                    <w:t>轻度</w:t>
                  </w:r>
                  <w:r>
                    <w:rPr>
                      <w:rFonts w:hint="eastAsia"/>
                    </w:rPr>
                    <w:t>碱化</w:t>
                  </w:r>
                </w:p>
              </w:tc>
            </w:tr>
            <w:tr w14:paraId="00F4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restart"/>
                  <w:vAlign w:val="center"/>
                </w:tcPr>
                <w:p w14:paraId="2392C1EE">
                  <w:pPr>
                    <w:pStyle w:val="45"/>
                    <w:keepNext w:val="0"/>
                    <w:keepLines w:val="0"/>
                    <w:suppressLineNumbers w:val="0"/>
                    <w:spacing w:before="0" w:beforeAutospacing="0" w:after="0" w:afterAutospacing="0"/>
                    <w:ind w:left="0" w:right="0"/>
                    <w:rPr>
                      <w:rFonts w:hint="default"/>
                    </w:rPr>
                  </w:pPr>
                  <w:r>
                    <w:rPr>
                      <w:rFonts w:hint="eastAsia"/>
                      <w:lang w:val="en-US" w:eastAsia="zh-CN"/>
                    </w:rPr>
                    <w:t>项目区西侧</w:t>
                  </w:r>
                </w:p>
              </w:tc>
              <w:tc>
                <w:tcPr>
                  <w:tcW w:w="886" w:type="pct"/>
                  <w:vAlign w:val="center"/>
                </w:tcPr>
                <w:p w14:paraId="210666FC">
                  <w:pPr>
                    <w:pStyle w:val="45"/>
                    <w:keepNext w:val="0"/>
                    <w:keepLines w:val="0"/>
                    <w:suppressLineNumbers w:val="0"/>
                    <w:spacing w:before="0" w:beforeAutospacing="0" w:after="0" w:afterAutospacing="0"/>
                    <w:ind w:left="0" w:right="0"/>
                    <w:rPr>
                      <w:rFonts w:hint="default"/>
                    </w:rPr>
                  </w:pPr>
                  <w:r>
                    <w:rPr>
                      <w:rFonts w:hint="default"/>
                    </w:rPr>
                    <w:t>土壤盐化</w:t>
                  </w:r>
                </w:p>
              </w:tc>
              <w:tc>
                <w:tcPr>
                  <w:tcW w:w="829" w:type="pct"/>
                  <w:vAlign w:val="center"/>
                </w:tcPr>
                <w:p w14:paraId="224896EF">
                  <w:pPr>
                    <w:pStyle w:val="45"/>
                    <w:keepNext w:val="0"/>
                    <w:keepLines w:val="0"/>
                    <w:suppressLineNumbers w:val="0"/>
                    <w:spacing w:before="0" w:beforeAutospacing="0" w:after="0" w:afterAutospacing="0"/>
                    <w:ind w:left="0" w:right="0"/>
                    <w:rPr>
                      <w:rFonts w:hint="default"/>
                    </w:rPr>
                  </w:pPr>
                  <w:r>
                    <w:rPr>
                      <w:rFonts w:hint="default"/>
                    </w:rPr>
                    <w:t>土壤含盐量（g/kg）</w:t>
                  </w:r>
                </w:p>
              </w:tc>
              <w:tc>
                <w:tcPr>
                  <w:tcW w:w="780" w:type="pct"/>
                  <w:vAlign w:val="center"/>
                </w:tcPr>
                <w:p w14:paraId="1287F894">
                  <w:pPr>
                    <w:pStyle w:val="45"/>
                    <w:keepNext w:val="0"/>
                    <w:keepLines w:val="0"/>
                    <w:suppressLineNumbers w:val="0"/>
                    <w:spacing w:before="0" w:beforeAutospacing="0" w:after="0" w:afterAutospacing="0"/>
                    <w:ind w:left="0" w:right="0"/>
                    <w:rPr>
                      <w:rFonts w:hint="eastAsia" w:eastAsia="宋体"/>
                      <w:lang w:val="en-US" w:eastAsia="zh-CN"/>
                    </w:rPr>
                  </w:pPr>
                  <w:r>
                    <w:rPr>
                      <w:rFonts w:hint="eastAsia"/>
                    </w:rPr>
                    <w:t>0.</w:t>
                  </w:r>
                  <w:r>
                    <w:rPr>
                      <w:rFonts w:hint="eastAsia"/>
                      <w:lang w:val="en-US" w:eastAsia="zh-CN"/>
                    </w:rPr>
                    <w:t>6</w:t>
                  </w:r>
                </w:p>
              </w:tc>
              <w:tc>
                <w:tcPr>
                  <w:tcW w:w="1359" w:type="dxa"/>
                  <w:vAlign w:val="center"/>
                </w:tcPr>
                <w:p w14:paraId="1FAFB0DC">
                  <w:pPr>
                    <w:pStyle w:val="45"/>
                    <w:keepNext w:val="0"/>
                    <w:keepLines w:val="0"/>
                    <w:suppressLineNumbers w:val="0"/>
                    <w:spacing w:before="0" w:beforeAutospacing="0" w:after="0" w:afterAutospacing="0"/>
                    <w:ind w:left="0" w:right="0"/>
                    <w:rPr>
                      <w:rFonts w:hint="default"/>
                    </w:rPr>
                  </w:pPr>
                  <w:r>
                    <w:rPr>
                      <w:rFonts w:hint="default"/>
                    </w:rPr>
                    <w:t>SSC</w:t>
                  </w:r>
                  <w:r>
                    <w:rPr>
                      <w:rFonts w:hint="eastAsia"/>
                      <w:lang w:eastAsia="zh-CN"/>
                    </w:rPr>
                    <w:t>&lt;</w:t>
                  </w:r>
                  <w:r>
                    <w:rPr>
                      <w:rFonts w:hint="eastAsia"/>
                    </w:rPr>
                    <w:t>2</w:t>
                  </w:r>
                </w:p>
              </w:tc>
              <w:tc>
                <w:tcPr>
                  <w:tcW w:w="1259" w:type="dxa"/>
                  <w:vAlign w:val="center"/>
                </w:tcPr>
                <w:p w14:paraId="4095666A">
                  <w:pPr>
                    <w:pStyle w:val="45"/>
                    <w:keepNext w:val="0"/>
                    <w:keepLines w:val="0"/>
                    <w:suppressLineNumbers w:val="0"/>
                    <w:spacing w:before="0" w:beforeAutospacing="0" w:after="0" w:afterAutospacing="0"/>
                    <w:ind w:left="0" w:right="0"/>
                    <w:rPr>
                      <w:rFonts w:hint="default"/>
                    </w:rPr>
                  </w:pPr>
                  <w:r>
                    <w:rPr>
                      <w:rFonts w:hint="eastAsia"/>
                    </w:rPr>
                    <w:t>未盐化</w:t>
                  </w:r>
                </w:p>
              </w:tc>
            </w:tr>
            <w:tr w14:paraId="5A52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4C4CE455">
                  <w:pPr>
                    <w:pStyle w:val="45"/>
                    <w:keepNext w:val="0"/>
                    <w:keepLines w:val="0"/>
                    <w:suppressLineNumbers w:val="0"/>
                    <w:spacing w:before="0" w:beforeAutospacing="0" w:after="0" w:afterAutospacing="0"/>
                    <w:ind w:left="0" w:right="0"/>
                    <w:rPr>
                      <w:rFonts w:hint="default"/>
                    </w:rPr>
                  </w:pPr>
                </w:p>
              </w:tc>
              <w:tc>
                <w:tcPr>
                  <w:tcW w:w="886" w:type="pct"/>
                  <w:vAlign w:val="center"/>
                </w:tcPr>
                <w:p w14:paraId="14D8D1B3">
                  <w:pPr>
                    <w:pStyle w:val="45"/>
                    <w:keepNext w:val="0"/>
                    <w:keepLines w:val="0"/>
                    <w:suppressLineNumbers w:val="0"/>
                    <w:spacing w:before="0" w:beforeAutospacing="0" w:after="0" w:afterAutospacing="0"/>
                    <w:ind w:left="0" w:right="0"/>
                    <w:rPr>
                      <w:rFonts w:hint="default"/>
                    </w:rPr>
                  </w:pPr>
                  <w:r>
                    <w:rPr>
                      <w:rFonts w:hint="default"/>
                    </w:rPr>
                    <w:t>土壤酸化、碱化</w:t>
                  </w:r>
                </w:p>
              </w:tc>
              <w:tc>
                <w:tcPr>
                  <w:tcW w:w="829" w:type="pct"/>
                  <w:vAlign w:val="center"/>
                </w:tcPr>
                <w:p w14:paraId="6992E89C">
                  <w:pPr>
                    <w:pStyle w:val="45"/>
                    <w:keepNext w:val="0"/>
                    <w:keepLines w:val="0"/>
                    <w:suppressLineNumbers w:val="0"/>
                    <w:spacing w:before="0" w:beforeAutospacing="0" w:after="0" w:afterAutospacing="0"/>
                    <w:ind w:left="0" w:right="0"/>
                    <w:rPr>
                      <w:rFonts w:hint="default"/>
                    </w:rPr>
                  </w:pPr>
                  <w:r>
                    <w:rPr>
                      <w:rFonts w:hint="default"/>
                    </w:rPr>
                    <w:t>pH</w:t>
                  </w:r>
                </w:p>
              </w:tc>
              <w:tc>
                <w:tcPr>
                  <w:tcW w:w="780" w:type="pct"/>
                  <w:vAlign w:val="center"/>
                </w:tcPr>
                <w:p w14:paraId="06C5F50C">
                  <w:pPr>
                    <w:pStyle w:val="45"/>
                    <w:keepNext w:val="0"/>
                    <w:keepLines w:val="0"/>
                    <w:suppressLineNumbers w:val="0"/>
                    <w:spacing w:before="0" w:beforeAutospacing="0" w:after="0" w:afterAutospacing="0"/>
                    <w:ind w:left="0" w:right="0"/>
                    <w:rPr>
                      <w:rFonts w:hint="default" w:eastAsia="宋体"/>
                      <w:lang w:val="en-US" w:eastAsia="zh-CN"/>
                    </w:rPr>
                  </w:pPr>
                  <w:r>
                    <w:rPr>
                      <w:rFonts w:hint="eastAsia"/>
                    </w:rPr>
                    <w:t>8.</w:t>
                  </w:r>
                  <w:r>
                    <w:rPr>
                      <w:rFonts w:hint="eastAsia"/>
                      <w:lang w:val="en-US" w:eastAsia="zh-CN"/>
                    </w:rPr>
                    <w:t>43</w:t>
                  </w:r>
                </w:p>
              </w:tc>
              <w:tc>
                <w:tcPr>
                  <w:tcW w:w="1359" w:type="dxa"/>
                  <w:vAlign w:val="center"/>
                </w:tcPr>
                <w:p w14:paraId="6A23B57A">
                  <w:pPr>
                    <w:pStyle w:val="45"/>
                    <w:keepNext w:val="0"/>
                    <w:keepLines w:val="0"/>
                    <w:suppressLineNumbers w:val="0"/>
                    <w:spacing w:before="0" w:beforeAutospacing="0" w:after="0" w:afterAutospacing="0"/>
                    <w:ind w:left="0" w:right="0"/>
                    <w:rPr>
                      <w:rFonts w:hint="default"/>
                    </w:rPr>
                  </w:pPr>
                  <w:r>
                    <w:rPr>
                      <w:rFonts w:hint="default"/>
                    </w:rPr>
                    <w:t>5.5</w:t>
                  </w:r>
                  <w:r>
                    <w:rPr>
                      <w:rFonts w:hint="eastAsia" w:ascii="Times New Roman" w:hAnsi="Times New Roman" w:eastAsia="宋体" w:cs="Times New Roman"/>
                      <w:lang w:val="en-US" w:eastAsia="zh-CN"/>
                    </w:rPr>
                    <w:t>≤</w:t>
                  </w:r>
                  <w:r>
                    <w:rPr>
                      <w:rFonts w:hint="default"/>
                    </w:rPr>
                    <w:t>pH</w:t>
                  </w:r>
                  <w:r>
                    <w:rPr>
                      <w:rFonts w:hint="eastAsia"/>
                      <w:lang w:eastAsia="zh-CN"/>
                    </w:rPr>
                    <w:t>&lt;</w:t>
                  </w:r>
                  <w:r>
                    <w:rPr>
                      <w:rFonts w:hint="default"/>
                    </w:rPr>
                    <w:t>8.5</w:t>
                  </w:r>
                </w:p>
              </w:tc>
              <w:tc>
                <w:tcPr>
                  <w:tcW w:w="1259" w:type="dxa"/>
                  <w:vAlign w:val="center"/>
                </w:tcPr>
                <w:p w14:paraId="1075A47B">
                  <w:pPr>
                    <w:pStyle w:val="45"/>
                    <w:keepNext w:val="0"/>
                    <w:keepLines w:val="0"/>
                    <w:suppressLineNumbers w:val="0"/>
                    <w:spacing w:before="0" w:beforeAutospacing="0" w:after="0" w:afterAutospacing="0"/>
                    <w:ind w:left="0" w:right="0"/>
                    <w:rPr>
                      <w:rFonts w:hint="default"/>
                    </w:rPr>
                  </w:pPr>
                  <w:r>
                    <w:rPr>
                      <w:rFonts w:hint="eastAsia"/>
                    </w:rPr>
                    <w:t>无酸化或碱化</w:t>
                  </w:r>
                </w:p>
              </w:tc>
            </w:tr>
          </w:tbl>
          <w:p w14:paraId="40C9ACF4">
            <w:pPr>
              <w:pStyle w:val="44"/>
              <w:keepNext w:val="0"/>
              <w:keepLines w:val="0"/>
              <w:suppressLineNumbers w:val="0"/>
              <w:spacing w:before="0" w:beforeAutospacing="0" w:after="0" w:afterAutospacing="0" w:line="480" w:lineRule="exact"/>
              <w:ind w:left="0" w:right="0" w:firstLine="480"/>
              <w:rPr>
                <w:rFonts w:hint="default"/>
                <w:kern w:val="44"/>
                <w:sz w:val="24"/>
                <w:szCs w:val="24"/>
              </w:rPr>
            </w:pPr>
            <w:r>
              <w:rPr>
                <w:rFonts w:hint="default"/>
                <w:kern w:val="44"/>
                <w:sz w:val="24"/>
                <w:szCs w:val="24"/>
              </w:rPr>
              <w:t>项目区占地范围外土壤监测结果及评价结果如下。</w:t>
            </w:r>
          </w:p>
          <w:p w14:paraId="55DABE79">
            <w:pPr>
              <w:pStyle w:val="44"/>
              <w:keepNext w:val="0"/>
              <w:keepLines w:val="0"/>
              <w:suppressLineNumbers w:val="0"/>
              <w:spacing w:before="0" w:beforeAutospacing="0" w:after="0" w:afterAutospacing="0" w:line="480" w:lineRule="exact"/>
              <w:ind w:left="0" w:right="0" w:firstLine="0" w:firstLineChars="0"/>
              <w:jc w:val="center"/>
              <w:rPr>
                <w:rFonts w:hint="default"/>
                <w:b/>
                <w:bCs/>
                <w:kern w:val="44"/>
                <w:sz w:val="24"/>
                <w:szCs w:val="24"/>
              </w:rPr>
            </w:pPr>
            <w:r>
              <w:rPr>
                <w:rFonts w:hint="default"/>
                <w:b/>
                <w:bCs/>
                <w:kern w:val="44"/>
                <w:sz w:val="24"/>
                <w:szCs w:val="24"/>
              </w:rPr>
              <w:t>表3-</w:t>
            </w:r>
            <w:r>
              <w:rPr>
                <w:rFonts w:hint="eastAsia"/>
                <w:b/>
                <w:bCs/>
                <w:kern w:val="44"/>
                <w:sz w:val="24"/>
                <w:szCs w:val="24"/>
              </w:rPr>
              <w:t>12</w:t>
            </w:r>
            <w:r>
              <w:rPr>
                <w:rFonts w:hint="default"/>
                <w:b/>
                <w:bCs/>
                <w:kern w:val="44"/>
                <w:sz w:val="24"/>
                <w:szCs w:val="24"/>
              </w:rPr>
              <w:t xml:space="preserve">    项目区</w:t>
            </w:r>
            <w:r>
              <w:rPr>
                <w:rFonts w:hint="eastAsia"/>
                <w:b/>
                <w:bCs/>
                <w:kern w:val="44"/>
                <w:sz w:val="24"/>
                <w:szCs w:val="24"/>
                <w:lang w:val="en-US" w:eastAsia="zh-CN"/>
              </w:rPr>
              <w:t>南侧</w:t>
            </w:r>
            <w:r>
              <w:rPr>
                <w:rFonts w:hint="default"/>
                <w:b/>
                <w:bCs/>
                <w:kern w:val="44"/>
                <w:sz w:val="24"/>
                <w:szCs w:val="24"/>
              </w:rPr>
              <w:t>监测结果    单位：mg/kg</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2171"/>
              <w:gridCol w:w="1689"/>
              <w:gridCol w:w="1695"/>
            </w:tblGrid>
            <w:tr w14:paraId="5E28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jc w:val="center"/>
              </w:trPr>
              <w:tc>
                <w:tcPr>
                  <w:tcW w:w="1598" w:type="pct"/>
                  <w:vMerge w:val="restart"/>
                  <w:vAlign w:val="center"/>
                </w:tcPr>
                <w:p w14:paraId="7D77219A">
                  <w:pPr>
                    <w:pStyle w:val="45"/>
                    <w:keepNext w:val="0"/>
                    <w:keepLines w:val="0"/>
                    <w:suppressLineNumbers w:val="0"/>
                    <w:spacing w:before="0" w:beforeAutospacing="0" w:after="0" w:afterAutospacing="0"/>
                    <w:ind w:left="0" w:right="0"/>
                    <w:rPr>
                      <w:rFonts w:hint="default"/>
                    </w:rPr>
                  </w:pPr>
                  <w:r>
                    <w:rPr>
                      <w:rFonts w:hint="default"/>
                    </w:rPr>
                    <w:t>检测项目</w:t>
                  </w:r>
                </w:p>
              </w:tc>
              <w:tc>
                <w:tcPr>
                  <w:tcW w:w="1329" w:type="pct"/>
                  <w:vMerge w:val="restart"/>
                  <w:vAlign w:val="center"/>
                </w:tcPr>
                <w:p w14:paraId="4B014377">
                  <w:pPr>
                    <w:pStyle w:val="45"/>
                    <w:keepNext w:val="0"/>
                    <w:keepLines w:val="0"/>
                    <w:suppressLineNumbers w:val="0"/>
                    <w:spacing w:before="0" w:beforeAutospacing="0" w:after="0" w:afterAutospacing="0"/>
                    <w:ind w:left="0" w:right="0"/>
                    <w:rPr>
                      <w:rFonts w:hint="default"/>
                    </w:rPr>
                  </w:pPr>
                  <w:r>
                    <w:rPr>
                      <w:rFonts w:hint="eastAsia"/>
                    </w:rPr>
                    <w:t>建设用地</w:t>
                  </w:r>
                  <w:r>
                    <w:rPr>
                      <w:rFonts w:hint="default"/>
                    </w:rPr>
                    <w:t>土壤污染风险筛选值</w:t>
                  </w:r>
                </w:p>
              </w:tc>
              <w:tc>
                <w:tcPr>
                  <w:tcW w:w="2071" w:type="pct"/>
                  <w:gridSpan w:val="2"/>
                  <w:vAlign w:val="center"/>
                </w:tcPr>
                <w:p w14:paraId="4BF0E6EC">
                  <w:pPr>
                    <w:pStyle w:val="45"/>
                    <w:keepNext w:val="0"/>
                    <w:keepLines w:val="0"/>
                    <w:suppressLineNumbers w:val="0"/>
                    <w:spacing w:before="0" w:beforeAutospacing="0" w:after="0" w:afterAutospacing="0"/>
                    <w:ind w:left="0" w:right="0"/>
                    <w:rPr>
                      <w:rFonts w:hint="default"/>
                    </w:rPr>
                  </w:pPr>
                  <w:r>
                    <w:rPr>
                      <w:rFonts w:hint="default"/>
                    </w:rPr>
                    <w:t>监测点位</w:t>
                  </w:r>
                </w:p>
              </w:tc>
            </w:tr>
            <w:tr w14:paraId="38A0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Merge w:val="continue"/>
                  <w:vAlign w:val="center"/>
                </w:tcPr>
                <w:p w14:paraId="6D3E4B64">
                  <w:pPr>
                    <w:pStyle w:val="45"/>
                    <w:keepNext w:val="0"/>
                    <w:keepLines w:val="0"/>
                    <w:suppressLineNumbers w:val="0"/>
                    <w:spacing w:before="0" w:beforeAutospacing="0" w:after="0" w:afterAutospacing="0"/>
                    <w:ind w:left="0" w:right="0"/>
                    <w:rPr>
                      <w:rFonts w:hint="default"/>
                    </w:rPr>
                  </w:pPr>
                </w:p>
              </w:tc>
              <w:tc>
                <w:tcPr>
                  <w:tcW w:w="1329" w:type="pct"/>
                  <w:vMerge w:val="continue"/>
                  <w:vAlign w:val="center"/>
                </w:tcPr>
                <w:p w14:paraId="1D070615">
                  <w:pPr>
                    <w:pStyle w:val="45"/>
                    <w:keepNext w:val="0"/>
                    <w:keepLines w:val="0"/>
                    <w:suppressLineNumbers w:val="0"/>
                    <w:spacing w:before="0" w:beforeAutospacing="0" w:after="0" w:afterAutospacing="0"/>
                    <w:ind w:left="0" w:right="0"/>
                    <w:rPr>
                      <w:rFonts w:hint="default"/>
                    </w:rPr>
                  </w:pPr>
                </w:p>
              </w:tc>
              <w:tc>
                <w:tcPr>
                  <w:tcW w:w="2071" w:type="pct"/>
                  <w:gridSpan w:val="2"/>
                  <w:vAlign w:val="center"/>
                </w:tcPr>
                <w:p w14:paraId="7CC8FAD4">
                  <w:pPr>
                    <w:pStyle w:val="45"/>
                    <w:keepNext w:val="0"/>
                    <w:keepLines w:val="0"/>
                    <w:suppressLineNumbers w:val="0"/>
                    <w:spacing w:before="0" w:beforeAutospacing="0" w:after="0" w:afterAutospacing="0"/>
                    <w:ind w:left="0" w:right="0"/>
                    <w:rPr>
                      <w:rFonts w:hint="default"/>
                    </w:rPr>
                  </w:pPr>
                  <w:r>
                    <w:rPr>
                      <w:rFonts w:hint="default"/>
                    </w:rPr>
                    <w:t>占地范围外</w:t>
                  </w:r>
                </w:p>
              </w:tc>
            </w:tr>
            <w:tr w14:paraId="272B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598" w:type="pct"/>
                  <w:vMerge w:val="continue"/>
                  <w:vAlign w:val="center"/>
                </w:tcPr>
                <w:p w14:paraId="4D3EC561">
                  <w:pPr>
                    <w:pStyle w:val="45"/>
                    <w:keepNext w:val="0"/>
                    <w:keepLines w:val="0"/>
                    <w:suppressLineNumbers w:val="0"/>
                    <w:spacing w:before="0" w:beforeAutospacing="0" w:after="0" w:afterAutospacing="0"/>
                    <w:ind w:left="0" w:right="0"/>
                    <w:rPr>
                      <w:rFonts w:hint="default"/>
                    </w:rPr>
                  </w:pPr>
                </w:p>
              </w:tc>
              <w:tc>
                <w:tcPr>
                  <w:tcW w:w="1329" w:type="pct"/>
                  <w:vMerge w:val="continue"/>
                  <w:vAlign w:val="center"/>
                </w:tcPr>
                <w:p w14:paraId="5CD65DA3">
                  <w:pPr>
                    <w:pStyle w:val="45"/>
                    <w:keepNext w:val="0"/>
                    <w:keepLines w:val="0"/>
                    <w:suppressLineNumbers w:val="0"/>
                    <w:spacing w:before="0" w:beforeAutospacing="0" w:after="0" w:afterAutospacing="0"/>
                    <w:ind w:left="0" w:right="0"/>
                    <w:rPr>
                      <w:rFonts w:hint="default"/>
                    </w:rPr>
                  </w:pPr>
                </w:p>
              </w:tc>
              <w:tc>
                <w:tcPr>
                  <w:tcW w:w="1034" w:type="pct"/>
                  <w:vAlign w:val="center"/>
                </w:tcPr>
                <w:p w14:paraId="182FE754">
                  <w:pPr>
                    <w:pStyle w:val="45"/>
                    <w:keepNext w:val="0"/>
                    <w:keepLines w:val="0"/>
                    <w:suppressLineNumbers w:val="0"/>
                    <w:spacing w:before="0" w:beforeAutospacing="0" w:after="0" w:afterAutospacing="0"/>
                    <w:ind w:left="0" w:right="0"/>
                    <w:rPr>
                      <w:rFonts w:hint="eastAsia" w:eastAsia="宋体"/>
                      <w:lang w:eastAsia="zh-CN"/>
                    </w:rPr>
                  </w:pPr>
                  <w:r>
                    <w:rPr>
                      <w:rFonts w:hint="eastAsia"/>
                      <w:lang w:val="en-US" w:eastAsia="zh-CN"/>
                    </w:rPr>
                    <w:t>南侧</w:t>
                  </w:r>
                </w:p>
              </w:tc>
              <w:tc>
                <w:tcPr>
                  <w:tcW w:w="1037" w:type="pct"/>
                  <w:vAlign w:val="center"/>
                </w:tcPr>
                <w:p w14:paraId="093A9A2D">
                  <w:pPr>
                    <w:pStyle w:val="45"/>
                    <w:keepNext w:val="0"/>
                    <w:keepLines w:val="0"/>
                    <w:suppressLineNumbers w:val="0"/>
                    <w:spacing w:before="0" w:beforeAutospacing="0" w:after="0" w:afterAutospacing="0"/>
                    <w:ind w:left="0" w:right="0"/>
                    <w:rPr>
                      <w:rFonts w:hint="default"/>
                    </w:rPr>
                  </w:pPr>
                  <w:r>
                    <w:rPr>
                      <w:rFonts w:hint="default"/>
                    </w:rPr>
                    <w:t>占标率（%）</w:t>
                  </w:r>
                </w:p>
              </w:tc>
            </w:tr>
            <w:tr w14:paraId="78C8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Align w:val="center"/>
                </w:tcPr>
                <w:p w14:paraId="74E71657">
                  <w:pPr>
                    <w:pStyle w:val="45"/>
                    <w:keepNext w:val="0"/>
                    <w:keepLines w:val="0"/>
                    <w:suppressLineNumbers w:val="0"/>
                    <w:spacing w:before="0" w:beforeAutospacing="0" w:after="0" w:afterAutospacing="0"/>
                    <w:ind w:left="0" w:right="0"/>
                    <w:rPr>
                      <w:rFonts w:hint="default"/>
                    </w:rPr>
                  </w:pPr>
                  <w:r>
                    <w:rPr>
                      <w:rFonts w:hint="default"/>
                    </w:rPr>
                    <w:t>砷</w:t>
                  </w:r>
                </w:p>
              </w:tc>
              <w:tc>
                <w:tcPr>
                  <w:tcW w:w="1329" w:type="pct"/>
                  <w:vAlign w:val="center"/>
                </w:tcPr>
                <w:p w14:paraId="3FAB24E4">
                  <w:pPr>
                    <w:pStyle w:val="45"/>
                    <w:keepNext w:val="0"/>
                    <w:keepLines w:val="0"/>
                    <w:suppressLineNumbers w:val="0"/>
                    <w:spacing w:before="0" w:beforeAutospacing="0" w:after="0" w:afterAutospacing="0"/>
                    <w:ind w:left="0" w:right="0"/>
                    <w:rPr>
                      <w:rFonts w:hint="default"/>
                    </w:rPr>
                  </w:pPr>
                  <w:r>
                    <w:rPr>
                      <w:rFonts w:hint="default"/>
                    </w:rPr>
                    <w:t>60</w:t>
                  </w:r>
                </w:p>
              </w:tc>
              <w:tc>
                <w:tcPr>
                  <w:tcW w:w="1034" w:type="pct"/>
                  <w:vAlign w:val="center"/>
                </w:tcPr>
                <w:p w14:paraId="09897B2A">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16.4</w:t>
                  </w:r>
                </w:p>
              </w:tc>
              <w:tc>
                <w:tcPr>
                  <w:tcW w:w="1037" w:type="pct"/>
                  <w:vAlign w:val="center"/>
                </w:tcPr>
                <w:p w14:paraId="036DD9A0">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27.3</w:t>
                  </w:r>
                </w:p>
              </w:tc>
            </w:tr>
            <w:tr w14:paraId="45DD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Align w:val="center"/>
                </w:tcPr>
                <w:p w14:paraId="27122FC6">
                  <w:pPr>
                    <w:pStyle w:val="45"/>
                    <w:keepNext w:val="0"/>
                    <w:keepLines w:val="0"/>
                    <w:suppressLineNumbers w:val="0"/>
                    <w:spacing w:before="0" w:beforeAutospacing="0" w:after="0" w:afterAutospacing="0"/>
                    <w:ind w:left="0" w:right="0"/>
                    <w:rPr>
                      <w:rFonts w:hint="default"/>
                    </w:rPr>
                  </w:pPr>
                  <w:r>
                    <w:rPr>
                      <w:rFonts w:hint="default"/>
                    </w:rPr>
                    <w:t>镉</w:t>
                  </w:r>
                </w:p>
              </w:tc>
              <w:tc>
                <w:tcPr>
                  <w:tcW w:w="1329" w:type="pct"/>
                  <w:vAlign w:val="center"/>
                </w:tcPr>
                <w:p w14:paraId="5C9509A6">
                  <w:pPr>
                    <w:pStyle w:val="45"/>
                    <w:keepNext w:val="0"/>
                    <w:keepLines w:val="0"/>
                    <w:suppressLineNumbers w:val="0"/>
                    <w:spacing w:before="0" w:beforeAutospacing="0" w:after="0" w:afterAutospacing="0"/>
                    <w:ind w:left="0" w:right="0"/>
                    <w:rPr>
                      <w:rFonts w:hint="default"/>
                    </w:rPr>
                  </w:pPr>
                  <w:r>
                    <w:rPr>
                      <w:rFonts w:hint="default"/>
                    </w:rPr>
                    <w:t>65</w:t>
                  </w:r>
                </w:p>
              </w:tc>
              <w:tc>
                <w:tcPr>
                  <w:tcW w:w="1034" w:type="pct"/>
                  <w:vAlign w:val="center"/>
                </w:tcPr>
                <w:p w14:paraId="456C7B31">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0.16</w:t>
                  </w:r>
                </w:p>
              </w:tc>
              <w:tc>
                <w:tcPr>
                  <w:tcW w:w="1037" w:type="pct"/>
                  <w:vAlign w:val="center"/>
                </w:tcPr>
                <w:p w14:paraId="17699D47">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0.2</w:t>
                  </w:r>
                </w:p>
              </w:tc>
            </w:tr>
            <w:tr w14:paraId="5ECB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Align w:val="center"/>
                </w:tcPr>
                <w:p w14:paraId="4E74B6C8">
                  <w:pPr>
                    <w:pStyle w:val="45"/>
                    <w:keepNext w:val="0"/>
                    <w:keepLines w:val="0"/>
                    <w:suppressLineNumbers w:val="0"/>
                    <w:spacing w:before="0" w:beforeAutospacing="0" w:after="0" w:afterAutospacing="0"/>
                    <w:ind w:left="0" w:right="0"/>
                    <w:rPr>
                      <w:rFonts w:hint="default"/>
                    </w:rPr>
                  </w:pPr>
                  <w:r>
                    <w:rPr>
                      <w:rFonts w:hint="default"/>
                    </w:rPr>
                    <w:t>铬（六价）</w:t>
                  </w:r>
                </w:p>
              </w:tc>
              <w:tc>
                <w:tcPr>
                  <w:tcW w:w="1329" w:type="pct"/>
                  <w:vAlign w:val="center"/>
                </w:tcPr>
                <w:p w14:paraId="4874C1FB">
                  <w:pPr>
                    <w:pStyle w:val="45"/>
                    <w:keepNext w:val="0"/>
                    <w:keepLines w:val="0"/>
                    <w:suppressLineNumbers w:val="0"/>
                    <w:spacing w:before="0" w:beforeAutospacing="0" w:after="0" w:afterAutospacing="0"/>
                    <w:ind w:left="0" w:right="0"/>
                    <w:rPr>
                      <w:rFonts w:hint="default"/>
                    </w:rPr>
                  </w:pPr>
                  <w:r>
                    <w:rPr>
                      <w:rFonts w:hint="default"/>
                    </w:rPr>
                    <w:t>5.7</w:t>
                  </w:r>
                </w:p>
              </w:tc>
              <w:tc>
                <w:tcPr>
                  <w:tcW w:w="1034" w:type="pct"/>
                  <w:vAlign w:val="center"/>
                </w:tcPr>
                <w:p w14:paraId="388C2907">
                  <w:pPr>
                    <w:pStyle w:val="45"/>
                    <w:keepNext w:val="0"/>
                    <w:keepLines w:val="0"/>
                    <w:suppressLineNumbers w:val="0"/>
                    <w:spacing w:before="0" w:beforeAutospacing="0" w:after="0" w:afterAutospacing="0"/>
                    <w:ind w:left="0" w:right="0"/>
                    <w:rPr>
                      <w:rFonts w:hint="default"/>
                    </w:rPr>
                  </w:pPr>
                  <w:r>
                    <w:rPr>
                      <w:rFonts w:hint="eastAsia"/>
                    </w:rPr>
                    <w:t>0.5L</w:t>
                  </w:r>
                </w:p>
              </w:tc>
              <w:tc>
                <w:tcPr>
                  <w:tcW w:w="1037" w:type="pct"/>
                  <w:vAlign w:val="center"/>
                </w:tcPr>
                <w:p w14:paraId="1EACF098">
                  <w:pPr>
                    <w:pStyle w:val="45"/>
                    <w:keepNext w:val="0"/>
                    <w:keepLines w:val="0"/>
                    <w:suppressLineNumbers w:val="0"/>
                    <w:spacing w:before="0" w:beforeAutospacing="0" w:after="0" w:afterAutospacing="0"/>
                    <w:ind w:left="0" w:right="0"/>
                    <w:rPr>
                      <w:rFonts w:hint="default"/>
                    </w:rPr>
                  </w:pPr>
                  <w:r>
                    <w:rPr>
                      <w:rFonts w:hint="eastAsia"/>
                    </w:rPr>
                    <w:t>/</w:t>
                  </w:r>
                </w:p>
              </w:tc>
            </w:tr>
            <w:tr w14:paraId="757B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Align w:val="center"/>
                </w:tcPr>
                <w:p w14:paraId="5CB66BD7">
                  <w:pPr>
                    <w:pStyle w:val="45"/>
                    <w:keepNext w:val="0"/>
                    <w:keepLines w:val="0"/>
                    <w:suppressLineNumbers w:val="0"/>
                    <w:spacing w:before="0" w:beforeAutospacing="0" w:after="0" w:afterAutospacing="0"/>
                    <w:ind w:left="0" w:right="0"/>
                    <w:rPr>
                      <w:rFonts w:hint="default"/>
                    </w:rPr>
                  </w:pPr>
                  <w:r>
                    <w:rPr>
                      <w:rFonts w:hint="default"/>
                    </w:rPr>
                    <w:t>铜</w:t>
                  </w:r>
                </w:p>
              </w:tc>
              <w:tc>
                <w:tcPr>
                  <w:tcW w:w="1329" w:type="pct"/>
                  <w:vAlign w:val="center"/>
                </w:tcPr>
                <w:p w14:paraId="5676E4C1">
                  <w:pPr>
                    <w:pStyle w:val="45"/>
                    <w:keepNext w:val="0"/>
                    <w:keepLines w:val="0"/>
                    <w:suppressLineNumbers w:val="0"/>
                    <w:spacing w:before="0" w:beforeAutospacing="0" w:after="0" w:afterAutospacing="0"/>
                    <w:ind w:left="0" w:right="0"/>
                    <w:rPr>
                      <w:rFonts w:hint="default"/>
                    </w:rPr>
                  </w:pPr>
                  <w:r>
                    <w:rPr>
                      <w:rFonts w:hint="default"/>
                    </w:rPr>
                    <w:t>18000</w:t>
                  </w:r>
                </w:p>
              </w:tc>
              <w:tc>
                <w:tcPr>
                  <w:tcW w:w="1034" w:type="pct"/>
                  <w:vAlign w:val="center"/>
                </w:tcPr>
                <w:p w14:paraId="57ED1908">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38</w:t>
                  </w:r>
                </w:p>
              </w:tc>
              <w:tc>
                <w:tcPr>
                  <w:tcW w:w="1037" w:type="pct"/>
                  <w:vAlign w:val="center"/>
                </w:tcPr>
                <w:p w14:paraId="0DDF2A5C">
                  <w:pPr>
                    <w:pStyle w:val="45"/>
                    <w:keepNext w:val="0"/>
                    <w:keepLines w:val="0"/>
                    <w:suppressLineNumbers w:val="0"/>
                    <w:spacing w:before="0" w:beforeAutospacing="0" w:after="0" w:afterAutospacing="0"/>
                    <w:ind w:left="0" w:right="0"/>
                    <w:rPr>
                      <w:rFonts w:hint="default"/>
                    </w:rPr>
                  </w:pPr>
                  <w:r>
                    <w:rPr>
                      <w:rFonts w:hint="eastAsia"/>
                    </w:rPr>
                    <w:t>0.2</w:t>
                  </w:r>
                </w:p>
              </w:tc>
            </w:tr>
            <w:tr w14:paraId="0684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pct"/>
                  <w:vAlign w:val="center"/>
                </w:tcPr>
                <w:p w14:paraId="649C301C">
                  <w:pPr>
                    <w:pStyle w:val="45"/>
                    <w:keepNext w:val="0"/>
                    <w:keepLines w:val="0"/>
                    <w:suppressLineNumbers w:val="0"/>
                    <w:spacing w:before="0" w:beforeAutospacing="0" w:after="0" w:afterAutospacing="0"/>
                    <w:ind w:left="0" w:right="0"/>
                    <w:rPr>
                      <w:rFonts w:hint="default"/>
                    </w:rPr>
                  </w:pPr>
                  <w:r>
                    <w:rPr>
                      <w:rFonts w:hint="default"/>
                    </w:rPr>
                    <w:t>铅</w:t>
                  </w:r>
                </w:p>
              </w:tc>
              <w:tc>
                <w:tcPr>
                  <w:tcW w:w="1329" w:type="pct"/>
                  <w:vAlign w:val="center"/>
                </w:tcPr>
                <w:p w14:paraId="0A286207">
                  <w:pPr>
                    <w:pStyle w:val="45"/>
                    <w:keepNext w:val="0"/>
                    <w:keepLines w:val="0"/>
                    <w:suppressLineNumbers w:val="0"/>
                    <w:spacing w:before="0" w:beforeAutospacing="0" w:after="0" w:afterAutospacing="0"/>
                    <w:ind w:left="0" w:right="0"/>
                    <w:rPr>
                      <w:rFonts w:hint="default"/>
                    </w:rPr>
                  </w:pPr>
                  <w:r>
                    <w:rPr>
                      <w:rFonts w:hint="default"/>
                    </w:rPr>
                    <w:t>800</w:t>
                  </w:r>
                </w:p>
              </w:tc>
              <w:tc>
                <w:tcPr>
                  <w:tcW w:w="1034" w:type="pct"/>
                  <w:vAlign w:val="center"/>
                </w:tcPr>
                <w:p w14:paraId="2F4AF210">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18.6</w:t>
                  </w:r>
                </w:p>
              </w:tc>
              <w:tc>
                <w:tcPr>
                  <w:tcW w:w="1037" w:type="pct"/>
                  <w:vAlign w:val="center"/>
                </w:tcPr>
                <w:p w14:paraId="59AE41B6">
                  <w:pPr>
                    <w:pStyle w:val="45"/>
                    <w:keepNext w:val="0"/>
                    <w:keepLines w:val="0"/>
                    <w:suppressLineNumbers w:val="0"/>
                    <w:spacing w:before="0" w:beforeAutospacing="0" w:after="0" w:afterAutospacing="0"/>
                    <w:ind w:left="0" w:right="0"/>
                    <w:rPr>
                      <w:rFonts w:hint="default"/>
                      <w:lang w:val="en-US" w:eastAsia="zh-CN"/>
                    </w:rPr>
                  </w:pPr>
                  <w:r>
                    <w:rPr>
                      <w:rFonts w:hint="eastAsia"/>
                      <w:lang w:val="en-US" w:eastAsia="zh-CN"/>
                    </w:rPr>
                    <w:t>2.3</w:t>
                  </w:r>
                </w:p>
              </w:tc>
            </w:tr>
            <w:tr w14:paraId="745C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Align w:val="center"/>
                </w:tcPr>
                <w:p w14:paraId="4C69CD58">
                  <w:pPr>
                    <w:pStyle w:val="45"/>
                    <w:keepNext w:val="0"/>
                    <w:keepLines w:val="0"/>
                    <w:suppressLineNumbers w:val="0"/>
                    <w:spacing w:before="0" w:beforeAutospacing="0" w:after="0" w:afterAutospacing="0"/>
                    <w:ind w:left="0" w:right="0"/>
                    <w:rPr>
                      <w:rFonts w:hint="default"/>
                    </w:rPr>
                  </w:pPr>
                  <w:r>
                    <w:rPr>
                      <w:rFonts w:hint="default"/>
                    </w:rPr>
                    <w:t>汞</w:t>
                  </w:r>
                </w:p>
              </w:tc>
              <w:tc>
                <w:tcPr>
                  <w:tcW w:w="1329" w:type="pct"/>
                  <w:vAlign w:val="center"/>
                </w:tcPr>
                <w:p w14:paraId="53C175D0">
                  <w:pPr>
                    <w:pStyle w:val="45"/>
                    <w:keepNext w:val="0"/>
                    <w:keepLines w:val="0"/>
                    <w:suppressLineNumbers w:val="0"/>
                    <w:spacing w:before="0" w:beforeAutospacing="0" w:after="0" w:afterAutospacing="0"/>
                    <w:ind w:left="0" w:right="0"/>
                    <w:rPr>
                      <w:rFonts w:hint="default"/>
                    </w:rPr>
                  </w:pPr>
                  <w:r>
                    <w:rPr>
                      <w:rFonts w:hint="default"/>
                    </w:rPr>
                    <w:t>38</w:t>
                  </w:r>
                </w:p>
              </w:tc>
              <w:tc>
                <w:tcPr>
                  <w:tcW w:w="1034" w:type="pct"/>
                  <w:vAlign w:val="center"/>
                </w:tcPr>
                <w:p w14:paraId="1932E0A1">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0.196</w:t>
                  </w:r>
                </w:p>
              </w:tc>
              <w:tc>
                <w:tcPr>
                  <w:tcW w:w="1037" w:type="pct"/>
                  <w:vAlign w:val="center"/>
                </w:tcPr>
                <w:p w14:paraId="3D58FC5B">
                  <w:pPr>
                    <w:pStyle w:val="45"/>
                    <w:keepNext w:val="0"/>
                    <w:keepLines w:val="0"/>
                    <w:suppressLineNumbers w:val="0"/>
                    <w:spacing w:before="0" w:beforeAutospacing="0" w:after="0" w:afterAutospacing="0"/>
                    <w:ind w:left="0" w:right="0"/>
                    <w:rPr>
                      <w:rFonts w:hint="eastAsia" w:eastAsia="宋体"/>
                      <w:lang w:val="en-US" w:eastAsia="zh-CN"/>
                    </w:rPr>
                  </w:pPr>
                  <w:r>
                    <w:rPr>
                      <w:rFonts w:hint="eastAsia"/>
                    </w:rPr>
                    <w:t>0.</w:t>
                  </w:r>
                  <w:r>
                    <w:rPr>
                      <w:rFonts w:hint="eastAsia"/>
                      <w:lang w:val="en-US" w:eastAsia="zh-CN"/>
                    </w:rPr>
                    <w:t>5</w:t>
                  </w:r>
                </w:p>
              </w:tc>
            </w:tr>
            <w:tr w14:paraId="3D69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Align w:val="center"/>
                </w:tcPr>
                <w:p w14:paraId="777178D5">
                  <w:pPr>
                    <w:pStyle w:val="45"/>
                    <w:keepNext w:val="0"/>
                    <w:keepLines w:val="0"/>
                    <w:suppressLineNumbers w:val="0"/>
                    <w:spacing w:before="0" w:beforeAutospacing="0" w:after="0" w:afterAutospacing="0"/>
                    <w:ind w:left="0" w:right="0"/>
                    <w:rPr>
                      <w:rFonts w:hint="default"/>
                    </w:rPr>
                  </w:pPr>
                  <w:r>
                    <w:rPr>
                      <w:rFonts w:hint="default"/>
                    </w:rPr>
                    <w:t>镍</w:t>
                  </w:r>
                </w:p>
              </w:tc>
              <w:tc>
                <w:tcPr>
                  <w:tcW w:w="1329" w:type="pct"/>
                  <w:vAlign w:val="center"/>
                </w:tcPr>
                <w:p w14:paraId="60F148E7">
                  <w:pPr>
                    <w:pStyle w:val="45"/>
                    <w:keepNext w:val="0"/>
                    <w:keepLines w:val="0"/>
                    <w:suppressLineNumbers w:val="0"/>
                    <w:spacing w:before="0" w:beforeAutospacing="0" w:after="0" w:afterAutospacing="0"/>
                    <w:ind w:left="0" w:right="0"/>
                    <w:rPr>
                      <w:rFonts w:hint="default"/>
                    </w:rPr>
                  </w:pPr>
                  <w:r>
                    <w:rPr>
                      <w:rFonts w:hint="default"/>
                    </w:rPr>
                    <w:t>900</w:t>
                  </w:r>
                </w:p>
              </w:tc>
              <w:tc>
                <w:tcPr>
                  <w:tcW w:w="1034" w:type="pct"/>
                  <w:vAlign w:val="center"/>
                </w:tcPr>
                <w:p w14:paraId="36FC12A8">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36</w:t>
                  </w:r>
                </w:p>
              </w:tc>
              <w:tc>
                <w:tcPr>
                  <w:tcW w:w="1037" w:type="pct"/>
                  <w:vAlign w:val="center"/>
                </w:tcPr>
                <w:p w14:paraId="224F25AC">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4.0</w:t>
                  </w:r>
                </w:p>
              </w:tc>
            </w:tr>
          </w:tbl>
          <w:p w14:paraId="57850BC2">
            <w:pPr>
              <w:pStyle w:val="44"/>
              <w:keepNext w:val="0"/>
              <w:keepLines w:val="0"/>
              <w:suppressLineNumbers w:val="0"/>
              <w:spacing w:before="0" w:beforeAutospacing="0" w:after="0" w:afterAutospacing="0" w:line="480" w:lineRule="exact"/>
              <w:ind w:left="0" w:right="0" w:firstLine="0" w:firstLineChars="0"/>
              <w:jc w:val="center"/>
              <w:rPr>
                <w:rFonts w:hint="default"/>
                <w:b/>
                <w:bCs/>
                <w:kern w:val="44"/>
                <w:sz w:val="24"/>
                <w:szCs w:val="24"/>
              </w:rPr>
            </w:pPr>
            <w:r>
              <w:rPr>
                <w:rFonts w:hint="default"/>
                <w:b/>
                <w:bCs/>
                <w:kern w:val="44"/>
                <w:sz w:val="24"/>
                <w:szCs w:val="24"/>
              </w:rPr>
              <w:t>表3-</w:t>
            </w:r>
            <w:r>
              <w:rPr>
                <w:rFonts w:hint="eastAsia"/>
                <w:b/>
                <w:bCs/>
                <w:kern w:val="44"/>
                <w:sz w:val="24"/>
                <w:szCs w:val="24"/>
              </w:rPr>
              <w:t>13</w:t>
            </w:r>
            <w:r>
              <w:rPr>
                <w:rFonts w:hint="default"/>
                <w:b/>
                <w:bCs/>
                <w:kern w:val="44"/>
                <w:sz w:val="24"/>
                <w:szCs w:val="24"/>
              </w:rPr>
              <w:t xml:space="preserve">    项目区</w:t>
            </w:r>
            <w:r>
              <w:rPr>
                <w:rFonts w:hint="eastAsia"/>
                <w:b/>
                <w:bCs/>
                <w:kern w:val="44"/>
                <w:sz w:val="24"/>
                <w:szCs w:val="24"/>
                <w:lang w:val="en-US" w:eastAsia="zh-CN"/>
              </w:rPr>
              <w:t>西侧</w:t>
            </w:r>
            <w:r>
              <w:rPr>
                <w:rFonts w:hint="default"/>
                <w:b/>
                <w:bCs/>
                <w:kern w:val="44"/>
                <w:sz w:val="24"/>
                <w:szCs w:val="24"/>
              </w:rPr>
              <w:t>监测结果    单位：mg/kg</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2171"/>
              <w:gridCol w:w="1689"/>
              <w:gridCol w:w="1695"/>
            </w:tblGrid>
            <w:tr w14:paraId="0636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98" w:type="pct"/>
                  <w:vMerge w:val="restart"/>
                  <w:vAlign w:val="center"/>
                </w:tcPr>
                <w:p w14:paraId="222655DC">
                  <w:pPr>
                    <w:pStyle w:val="45"/>
                    <w:keepNext w:val="0"/>
                    <w:keepLines w:val="0"/>
                    <w:suppressLineNumbers w:val="0"/>
                    <w:spacing w:before="0" w:beforeAutospacing="0" w:after="0" w:afterAutospacing="0"/>
                    <w:ind w:left="0" w:right="0"/>
                    <w:rPr>
                      <w:rFonts w:hint="default"/>
                    </w:rPr>
                  </w:pPr>
                  <w:r>
                    <w:rPr>
                      <w:rFonts w:hint="default"/>
                    </w:rPr>
                    <w:t>检测项目</w:t>
                  </w:r>
                </w:p>
              </w:tc>
              <w:tc>
                <w:tcPr>
                  <w:tcW w:w="1329" w:type="pct"/>
                  <w:vMerge w:val="restart"/>
                  <w:vAlign w:val="center"/>
                </w:tcPr>
                <w:p w14:paraId="2DB4FABA">
                  <w:pPr>
                    <w:pStyle w:val="45"/>
                    <w:keepNext w:val="0"/>
                    <w:keepLines w:val="0"/>
                    <w:suppressLineNumbers w:val="0"/>
                    <w:spacing w:before="0" w:beforeAutospacing="0" w:after="0" w:afterAutospacing="0"/>
                    <w:ind w:left="0" w:right="0"/>
                    <w:rPr>
                      <w:rFonts w:hint="default"/>
                    </w:rPr>
                  </w:pPr>
                  <w:r>
                    <w:rPr>
                      <w:rFonts w:hint="eastAsia"/>
                    </w:rPr>
                    <w:t>建设用地</w:t>
                  </w:r>
                  <w:r>
                    <w:rPr>
                      <w:rFonts w:hint="default"/>
                    </w:rPr>
                    <w:t>土壤污染风险筛选值</w:t>
                  </w:r>
                </w:p>
              </w:tc>
              <w:tc>
                <w:tcPr>
                  <w:tcW w:w="2071" w:type="pct"/>
                  <w:gridSpan w:val="2"/>
                  <w:vAlign w:val="center"/>
                </w:tcPr>
                <w:p w14:paraId="02A7CEB0">
                  <w:pPr>
                    <w:pStyle w:val="45"/>
                    <w:keepNext w:val="0"/>
                    <w:keepLines w:val="0"/>
                    <w:suppressLineNumbers w:val="0"/>
                    <w:spacing w:before="0" w:beforeAutospacing="0" w:after="0" w:afterAutospacing="0"/>
                    <w:ind w:left="0" w:right="0"/>
                    <w:rPr>
                      <w:rFonts w:hint="default"/>
                    </w:rPr>
                  </w:pPr>
                  <w:r>
                    <w:rPr>
                      <w:rFonts w:hint="default"/>
                    </w:rPr>
                    <w:t>监测点位</w:t>
                  </w:r>
                </w:p>
              </w:tc>
            </w:tr>
            <w:tr w14:paraId="1085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598" w:type="pct"/>
                  <w:vMerge w:val="continue"/>
                  <w:vAlign w:val="center"/>
                </w:tcPr>
                <w:p w14:paraId="31F0235C">
                  <w:pPr>
                    <w:pStyle w:val="45"/>
                    <w:keepNext w:val="0"/>
                    <w:keepLines w:val="0"/>
                    <w:suppressLineNumbers w:val="0"/>
                    <w:spacing w:before="0" w:beforeAutospacing="0" w:after="0" w:afterAutospacing="0"/>
                    <w:ind w:left="0" w:right="0"/>
                    <w:rPr>
                      <w:rFonts w:hint="default"/>
                    </w:rPr>
                  </w:pPr>
                </w:p>
              </w:tc>
              <w:tc>
                <w:tcPr>
                  <w:tcW w:w="1329" w:type="pct"/>
                  <w:vMerge w:val="continue"/>
                  <w:vAlign w:val="center"/>
                </w:tcPr>
                <w:p w14:paraId="202CCC5B">
                  <w:pPr>
                    <w:pStyle w:val="45"/>
                    <w:keepNext w:val="0"/>
                    <w:keepLines w:val="0"/>
                    <w:suppressLineNumbers w:val="0"/>
                    <w:spacing w:before="0" w:beforeAutospacing="0" w:after="0" w:afterAutospacing="0"/>
                    <w:ind w:left="0" w:right="0"/>
                    <w:rPr>
                      <w:rFonts w:hint="default"/>
                    </w:rPr>
                  </w:pPr>
                </w:p>
              </w:tc>
              <w:tc>
                <w:tcPr>
                  <w:tcW w:w="2071" w:type="pct"/>
                  <w:gridSpan w:val="2"/>
                  <w:vAlign w:val="center"/>
                </w:tcPr>
                <w:p w14:paraId="582BE681">
                  <w:pPr>
                    <w:pStyle w:val="45"/>
                    <w:keepNext w:val="0"/>
                    <w:keepLines w:val="0"/>
                    <w:suppressLineNumbers w:val="0"/>
                    <w:spacing w:before="0" w:beforeAutospacing="0" w:after="0" w:afterAutospacing="0"/>
                    <w:ind w:left="0" w:right="0"/>
                    <w:rPr>
                      <w:rFonts w:hint="default"/>
                    </w:rPr>
                  </w:pPr>
                  <w:r>
                    <w:rPr>
                      <w:rFonts w:hint="default"/>
                    </w:rPr>
                    <w:t>占地范围外</w:t>
                  </w:r>
                </w:p>
              </w:tc>
            </w:tr>
            <w:tr w14:paraId="1011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98" w:type="pct"/>
                  <w:vMerge w:val="continue"/>
                  <w:vAlign w:val="center"/>
                </w:tcPr>
                <w:p w14:paraId="57DC590F">
                  <w:pPr>
                    <w:pStyle w:val="45"/>
                    <w:keepNext w:val="0"/>
                    <w:keepLines w:val="0"/>
                    <w:suppressLineNumbers w:val="0"/>
                    <w:spacing w:before="0" w:beforeAutospacing="0" w:after="0" w:afterAutospacing="0"/>
                    <w:ind w:left="0" w:right="0"/>
                    <w:rPr>
                      <w:rFonts w:hint="default"/>
                    </w:rPr>
                  </w:pPr>
                </w:p>
              </w:tc>
              <w:tc>
                <w:tcPr>
                  <w:tcW w:w="1329" w:type="pct"/>
                  <w:vMerge w:val="continue"/>
                  <w:vAlign w:val="center"/>
                </w:tcPr>
                <w:p w14:paraId="6DB732AE">
                  <w:pPr>
                    <w:pStyle w:val="45"/>
                    <w:keepNext w:val="0"/>
                    <w:keepLines w:val="0"/>
                    <w:suppressLineNumbers w:val="0"/>
                    <w:spacing w:before="0" w:beforeAutospacing="0" w:after="0" w:afterAutospacing="0"/>
                    <w:ind w:left="0" w:right="0"/>
                    <w:rPr>
                      <w:rFonts w:hint="default"/>
                    </w:rPr>
                  </w:pPr>
                </w:p>
              </w:tc>
              <w:tc>
                <w:tcPr>
                  <w:tcW w:w="1034" w:type="pct"/>
                  <w:vAlign w:val="center"/>
                </w:tcPr>
                <w:p w14:paraId="1E75732C">
                  <w:pPr>
                    <w:pStyle w:val="45"/>
                    <w:keepNext w:val="0"/>
                    <w:keepLines w:val="0"/>
                    <w:suppressLineNumbers w:val="0"/>
                    <w:spacing w:before="0" w:beforeAutospacing="0" w:after="0" w:afterAutospacing="0"/>
                    <w:ind w:left="0" w:right="0"/>
                    <w:rPr>
                      <w:rFonts w:hint="eastAsia" w:eastAsia="宋体"/>
                      <w:lang w:eastAsia="zh-CN"/>
                    </w:rPr>
                  </w:pPr>
                  <w:r>
                    <w:rPr>
                      <w:rFonts w:hint="eastAsia"/>
                      <w:lang w:val="en-US" w:eastAsia="zh-CN"/>
                    </w:rPr>
                    <w:t>西侧</w:t>
                  </w:r>
                </w:p>
              </w:tc>
              <w:tc>
                <w:tcPr>
                  <w:tcW w:w="1037" w:type="pct"/>
                  <w:vAlign w:val="center"/>
                </w:tcPr>
                <w:p w14:paraId="78D42E24">
                  <w:pPr>
                    <w:pStyle w:val="45"/>
                    <w:keepNext w:val="0"/>
                    <w:keepLines w:val="0"/>
                    <w:suppressLineNumbers w:val="0"/>
                    <w:spacing w:before="0" w:beforeAutospacing="0" w:after="0" w:afterAutospacing="0"/>
                    <w:ind w:left="0" w:right="0"/>
                    <w:rPr>
                      <w:rFonts w:hint="default"/>
                    </w:rPr>
                  </w:pPr>
                  <w:r>
                    <w:rPr>
                      <w:rFonts w:hint="default"/>
                    </w:rPr>
                    <w:t>占标率（%）</w:t>
                  </w:r>
                </w:p>
              </w:tc>
            </w:tr>
            <w:tr w14:paraId="3751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598" w:type="pct"/>
                  <w:vAlign w:val="center"/>
                </w:tcPr>
                <w:p w14:paraId="49EAAF2D">
                  <w:pPr>
                    <w:pStyle w:val="45"/>
                    <w:keepNext w:val="0"/>
                    <w:keepLines w:val="0"/>
                    <w:suppressLineNumbers w:val="0"/>
                    <w:spacing w:before="0" w:beforeAutospacing="0" w:after="0" w:afterAutospacing="0"/>
                    <w:ind w:left="0" w:right="0"/>
                    <w:rPr>
                      <w:rFonts w:hint="default"/>
                    </w:rPr>
                  </w:pPr>
                  <w:r>
                    <w:rPr>
                      <w:rFonts w:hint="default"/>
                    </w:rPr>
                    <w:t>砷</w:t>
                  </w:r>
                </w:p>
              </w:tc>
              <w:tc>
                <w:tcPr>
                  <w:tcW w:w="1329" w:type="pct"/>
                  <w:vAlign w:val="center"/>
                </w:tcPr>
                <w:p w14:paraId="003BAF01">
                  <w:pPr>
                    <w:pStyle w:val="45"/>
                    <w:keepNext w:val="0"/>
                    <w:keepLines w:val="0"/>
                    <w:suppressLineNumbers w:val="0"/>
                    <w:spacing w:before="0" w:beforeAutospacing="0" w:after="0" w:afterAutospacing="0"/>
                    <w:ind w:left="0" w:right="0"/>
                    <w:rPr>
                      <w:rFonts w:hint="default"/>
                    </w:rPr>
                  </w:pPr>
                  <w:r>
                    <w:rPr>
                      <w:rFonts w:hint="default"/>
                    </w:rPr>
                    <w:t>60</w:t>
                  </w:r>
                </w:p>
              </w:tc>
              <w:tc>
                <w:tcPr>
                  <w:tcW w:w="1034" w:type="pct"/>
                  <w:vAlign w:val="center"/>
                </w:tcPr>
                <w:p w14:paraId="3E1DFDF1">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10.7</w:t>
                  </w:r>
                </w:p>
              </w:tc>
              <w:tc>
                <w:tcPr>
                  <w:tcW w:w="1037" w:type="pct"/>
                  <w:vAlign w:val="center"/>
                </w:tcPr>
                <w:p w14:paraId="37F2F45F">
                  <w:pPr>
                    <w:pStyle w:val="45"/>
                    <w:keepNext w:val="0"/>
                    <w:keepLines w:val="0"/>
                    <w:suppressLineNumbers w:val="0"/>
                    <w:spacing w:before="0" w:beforeAutospacing="0" w:after="0" w:afterAutospacing="0"/>
                    <w:ind w:left="0" w:right="0"/>
                    <w:rPr>
                      <w:rFonts w:hint="default" w:eastAsia="宋体"/>
                      <w:lang w:val="en-US" w:eastAsia="zh-CN"/>
                    </w:rPr>
                  </w:pPr>
                  <w:r>
                    <w:rPr>
                      <w:rFonts w:hint="eastAsia"/>
                    </w:rPr>
                    <w:t>1</w:t>
                  </w:r>
                  <w:r>
                    <w:rPr>
                      <w:rFonts w:hint="eastAsia"/>
                      <w:lang w:val="en-US" w:eastAsia="zh-CN"/>
                    </w:rPr>
                    <w:t>7.8</w:t>
                  </w:r>
                </w:p>
              </w:tc>
            </w:tr>
            <w:tr w14:paraId="3C96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Align w:val="center"/>
                </w:tcPr>
                <w:p w14:paraId="3BC89D0C">
                  <w:pPr>
                    <w:pStyle w:val="45"/>
                    <w:keepNext w:val="0"/>
                    <w:keepLines w:val="0"/>
                    <w:suppressLineNumbers w:val="0"/>
                    <w:spacing w:before="0" w:beforeAutospacing="0" w:after="0" w:afterAutospacing="0"/>
                    <w:ind w:left="0" w:right="0"/>
                    <w:rPr>
                      <w:rFonts w:hint="default"/>
                    </w:rPr>
                  </w:pPr>
                  <w:r>
                    <w:rPr>
                      <w:rFonts w:hint="default"/>
                    </w:rPr>
                    <w:t>镉</w:t>
                  </w:r>
                </w:p>
              </w:tc>
              <w:tc>
                <w:tcPr>
                  <w:tcW w:w="1329" w:type="pct"/>
                  <w:vAlign w:val="center"/>
                </w:tcPr>
                <w:p w14:paraId="5999A865">
                  <w:pPr>
                    <w:pStyle w:val="45"/>
                    <w:keepNext w:val="0"/>
                    <w:keepLines w:val="0"/>
                    <w:suppressLineNumbers w:val="0"/>
                    <w:spacing w:before="0" w:beforeAutospacing="0" w:after="0" w:afterAutospacing="0"/>
                    <w:ind w:left="0" w:right="0"/>
                    <w:rPr>
                      <w:rFonts w:hint="default"/>
                    </w:rPr>
                  </w:pPr>
                  <w:r>
                    <w:rPr>
                      <w:rFonts w:hint="default"/>
                    </w:rPr>
                    <w:t>65</w:t>
                  </w:r>
                </w:p>
              </w:tc>
              <w:tc>
                <w:tcPr>
                  <w:tcW w:w="1034" w:type="pct"/>
                  <w:vAlign w:val="center"/>
                </w:tcPr>
                <w:p w14:paraId="1A8DE952">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0.08</w:t>
                  </w:r>
                </w:p>
              </w:tc>
              <w:tc>
                <w:tcPr>
                  <w:tcW w:w="1037" w:type="pct"/>
                  <w:vAlign w:val="center"/>
                </w:tcPr>
                <w:p w14:paraId="091536BF">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0.1</w:t>
                  </w:r>
                </w:p>
              </w:tc>
            </w:tr>
            <w:tr w14:paraId="7BA4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Align w:val="center"/>
                </w:tcPr>
                <w:p w14:paraId="44DBA792">
                  <w:pPr>
                    <w:pStyle w:val="45"/>
                    <w:keepNext w:val="0"/>
                    <w:keepLines w:val="0"/>
                    <w:suppressLineNumbers w:val="0"/>
                    <w:spacing w:before="0" w:beforeAutospacing="0" w:after="0" w:afterAutospacing="0"/>
                    <w:ind w:left="0" w:right="0"/>
                    <w:rPr>
                      <w:rFonts w:hint="default"/>
                    </w:rPr>
                  </w:pPr>
                  <w:r>
                    <w:rPr>
                      <w:rFonts w:hint="default"/>
                    </w:rPr>
                    <w:t>铬（六价）</w:t>
                  </w:r>
                </w:p>
              </w:tc>
              <w:tc>
                <w:tcPr>
                  <w:tcW w:w="1329" w:type="pct"/>
                  <w:vAlign w:val="center"/>
                </w:tcPr>
                <w:p w14:paraId="737D41A2">
                  <w:pPr>
                    <w:pStyle w:val="45"/>
                    <w:keepNext w:val="0"/>
                    <w:keepLines w:val="0"/>
                    <w:suppressLineNumbers w:val="0"/>
                    <w:spacing w:before="0" w:beforeAutospacing="0" w:after="0" w:afterAutospacing="0"/>
                    <w:ind w:left="0" w:right="0"/>
                    <w:rPr>
                      <w:rFonts w:hint="default"/>
                    </w:rPr>
                  </w:pPr>
                  <w:r>
                    <w:rPr>
                      <w:rFonts w:hint="default"/>
                    </w:rPr>
                    <w:t>5.7</w:t>
                  </w:r>
                </w:p>
              </w:tc>
              <w:tc>
                <w:tcPr>
                  <w:tcW w:w="1034" w:type="pct"/>
                  <w:vAlign w:val="center"/>
                </w:tcPr>
                <w:p w14:paraId="58D254A2">
                  <w:pPr>
                    <w:pStyle w:val="45"/>
                    <w:keepNext w:val="0"/>
                    <w:keepLines w:val="0"/>
                    <w:suppressLineNumbers w:val="0"/>
                    <w:spacing w:before="0" w:beforeAutospacing="0" w:after="0" w:afterAutospacing="0"/>
                    <w:ind w:left="0" w:right="0"/>
                    <w:rPr>
                      <w:rFonts w:hint="default"/>
                    </w:rPr>
                  </w:pPr>
                  <w:r>
                    <w:rPr>
                      <w:rFonts w:hint="eastAsia"/>
                    </w:rPr>
                    <w:t>0.5L</w:t>
                  </w:r>
                </w:p>
              </w:tc>
              <w:tc>
                <w:tcPr>
                  <w:tcW w:w="1037" w:type="pct"/>
                  <w:vAlign w:val="center"/>
                </w:tcPr>
                <w:p w14:paraId="17A50324">
                  <w:pPr>
                    <w:pStyle w:val="45"/>
                    <w:keepNext w:val="0"/>
                    <w:keepLines w:val="0"/>
                    <w:suppressLineNumbers w:val="0"/>
                    <w:spacing w:before="0" w:beforeAutospacing="0" w:after="0" w:afterAutospacing="0"/>
                    <w:ind w:left="0" w:right="0"/>
                    <w:rPr>
                      <w:rFonts w:hint="default"/>
                    </w:rPr>
                  </w:pPr>
                  <w:r>
                    <w:rPr>
                      <w:rFonts w:hint="eastAsia"/>
                    </w:rPr>
                    <w:t>/</w:t>
                  </w:r>
                </w:p>
              </w:tc>
            </w:tr>
            <w:tr w14:paraId="7AF0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8" w:type="pct"/>
                  <w:vAlign w:val="center"/>
                </w:tcPr>
                <w:p w14:paraId="61E55755">
                  <w:pPr>
                    <w:pStyle w:val="45"/>
                    <w:keepNext w:val="0"/>
                    <w:keepLines w:val="0"/>
                    <w:suppressLineNumbers w:val="0"/>
                    <w:spacing w:before="0" w:beforeAutospacing="0" w:after="0" w:afterAutospacing="0"/>
                    <w:ind w:left="0" w:right="0"/>
                    <w:rPr>
                      <w:rFonts w:hint="default"/>
                    </w:rPr>
                  </w:pPr>
                  <w:r>
                    <w:rPr>
                      <w:rFonts w:hint="default"/>
                    </w:rPr>
                    <w:t>铜</w:t>
                  </w:r>
                </w:p>
              </w:tc>
              <w:tc>
                <w:tcPr>
                  <w:tcW w:w="1329" w:type="pct"/>
                  <w:vAlign w:val="center"/>
                </w:tcPr>
                <w:p w14:paraId="13404888">
                  <w:pPr>
                    <w:pStyle w:val="45"/>
                    <w:keepNext w:val="0"/>
                    <w:keepLines w:val="0"/>
                    <w:suppressLineNumbers w:val="0"/>
                    <w:spacing w:before="0" w:beforeAutospacing="0" w:after="0" w:afterAutospacing="0"/>
                    <w:ind w:left="0" w:right="0"/>
                    <w:rPr>
                      <w:rFonts w:hint="default"/>
                    </w:rPr>
                  </w:pPr>
                  <w:r>
                    <w:rPr>
                      <w:rFonts w:hint="default"/>
                    </w:rPr>
                    <w:t>18000</w:t>
                  </w:r>
                </w:p>
              </w:tc>
              <w:tc>
                <w:tcPr>
                  <w:tcW w:w="1034" w:type="pct"/>
                  <w:vAlign w:val="center"/>
                </w:tcPr>
                <w:p w14:paraId="22184673">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24</w:t>
                  </w:r>
                </w:p>
              </w:tc>
              <w:tc>
                <w:tcPr>
                  <w:tcW w:w="1037" w:type="pct"/>
                  <w:vAlign w:val="center"/>
                </w:tcPr>
                <w:p w14:paraId="481356C1">
                  <w:pPr>
                    <w:pStyle w:val="45"/>
                    <w:keepNext w:val="0"/>
                    <w:keepLines w:val="0"/>
                    <w:suppressLineNumbers w:val="0"/>
                    <w:spacing w:before="0" w:beforeAutospacing="0" w:after="0" w:afterAutospacing="0"/>
                    <w:ind w:left="0" w:right="0"/>
                    <w:rPr>
                      <w:rFonts w:hint="eastAsia" w:eastAsia="宋体"/>
                      <w:lang w:val="en-US" w:eastAsia="zh-CN"/>
                    </w:rPr>
                  </w:pPr>
                  <w:r>
                    <w:rPr>
                      <w:rFonts w:hint="eastAsia"/>
                    </w:rPr>
                    <w:t>0.</w:t>
                  </w:r>
                  <w:r>
                    <w:rPr>
                      <w:rFonts w:hint="eastAsia"/>
                      <w:lang w:val="en-US" w:eastAsia="zh-CN"/>
                    </w:rPr>
                    <w:t>1</w:t>
                  </w:r>
                </w:p>
              </w:tc>
            </w:tr>
            <w:tr w14:paraId="55CD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pct"/>
                  <w:vAlign w:val="center"/>
                </w:tcPr>
                <w:p w14:paraId="103CB260">
                  <w:pPr>
                    <w:pStyle w:val="45"/>
                    <w:keepNext w:val="0"/>
                    <w:keepLines w:val="0"/>
                    <w:suppressLineNumbers w:val="0"/>
                    <w:spacing w:before="0" w:beforeAutospacing="0" w:after="0" w:afterAutospacing="0"/>
                    <w:ind w:left="0" w:right="0"/>
                    <w:rPr>
                      <w:rFonts w:hint="default"/>
                    </w:rPr>
                  </w:pPr>
                  <w:r>
                    <w:rPr>
                      <w:rFonts w:hint="default"/>
                    </w:rPr>
                    <w:t>铅</w:t>
                  </w:r>
                </w:p>
              </w:tc>
              <w:tc>
                <w:tcPr>
                  <w:tcW w:w="1329" w:type="pct"/>
                  <w:vAlign w:val="center"/>
                </w:tcPr>
                <w:p w14:paraId="70EAC98E">
                  <w:pPr>
                    <w:pStyle w:val="45"/>
                    <w:keepNext w:val="0"/>
                    <w:keepLines w:val="0"/>
                    <w:suppressLineNumbers w:val="0"/>
                    <w:spacing w:before="0" w:beforeAutospacing="0" w:after="0" w:afterAutospacing="0"/>
                    <w:ind w:left="0" w:right="0"/>
                    <w:rPr>
                      <w:rFonts w:hint="default"/>
                    </w:rPr>
                  </w:pPr>
                  <w:r>
                    <w:rPr>
                      <w:rFonts w:hint="default"/>
                    </w:rPr>
                    <w:t>800</w:t>
                  </w:r>
                </w:p>
              </w:tc>
              <w:tc>
                <w:tcPr>
                  <w:tcW w:w="1034" w:type="pct"/>
                  <w:vAlign w:val="center"/>
                </w:tcPr>
                <w:p w14:paraId="3714A7F9">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14.0</w:t>
                  </w:r>
                </w:p>
              </w:tc>
              <w:tc>
                <w:tcPr>
                  <w:tcW w:w="1037" w:type="pct"/>
                  <w:vAlign w:val="center"/>
                </w:tcPr>
                <w:p w14:paraId="4CA0D4B5">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1.8</w:t>
                  </w:r>
                </w:p>
              </w:tc>
            </w:tr>
            <w:tr w14:paraId="4A11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98" w:type="pct"/>
                  <w:vAlign w:val="center"/>
                </w:tcPr>
                <w:p w14:paraId="79575F50">
                  <w:pPr>
                    <w:pStyle w:val="45"/>
                    <w:keepNext w:val="0"/>
                    <w:keepLines w:val="0"/>
                    <w:suppressLineNumbers w:val="0"/>
                    <w:spacing w:before="0" w:beforeAutospacing="0" w:after="0" w:afterAutospacing="0"/>
                    <w:ind w:left="0" w:right="0"/>
                    <w:rPr>
                      <w:rFonts w:hint="default"/>
                    </w:rPr>
                  </w:pPr>
                  <w:r>
                    <w:rPr>
                      <w:rFonts w:hint="default"/>
                    </w:rPr>
                    <w:t>汞</w:t>
                  </w:r>
                </w:p>
              </w:tc>
              <w:tc>
                <w:tcPr>
                  <w:tcW w:w="1329" w:type="pct"/>
                  <w:vAlign w:val="center"/>
                </w:tcPr>
                <w:p w14:paraId="0DC13CCC">
                  <w:pPr>
                    <w:pStyle w:val="45"/>
                    <w:keepNext w:val="0"/>
                    <w:keepLines w:val="0"/>
                    <w:suppressLineNumbers w:val="0"/>
                    <w:spacing w:before="0" w:beforeAutospacing="0" w:after="0" w:afterAutospacing="0"/>
                    <w:ind w:left="0" w:right="0"/>
                    <w:rPr>
                      <w:rFonts w:hint="default"/>
                    </w:rPr>
                  </w:pPr>
                  <w:r>
                    <w:rPr>
                      <w:rFonts w:hint="default"/>
                    </w:rPr>
                    <w:t>38</w:t>
                  </w:r>
                </w:p>
              </w:tc>
              <w:tc>
                <w:tcPr>
                  <w:tcW w:w="1034" w:type="pct"/>
                  <w:vAlign w:val="center"/>
                </w:tcPr>
                <w:p w14:paraId="338907EB">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0.222</w:t>
                  </w:r>
                </w:p>
              </w:tc>
              <w:tc>
                <w:tcPr>
                  <w:tcW w:w="1037" w:type="pct"/>
                  <w:vAlign w:val="center"/>
                </w:tcPr>
                <w:p w14:paraId="618129CF">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0.6</w:t>
                  </w:r>
                </w:p>
              </w:tc>
            </w:tr>
            <w:tr w14:paraId="42D7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pct"/>
                  <w:vAlign w:val="center"/>
                </w:tcPr>
                <w:p w14:paraId="17F8612A">
                  <w:pPr>
                    <w:pStyle w:val="45"/>
                    <w:keepNext w:val="0"/>
                    <w:keepLines w:val="0"/>
                    <w:suppressLineNumbers w:val="0"/>
                    <w:spacing w:before="0" w:beforeAutospacing="0" w:after="0" w:afterAutospacing="0"/>
                    <w:ind w:left="0" w:right="0"/>
                    <w:rPr>
                      <w:rFonts w:hint="default"/>
                    </w:rPr>
                  </w:pPr>
                  <w:r>
                    <w:rPr>
                      <w:rFonts w:hint="default"/>
                    </w:rPr>
                    <w:t>镍</w:t>
                  </w:r>
                </w:p>
              </w:tc>
              <w:tc>
                <w:tcPr>
                  <w:tcW w:w="1329" w:type="pct"/>
                  <w:vAlign w:val="center"/>
                </w:tcPr>
                <w:p w14:paraId="74BF4F6C">
                  <w:pPr>
                    <w:pStyle w:val="45"/>
                    <w:keepNext w:val="0"/>
                    <w:keepLines w:val="0"/>
                    <w:suppressLineNumbers w:val="0"/>
                    <w:spacing w:before="0" w:beforeAutospacing="0" w:after="0" w:afterAutospacing="0"/>
                    <w:ind w:left="0" w:right="0"/>
                    <w:rPr>
                      <w:rFonts w:hint="default"/>
                    </w:rPr>
                  </w:pPr>
                  <w:r>
                    <w:rPr>
                      <w:rFonts w:hint="default"/>
                    </w:rPr>
                    <w:t>900</w:t>
                  </w:r>
                </w:p>
              </w:tc>
              <w:tc>
                <w:tcPr>
                  <w:tcW w:w="1034" w:type="pct"/>
                  <w:vAlign w:val="center"/>
                </w:tcPr>
                <w:p w14:paraId="49B5F73A">
                  <w:pPr>
                    <w:pStyle w:val="45"/>
                    <w:keepNext w:val="0"/>
                    <w:keepLines w:val="0"/>
                    <w:suppressLineNumbers w:val="0"/>
                    <w:spacing w:before="0" w:beforeAutospacing="0" w:after="0" w:afterAutospacing="0"/>
                    <w:ind w:left="0" w:right="0"/>
                    <w:rPr>
                      <w:rFonts w:hint="default"/>
                    </w:rPr>
                  </w:pPr>
                  <w:r>
                    <w:rPr>
                      <w:rFonts w:hint="eastAsia"/>
                    </w:rPr>
                    <w:t>41</w:t>
                  </w:r>
                </w:p>
              </w:tc>
              <w:tc>
                <w:tcPr>
                  <w:tcW w:w="1037" w:type="pct"/>
                  <w:vAlign w:val="center"/>
                </w:tcPr>
                <w:p w14:paraId="023793B1">
                  <w:pPr>
                    <w:pStyle w:val="45"/>
                    <w:keepNext w:val="0"/>
                    <w:keepLines w:val="0"/>
                    <w:suppressLineNumbers w:val="0"/>
                    <w:spacing w:before="0" w:beforeAutospacing="0" w:after="0" w:afterAutospacing="0"/>
                    <w:ind w:left="0" w:right="0"/>
                    <w:rPr>
                      <w:rFonts w:hint="default"/>
                    </w:rPr>
                  </w:pPr>
                  <w:r>
                    <w:rPr>
                      <w:rFonts w:hint="eastAsia"/>
                    </w:rPr>
                    <w:t>4.6</w:t>
                  </w:r>
                </w:p>
              </w:tc>
            </w:tr>
          </w:tbl>
          <w:p w14:paraId="3CEF2471">
            <w:pPr>
              <w:pStyle w:val="44"/>
              <w:keepNext w:val="0"/>
              <w:keepLines w:val="0"/>
              <w:suppressLineNumbers w:val="0"/>
              <w:spacing w:before="0" w:beforeAutospacing="0" w:after="0" w:afterAutospacing="0" w:line="480" w:lineRule="exact"/>
              <w:ind w:left="0" w:right="0" w:firstLine="480"/>
              <w:rPr>
                <w:rFonts w:hint="default"/>
                <w:kern w:val="44"/>
                <w:sz w:val="24"/>
                <w:szCs w:val="24"/>
              </w:rPr>
            </w:pPr>
            <w:r>
              <w:rPr>
                <w:rFonts w:hint="default"/>
                <w:kern w:val="44"/>
                <w:sz w:val="24"/>
                <w:szCs w:val="24"/>
              </w:rPr>
              <w:t>项目区土壤监测结果分析见下表。</w:t>
            </w:r>
          </w:p>
          <w:p w14:paraId="6B9914CE">
            <w:pPr>
              <w:pStyle w:val="44"/>
              <w:keepNext w:val="0"/>
              <w:keepLines w:val="0"/>
              <w:suppressLineNumbers w:val="0"/>
              <w:spacing w:before="0" w:beforeAutospacing="0" w:after="0" w:afterAutospacing="0" w:line="480" w:lineRule="exact"/>
              <w:ind w:left="0" w:right="0" w:firstLine="0" w:firstLineChars="0"/>
              <w:jc w:val="center"/>
              <w:rPr>
                <w:rFonts w:hint="default"/>
                <w:b/>
                <w:bCs/>
                <w:kern w:val="44"/>
                <w:sz w:val="24"/>
                <w:szCs w:val="24"/>
              </w:rPr>
            </w:pPr>
            <w:r>
              <w:rPr>
                <w:rFonts w:hint="default"/>
                <w:b/>
                <w:bCs/>
                <w:kern w:val="44"/>
                <w:sz w:val="24"/>
                <w:szCs w:val="24"/>
              </w:rPr>
              <w:t>表3-</w:t>
            </w:r>
            <w:r>
              <w:rPr>
                <w:rFonts w:hint="eastAsia"/>
                <w:b/>
                <w:bCs/>
                <w:kern w:val="44"/>
                <w:sz w:val="24"/>
                <w:szCs w:val="24"/>
              </w:rPr>
              <w:t>14</w:t>
            </w:r>
            <w:r>
              <w:rPr>
                <w:rFonts w:hint="default"/>
                <w:b/>
                <w:bCs/>
                <w:kern w:val="44"/>
                <w:sz w:val="24"/>
                <w:szCs w:val="24"/>
              </w:rPr>
              <w:t xml:space="preserve">    项目土壤监测结果统计分析表    单位：mg/kg</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751"/>
              <w:gridCol w:w="781"/>
              <w:gridCol w:w="802"/>
              <w:gridCol w:w="784"/>
              <w:gridCol w:w="776"/>
              <w:gridCol w:w="1106"/>
              <w:gridCol w:w="1017"/>
              <w:gridCol w:w="1017"/>
            </w:tblGrid>
            <w:tr w14:paraId="5B84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90" w:type="pct"/>
                  <w:vAlign w:val="center"/>
                </w:tcPr>
                <w:p w14:paraId="35679AD6">
                  <w:pPr>
                    <w:pStyle w:val="45"/>
                    <w:keepNext w:val="0"/>
                    <w:keepLines w:val="0"/>
                    <w:suppressLineNumbers w:val="0"/>
                    <w:spacing w:before="0" w:beforeAutospacing="0" w:after="0" w:afterAutospacing="0"/>
                    <w:ind w:left="0" w:right="0"/>
                    <w:rPr>
                      <w:rFonts w:hint="default"/>
                    </w:rPr>
                  </w:pPr>
                  <w:r>
                    <w:rPr>
                      <w:rFonts w:hint="default"/>
                    </w:rPr>
                    <w:t>检测项目</w:t>
                  </w:r>
                </w:p>
              </w:tc>
              <w:tc>
                <w:tcPr>
                  <w:tcW w:w="460" w:type="pct"/>
                  <w:vAlign w:val="center"/>
                </w:tcPr>
                <w:p w14:paraId="5D0B3A67">
                  <w:pPr>
                    <w:pStyle w:val="45"/>
                    <w:keepNext w:val="0"/>
                    <w:keepLines w:val="0"/>
                    <w:suppressLineNumbers w:val="0"/>
                    <w:spacing w:before="0" w:beforeAutospacing="0" w:after="0" w:afterAutospacing="0"/>
                    <w:ind w:left="0" w:right="0"/>
                    <w:rPr>
                      <w:rFonts w:hint="default"/>
                    </w:rPr>
                  </w:pPr>
                  <w:r>
                    <w:rPr>
                      <w:rFonts w:hint="default"/>
                    </w:rPr>
                    <w:t>样本数量</w:t>
                  </w:r>
                </w:p>
              </w:tc>
              <w:tc>
                <w:tcPr>
                  <w:tcW w:w="478" w:type="pct"/>
                  <w:vAlign w:val="center"/>
                </w:tcPr>
                <w:p w14:paraId="2CA5CE61">
                  <w:pPr>
                    <w:pStyle w:val="45"/>
                    <w:keepNext w:val="0"/>
                    <w:keepLines w:val="0"/>
                    <w:suppressLineNumbers w:val="0"/>
                    <w:spacing w:before="0" w:beforeAutospacing="0" w:after="0" w:afterAutospacing="0"/>
                    <w:ind w:left="0" w:right="0"/>
                    <w:rPr>
                      <w:rFonts w:hint="default"/>
                    </w:rPr>
                  </w:pPr>
                  <w:r>
                    <w:rPr>
                      <w:rFonts w:hint="default"/>
                    </w:rPr>
                    <w:t>最大值</w:t>
                  </w:r>
                </w:p>
              </w:tc>
              <w:tc>
                <w:tcPr>
                  <w:tcW w:w="491" w:type="pct"/>
                  <w:vAlign w:val="center"/>
                </w:tcPr>
                <w:p w14:paraId="5832C025">
                  <w:pPr>
                    <w:pStyle w:val="45"/>
                    <w:keepNext w:val="0"/>
                    <w:keepLines w:val="0"/>
                    <w:suppressLineNumbers w:val="0"/>
                    <w:spacing w:before="0" w:beforeAutospacing="0" w:after="0" w:afterAutospacing="0"/>
                    <w:ind w:left="0" w:right="0"/>
                    <w:rPr>
                      <w:rFonts w:hint="default"/>
                    </w:rPr>
                  </w:pPr>
                  <w:r>
                    <w:rPr>
                      <w:rFonts w:hint="default"/>
                    </w:rPr>
                    <w:t>最小值</w:t>
                  </w:r>
                </w:p>
              </w:tc>
              <w:tc>
                <w:tcPr>
                  <w:tcW w:w="480" w:type="pct"/>
                  <w:vAlign w:val="center"/>
                </w:tcPr>
                <w:p w14:paraId="6E7D9EC7">
                  <w:pPr>
                    <w:pStyle w:val="45"/>
                    <w:keepNext w:val="0"/>
                    <w:keepLines w:val="0"/>
                    <w:suppressLineNumbers w:val="0"/>
                    <w:spacing w:before="0" w:beforeAutospacing="0" w:after="0" w:afterAutospacing="0"/>
                    <w:ind w:left="0" w:right="0"/>
                    <w:rPr>
                      <w:rFonts w:hint="default"/>
                    </w:rPr>
                  </w:pPr>
                  <w:r>
                    <w:rPr>
                      <w:rFonts w:hint="default"/>
                    </w:rPr>
                    <w:t>平均值</w:t>
                  </w:r>
                </w:p>
              </w:tc>
              <w:tc>
                <w:tcPr>
                  <w:tcW w:w="475" w:type="pct"/>
                  <w:vAlign w:val="center"/>
                </w:tcPr>
                <w:p w14:paraId="12E71C96">
                  <w:pPr>
                    <w:pStyle w:val="45"/>
                    <w:keepNext w:val="0"/>
                    <w:keepLines w:val="0"/>
                    <w:suppressLineNumbers w:val="0"/>
                    <w:spacing w:before="0" w:beforeAutospacing="0" w:after="0" w:afterAutospacing="0"/>
                    <w:ind w:left="0" w:right="0"/>
                    <w:rPr>
                      <w:rFonts w:hint="default"/>
                    </w:rPr>
                  </w:pPr>
                  <w:r>
                    <w:rPr>
                      <w:rFonts w:hint="default"/>
                    </w:rPr>
                    <w:t>标准差</w:t>
                  </w:r>
                </w:p>
              </w:tc>
              <w:tc>
                <w:tcPr>
                  <w:tcW w:w="677" w:type="pct"/>
                  <w:vAlign w:val="center"/>
                </w:tcPr>
                <w:p w14:paraId="7891D07F">
                  <w:pPr>
                    <w:pStyle w:val="45"/>
                    <w:keepNext w:val="0"/>
                    <w:keepLines w:val="0"/>
                    <w:suppressLineNumbers w:val="0"/>
                    <w:spacing w:before="0" w:beforeAutospacing="0" w:after="0" w:afterAutospacing="0"/>
                    <w:ind w:left="0" w:right="0"/>
                    <w:rPr>
                      <w:rFonts w:hint="default"/>
                    </w:rPr>
                  </w:pPr>
                  <w:r>
                    <w:rPr>
                      <w:rFonts w:hint="default"/>
                    </w:rPr>
                    <w:t>检出率（%）</w:t>
                  </w:r>
                </w:p>
              </w:tc>
              <w:tc>
                <w:tcPr>
                  <w:tcW w:w="623" w:type="pct"/>
                  <w:vAlign w:val="center"/>
                </w:tcPr>
                <w:p w14:paraId="4A3B6E5D">
                  <w:pPr>
                    <w:pStyle w:val="45"/>
                    <w:keepNext w:val="0"/>
                    <w:keepLines w:val="0"/>
                    <w:suppressLineNumbers w:val="0"/>
                    <w:spacing w:before="0" w:beforeAutospacing="0" w:after="0" w:afterAutospacing="0"/>
                    <w:ind w:left="0" w:right="0"/>
                    <w:rPr>
                      <w:rFonts w:hint="default"/>
                    </w:rPr>
                  </w:pPr>
                  <w:r>
                    <w:rPr>
                      <w:rFonts w:hint="default"/>
                    </w:rPr>
                    <w:t>超标率（%）</w:t>
                  </w:r>
                </w:p>
              </w:tc>
              <w:tc>
                <w:tcPr>
                  <w:tcW w:w="623" w:type="pct"/>
                  <w:vAlign w:val="center"/>
                </w:tcPr>
                <w:p w14:paraId="6C59B4B1">
                  <w:pPr>
                    <w:pStyle w:val="45"/>
                    <w:keepNext w:val="0"/>
                    <w:keepLines w:val="0"/>
                    <w:suppressLineNumbers w:val="0"/>
                    <w:spacing w:before="0" w:beforeAutospacing="0" w:after="0" w:afterAutospacing="0"/>
                    <w:ind w:left="0" w:right="0"/>
                    <w:rPr>
                      <w:rFonts w:hint="default"/>
                    </w:rPr>
                  </w:pPr>
                  <w:r>
                    <w:rPr>
                      <w:rFonts w:hint="default"/>
                    </w:rPr>
                    <w:t>最大超标倍数</w:t>
                  </w:r>
                </w:p>
              </w:tc>
            </w:tr>
            <w:tr w14:paraId="3681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90" w:type="pct"/>
                  <w:vAlign w:val="center"/>
                </w:tcPr>
                <w:p w14:paraId="232E8D2F">
                  <w:pPr>
                    <w:pStyle w:val="45"/>
                    <w:keepNext w:val="0"/>
                    <w:keepLines w:val="0"/>
                    <w:suppressLineNumbers w:val="0"/>
                    <w:spacing w:before="0" w:beforeAutospacing="0" w:after="0" w:afterAutospacing="0"/>
                    <w:ind w:left="0" w:right="0"/>
                    <w:rPr>
                      <w:rFonts w:hint="default"/>
                    </w:rPr>
                  </w:pPr>
                  <w:r>
                    <w:rPr>
                      <w:rFonts w:hint="default"/>
                    </w:rPr>
                    <w:t>砷</w:t>
                  </w:r>
                </w:p>
              </w:tc>
              <w:tc>
                <w:tcPr>
                  <w:tcW w:w="460" w:type="pct"/>
                  <w:vAlign w:val="center"/>
                </w:tcPr>
                <w:p w14:paraId="0D3F2F73">
                  <w:pPr>
                    <w:pStyle w:val="45"/>
                    <w:keepNext w:val="0"/>
                    <w:keepLines w:val="0"/>
                    <w:suppressLineNumbers w:val="0"/>
                    <w:spacing w:before="0" w:beforeAutospacing="0" w:after="0" w:afterAutospacing="0"/>
                    <w:ind w:left="0" w:right="0"/>
                    <w:rPr>
                      <w:rFonts w:hint="default"/>
                    </w:rPr>
                  </w:pPr>
                  <w:r>
                    <w:rPr>
                      <w:rFonts w:hint="default"/>
                    </w:rPr>
                    <w:t>3</w:t>
                  </w:r>
                </w:p>
              </w:tc>
              <w:tc>
                <w:tcPr>
                  <w:tcW w:w="478" w:type="pct"/>
                  <w:vAlign w:val="center"/>
                </w:tcPr>
                <w:p w14:paraId="56A472E6">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16.4</w:t>
                  </w:r>
                </w:p>
              </w:tc>
              <w:tc>
                <w:tcPr>
                  <w:tcW w:w="491" w:type="pct"/>
                  <w:vAlign w:val="center"/>
                </w:tcPr>
                <w:p w14:paraId="49A9FDCE">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10.7</w:t>
                  </w:r>
                </w:p>
              </w:tc>
              <w:tc>
                <w:tcPr>
                  <w:tcW w:w="480" w:type="pct"/>
                  <w:vAlign w:val="center"/>
                </w:tcPr>
                <w:p w14:paraId="2BEAACB0">
                  <w:pPr>
                    <w:keepNext w:val="0"/>
                    <w:keepLines w:val="0"/>
                    <w:widowControl/>
                    <w:suppressLineNumbers w:val="0"/>
                    <w:spacing w:before="0" w:beforeAutospacing="0" w:after="0" w:afterAutospacing="0"/>
                    <w:ind w:left="0" w:right="0"/>
                    <w:jc w:val="center"/>
                    <w:textAlignment w:val="center"/>
                    <w:rPr>
                      <w:rFonts w:hint="default" w:eastAsia="宋体"/>
                      <w:lang w:val="en-US" w:eastAsia="zh-CN"/>
                    </w:rPr>
                  </w:pPr>
                  <w:r>
                    <w:rPr>
                      <w:rFonts w:hint="eastAsia"/>
                      <w:lang w:val="en-US" w:eastAsia="zh-CN"/>
                    </w:rPr>
                    <w:t>13.63</w:t>
                  </w:r>
                </w:p>
              </w:tc>
              <w:tc>
                <w:tcPr>
                  <w:tcW w:w="475" w:type="pct"/>
                  <w:vAlign w:val="center"/>
                </w:tcPr>
                <w:p w14:paraId="49CB2B38">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2.33</w:t>
                  </w:r>
                </w:p>
              </w:tc>
              <w:tc>
                <w:tcPr>
                  <w:tcW w:w="677" w:type="pct"/>
                  <w:vAlign w:val="center"/>
                </w:tcPr>
                <w:p w14:paraId="03C46646">
                  <w:pPr>
                    <w:pStyle w:val="43"/>
                    <w:keepNext w:val="0"/>
                    <w:keepLines w:val="0"/>
                    <w:suppressLineNumbers w:val="0"/>
                    <w:spacing w:before="0" w:beforeAutospacing="0" w:after="0" w:afterAutospacing="0"/>
                    <w:ind w:left="0" w:right="0"/>
                    <w:rPr>
                      <w:rFonts w:hint="default"/>
                    </w:rPr>
                  </w:pPr>
                  <w:r>
                    <w:rPr>
                      <w:rFonts w:hint="default"/>
                      <w:szCs w:val="21"/>
                    </w:rPr>
                    <w:t>100</w:t>
                  </w:r>
                </w:p>
              </w:tc>
              <w:tc>
                <w:tcPr>
                  <w:tcW w:w="623" w:type="pct"/>
                  <w:vAlign w:val="center"/>
                </w:tcPr>
                <w:p w14:paraId="1203FA7C">
                  <w:pPr>
                    <w:keepNext w:val="0"/>
                    <w:keepLines w:val="0"/>
                    <w:widowControl/>
                    <w:suppressLineNumbers w:val="0"/>
                    <w:spacing w:before="0" w:beforeAutospacing="0" w:after="0" w:afterAutospacing="0"/>
                    <w:ind w:left="0" w:right="0"/>
                    <w:jc w:val="center"/>
                    <w:textAlignment w:val="center"/>
                    <w:rPr>
                      <w:rFonts w:hint="default"/>
                    </w:rPr>
                  </w:pPr>
                  <w:r>
                    <w:rPr>
                      <w:rFonts w:hint="default"/>
                      <w:szCs w:val="21"/>
                    </w:rPr>
                    <w:t>0</w:t>
                  </w:r>
                </w:p>
              </w:tc>
              <w:tc>
                <w:tcPr>
                  <w:tcW w:w="623" w:type="pct"/>
                  <w:vAlign w:val="center"/>
                </w:tcPr>
                <w:p w14:paraId="0ADD26A6">
                  <w:pPr>
                    <w:pStyle w:val="45"/>
                    <w:keepNext w:val="0"/>
                    <w:keepLines w:val="0"/>
                    <w:suppressLineNumbers w:val="0"/>
                    <w:spacing w:before="0" w:beforeAutospacing="0" w:after="0" w:afterAutospacing="0"/>
                    <w:ind w:left="0" w:right="0"/>
                    <w:rPr>
                      <w:rFonts w:hint="default"/>
                    </w:rPr>
                  </w:pPr>
                  <w:r>
                    <w:rPr>
                      <w:rFonts w:hint="default"/>
                    </w:rPr>
                    <w:t>/</w:t>
                  </w:r>
                </w:p>
              </w:tc>
            </w:tr>
            <w:tr w14:paraId="278C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90" w:type="pct"/>
                  <w:vAlign w:val="center"/>
                </w:tcPr>
                <w:p w14:paraId="4A090133">
                  <w:pPr>
                    <w:pStyle w:val="45"/>
                    <w:keepNext w:val="0"/>
                    <w:keepLines w:val="0"/>
                    <w:suppressLineNumbers w:val="0"/>
                    <w:spacing w:before="0" w:beforeAutospacing="0" w:after="0" w:afterAutospacing="0"/>
                    <w:ind w:left="0" w:right="0"/>
                    <w:rPr>
                      <w:rFonts w:hint="default"/>
                    </w:rPr>
                  </w:pPr>
                  <w:r>
                    <w:rPr>
                      <w:rFonts w:hint="default"/>
                    </w:rPr>
                    <w:t>镉</w:t>
                  </w:r>
                </w:p>
              </w:tc>
              <w:tc>
                <w:tcPr>
                  <w:tcW w:w="460" w:type="pct"/>
                  <w:vAlign w:val="center"/>
                </w:tcPr>
                <w:p w14:paraId="4942B700">
                  <w:pPr>
                    <w:pStyle w:val="45"/>
                    <w:keepNext w:val="0"/>
                    <w:keepLines w:val="0"/>
                    <w:suppressLineNumbers w:val="0"/>
                    <w:spacing w:before="0" w:beforeAutospacing="0" w:after="0" w:afterAutospacing="0"/>
                    <w:ind w:left="0" w:right="0"/>
                    <w:rPr>
                      <w:rFonts w:hint="default"/>
                    </w:rPr>
                  </w:pPr>
                  <w:r>
                    <w:rPr>
                      <w:rFonts w:hint="default"/>
                    </w:rPr>
                    <w:t>3</w:t>
                  </w:r>
                </w:p>
              </w:tc>
              <w:tc>
                <w:tcPr>
                  <w:tcW w:w="478" w:type="pct"/>
                  <w:vAlign w:val="center"/>
                </w:tcPr>
                <w:p w14:paraId="7A8FF727">
                  <w:pPr>
                    <w:pStyle w:val="45"/>
                    <w:keepNext w:val="0"/>
                    <w:keepLines w:val="0"/>
                    <w:suppressLineNumbers w:val="0"/>
                    <w:spacing w:before="0" w:beforeAutospacing="0" w:after="0" w:afterAutospacing="0"/>
                    <w:ind w:left="0" w:right="0"/>
                    <w:rPr>
                      <w:rFonts w:hint="default" w:eastAsia="宋体"/>
                      <w:lang w:val="en-US" w:eastAsia="zh-CN"/>
                    </w:rPr>
                  </w:pPr>
                  <w:r>
                    <w:rPr>
                      <w:rFonts w:hint="eastAsia"/>
                    </w:rPr>
                    <w:t>0.</w:t>
                  </w:r>
                  <w:r>
                    <w:rPr>
                      <w:rFonts w:hint="eastAsia"/>
                      <w:lang w:val="en-US" w:eastAsia="zh-CN"/>
                    </w:rPr>
                    <w:t>16</w:t>
                  </w:r>
                </w:p>
              </w:tc>
              <w:tc>
                <w:tcPr>
                  <w:tcW w:w="491" w:type="pct"/>
                  <w:vAlign w:val="center"/>
                </w:tcPr>
                <w:p w14:paraId="4FEE0948">
                  <w:pPr>
                    <w:pStyle w:val="45"/>
                    <w:keepNext w:val="0"/>
                    <w:keepLines w:val="0"/>
                    <w:suppressLineNumbers w:val="0"/>
                    <w:spacing w:before="0" w:beforeAutospacing="0" w:after="0" w:afterAutospacing="0"/>
                    <w:ind w:left="0" w:right="0"/>
                    <w:rPr>
                      <w:rFonts w:hint="default" w:eastAsia="宋体"/>
                      <w:lang w:val="en-US" w:eastAsia="zh-CN"/>
                    </w:rPr>
                  </w:pPr>
                  <w:r>
                    <w:rPr>
                      <w:rFonts w:hint="eastAsia"/>
                    </w:rPr>
                    <w:t>0.</w:t>
                  </w:r>
                  <w:r>
                    <w:rPr>
                      <w:rFonts w:hint="eastAsia"/>
                      <w:lang w:val="en-US" w:eastAsia="zh-CN"/>
                    </w:rPr>
                    <w:t>08</w:t>
                  </w:r>
                </w:p>
              </w:tc>
              <w:tc>
                <w:tcPr>
                  <w:tcW w:w="480" w:type="pct"/>
                  <w:vAlign w:val="center"/>
                </w:tcPr>
                <w:p w14:paraId="49F38D25">
                  <w:pPr>
                    <w:keepNext w:val="0"/>
                    <w:keepLines w:val="0"/>
                    <w:widowControl/>
                    <w:suppressLineNumbers w:val="0"/>
                    <w:spacing w:before="0" w:beforeAutospacing="0" w:after="0" w:afterAutospacing="0"/>
                    <w:ind w:left="0" w:right="0"/>
                    <w:jc w:val="center"/>
                    <w:textAlignment w:val="center"/>
                    <w:rPr>
                      <w:rFonts w:hint="eastAsia" w:eastAsia="宋体"/>
                      <w:lang w:val="en-US" w:eastAsia="zh-CN"/>
                    </w:rPr>
                  </w:pPr>
                  <w:r>
                    <w:rPr>
                      <w:rFonts w:hint="eastAsia"/>
                    </w:rPr>
                    <w:t>0.1</w:t>
                  </w:r>
                  <w:r>
                    <w:rPr>
                      <w:rFonts w:hint="eastAsia"/>
                      <w:lang w:val="en-US" w:eastAsia="zh-CN"/>
                    </w:rPr>
                    <w:t>2</w:t>
                  </w:r>
                </w:p>
              </w:tc>
              <w:tc>
                <w:tcPr>
                  <w:tcW w:w="475" w:type="pct"/>
                  <w:vAlign w:val="center"/>
                </w:tcPr>
                <w:p w14:paraId="18DB6FA3">
                  <w:pPr>
                    <w:pStyle w:val="45"/>
                    <w:keepNext w:val="0"/>
                    <w:keepLines w:val="0"/>
                    <w:suppressLineNumbers w:val="0"/>
                    <w:spacing w:before="0" w:beforeAutospacing="0" w:after="0" w:afterAutospacing="0"/>
                    <w:ind w:left="0" w:right="0"/>
                    <w:rPr>
                      <w:rFonts w:hint="eastAsia" w:eastAsia="宋体"/>
                      <w:lang w:val="en-US" w:eastAsia="zh-CN"/>
                    </w:rPr>
                  </w:pPr>
                  <w:r>
                    <w:rPr>
                      <w:rFonts w:hint="eastAsia"/>
                    </w:rPr>
                    <w:t>0.0</w:t>
                  </w:r>
                  <w:r>
                    <w:rPr>
                      <w:rFonts w:hint="eastAsia"/>
                      <w:lang w:val="en-US" w:eastAsia="zh-CN"/>
                    </w:rPr>
                    <w:t>3</w:t>
                  </w:r>
                </w:p>
              </w:tc>
              <w:tc>
                <w:tcPr>
                  <w:tcW w:w="677" w:type="pct"/>
                  <w:vAlign w:val="center"/>
                </w:tcPr>
                <w:p w14:paraId="056B0A49">
                  <w:pPr>
                    <w:keepNext w:val="0"/>
                    <w:keepLines w:val="0"/>
                    <w:suppressLineNumbers w:val="0"/>
                    <w:spacing w:before="0" w:beforeAutospacing="0" w:after="0" w:afterAutospacing="0"/>
                    <w:ind w:left="0" w:right="0"/>
                    <w:jc w:val="center"/>
                    <w:rPr>
                      <w:rFonts w:hint="default"/>
                    </w:rPr>
                  </w:pPr>
                  <w:r>
                    <w:rPr>
                      <w:rFonts w:hint="default"/>
                      <w:szCs w:val="21"/>
                    </w:rPr>
                    <w:t>100</w:t>
                  </w:r>
                </w:p>
              </w:tc>
              <w:tc>
                <w:tcPr>
                  <w:tcW w:w="623" w:type="pct"/>
                  <w:vAlign w:val="center"/>
                </w:tcPr>
                <w:p w14:paraId="5746FEA5">
                  <w:pPr>
                    <w:keepNext w:val="0"/>
                    <w:keepLines w:val="0"/>
                    <w:widowControl/>
                    <w:suppressLineNumbers w:val="0"/>
                    <w:spacing w:before="0" w:beforeAutospacing="0" w:after="0" w:afterAutospacing="0"/>
                    <w:ind w:left="0" w:right="0"/>
                    <w:jc w:val="center"/>
                    <w:textAlignment w:val="center"/>
                    <w:rPr>
                      <w:rFonts w:hint="default"/>
                    </w:rPr>
                  </w:pPr>
                  <w:r>
                    <w:rPr>
                      <w:rFonts w:hint="default"/>
                      <w:szCs w:val="21"/>
                    </w:rPr>
                    <w:t>0</w:t>
                  </w:r>
                </w:p>
              </w:tc>
              <w:tc>
                <w:tcPr>
                  <w:tcW w:w="623" w:type="pct"/>
                  <w:vAlign w:val="center"/>
                </w:tcPr>
                <w:p w14:paraId="26493130">
                  <w:pPr>
                    <w:keepNext w:val="0"/>
                    <w:keepLines w:val="0"/>
                    <w:suppressLineNumbers w:val="0"/>
                    <w:spacing w:before="0" w:beforeAutospacing="0" w:after="0" w:afterAutospacing="0"/>
                    <w:ind w:left="0" w:right="0"/>
                    <w:jc w:val="center"/>
                    <w:rPr>
                      <w:rFonts w:hint="default"/>
                    </w:rPr>
                  </w:pPr>
                  <w:r>
                    <w:rPr>
                      <w:rFonts w:hint="default"/>
                    </w:rPr>
                    <w:t>/</w:t>
                  </w:r>
                </w:p>
              </w:tc>
            </w:tr>
            <w:tr w14:paraId="3FD8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90" w:type="pct"/>
                  <w:vAlign w:val="center"/>
                </w:tcPr>
                <w:p w14:paraId="1D84C2C9">
                  <w:pPr>
                    <w:pStyle w:val="45"/>
                    <w:keepNext w:val="0"/>
                    <w:keepLines w:val="0"/>
                    <w:suppressLineNumbers w:val="0"/>
                    <w:spacing w:before="0" w:beforeAutospacing="0" w:after="0" w:afterAutospacing="0"/>
                    <w:ind w:left="0" w:right="0"/>
                    <w:rPr>
                      <w:rFonts w:hint="default"/>
                    </w:rPr>
                  </w:pPr>
                  <w:r>
                    <w:rPr>
                      <w:rFonts w:hint="default"/>
                    </w:rPr>
                    <w:t>铬（六价）</w:t>
                  </w:r>
                </w:p>
              </w:tc>
              <w:tc>
                <w:tcPr>
                  <w:tcW w:w="460" w:type="pct"/>
                  <w:vAlign w:val="center"/>
                </w:tcPr>
                <w:p w14:paraId="34C723B8">
                  <w:pPr>
                    <w:pStyle w:val="45"/>
                    <w:keepNext w:val="0"/>
                    <w:keepLines w:val="0"/>
                    <w:suppressLineNumbers w:val="0"/>
                    <w:spacing w:before="0" w:beforeAutospacing="0" w:after="0" w:afterAutospacing="0"/>
                    <w:ind w:left="0" w:right="0"/>
                    <w:rPr>
                      <w:rFonts w:hint="default"/>
                    </w:rPr>
                  </w:pPr>
                  <w:r>
                    <w:rPr>
                      <w:rFonts w:hint="eastAsia"/>
                    </w:rPr>
                    <w:t>3</w:t>
                  </w:r>
                </w:p>
              </w:tc>
              <w:tc>
                <w:tcPr>
                  <w:tcW w:w="478" w:type="pct"/>
                  <w:vAlign w:val="center"/>
                </w:tcPr>
                <w:p w14:paraId="68C10F76">
                  <w:pPr>
                    <w:keepNext w:val="0"/>
                    <w:keepLines w:val="0"/>
                    <w:widowControl/>
                    <w:suppressLineNumbers w:val="0"/>
                    <w:spacing w:before="0" w:beforeAutospacing="0" w:after="0" w:afterAutospacing="0"/>
                    <w:ind w:left="0" w:right="0"/>
                    <w:jc w:val="center"/>
                    <w:textAlignment w:val="center"/>
                    <w:rPr>
                      <w:rFonts w:hint="default"/>
                    </w:rPr>
                  </w:pPr>
                  <w:r>
                    <w:rPr>
                      <w:rFonts w:hint="eastAsia"/>
                    </w:rPr>
                    <w:t>/</w:t>
                  </w:r>
                </w:p>
              </w:tc>
              <w:tc>
                <w:tcPr>
                  <w:tcW w:w="491" w:type="pct"/>
                  <w:vAlign w:val="center"/>
                </w:tcPr>
                <w:p w14:paraId="12BA9B9A">
                  <w:pPr>
                    <w:pStyle w:val="45"/>
                    <w:keepNext w:val="0"/>
                    <w:keepLines w:val="0"/>
                    <w:suppressLineNumbers w:val="0"/>
                    <w:spacing w:before="0" w:beforeAutospacing="0" w:after="0" w:afterAutospacing="0"/>
                    <w:ind w:left="0" w:right="0"/>
                    <w:rPr>
                      <w:rFonts w:hint="default"/>
                    </w:rPr>
                  </w:pPr>
                  <w:r>
                    <w:rPr>
                      <w:rFonts w:hint="eastAsia"/>
                    </w:rPr>
                    <w:t>/</w:t>
                  </w:r>
                </w:p>
              </w:tc>
              <w:tc>
                <w:tcPr>
                  <w:tcW w:w="480" w:type="pct"/>
                  <w:vAlign w:val="center"/>
                </w:tcPr>
                <w:p w14:paraId="65F09E7C">
                  <w:pPr>
                    <w:keepNext w:val="0"/>
                    <w:keepLines w:val="0"/>
                    <w:widowControl/>
                    <w:suppressLineNumbers w:val="0"/>
                    <w:spacing w:before="0" w:beforeAutospacing="0" w:after="0" w:afterAutospacing="0"/>
                    <w:ind w:left="0" w:right="0"/>
                    <w:jc w:val="center"/>
                    <w:textAlignment w:val="center"/>
                    <w:rPr>
                      <w:rFonts w:hint="default"/>
                    </w:rPr>
                  </w:pPr>
                  <w:r>
                    <w:rPr>
                      <w:rFonts w:hint="eastAsia"/>
                    </w:rPr>
                    <w:t>/</w:t>
                  </w:r>
                </w:p>
              </w:tc>
              <w:tc>
                <w:tcPr>
                  <w:tcW w:w="475" w:type="pct"/>
                  <w:vAlign w:val="center"/>
                </w:tcPr>
                <w:p w14:paraId="7F110D4C">
                  <w:pPr>
                    <w:pStyle w:val="45"/>
                    <w:keepNext w:val="0"/>
                    <w:keepLines w:val="0"/>
                    <w:suppressLineNumbers w:val="0"/>
                    <w:spacing w:before="0" w:beforeAutospacing="0" w:after="0" w:afterAutospacing="0"/>
                    <w:ind w:left="0" w:right="0"/>
                    <w:rPr>
                      <w:rFonts w:hint="default"/>
                    </w:rPr>
                  </w:pPr>
                  <w:r>
                    <w:rPr>
                      <w:rFonts w:hint="eastAsia"/>
                    </w:rPr>
                    <w:t>/</w:t>
                  </w:r>
                </w:p>
              </w:tc>
              <w:tc>
                <w:tcPr>
                  <w:tcW w:w="677" w:type="pct"/>
                  <w:vAlign w:val="center"/>
                </w:tcPr>
                <w:p w14:paraId="798A02B3">
                  <w:pPr>
                    <w:keepNext w:val="0"/>
                    <w:keepLines w:val="0"/>
                    <w:suppressLineNumbers w:val="0"/>
                    <w:spacing w:before="0" w:beforeAutospacing="0" w:after="0" w:afterAutospacing="0"/>
                    <w:ind w:left="0" w:right="0"/>
                    <w:jc w:val="center"/>
                    <w:rPr>
                      <w:rFonts w:hint="default"/>
                      <w:szCs w:val="21"/>
                    </w:rPr>
                  </w:pPr>
                  <w:r>
                    <w:rPr>
                      <w:rFonts w:hint="eastAsia"/>
                    </w:rPr>
                    <w:t>/</w:t>
                  </w:r>
                </w:p>
              </w:tc>
              <w:tc>
                <w:tcPr>
                  <w:tcW w:w="623" w:type="pct"/>
                  <w:vAlign w:val="center"/>
                </w:tcPr>
                <w:p w14:paraId="42E08211">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rPr>
                    <w:t>/</w:t>
                  </w:r>
                </w:p>
              </w:tc>
              <w:tc>
                <w:tcPr>
                  <w:tcW w:w="623" w:type="pct"/>
                  <w:vAlign w:val="center"/>
                </w:tcPr>
                <w:p w14:paraId="4C315A7A">
                  <w:pPr>
                    <w:keepNext w:val="0"/>
                    <w:keepLines w:val="0"/>
                    <w:suppressLineNumbers w:val="0"/>
                    <w:spacing w:before="0" w:beforeAutospacing="0" w:after="0" w:afterAutospacing="0"/>
                    <w:ind w:left="0" w:right="0"/>
                    <w:jc w:val="center"/>
                    <w:rPr>
                      <w:rFonts w:hint="default"/>
                    </w:rPr>
                  </w:pPr>
                  <w:r>
                    <w:rPr>
                      <w:rFonts w:hint="eastAsia"/>
                    </w:rPr>
                    <w:t>/</w:t>
                  </w:r>
                </w:p>
              </w:tc>
            </w:tr>
            <w:tr w14:paraId="54B7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14:paraId="349F8A4E">
                  <w:pPr>
                    <w:keepNext w:val="0"/>
                    <w:keepLines w:val="0"/>
                    <w:widowControl/>
                    <w:suppressLineNumbers w:val="0"/>
                    <w:spacing w:before="0" w:beforeAutospacing="0" w:after="0" w:afterAutospacing="0"/>
                    <w:ind w:left="0" w:right="0"/>
                    <w:jc w:val="center"/>
                    <w:textAlignment w:val="center"/>
                    <w:rPr>
                      <w:rFonts w:hint="default"/>
                    </w:rPr>
                  </w:pPr>
                  <w:r>
                    <w:rPr>
                      <w:rStyle w:val="52"/>
                      <w:rFonts w:hint="default" w:ascii="Times New Roman" w:hAnsi="Times New Roman" w:cs="Times New Roman"/>
                      <w:lang w:bidi="ar"/>
                    </w:rPr>
                    <w:t>铜</w:t>
                  </w:r>
                </w:p>
              </w:tc>
              <w:tc>
                <w:tcPr>
                  <w:tcW w:w="460" w:type="pct"/>
                  <w:vAlign w:val="center"/>
                </w:tcPr>
                <w:p w14:paraId="166A5F5B">
                  <w:pPr>
                    <w:pStyle w:val="45"/>
                    <w:keepNext w:val="0"/>
                    <w:keepLines w:val="0"/>
                    <w:suppressLineNumbers w:val="0"/>
                    <w:spacing w:before="0" w:beforeAutospacing="0" w:after="0" w:afterAutospacing="0"/>
                    <w:ind w:left="0" w:right="0"/>
                    <w:rPr>
                      <w:rFonts w:hint="default"/>
                    </w:rPr>
                  </w:pPr>
                  <w:r>
                    <w:rPr>
                      <w:rFonts w:hint="default"/>
                    </w:rPr>
                    <w:t>3</w:t>
                  </w:r>
                </w:p>
              </w:tc>
              <w:tc>
                <w:tcPr>
                  <w:tcW w:w="478" w:type="pct"/>
                  <w:vAlign w:val="center"/>
                </w:tcPr>
                <w:p w14:paraId="30A9694E">
                  <w:pPr>
                    <w:pStyle w:val="45"/>
                    <w:keepNext w:val="0"/>
                    <w:keepLines w:val="0"/>
                    <w:suppressLineNumbers w:val="0"/>
                    <w:spacing w:before="0" w:beforeAutospacing="0" w:after="0" w:afterAutospacing="0"/>
                    <w:ind w:left="0" w:right="0"/>
                    <w:rPr>
                      <w:rFonts w:hint="eastAsia" w:eastAsia="宋体"/>
                      <w:lang w:val="en-US" w:eastAsia="zh-CN"/>
                    </w:rPr>
                  </w:pPr>
                  <w:r>
                    <w:rPr>
                      <w:rFonts w:hint="eastAsia"/>
                    </w:rPr>
                    <w:t>3</w:t>
                  </w:r>
                  <w:r>
                    <w:rPr>
                      <w:rFonts w:hint="eastAsia"/>
                      <w:lang w:val="en-US" w:eastAsia="zh-CN"/>
                    </w:rPr>
                    <w:t>8</w:t>
                  </w:r>
                </w:p>
              </w:tc>
              <w:tc>
                <w:tcPr>
                  <w:tcW w:w="491" w:type="pct"/>
                  <w:vAlign w:val="center"/>
                </w:tcPr>
                <w:p w14:paraId="247841B1">
                  <w:pPr>
                    <w:pStyle w:val="45"/>
                    <w:keepNext w:val="0"/>
                    <w:keepLines w:val="0"/>
                    <w:suppressLineNumbers w:val="0"/>
                    <w:spacing w:before="0" w:beforeAutospacing="0" w:after="0" w:afterAutospacing="0"/>
                    <w:ind w:left="0" w:right="0"/>
                    <w:rPr>
                      <w:rFonts w:hint="default"/>
                    </w:rPr>
                  </w:pPr>
                  <w:r>
                    <w:rPr>
                      <w:rFonts w:hint="eastAsia"/>
                    </w:rPr>
                    <w:t>24</w:t>
                  </w:r>
                </w:p>
              </w:tc>
              <w:tc>
                <w:tcPr>
                  <w:tcW w:w="480" w:type="pct"/>
                  <w:vAlign w:val="center"/>
                </w:tcPr>
                <w:p w14:paraId="367F010A">
                  <w:pPr>
                    <w:keepNext w:val="0"/>
                    <w:keepLines w:val="0"/>
                    <w:widowControl/>
                    <w:suppressLineNumbers w:val="0"/>
                    <w:spacing w:before="0" w:beforeAutospacing="0" w:after="0" w:afterAutospacing="0"/>
                    <w:ind w:left="0" w:right="0"/>
                    <w:jc w:val="center"/>
                    <w:textAlignment w:val="center"/>
                    <w:rPr>
                      <w:rFonts w:hint="default" w:eastAsia="宋体"/>
                      <w:lang w:val="en-US" w:eastAsia="zh-CN"/>
                    </w:rPr>
                  </w:pPr>
                  <w:r>
                    <w:rPr>
                      <w:rFonts w:hint="eastAsia"/>
                      <w:lang w:val="en-US" w:eastAsia="zh-CN"/>
                    </w:rPr>
                    <w:t>32</w:t>
                  </w:r>
                </w:p>
              </w:tc>
              <w:tc>
                <w:tcPr>
                  <w:tcW w:w="475" w:type="pct"/>
                  <w:vAlign w:val="center"/>
                </w:tcPr>
                <w:p w14:paraId="5F0E39C4">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5.89</w:t>
                  </w:r>
                </w:p>
              </w:tc>
              <w:tc>
                <w:tcPr>
                  <w:tcW w:w="677" w:type="pct"/>
                  <w:vAlign w:val="center"/>
                </w:tcPr>
                <w:p w14:paraId="09FB7974">
                  <w:pPr>
                    <w:keepNext w:val="0"/>
                    <w:keepLines w:val="0"/>
                    <w:suppressLineNumbers w:val="0"/>
                    <w:spacing w:before="0" w:beforeAutospacing="0" w:after="0" w:afterAutospacing="0"/>
                    <w:ind w:left="0" w:right="0"/>
                    <w:jc w:val="center"/>
                    <w:rPr>
                      <w:rFonts w:hint="default"/>
                    </w:rPr>
                  </w:pPr>
                  <w:r>
                    <w:rPr>
                      <w:rFonts w:hint="default"/>
                      <w:szCs w:val="21"/>
                    </w:rPr>
                    <w:t>100</w:t>
                  </w:r>
                </w:p>
              </w:tc>
              <w:tc>
                <w:tcPr>
                  <w:tcW w:w="623" w:type="pct"/>
                  <w:vAlign w:val="center"/>
                </w:tcPr>
                <w:p w14:paraId="78767CF4">
                  <w:pPr>
                    <w:keepNext w:val="0"/>
                    <w:keepLines w:val="0"/>
                    <w:widowControl/>
                    <w:suppressLineNumbers w:val="0"/>
                    <w:spacing w:before="0" w:beforeAutospacing="0" w:after="0" w:afterAutospacing="0"/>
                    <w:ind w:left="0" w:right="0"/>
                    <w:jc w:val="center"/>
                    <w:textAlignment w:val="center"/>
                    <w:rPr>
                      <w:rFonts w:hint="default"/>
                    </w:rPr>
                  </w:pPr>
                  <w:r>
                    <w:rPr>
                      <w:rFonts w:hint="default"/>
                      <w:szCs w:val="21"/>
                    </w:rPr>
                    <w:t>0</w:t>
                  </w:r>
                </w:p>
              </w:tc>
              <w:tc>
                <w:tcPr>
                  <w:tcW w:w="623" w:type="pct"/>
                  <w:vAlign w:val="center"/>
                </w:tcPr>
                <w:p w14:paraId="5EC8E7B5">
                  <w:pPr>
                    <w:keepNext w:val="0"/>
                    <w:keepLines w:val="0"/>
                    <w:suppressLineNumbers w:val="0"/>
                    <w:spacing w:before="0" w:beforeAutospacing="0" w:after="0" w:afterAutospacing="0"/>
                    <w:ind w:left="0" w:right="0"/>
                    <w:jc w:val="center"/>
                    <w:rPr>
                      <w:rFonts w:hint="default"/>
                    </w:rPr>
                  </w:pPr>
                  <w:r>
                    <w:rPr>
                      <w:rFonts w:hint="default"/>
                    </w:rPr>
                    <w:t>/</w:t>
                  </w:r>
                </w:p>
              </w:tc>
            </w:tr>
            <w:tr w14:paraId="25AA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14:paraId="30B7C521">
                  <w:pPr>
                    <w:keepNext w:val="0"/>
                    <w:keepLines w:val="0"/>
                    <w:widowControl/>
                    <w:suppressLineNumbers w:val="0"/>
                    <w:spacing w:before="0" w:beforeAutospacing="0" w:after="0" w:afterAutospacing="0"/>
                    <w:ind w:left="0" w:right="0"/>
                    <w:jc w:val="center"/>
                    <w:textAlignment w:val="center"/>
                    <w:rPr>
                      <w:rFonts w:hint="default"/>
                    </w:rPr>
                  </w:pPr>
                  <w:r>
                    <w:rPr>
                      <w:rStyle w:val="52"/>
                      <w:rFonts w:hint="default" w:ascii="Times New Roman" w:hAnsi="Times New Roman" w:cs="Times New Roman"/>
                      <w:lang w:bidi="ar"/>
                    </w:rPr>
                    <w:t>铅</w:t>
                  </w:r>
                </w:p>
              </w:tc>
              <w:tc>
                <w:tcPr>
                  <w:tcW w:w="460" w:type="pct"/>
                  <w:vAlign w:val="center"/>
                </w:tcPr>
                <w:p w14:paraId="30876516">
                  <w:pPr>
                    <w:pStyle w:val="45"/>
                    <w:keepNext w:val="0"/>
                    <w:keepLines w:val="0"/>
                    <w:suppressLineNumbers w:val="0"/>
                    <w:spacing w:before="0" w:beforeAutospacing="0" w:after="0" w:afterAutospacing="0"/>
                    <w:ind w:left="0" w:right="0"/>
                    <w:rPr>
                      <w:rFonts w:hint="default"/>
                    </w:rPr>
                  </w:pPr>
                  <w:r>
                    <w:rPr>
                      <w:rFonts w:hint="default"/>
                    </w:rPr>
                    <w:t>3</w:t>
                  </w:r>
                </w:p>
              </w:tc>
              <w:tc>
                <w:tcPr>
                  <w:tcW w:w="478" w:type="pct"/>
                  <w:vAlign w:val="center"/>
                </w:tcPr>
                <w:p w14:paraId="470AC577">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18.6</w:t>
                  </w:r>
                </w:p>
              </w:tc>
              <w:tc>
                <w:tcPr>
                  <w:tcW w:w="491" w:type="pct"/>
                  <w:vAlign w:val="center"/>
                </w:tcPr>
                <w:p w14:paraId="39C79129">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14.0</w:t>
                  </w:r>
                </w:p>
              </w:tc>
              <w:tc>
                <w:tcPr>
                  <w:tcW w:w="480" w:type="pct"/>
                  <w:vAlign w:val="center"/>
                </w:tcPr>
                <w:p w14:paraId="1E04BAE0">
                  <w:pPr>
                    <w:keepNext w:val="0"/>
                    <w:keepLines w:val="0"/>
                    <w:widowControl/>
                    <w:suppressLineNumbers w:val="0"/>
                    <w:spacing w:before="0" w:beforeAutospacing="0" w:after="0" w:afterAutospacing="0"/>
                    <w:ind w:left="0" w:right="0"/>
                    <w:jc w:val="center"/>
                    <w:textAlignment w:val="center"/>
                    <w:rPr>
                      <w:rFonts w:hint="default" w:eastAsia="宋体"/>
                      <w:lang w:val="en-US" w:eastAsia="zh-CN"/>
                    </w:rPr>
                  </w:pPr>
                  <w:r>
                    <w:rPr>
                      <w:rFonts w:hint="eastAsia"/>
                      <w:lang w:val="en-US" w:eastAsia="zh-CN"/>
                    </w:rPr>
                    <w:t>15.6</w:t>
                  </w:r>
                </w:p>
              </w:tc>
              <w:tc>
                <w:tcPr>
                  <w:tcW w:w="475" w:type="pct"/>
                  <w:vAlign w:val="center"/>
                </w:tcPr>
                <w:p w14:paraId="055A2396">
                  <w:pPr>
                    <w:pStyle w:val="45"/>
                    <w:keepNext w:val="0"/>
                    <w:keepLines w:val="0"/>
                    <w:suppressLineNumbers w:val="0"/>
                    <w:spacing w:before="0" w:beforeAutospacing="0" w:after="0" w:afterAutospacing="0"/>
                    <w:ind w:left="0" w:right="0"/>
                    <w:rPr>
                      <w:rFonts w:hint="default" w:eastAsia="宋体"/>
                      <w:lang w:val="en-US" w:eastAsia="zh-CN"/>
                    </w:rPr>
                  </w:pPr>
                  <w:r>
                    <w:rPr>
                      <w:rFonts w:hint="eastAsia"/>
                    </w:rPr>
                    <w:t>2.</w:t>
                  </w:r>
                  <w:r>
                    <w:rPr>
                      <w:rFonts w:hint="eastAsia"/>
                      <w:lang w:val="en-US" w:eastAsia="zh-CN"/>
                    </w:rPr>
                    <w:t>12</w:t>
                  </w:r>
                </w:p>
              </w:tc>
              <w:tc>
                <w:tcPr>
                  <w:tcW w:w="677" w:type="pct"/>
                  <w:vAlign w:val="center"/>
                </w:tcPr>
                <w:p w14:paraId="477D191E">
                  <w:pPr>
                    <w:keepNext w:val="0"/>
                    <w:keepLines w:val="0"/>
                    <w:suppressLineNumbers w:val="0"/>
                    <w:spacing w:before="0" w:beforeAutospacing="0" w:after="0" w:afterAutospacing="0"/>
                    <w:ind w:left="0" w:right="0"/>
                    <w:jc w:val="center"/>
                    <w:rPr>
                      <w:rFonts w:hint="default"/>
                    </w:rPr>
                  </w:pPr>
                  <w:r>
                    <w:rPr>
                      <w:rFonts w:hint="default"/>
                      <w:szCs w:val="21"/>
                    </w:rPr>
                    <w:t>100</w:t>
                  </w:r>
                </w:p>
              </w:tc>
              <w:tc>
                <w:tcPr>
                  <w:tcW w:w="623" w:type="pct"/>
                  <w:vAlign w:val="center"/>
                </w:tcPr>
                <w:p w14:paraId="5EC7B481">
                  <w:pPr>
                    <w:keepNext w:val="0"/>
                    <w:keepLines w:val="0"/>
                    <w:widowControl/>
                    <w:suppressLineNumbers w:val="0"/>
                    <w:spacing w:before="0" w:beforeAutospacing="0" w:after="0" w:afterAutospacing="0"/>
                    <w:ind w:left="0" w:right="0"/>
                    <w:jc w:val="center"/>
                    <w:textAlignment w:val="center"/>
                    <w:rPr>
                      <w:rFonts w:hint="default"/>
                    </w:rPr>
                  </w:pPr>
                  <w:r>
                    <w:rPr>
                      <w:rFonts w:hint="default"/>
                      <w:szCs w:val="21"/>
                    </w:rPr>
                    <w:t>0</w:t>
                  </w:r>
                </w:p>
              </w:tc>
              <w:tc>
                <w:tcPr>
                  <w:tcW w:w="623" w:type="pct"/>
                  <w:vAlign w:val="center"/>
                </w:tcPr>
                <w:p w14:paraId="46A54DBE">
                  <w:pPr>
                    <w:keepNext w:val="0"/>
                    <w:keepLines w:val="0"/>
                    <w:suppressLineNumbers w:val="0"/>
                    <w:spacing w:before="0" w:beforeAutospacing="0" w:after="0" w:afterAutospacing="0"/>
                    <w:ind w:left="0" w:right="0"/>
                    <w:jc w:val="center"/>
                    <w:rPr>
                      <w:rFonts w:hint="default"/>
                    </w:rPr>
                  </w:pPr>
                  <w:r>
                    <w:rPr>
                      <w:rFonts w:hint="default"/>
                    </w:rPr>
                    <w:t>/</w:t>
                  </w:r>
                </w:p>
              </w:tc>
            </w:tr>
            <w:tr w14:paraId="4AD8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90" w:type="pct"/>
                  <w:vAlign w:val="center"/>
                </w:tcPr>
                <w:p w14:paraId="4027E060">
                  <w:pPr>
                    <w:keepNext w:val="0"/>
                    <w:keepLines w:val="0"/>
                    <w:widowControl/>
                    <w:suppressLineNumbers w:val="0"/>
                    <w:spacing w:before="0" w:beforeAutospacing="0" w:after="0" w:afterAutospacing="0"/>
                    <w:ind w:left="0" w:right="0"/>
                    <w:jc w:val="center"/>
                    <w:textAlignment w:val="center"/>
                    <w:rPr>
                      <w:rFonts w:hint="default"/>
                    </w:rPr>
                  </w:pPr>
                  <w:r>
                    <w:rPr>
                      <w:rStyle w:val="52"/>
                      <w:rFonts w:hint="default" w:ascii="Times New Roman" w:hAnsi="Times New Roman" w:cs="Times New Roman"/>
                      <w:lang w:bidi="ar"/>
                    </w:rPr>
                    <w:t>汞</w:t>
                  </w:r>
                </w:p>
              </w:tc>
              <w:tc>
                <w:tcPr>
                  <w:tcW w:w="460" w:type="pct"/>
                  <w:vAlign w:val="center"/>
                </w:tcPr>
                <w:p w14:paraId="3B8D8D1F">
                  <w:pPr>
                    <w:pStyle w:val="45"/>
                    <w:keepNext w:val="0"/>
                    <w:keepLines w:val="0"/>
                    <w:suppressLineNumbers w:val="0"/>
                    <w:spacing w:before="0" w:beforeAutospacing="0" w:after="0" w:afterAutospacing="0"/>
                    <w:ind w:left="0" w:right="0"/>
                    <w:rPr>
                      <w:rFonts w:hint="default"/>
                    </w:rPr>
                  </w:pPr>
                  <w:r>
                    <w:rPr>
                      <w:rFonts w:hint="default"/>
                    </w:rPr>
                    <w:t>3</w:t>
                  </w:r>
                </w:p>
              </w:tc>
              <w:tc>
                <w:tcPr>
                  <w:tcW w:w="478" w:type="pct"/>
                  <w:vAlign w:val="center"/>
                </w:tcPr>
                <w:p w14:paraId="4C57E6DD">
                  <w:pPr>
                    <w:pStyle w:val="45"/>
                    <w:keepNext w:val="0"/>
                    <w:keepLines w:val="0"/>
                    <w:suppressLineNumbers w:val="0"/>
                    <w:spacing w:before="0" w:beforeAutospacing="0" w:after="0" w:afterAutospacing="0"/>
                    <w:ind w:left="0" w:right="0"/>
                    <w:rPr>
                      <w:rFonts w:hint="default" w:eastAsia="宋体"/>
                      <w:lang w:val="en-US" w:eastAsia="zh-CN"/>
                    </w:rPr>
                  </w:pPr>
                  <w:r>
                    <w:rPr>
                      <w:rFonts w:hint="eastAsia"/>
                    </w:rPr>
                    <w:t>0.</w:t>
                  </w:r>
                  <w:r>
                    <w:rPr>
                      <w:rFonts w:hint="eastAsia"/>
                      <w:lang w:val="en-US" w:eastAsia="zh-CN"/>
                    </w:rPr>
                    <w:t>222</w:t>
                  </w:r>
                </w:p>
              </w:tc>
              <w:tc>
                <w:tcPr>
                  <w:tcW w:w="491" w:type="pct"/>
                  <w:vAlign w:val="center"/>
                </w:tcPr>
                <w:p w14:paraId="5E6BD2C0">
                  <w:pPr>
                    <w:pStyle w:val="45"/>
                    <w:keepNext w:val="0"/>
                    <w:keepLines w:val="0"/>
                    <w:suppressLineNumbers w:val="0"/>
                    <w:spacing w:before="0" w:beforeAutospacing="0" w:after="0" w:afterAutospacing="0"/>
                    <w:ind w:left="0" w:right="0"/>
                    <w:rPr>
                      <w:rFonts w:hint="default" w:eastAsia="宋体"/>
                      <w:lang w:val="en-US" w:eastAsia="zh-CN"/>
                    </w:rPr>
                  </w:pPr>
                  <w:r>
                    <w:rPr>
                      <w:rFonts w:hint="eastAsia"/>
                    </w:rPr>
                    <w:t>0.</w:t>
                  </w:r>
                  <w:r>
                    <w:rPr>
                      <w:rFonts w:hint="eastAsia"/>
                      <w:lang w:val="en-US" w:eastAsia="zh-CN"/>
                    </w:rPr>
                    <w:t>174</w:t>
                  </w:r>
                </w:p>
              </w:tc>
              <w:tc>
                <w:tcPr>
                  <w:tcW w:w="480" w:type="pct"/>
                  <w:vAlign w:val="center"/>
                </w:tcPr>
                <w:p w14:paraId="687CFED9">
                  <w:pPr>
                    <w:keepNext w:val="0"/>
                    <w:keepLines w:val="0"/>
                    <w:widowControl/>
                    <w:suppressLineNumbers w:val="0"/>
                    <w:spacing w:before="0" w:beforeAutospacing="0" w:after="0" w:afterAutospacing="0"/>
                    <w:ind w:left="0" w:right="0"/>
                    <w:jc w:val="center"/>
                    <w:textAlignment w:val="center"/>
                    <w:rPr>
                      <w:rFonts w:hint="default" w:eastAsia="宋体"/>
                      <w:lang w:val="en-US" w:eastAsia="zh-CN"/>
                    </w:rPr>
                  </w:pPr>
                  <w:r>
                    <w:rPr>
                      <w:rFonts w:hint="eastAsia"/>
                    </w:rPr>
                    <w:t>0.</w:t>
                  </w:r>
                  <w:r>
                    <w:rPr>
                      <w:rFonts w:hint="eastAsia"/>
                      <w:lang w:val="en-US" w:eastAsia="zh-CN"/>
                    </w:rPr>
                    <w:t>197</w:t>
                  </w:r>
                </w:p>
              </w:tc>
              <w:tc>
                <w:tcPr>
                  <w:tcW w:w="475" w:type="pct"/>
                  <w:vAlign w:val="center"/>
                </w:tcPr>
                <w:p w14:paraId="5EC6645D">
                  <w:pPr>
                    <w:pStyle w:val="45"/>
                    <w:keepNext w:val="0"/>
                    <w:keepLines w:val="0"/>
                    <w:suppressLineNumbers w:val="0"/>
                    <w:spacing w:before="0" w:beforeAutospacing="0" w:after="0" w:afterAutospacing="0"/>
                    <w:ind w:left="0" w:right="0"/>
                    <w:rPr>
                      <w:rFonts w:hint="eastAsia" w:eastAsia="宋体"/>
                      <w:lang w:val="en-US" w:eastAsia="zh-CN"/>
                    </w:rPr>
                  </w:pPr>
                  <w:r>
                    <w:rPr>
                      <w:rFonts w:hint="eastAsia"/>
                    </w:rPr>
                    <w:t>0.0</w:t>
                  </w:r>
                  <w:r>
                    <w:rPr>
                      <w:rFonts w:hint="eastAsia"/>
                      <w:lang w:val="en-US" w:eastAsia="zh-CN"/>
                    </w:rPr>
                    <w:t>2</w:t>
                  </w:r>
                </w:p>
              </w:tc>
              <w:tc>
                <w:tcPr>
                  <w:tcW w:w="677" w:type="pct"/>
                  <w:vAlign w:val="center"/>
                </w:tcPr>
                <w:p w14:paraId="404F9062">
                  <w:pPr>
                    <w:keepNext w:val="0"/>
                    <w:keepLines w:val="0"/>
                    <w:suppressLineNumbers w:val="0"/>
                    <w:spacing w:before="0" w:beforeAutospacing="0" w:after="0" w:afterAutospacing="0"/>
                    <w:ind w:left="0" w:right="0"/>
                    <w:jc w:val="center"/>
                    <w:rPr>
                      <w:rFonts w:hint="default"/>
                    </w:rPr>
                  </w:pPr>
                  <w:r>
                    <w:rPr>
                      <w:rFonts w:hint="default"/>
                      <w:szCs w:val="21"/>
                    </w:rPr>
                    <w:t>100</w:t>
                  </w:r>
                </w:p>
              </w:tc>
              <w:tc>
                <w:tcPr>
                  <w:tcW w:w="623" w:type="pct"/>
                  <w:vAlign w:val="center"/>
                </w:tcPr>
                <w:p w14:paraId="60D6E701">
                  <w:pPr>
                    <w:keepNext w:val="0"/>
                    <w:keepLines w:val="0"/>
                    <w:widowControl/>
                    <w:suppressLineNumbers w:val="0"/>
                    <w:spacing w:before="0" w:beforeAutospacing="0" w:after="0" w:afterAutospacing="0"/>
                    <w:ind w:left="0" w:right="0"/>
                    <w:jc w:val="center"/>
                    <w:textAlignment w:val="center"/>
                    <w:rPr>
                      <w:rFonts w:hint="default"/>
                    </w:rPr>
                  </w:pPr>
                  <w:r>
                    <w:rPr>
                      <w:rFonts w:hint="default"/>
                      <w:szCs w:val="21"/>
                    </w:rPr>
                    <w:t>0</w:t>
                  </w:r>
                </w:p>
              </w:tc>
              <w:tc>
                <w:tcPr>
                  <w:tcW w:w="623" w:type="pct"/>
                  <w:vAlign w:val="center"/>
                </w:tcPr>
                <w:p w14:paraId="710B0A34">
                  <w:pPr>
                    <w:keepNext w:val="0"/>
                    <w:keepLines w:val="0"/>
                    <w:suppressLineNumbers w:val="0"/>
                    <w:spacing w:before="0" w:beforeAutospacing="0" w:after="0" w:afterAutospacing="0"/>
                    <w:ind w:left="0" w:right="0"/>
                    <w:jc w:val="center"/>
                    <w:rPr>
                      <w:rFonts w:hint="default"/>
                    </w:rPr>
                  </w:pPr>
                  <w:r>
                    <w:rPr>
                      <w:rFonts w:hint="default"/>
                    </w:rPr>
                    <w:t>/</w:t>
                  </w:r>
                </w:p>
              </w:tc>
            </w:tr>
            <w:tr w14:paraId="492C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0" w:type="pct"/>
                  <w:vAlign w:val="center"/>
                </w:tcPr>
                <w:p w14:paraId="7B44B1BE">
                  <w:pPr>
                    <w:keepNext w:val="0"/>
                    <w:keepLines w:val="0"/>
                    <w:widowControl/>
                    <w:suppressLineNumbers w:val="0"/>
                    <w:spacing w:before="0" w:beforeAutospacing="0" w:after="0" w:afterAutospacing="0"/>
                    <w:ind w:left="0" w:right="0"/>
                    <w:jc w:val="center"/>
                    <w:textAlignment w:val="center"/>
                    <w:rPr>
                      <w:rFonts w:hint="default"/>
                    </w:rPr>
                  </w:pPr>
                  <w:r>
                    <w:rPr>
                      <w:rStyle w:val="52"/>
                      <w:rFonts w:hint="default" w:ascii="Times New Roman" w:hAnsi="Times New Roman" w:cs="Times New Roman"/>
                      <w:lang w:bidi="ar"/>
                    </w:rPr>
                    <w:t>镍</w:t>
                  </w:r>
                </w:p>
              </w:tc>
              <w:tc>
                <w:tcPr>
                  <w:tcW w:w="460" w:type="pct"/>
                  <w:vAlign w:val="center"/>
                </w:tcPr>
                <w:p w14:paraId="1389A9A7">
                  <w:pPr>
                    <w:pStyle w:val="45"/>
                    <w:keepNext w:val="0"/>
                    <w:keepLines w:val="0"/>
                    <w:suppressLineNumbers w:val="0"/>
                    <w:spacing w:before="0" w:beforeAutospacing="0" w:after="0" w:afterAutospacing="0"/>
                    <w:ind w:left="0" w:right="0"/>
                    <w:rPr>
                      <w:rFonts w:hint="default"/>
                    </w:rPr>
                  </w:pPr>
                  <w:r>
                    <w:rPr>
                      <w:rFonts w:hint="default"/>
                    </w:rPr>
                    <w:t>3</w:t>
                  </w:r>
                </w:p>
              </w:tc>
              <w:tc>
                <w:tcPr>
                  <w:tcW w:w="478" w:type="pct"/>
                  <w:vAlign w:val="center"/>
                </w:tcPr>
                <w:p w14:paraId="6DBEDC7B">
                  <w:pPr>
                    <w:pStyle w:val="45"/>
                    <w:keepNext w:val="0"/>
                    <w:keepLines w:val="0"/>
                    <w:suppressLineNumbers w:val="0"/>
                    <w:spacing w:before="0" w:beforeAutospacing="0" w:after="0" w:afterAutospacing="0"/>
                    <w:ind w:left="0" w:right="0"/>
                    <w:rPr>
                      <w:rFonts w:hint="default"/>
                    </w:rPr>
                  </w:pPr>
                  <w:r>
                    <w:rPr>
                      <w:rFonts w:hint="eastAsia"/>
                    </w:rPr>
                    <w:t>41</w:t>
                  </w:r>
                </w:p>
              </w:tc>
              <w:tc>
                <w:tcPr>
                  <w:tcW w:w="491" w:type="pct"/>
                  <w:vAlign w:val="center"/>
                </w:tcPr>
                <w:p w14:paraId="381E1C43">
                  <w:pPr>
                    <w:pStyle w:val="45"/>
                    <w:keepNext w:val="0"/>
                    <w:keepLines w:val="0"/>
                    <w:suppressLineNumbers w:val="0"/>
                    <w:spacing w:before="0" w:beforeAutospacing="0" w:after="0" w:afterAutospacing="0"/>
                    <w:ind w:left="0" w:right="0"/>
                    <w:rPr>
                      <w:rFonts w:hint="eastAsia" w:eastAsia="宋体"/>
                      <w:lang w:val="en-US" w:eastAsia="zh-CN"/>
                    </w:rPr>
                  </w:pPr>
                  <w:r>
                    <w:rPr>
                      <w:rFonts w:hint="eastAsia"/>
                    </w:rPr>
                    <w:t>3</w:t>
                  </w:r>
                  <w:r>
                    <w:rPr>
                      <w:rFonts w:hint="eastAsia"/>
                      <w:lang w:val="en-US" w:eastAsia="zh-CN"/>
                    </w:rPr>
                    <w:t>6</w:t>
                  </w:r>
                </w:p>
              </w:tc>
              <w:tc>
                <w:tcPr>
                  <w:tcW w:w="480" w:type="pct"/>
                  <w:vAlign w:val="center"/>
                </w:tcPr>
                <w:p w14:paraId="5733D248">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39</w:t>
                  </w:r>
                </w:p>
              </w:tc>
              <w:tc>
                <w:tcPr>
                  <w:tcW w:w="475" w:type="pct"/>
                  <w:vAlign w:val="center"/>
                </w:tcPr>
                <w:p w14:paraId="2786782A">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2.16</w:t>
                  </w:r>
                </w:p>
              </w:tc>
              <w:tc>
                <w:tcPr>
                  <w:tcW w:w="677" w:type="pct"/>
                  <w:vAlign w:val="center"/>
                </w:tcPr>
                <w:p w14:paraId="71AC62F1">
                  <w:pPr>
                    <w:keepNext w:val="0"/>
                    <w:keepLines w:val="0"/>
                    <w:suppressLineNumbers w:val="0"/>
                    <w:spacing w:before="0" w:beforeAutospacing="0" w:after="0" w:afterAutospacing="0"/>
                    <w:ind w:left="0" w:right="0"/>
                    <w:jc w:val="center"/>
                    <w:rPr>
                      <w:rFonts w:hint="default"/>
                    </w:rPr>
                  </w:pPr>
                  <w:r>
                    <w:rPr>
                      <w:rFonts w:hint="default"/>
                      <w:szCs w:val="21"/>
                    </w:rPr>
                    <w:t>100</w:t>
                  </w:r>
                </w:p>
              </w:tc>
              <w:tc>
                <w:tcPr>
                  <w:tcW w:w="623" w:type="pct"/>
                  <w:vAlign w:val="center"/>
                </w:tcPr>
                <w:p w14:paraId="7B24A1EF">
                  <w:pPr>
                    <w:keepNext w:val="0"/>
                    <w:keepLines w:val="0"/>
                    <w:widowControl/>
                    <w:suppressLineNumbers w:val="0"/>
                    <w:spacing w:before="0" w:beforeAutospacing="0" w:after="0" w:afterAutospacing="0"/>
                    <w:ind w:left="0" w:right="0"/>
                    <w:jc w:val="center"/>
                    <w:textAlignment w:val="center"/>
                    <w:rPr>
                      <w:rFonts w:hint="default"/>
                    </w:rPr>
                  </w:pPr>
                  <w:r>
                    <w:rPr>
                      <w:rFonts w:hint="default"/>
                      <w:szCs w:val="21"/>
                    </w:rPr>
                    <w:t>0</w:t>
                  </w:r>
                </w:p>
              </w:tc>
              <w:tc>
                <w:tcPr>
                  <w:tcW w:w="623" w:type="pct"/>
                  <w:vAlign w:val="center"/>
                </w:tcPr>
                <w:p w14:paraId="2629F1E9">
                  <w:pPr>
                    <w:keepNext w:val="0"/>
                    <w:keepLines w:val="0"/>
                    <w:suppressLineNumbers w:val="0"/>
                    <w:spacing w:before="0" w:beforeAutospacing="0" w:after="0" w:afterAutospacing="0"/>
                    <w:ind w:left="0" w:right="0"/>
                    <w:jc w:val="center"/>
                    <w:rPr>
                      <w:rFonts w:hint="default"/>
                    </w:rPr>
                  </w:pPr>
                  <w:r>
                    <w:rPr>
                      <w:rFonts w:hint="default"/>
                    </w:rPr>
                    <w:t>/</w:t>
                  </w:r>
                </w:p>
              </w:tc>
            </w:tr>
          </w:tbl>
          <w:p w14:paraId="1C2716EB">
            <w:pPr>
              <w:pStyle w:val="44"/>
              <w:keepNext w:val="0"/>
              <w:keepLines w:val="0"/>
              <w:suppressLineNumbers w:val="0"/>
              <w:spacing w:before="0" w:beforeAutospacing="0" w:after="0" w:afterAutospacing="0" w:line="480" w:lineRule="exact"/>
              <w:ind w:left="0" w:right="0" w:firstLine="0" w:firstLineChars="0"/>
              <w:jc w:val="center"/>
              <w:rPr>
                <w:rFonts w:hint="default"/>
                <w:b/>
                <w:bCs/>
                <w:kern w:val="44"/>
                <w:sz w:val="24"/>
                <w:szCs w:val="24"/>
              </w:rPr>
            </w:pPr>
            <w:r>
              <w:rPr>
                <w:rFonts w:hint="default"/>
                <w:b/>
                <w:bCs/>
                <w:kern w:val="44"/>
                <w:sz w:val="24"/>
                <w:szCs w:val="24"/>
              </w:rPr>
              <w:t>表3-</w:t>
            </w:r>
            <w:r>
              <w:rPr>
                <w:rFonts w:hint="eastAsia"/>
                <w:b/>
                <w:bCs/>
                <w:kern w:val="44"/>
                <w:sz w:val="24"/>
                <w:szCs w:val="24"/>
              </w:rPr>
              <w:t>15</w:t>
            </w:r>
            <w:r>
              <w:rPr>
                <w:rFonts w:hint="default"/>
                <w:b/>
                <w:bCs/>
                <w:kern w:val="44"/>
                <w:sz w:val="24"/>
                <w:szCs w:val="24"/>
              </w:rPr>
              <w:t xml:space="preserve">    项目土壤监测结果统计分析表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147"/>
              <w:gridCol w:w="712"/>
              <w:gridCol w:w="959"/>
              <w:gridCol w:w="944"/>
              <w:gridCol w:w="946"/>
              <w:gridCol w:w="1237"/>
              <w:gridCol w:w="1170"/>
            </w:tblGrid>
            <w:tr w14:paraId="2167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jc w:val="center"/>
              </w:trPr>
              <w:tc>
                <w:tcPr>
                  <w:tcW w:w="641" w:type="pct"/>
                  <w:vAlign w:val="center"/>
                </w:tcPr>
                <w:p w14:paraId="7A236996">
                  <w:pPr>
                    <w:pStyle w:val="45"/>
                    <w:keepNext w:val="0"/>
                    <w:keepLines w:val="0"/>
                    <w:suppressLineNumbers w:val="0"/>
                    <w:spacing w:before="0" w:beforeAutospacing="0" w:after="0" w:afterAutospacing="0"/>
                    <w:ind w:left="0" w:right="0"/>
                    <w:rPr>
                      <w:rFonts w:hint="default"/>
                    </w:rPr>
                  </w:pPr>
                  <w:r>
                    <w:rPr>
                      <w:rFonts w:hint="default"/>
                    </w:rPr>
                    <w:t>检测项目</w:t>
                  </w:r>
                </w:p>
              </w:tc>
              <w:tc>
                <w:tcPr>
                  <w:tcW w:w="702" w:type="pct"/>
                  <w:vAlign w:val="center"/>
                </w:tcPr>
                <w:p w14:paraId="7D364E21">
                  <w:pPr>
                    <w:pStyle w:val="45"/>
                    <w:keepNext w:val="0"/>
                    <w:keepLines w:val="0"/>
                    <w:suppressLineNumbers w:val="0"/>
                    <w:spacing w:before="0" w:beforeAutospacing="0" w:after="0" w:afterAutospacing="0"/>
                    <w:ind w:left="0" w:right="0"/>
                    <w:rPr>
                      <w:rFonts w:hint="default"/>
                    </w:rPr>
                  </w:pPr>
                  <w:r>
                    <w:rPr>
                      <w:rFonts w:hint="default"/>
                    </w:rPr>
                    <w:t>指标</w:t>
                  </w:r>
                </w:p>
              </w:tc>
              <w:tc>
                <w:tcPr>
                  <w:tcW w:w="436" w:type="pct"/>
                  <w:vAlign w:val="center"/>
                </w:tcPr>
                <w:p w14:paraId="05CF4D83">
                  <w:pPr>
                    <w:pStyle w:val="45"/>
                    <w:keepNext w:val="0"/>
                    <w:keepLines w:val="0"/>
                    <w:suppressLineNumbers w:val="0"/>
                    <w:spacing w:before="0" w:beforeAutospacing="0" w:after="0" w:afterAutospacing="0"/>
                    <w:ind w:left="0" w:right="0"/>
                    <w:rPr>
                      <w:rFonts w:hint="default"/>
                    </w:rPr>
                  </w:pPr>
                  <w:r>
                    <w:rPr>
                      <w:rFonts w:hint="default"/>
                    </w:rPr>
                    <w:t>样本数量</w:t>
                  </w:r>
                </w:p>
              </w:tc>
              <w:tc>
                <w:tcPr>
                  <w:tcW w:w="587" w:type="pct"/>
                  <w:vAlign w:val="center"/>
                </w:tcPr>
                <w:p w14:paraId="5C278C0B">
                  <w:pPr>
                    <w:pStyle w:val="45"/>
                    <w:keepNext w:val="0"/>
                    <w:keepLines w:val="0"/>
                    <w:suppressLineNumbers w:val="0"/>
                    <w:spacing w:before="0" w:beforeAutospacing="0" w:after="0" w:afterAutospacing="0"/>
                    <w:ind w:left="0" w:right="0"/>
                    <w:rPr>
                      <w:rFonts w:hint="default"/>
                    </w:rPr>
                  </w:pPr>
                  <w:r>
                    <w:rPr>
                      <w:rFonts w:hint="default"/>
                    </w:rPr>
                    <w:t>最大值</w:t>
                  </w:r>
                </w:p>
              </w:tc>
              <w:tc>
                <w:tcPr>
                  <w:tcW w:w="578" w:type="pct"/>
                  <w:vAlign w:val="center"/>
                </w:tcPr>
                <w:p w14:paraId="2837839B">
                  <w:pPr>
                    <w:pStyle w:val="45"/>
                    <w:keepNext w:val="0"/>
                    <w:keepLines w:val="0"/>
                    <w:suppressLineNumbers w:val="0"/>
                    <w:spacing w:before="0" w:beforeAutospacing="0" w:after="0" w:afterAutospacing="0"/>
                    <w:ind w:left="0" w:right="0"/>
                    <w:rPr>
                      <w:rFonts w:hint="default"/>
                    </w:rPr>
                  </w:pPr>
                  <w:r>
                    <w:rPr>
                      <w:rFonts w:hint="default"/>
                    </w:rPr>
                    <w:t>最小值</w:t>
                  </w:r>
                </w:p>
              </w:tc>
              <w:tc>
                <w:tcPr>
                  <w:tcW w:w="579" w:type="pct"/>
                  <w:vAlign w:val="center"/>
                </w:tcPr>
                <w:p w14:paraId="48388DEA">
                  <w:pPr>
                    <w:pStyle w:val="45"/>
                    <w:keepNext w:val="0"/>
                    <w:keepLines w:val="0"/>
                    <w:suppressLineNumbers w:val="0"/>
                    <w:spacing w:before="0" w:beforeAutospacing="0" w:after="0" w:afterAutospacing="0"/>
                    <w:ind w:left="0" w:right="0"/>
                    <w:rPr>
                      <w:rFonts w:hint="default"/>
                    </w:rPr>
                  </w:pPr>
                  <w:r>
                    <w:rPr>
                      <w:rFonts w:hint="default"/>
                    </w:rPr>
                    <w:t>平均值</w:t>
                  </w:r>
                </w:p>
              </w:tc>
              <w:tc>
                <w:tcPr>
                  <w:tcW w:w="757" w:type="pct"/>
                  <w:vAlign w:val="center"/>
                </w:tcPr>
                <w:p w14:paraId="714457B5">
                  <w:pPr>
                    <w:pStyle w:val="45"/>
                    <w:keepNext w:val="0"/>
                    <w:keepLines w:val="0"/>
                    <w:suppressLineNumbers w:val="0"/>
                    <w:spacing w:before="0" w:beforeAutospacing="0" w:after="0" w:afterAutospacing="0"/>
                    <w:ind w:left="0" w:right="0"/>
                    <w:rPr>
                      <w:rFonts w:hint="default"/>
                    </w:rPr>
                  </w:pPr>
                  <w:r>
                    <w:rPr>
                      <w:rFonts w:hint="default"/>
                    </w:rPr>
                    <w:t>所属级别</w:t>
                  </w:r>
                </w:p>
              </w:tc>
              <w:tc>
                <w:tcPr>
                  <w:tcW w:w="716" w:type="pct"/>
                  <w:vAlign w:val="center"/>
                </w:tcPr>
                <w:p w14:paraId="360120D2">
                  <w:pPr>
                    <w:pStyle w:val="45"/>
                    <w:keepNext w:val="0"/>
                    <w:keepLines w:val="0"/>
                    <w:suppressLineNumbers w:val="0"/>
                    <w:spacing w:before="0" w:beforeAutospacing="0" w:after="0" w:afterAutospacing="0"/>
                    <w:ind w:left="0" w:right="0"/>
                    <w:rPr>
                      <w:rFonts w:hint="default"/>
                    </w:rPr>
                  </w:pPr>
                  <w:r>
                    <w:rPr>
                      <w:rFonts w:hint="default"/>
                    </w:rPr>
                    <w:t>均值对应分级</w:t>
                  </w:r>
                </w:p>
              </w:tc>
            </w:tr>
            <w:tr w14:paraId="4C37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pct"/>
                  <w:vAlign w:val="center"/>
                </w:tcPr>
                <w:p w14:paraId="0A45EAA7">
                  <w:pPr>
                    <w:pStyle w:val="45"/>
                    <w:keepNext w:val="0"/>
                    <w:keepLines w:val="0"/>
                    <w:suppressLineNumbers w:val="0"/>
                    <w:spacing w:before="0" w:beforeAutospacing="0" w:after="0" w:afterAutospacing="0"/>
                    <w:ind w:left="0" w:right="0"/>
                    <w:rPr>
                      <w:rFonts w:hint="default"/>
                    </w:rPr>
                  </w:pPr>
                  <w:r>
                    <w:rPr>
                      <w:rFonts w:hint="default"/>
                    </w:rPr>
                    <w:t>土壤盐化</w:t>
                  </w:r>
                </w:p>
              </w:tc>
              <w:tc>
                <w:tcPr>
                  <w:tcW w:w="702" w:type="pct"/>
                  <w:vAlign w:val="center"/>
                </w:tcPr>
                <w:p w14:paraId="557853C4">
                  <w:pPr>
                    <w:pStyle w:val="45"/>
                    <w:keepNext w:val="0"/>
                    <w:keepLines w:val="0"/>
                    <w:suppressLineNumbers w:val="0"/>
                    <w:spacing w:before="0" w:beforeAutospacing="0" w:after="0" w:afterAutospacing="0"/>
                    <w:ind w:left="0" w:right="0"/>
                    <w:rPr>
                      <w:rFonts w:hint="default"/>
                    </w:rPr>
                  </w:pPr>
                  <w:r>
                    <w:rPr>
                      <w:rFonts w:hint="default"/>
                    </w:rPr>
                    <w:t>土壤含盐量（g/kg）</w:t>
                  </w:r>
                </w:p>
              </w:tc>
              <w:tc>
                <w:tcPr>
                  <w:tcW w:w="436" w:type="pct"/>
                  <w:vAlign w:val="center"/>
                </w:tcPr>
                <w:p w14:paraId="6AE996DD">
                  <w:pPr>
                    <w:pStyle w:val="45"/>
                    <w:keepNext w:val="0"/>
                    <w:keepLines w:val="0"/>
                    <w:suppressLineNumbers w:val="0"/>
                    <w:spacing w:before="0" w:beforeAutospacing="0" w:after="0" w:afterAutospacing="0"/>
                    <w:ind w:left="0" w:right="0"/>
                    <w:rPr>
                      <w:rFonts w:hint="default"/>
                    </w:rPr>
                  </w:pPr>
                  <w:r>
                    <w:rPr>
                      <w:rFonts w:hint="eastAsia"/>
                    </w:rPr>
                    <w:t>3</w:t>
                  </w:r>
                </w:p>
              </w:tc>
              <w:tc>
                <w:tcPr>
                  <w:tcW w:w="587" w:type="pct"/>
                  <w:vAlign w:val="center"/>
                </w:tcPr>
                <w:p w14:paraId="4061B571">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0.7</w:t>
                  </w:r>
                </w:p>
              </w:tc>
              <w:tc>
                <w:tcPr>
                  <w:tcW w:w="578" w:type="pct"/>
                  <w:vAlign w:val="center"/>
                </w:tcPr>
                <w:p w14:paraId="618F883F">
                  <w:pPr>
                    <w:pStyle w:val="45"/>
                    <w:keepNext w:val="0"/>
                    <w:keepLines w:val="0"/>
                    <w:suppressLineNumbers w:val="0"/>
                    <w:spacing w:before="0" w:beforeAutospacing="0" w:after="0" w:afterAutospacing="0"/>
                    <w:ind w:left="0" w:right="0"/>
                    <w:rPr>
                      <w:rFonts w:hint="eastAsia" w:eastAsia="宋体"/>
                      <w:lang w:val="en-US" w:eastAsia="zh-CN"/>
                    </w:rPr>
                  </w:pPr>
                  <w:r>
                    <w:rPr>
                      <w:rFonts w:hint="eastAsia"/>
                    </w:rPr>
                    <w:t>0.</w:t>
                  </w:r>
                  <w:r>
                    <w:rPr>
                      <w:rFonts w:hint="eastAsia"/>
                      <w:lang w:val="en-US" w:eastAsia="zh-CN"/>
                    </w:rPr>
                    <w:t>5</w:t>
                  </w:r>
                </w:p>
              </w:tc>
              <w:tc>
                <w:tcPr>
                  <w:tcW w:w="579" w:type="pct"/>
                  <w:vAlign w:val="center"/>
                </w:tcPr>
                <w:p w14:paraId="0EDD72DE">
                  <w:pPr>
                    <w:pStyle w:val="45"/>
                    <w:keepNext w:val="0"/>
                    <w:keepLines w:val="0"/>
                    <w:suppressLineNumbers w:val="0"/>
                    <w:spacing w:before="0" w:beforeAutospacing="0" w:after="0" w:afterAutospacing="0"/>
                    <w:ind w:left="0" w:right="0"/>
                    <w:rPr>
                      <w:rFonts w:hint="eastAsia" w:eastAsia="宋体"/>
                      <w:lang w:val="en-US" w:eastAsia="zh-CN"/>
                    </w:rPr>
                  </w:pPr>
                  <w:r>
                    <w:rPr>
                      <w:rFonts w:hint="eastAsia"/>
                    </w:rPr>
                    <w:t>0.</w:t>
                  </w:r>
                  <w:r>
                    <w:rPr>
                      <w:rFonts w:hint="eastAsia"/>
                      <w:lang w:val="en-US" w:eastAsia="zh-CN"/>
                    </w:rPr>
                    <w:t>6</w:t>
                  </w:r>
                </w:p>
              </w:tc>
              <w:tc>
                <w:tcPr>
                  <w:tcW w:w="757" w:type="pct"/>
                  <w:vAlign w:val="center"/>
                </w:tcPr>
                <w:p w14:paraId="51FC2C04">
                  <w:pPr>
                    <w:pStyle w:val="45"/>
                    <w:keepNext w:val="0"/>
                    <w:keepLines w:val="0"/>
                    <w:suppressLineNumbers w:val="0"/>
                    <w:spacing w:before="0" w:beforeAutospacing="0" w:after="0" w:afterAutospacing="0"/>
                    <w:ind w:left="0" w:right="0"/>
                    <w:rPr>
                      <w:rFonts w:hint="eastAsia" w:eastAsia="宋体"/>
                      <w:lang w:val="en-US" w:eastAsia="zh-CN"/>
                    </w:rPr>
                  </w:pPr>
                  <w:r>
                    <w:rPr>
                      <w:rFonts w:hint="default"/>
                    </w:rPr>
                    <w:t>SSC</w:t>
                  </w:r>
                  <w:r>
                    <w:rPr>
                      <w:rFonts w:hint="eastAsia"/>
                      <w:lang w:eastAsia="zh-CN"/>
                    </w:rPr>
                    <w:t>&lt;</w:t>
                  </w:r>
                  <w:r>
                    <w:rPr>
                      <w:rFonts w:hint="eastAsia"/>
                      <w:lang w:val="en-US" w:eastAsia="zh-CN"/>
                    </w:rPr>
                    <w:t>2</w:t>
                  </w:r>
                </w:p>
              </w:tc>
              <w:tc>
                <w:tcPr>
                  <w:tcW w:w="716" w:type="pct"/>
                  <w:vAlign w:val="center"/>
                </w:tcPr>
                <w:p w14:paraId="2B2E65D0">
                  <w:pPr>
                    <w:pStyle w:val="45"/>
                    <w:keepNext w:val="0"/>
                    <w:keepLines w:val="0"/>
                    <w:suppressLineNumbers w:val="0"/>
                    <w:spacing w:before="0" w:beforeAutospacing="0" w:after="0" w:afterAutospacing="0"/>
                    <w:ind w:left="0" w:right="0"/>
                    <w:rPr>
                      <w:rFonts w:hint="default"/>
                    </w:rPr>
                  </w:pPr>
                  <w:r>
                    <w:rPr>
                      <w:rFonts w:hint="eastAsia"/>
                    </w:rPr>
                    <w:t>未</w:t>
                  </w:r>
                  <w:r>
                    <w:rPr>
                      <w:rFonts w:hint="default"/>
                    </w:rPr>
                    <w:t>盐化</w:t>
                  </w:r>
                </w:p>
              </w:tc>
            </w:tr>
            <w:tr w14:paraId="7174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41" w:type="pct"/>
                  <w:vAlign w:val="center"/>
                </w:tcPr>
                <w:p w14:paraId="21A4E491">
                  <w:pPr>
                    <w:pStyle w:val="45"/>
                    <w:keepNext w:val="0"/>
                    <w:keepLines w:val="0"/>
                    <w:suppressLineNumbers w:val="0"/>
                    <w:spacing w:before="0" w:beforeAutospacing="0" w:after="0" w:afterAutospacing="0"/>
                    <w:ind w:left="0" w:right="0"/>
                    <w:rPr>
                      <w:rFonts w:hint="default"/>
                    </w:rPr>
                  </w:pPr>
                  <w:r>
                    <w:rPr>
                      <w:rFonts w:hint="default"/>
                    </w:rPr>
                    <w:t>土壤酸化、碱化</w:t>
                  </w:r>
                </w:p>
              </w:tc>
              <w:tc>
                <w:tcPr>
                  <w:tcW w:w="702" w:type="pct"/>
                  <w:vAlign w:val="center"/>
                </w:tcPr>
                <w:p w14:paraId="618E76FC">
                  <w:pPr>
                    <w:pStyle w:val="45"/>
                    <w:keepNext w:val="0"/>
                    <w:keepLines w:val="0"/>
                    <w:suppressLineNumbers w:val="0"/>
                    <w:spacing w:before="0" w:beforeAutospacing="0" w:after="0" w:afterAutospacing="0"/>
                    <w:ind w:left="0" w:right="0"/>
                    <w:rPr>
                      <w:rFonts w:hint="default"/>
                    </w:rPr>
                  </w:pPr>
                  <w:r>
                    <w:rPr>
                      <w:rFonts w:hint="default"/>
                    </w:rPr>
                    <w:t>pH</w:t>
                  </w:r>
                </w:p>
              </w:tc>
              <w:tc>
                <w:tcPr>
                  <w:tcW w:w="436" w:type="pct"/>
                  <w:vAlign w:val="center"/>
                </w:tcPr>
                <w:p w14:paraId="6E3BE521">
                  <w:pPr>
                    <w:pStyle w:val="45"/>
                    <w:keepNext w:val="0"/>
                    <w:keepLines w:val="0"/>
                    <w:suppressLineNumbers w:val="0"/>
                    <w:spacing w:before="0" w:beforeAutospacing="0" w:after="0" w:afterAutospacing="0"/>
                    <w:ind w:left="0" w:right="0"/>
                    <w:rPr>
                      <w:rFonts w:hint="default"/>
                    </w:rPr>
                  </w:pPr>
                  <w:r>
                    <w:rPr>
                      <w:rFonts w:hint="eastAsia"/>
                    </w:rPr>
                    <w:t>3</w:t>
                  </w:r>
                </w:p>
              </w:tc>
              <w:tc>
                <w:tcPr>
                  <w:tcW w:w="587" w:type="pct"/>
                  <w:vAlign w:val="center"/>
                </w:tcPr>
                <w:p w14:paraId="4E929953">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8.73</w:t>
                  </w:r>
                </w:p>
              </w:tc>
              <w:tc>
                <w:tcPr>
                  <w:tcW w:w="578" w:type="pct"/>
                  <w:vAlign w:val="center"/>
                </w:tcPr>
                <w:p w14:paraId="7C237044">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8.43</w:t>
                  </w:r>
                </w:p>
              </w:tc>
              <w:tc>
                <w:tcPr>
                  <w:tcW w:w="579" w:type="pct"/>
                  <w:vAlign w:val="center"/>
                </w:tcPr>
                <w:p w14:paraId="46E120B9">
                  <w:pPr>
                    <w:pStyle w:val="45"/>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8.63</w:t>
                  </w:r>
                </w:p>
              </w:tc>
              <w:tc>
                <w:tcPr>
                  <w:tcW w:w="757" w:type="pct"/>
                  <w:vAlign w:val="center"/>
                </w:tcPr>
                <w:p w14:paraId="24696FA5">
                  <w:pPr>
                    <w:pStyle w:val="45"/>
                    <w:keepNext w:val="0"/>
                    <w:keepLines w:val="0"/>
                    <w:suppressLineNumbers w:val="0"/>
                    <w:spacing w:before="0" w:beforeAutospacing="0" w:after="0" w:afterAutospacing="0"/>
                    <w:ind w:left="0" w:right="0"/>
                    <w:rPr>
                      <w:rFonts w:hint="default" w:eastAsia="宋体"/>
                      <w:lang w:val="en-US" w:eastAsia="zh-CN"/>
                    </w:rPr>
                  </w:pPr>
                  <w:r>
                    <w:rPr>
                      <w:rFonts w:hint="default"/>
                    </w:rPr>
                    <w:t>5.5≤pH</w:t>
                  </w:r>
                  <w:r>
                    <w:rPr>
                      <w:rFonts w:hint="eastAsia"/>
                      <w:lang w:eastAsia="zh-CN"/>
                    </w:rPr>
                    <w:t>&lt;</w:t>
                  </w:r>
                  <w:r>
                    <w:rPr>
                      <w:rFonts w:hint="eastAsia"/>
                      <w:lang w:val="en-US" w:eastAsia="zh-CN"/>
                    </w:rPr>
                    <w:t>9.0</w:t>
                  </w:r>
                </w:p>
              </w:tc>
              <w:tc>
                <w:tcPr>
                  <w:tcW w:w="716" w:type="pct"/>
                  <w:vAlign w:val="center"/>
                </w:tcPr>
                <w:p w14:paraId="1D9CF26A">
                  <w:pPr>
                    <w:pStyle w:val="45"/>
                    <w:keepNext w:val="0"/>
                    <w:keepLines w:val="0"/>
                    <w:suppressLineNumbers w:val="0"/>
                    <w:spacing w:before="0" w:beforeAutospacing="0" w:after="0" w:afterAutospacing="0"/>
                    <w:ind w:left="0" w:right="0"/>
                    <w:rPr>
                      <w:rFonts w:hint="default" w:eastAsia="宋体"/>
                      <w:lang w:val="en-US" w:eastAsia="zh-CN"/>
                    </w:rPr>
                  </w:pPr>
                  <w:r>
                    <w:rPr>
                      <w:rFonts w:hint="eastAsia"/>
                    </w:rPr>
                    <w:t>无酸化或碱化</w:t>
                  </w:r>
                  <w:r>
                    <w:rPr>
                      <w:rFonts w:hint="eastAsia"/>
                      <w:lang w:eastAsia="zh-CN"/>
                    </w:rPr>
                    <w:t>、</w:t>
                  </w:r>
                  <w:r>
                    <w:rPr>
                      <w:rFonts w:hint="eastAsia"/>
                      <w:lang w:val="en-US" w:eastAsia="zh-CN"/>
                    </w:rPr>
                    <w:t>轻度碱化</w:t>
                  </w:r>
                </w:p>
              </w:tc>
            </w:tr>
          </w:tbl>
          <w:p w14:paraId="4D109ECC">
            <w:pPr>
              <w:pStyle w:val="19"/>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微软雅黑"/>
                <w:kern w:val="44"/>
                <w:lang w:val="en-US" w:eastAsia="zh-CN"/>
              </w:rPr>
            </w:pPr>
            <w:r>
              <w:rPr>
                <w:rFonts w:hint="eastAsia"/>
                <w:kern w:val="44"/>
                <w:lang w:val="en-US" w:eastAsia="zh-CN"/>
              </w:rPr>
              <w:t>依</w:t>
            </w:r>
            <w:r>
              <w:rPr>
                <w:rFonts w:hint="default"/>
                <w:kern w:val="44"/>
              </w:rPr>
              <w:t>据以上监测结果，本项目占地范围</w:t>
            </w:r>
            <w:r>
              <w:rPr>
                <w:rFonts w:hint="eastAsia"/>
                <w:kern w:val="44"/>
                <w:lang w:val="en-US" w:eastAsia="zh-CN"/>
              </w:rPr>
              <w:t>内</w:t>
            </w:r>
            <w:r>
              <w:rPr>
                <w:rFonts w:hint="eastAsia"/>
                <w:kern w:val="44"/>
              </w:rPr>
              <w:t>及</w:t>
            </w:r>
            <w:r>
              <w:rPr>
                <w:rFonts w:hint="eastAsia"/>
                <w:kern w:val="44"/>
                <w:lang w:val="en-US" w:eastAsia="zh-CN"/>
              </w:rPr>
              <w:t>项目区南侧</w:t>
            </w:r>
            <w:r>
              <w:rPr>
                <w:rFonts w:hint="default"/>
                <w:kern w:val="44"/>
              </w:rPr>
              <w:t>土壤</w:t>
            </w:r>
            <w:r>
              <w:rPr>
                <w:rFonts w:hint="eastAsia"/>
                <w:kern w:val="44"/>
                <w:lang w:val="en-US" w:eastAsia="zh-CN"/>
              </w:rPr>
              <w:t>为轻度</w:t>
            </w:r>
            <w:r>
              <w:rPr>
                <w:rFonts w:hint="eastAsia"/>
                <w:kern w:val="44"/>
              </w:rPr>
              <w:t>碱化</w:t>
            </w:r>
            <w:r>
              <w:rPr>
                <w:rFonts w:hint="default"/>
                <w:kern w:val="44"/>
              </w:rPr>
              <w:t>，</w:t>
            </w:r>
            <w:r>
              <w:rPr>
                <w:rFonts w:hint="eastAsia"/>
                <w:kern w:val="44"/>
                <w:lang w:val="en-US" w:eastAsia="zh-CN"/>
              </w:rPr>
              <w:t>项目区西侧</w:t>
            </w:r>
            <w:r>
              <w:rPr>
                <w:rFonts w:hint="default"/>
                <w:kern w:val="44"/>
              </w:rPr>
              <w:t>土壤</w:t>
            </w:r>
            <w:r>
              <w:rPr>
                <w:rFonts w:hint="eastAsia"/>
                <w:kern w:val="44"/>
                <w:lang w:val="en-US" w:eastAsia="zh-CN"/>
              </w:rPr>
              <w:t>为</w:t>
            </w:r>
            <w:r>
              <w:rPr>
                <w:rFonts w:hint="eastAsia"/>
                <w:kern w:val="44"/>
              </w:rPr>
              <w:t>无酸化或碱化</w:t>
            </w:r>
            <w:r>
              <w:rPr>
                <w:rFonts w:hint="eastAsia"/>
                <w:kern w:val="44"/>
                <w:lang w:eastAsia="zh-CN"/>
              </w:rPr>
              <w:t>，</w:t>
            </w:r>
            <w:r>
              <w:rPr>
                <w:rFonts w:hint="default"/>
                <w:kern w:val="44"/>
              </w:rPr>
              <w:t>项目占地范围</w:t>
            </w:r>
            <w:r>
              <w:rPr>
                <w:rFonts w:hint="eastAsia"/>
                <w:kern w:val="44"/>
              </w:rPr>
              <w:t>及占地范围外</w:t>
            </w:r>
            <w:r>
              <w:rPr>
                <w:rFonts w:hint="default"/>
                <w:kern w:val="44"/>
              </w:rPr>
              <w:t>土壤</w:t>
            </w:r>
            <w:r>
              <w:rPr>
                <w:rFonts w:hint="eastAsia"/>
                <w:kern w:val="44"/>
              </w:rPr>
              <w:t>均</w:t>
            </w:r>
            <w:r>
              <w:rPr>
                <w:rFonts w:hint="eastAsia"/>
              </w:rPr>
              <w:t>未</w:t>
            </w:r>
            <w:r>
              <w:rPr>
                <w:rFonts w:hint="default"/>
              </w:rPr>
              <w:t>盐化</w:t>
            </w:r>
            <w:r>
              <w:rPr>
                <w:rFonts w:hint="eastAsia"/>
              </w:rPr>
              <w:t>，</w:t>
            </w:r>
            <w:r>
              <w:rPr>
                <w:rFonts w:hint="eastAsia"/>
                <w:kern w:val="44"/>
              </w:rPr>
              <w:t>土壤敏感程度为“较敏感”</w:t>
            </w:r>
            <w:r>
              <w:rPr>
                <w:rFonts w:hint="eastAsia"/>
                <w:kern w:val="44"/>
                <w:lang w:eastAsia="zh-CN"/>
              </w:rPr>
              <w:t>；</w:t>
            </w:r>
            <w:r>
              <w:rPr>
                <w:rFonts w:hint="eastAsia"/>
                <w:kern w:val="44"/>
                <w:lang w:val="en-US" w:eastAsia="zh-CN"/>
              </w:rPr>
              <w:t>占地范围内各评价因子均满足《土壤环境质量 建设用地土壤污染风险管控标准(试行)》(GB36600-2018)中二类用地标准。</w:t>
            </w:r>
          </w:p>
        </w:tc>
      </w:tr>
      <w:tr w14:paraId="2DB6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380" w:type="pct"/>
            <w:vAlign w:val="center"/>
          </w:tcPr>
          <w:p w14:paraId="3EBBF503">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bCs/>
                <w:szCs w:val="21"/>
              </w:rPr>
              <w:t>与项目有关的原有环境污染和生态破坏问题</w:t>
            </w:r>
          </w:p>
        </w:tc>
        <w:tc>
          <w:tcPr>
            <w:tcW w:w="4619" w:type="pct"/>
            <w:vAlign w:val="center"/>
          </w:tcPr>
          <w:p w14:paraId="5709C15B">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lang w:val="en-US"/>
              </w:rPr>
            </w:pPr>
            <w:r>
              <w:rPr>
                <w:rFonts w:hint="eastAsia"/>
                <w:color w:val="000000" w:themeColor="text1"/>
                <w:sz w:val="24"/>
                <w:lang w:val="en-US" w:eastAsia="zh-CN"/>
                <w14:textFill>
                  <w14:solidFill>
                    <w14:schemeClr w14:val="tx1"/>
                  </w14:solidFill>
                </w14:textFill>
              </w:rPr>
              <w:t>本项目为新建，无原有环境污染和生态破坏问题。</w:t>
            </w:r>
          </w:p>
        </w:tc>
      </w:tr>
      <w:tr w14:paraId="42B9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9" w:hRule="atLeast"/>
          <w:jc w:val="center"/>
        </w:trPr>
        <w:tc>
          <w:tcPr>
            <w:tcW w:w="380" w:type="pct"/>
            <w:vAlign w:val="center"/>
          </w:tcPr>
          <w:p w14:paraId="1E20BCA7">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生态环境保护目标</w:t>
            </w:r>
          </w:p>
        </w:tc>
        <w:tc>
          <w:tcPr>
            <w:tcW w:w="4619" w:type="pct"/>
            <w:vAlign w:val="center"/>
          </w:tcPr>
          <w:p w14:paraId="41CF76AA">
            <w:pPr>
              <w:keepNext w:val="0"/>
              <w:keepLines w:val="0"/>
              <w:numPr>
                <w:ilvl w:val="0"/>
                <w:numId w:val="8"/>
              </w:numPr>
              <w:suppressLineNumbers w:val="0"/>
              <w:adjustRightInd w:val="0"/>
              <w:snapToGrid w:val="0"/>
              <w:spacing w:before="0" w:beforeAutospacing="0" w:after="0" w:afterAutospacing="0" w:line="520" w:lineRule="exact"/>
              <w:ind w:left="0" w:right="0" w:firstLine="480"/>
              <w:rPr>
                <w:rFonts w:hint="eastAsia"/>
                <w:b/>
                <w:bCs/>
                <w:sz w:val="24"/>
                <w:lang w:val="en-US" w:eastAsia="zh-CN"/>
              </w:rPr>
            </w:pPr>
            <w:r>
              <w:rPr>
                <w:rFonts w:hint="eastAsia"/>
                <w:b/>
                <w:bCs/>
                <w:sz w:val="24"/>
                <w:lang w:val="en-US" w:eastAsia="zh-CN"/>
              </w:rPr>
              <w:t>大气环境</w:t>
            </w:r>
          </w:p>
          <w:p w14:paraId="0289BCF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rightChars="0" w:firstLine="480" w:firstLineChars="200"/>
              <w:textAlignment w:val="auto"/>
              <w:rPr>
                <w:rFonts w:hint="eastAsia" w:ascii="Times New Roman" w:hAnsi="Times New Roman" w:eastAsia="宋体"/>
                <w:sz w:val="24"/>
                <w:lang w:val="en-US" w:eastAsia="zh-CN"/>
              </w:rPr>
            </w:pPr>
            <w:r>
              <w:rPr>
                <w:rFonts w:hint="eastAsia" w:ascii="Times New Roman" w:hAnsi="Times New Roman" w:eastAsia="宋体"/>
                <w:sz w:val="24"/>
                <w:lang w:val="en-US" w:eastAsia="zh-CN"/>
              </w:rPr>
              <w:t>以项目区为中心，边长5km的矩形区域内，无自然保护区、风景名胜区、居住区、文化区和农村地区中人群较集中的区域等大气环境保护目标</w:t>
            </w:r>
            <w:r>
              <w:rPr>
                <w:rFonts w:hint="eastAsia"/>
                <w:sz w:val="24"/>
                <w:lang w:val="en-US" w:eastAsia="zh-CN"/>
              </w:rPr>
              <w:t>。</w:t>
            </w:r>
          </w:p>
          <w:p w14:paraId="451602C1">
            <w:pPr>
              <w:keepNext w:val="0"/>
              <w:keepLines w:val="0"/>
              <w:numPr>
                <w:ilvl w:val="0"/>
                <w:numId w:val="8"/>
              </w:numPr>
              <w:suppressLineNumbers w:val="0"/>
              <w:adjustRightInd w:val="0"/>
              <w:snapToGrid w:val="0"/>
              <w:spacing w:before="0" w:beforeAutospacing="0" w:after="0" w:afterAutospacing="0" w:line="520" w:lineRule="exact"/>
              <w:ind w:left="0" w:right="0" w:firstLine="480"/>
              <w:rPr>
                <w:rFonts w:hint="default"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sz w:val="24"/>
                <w:lang w:val="en-US" w:eastAsia="zh-CN"/>
              </w:rPr>
              <w:t>声环境</w:t>
            </w:r>
          </w:p>
          <w:p w14:paraId="0B22177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rightChars="0" w:firstLine="480" w:firstLineChars="200"/>
              <w:textAlignment w:val="auto"/>
              <w:rPr>
                <w:rFonts w:hint="default" w:ascii="Times New Roman" w:hAnsi="Times New Roman" w:eastAsia="宋体"/>
                <w:b/>
                <w:bCs/>
                <w:color w:val="000000" w:themeColor="text1"/>
                <w:sz w:val="24"/>
                <w14:textFill>
                  <w14:solidFill>
                    <w14:schemeClr w14:val="tx1"/>
                  </w14:solidFill>
                </w14:textFill>
              </w:rPr>
            </w:pPr>
            <w:r>
              <w:rPr>
                <w:rFonts w:hint="default" w:ascii="Times New Roman" w:hAnsi="Times New Roman" w:eastAsia="宋体" w:cs="宋体"/>
                <w:sz w:val="24"/>
                <w:szCs w:val="24"/>
              </w:rPr>
              <w:t>根据《环境影响评价技术导则</w:t>
            </w:r>
            <w:r>
              <w:rPr>
                <w:rFonts w:hint="eastAsia" w:cs="宋体"/>
                <w:sz w:val="24"/>
                <w:szCs w:val="24"/>
                <w:lang w:val="en-US" w:eastAsia="zh-CN"/>
              </w:rPr>
              <w:t xml:space="preserve"> </w:t>
            </w:r>
            <w:r>
              <w:rPr>
                <w:rFonts w:hint="default" w:ascii="Times New Roman" w:hAnsi="Times New Roman" w:eastAsia="宋体" w:cs="宋体"/>
                <w:sz w:val="24"/>
                <w:szCs w:val="24"/>
              </w:rPr>
              <w:t>声环境》(HJ2.4-2021)，声环境敏感目标指医院、学校、机关、科研单位、住宅、自然保护区等对噪声敏感的建筑物或区域。项目边界向外200m范围内无声环境保护目标。</w:t>
            </w:r>
          </w:p>
          <w:p w14:paraId="3FC36841">
            <w:pPr>
              <w:keepNext w:val="0"/>
              <w:keepLines w:val="0"/>
              <w:numPr>
                <w:ilvl w:val="0"/>
                <w:numId w:val="8"/>
              </w:numPr>
              <w:suppressLineNumbers w:val="0"/>
              <w:adjustRightInd w:val="0"/>
              <w:snapToGrid w:val="0"/>
              <w:spacing w:before="0" w:beforeAutospacing="0" w:after="0" w:afterAutospacing="0" w:line="520" w:lineRule="exact"/>
              <w:ind w:left="0" w:right="0" w:firstLine="480"/>
              <w:rPr>
                <w:rFonts w:hint="default" w:ascii="Times New Roman" w:hAnsi="Times New Roman"/>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地下水环境</w:t>
            </w:r>
          </w:p>
          <w:p w14:paraId="1FC57E1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rightChars="0" w:firstLine="480" w:firstLineChars="200"/>
              <w:textAlignment w:val="auto"/>
              <w:rPr>
                <w:rFonts w:hint="default" w:ascii="Times New Roman" w:hAnsi="Times New Roman"/>
                <w:b/>
                <w:bCs/>
                <w:color w:val="000000" w:themeColor="text1"/>
                <w:sz w:val="24"/>
                <w14:textFill>
                  <w14:solidFill>
                    <w14:schemeClr w14:val="tx1"/>
                  </w14:solidFill>
                </w14:textFill>
              </w:rPr>
            </w:pPr>
            <w:r>
              <w:rPr>
                <w:rFonts w:hint="eastAsia" w:ascii="宋体" w:hAnsi="宋体" w:cs="宋体"/>
                <w:sz w:val="24"/>
                <w:szCs w:val="24"/>
                <w:lang w:val="en-US" w:eastAsia="zh-CN"/>
              </w:rPr>
              <w:t>依据《环境影响评价技术导则 地下水环境》（</w:t>
            </w:r>
            <w:r>
              <w:rPr>
                <w:rFonts w:hint="default" w:ascii="Times New Roman" w:hAnsi="Times New Roman" w:cs="Times New Roman"/>
                <w:sz w:val="24"/>
                <w:szCs w:val="24"/>
                <w:lang w:val="en-US" w:eastAsia="zh-CN"/>
              </w:rPr>
              <w:t>HJ610-2016</w:t>
            </w:r>
            <w:r>
              <w:rPr>
                <w:rFonts w:hint="eastAsia" w:ascii="宋体" w:hAnsi="宋体" w:cs="宋体"/>
                <w:sz w:val="24"/>
                <w:szCs w:val="24"/>
                <w:lang w:val="en-US" w:eastAsia="zh-CN"/>
              </w:rPr>
              <w:t>）附录A的规定，本项目地下水环境影响评价项目类别为Ⅳ类，因此本项目不设置地下水环境评价范围。参照《建设项目环境影响报告表编制技术指南（污染影响类）</w:t>
            </w:r>
            <w:r>
              <w:rPr>
                <w:rFonts w:hint="default"/>
                <w:sz w:val="24"/>
              </w:rPr>
              <w:t>（试行）</w:t>
            </w:r>
            <w:r>
              <w:rPr>
                <w:rFonts w:hint="eastAsia" w:ascii="宋体" w:hAnsi="宋体" w:cs="宋体"/>
                <w:sz w:val="24"/>
                <w:szCs w:val="24"/>
                <w:lang w:val="en-US" w:eastAsia="zh-CN"/>
              </w:rPr>
              <w:t>》，</w:t>
            </w:r>
            <w:r>
              <w:rPr>
                <w:rFonts w:hint="default" w:ascii="宋体" w:hAnsi="宋体" w:eastAsia="宋体" w:cs="宋体"/>
                <w:sz w:val="24"/>
                <w:szCs w:val="24"/>
              </w:rPr>
              <w:t>本项目厂界外500m范围内无地下水集中式饮用水水源和热水、矿泉水、温泉等特殊地下水资源。</w:t>
            </w:r>
          </w:p>
          <w:p w14:paraId="12EB7A0A">
            <w:pPr>
              <w:keepNext w:val="0"/>
              <w:keepLines w:val="0"/>
              <w:numPr>
                <w:ilvl w:val="0"/>
                <w:numId w:val="8"/>
              </w:numPr>
              <w:suppressLineNumbers w:val="0"/>
              <w:adjustRightInd w:val="0"/>
              <w:snapToGrid w:val="0"/>
              <w:spacing w:before="0" w:beforeAutospacing="0" w:after="0" w:afterAutospacing="0" w:line="520" w:lineRule="exact"/>
              <w:ind w:left="0" w:right="0" w:firstLine="480"/>
              <w:rPr>
                <w:rFonts w:hint="default" w:ascii="Times New Roman" w:hAnsi="Times New Roman"/>
                <w:b/>
                <w:bCs/>
                <w:color w:val="000000" w:themeColor="text1"/>
                <w:sz w:val="24"/>
                <w14:textFill>
                  <w14:solidFill>
                    <w14:schemeClr w14:val="tx1"/>
                  </w14:solidFill>
                </w14:textFill>
              </w:rPr>
            </w:pPr>
            <w:r>
              <w:rPr>
                <w:rFonts w:hint="eastAsia"/>
                <w:b/>
                <w:bCs/>
                <w:sz w:val="24"/>
                <w:lang w:val="en-US" w:eastAsia="zh-CN"/>
              </w:rPr>
              <w:t>生态环境</w:t>
            </w:r>
          </w:p>
          <w:p w14:paraId="4372538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rightChars="0" w:firstLine="480" w:firstLineChars="200"/>
              <w:textAlignment w:val="auto"/>
              <w:rPr>
                <w:rFonts w:hint="default"/>
              </w:rPr>
            </w:pPr>
            <w:r>
              <w:rPr>
                <w:rFonts w:hint="default" w:ascii="Times New Roman" w:hAnsi="Times New Roman"/>
                <w:sz w:val="24"/>
              </w:rPr>
              <w:t>本项目位于新疆维吾尔自治区</w:t>
            </w:r>
            <w:r>
              <w:rPr>
                <w:rFonts w:hint="eastAsia" w:ascii="Times New Roman" w:hAnsi="Times New Roman"/>
                <w:sz w:val="24"/>
              </w:rPr>
              <w:t>和静县北西方向352°方位</w:t>
            </w:r>
            <w:r>
              <w:rPr>
                <w:rFonts w:hint="eastAsia" w:ascii="Times New Roman" w:hAnsi="Times New Roman"/>
                <w:sz w:val="24"/>
                <w:lang w:val="en-US" w:eastAsia="zh-CN"/>
              </w:rPr>
              <w:t>19.1km</w:t>
            </w:r>
            <w:r>
              <w:rPr>
                <w:rFonts w:hint="eastAsia" w:ascii="Times New Roman" w:hAnsi="Times New Roman"/>
                <w:sz w:val="24"/>
              </w:rPr>
              <w:t>处</w:t>
            </w:r>
            <w:r>
              <w:rPr>
                <w:rFonts w:hint="default" w:ascii="Times New Roman" w:hAnsi="Times New Roman"/>
                <w:sz w:val="24"/>
              </w:rPr>
              <w:t>，项目行政区域属于</w:t>
            </w:r>
            <w:r>
              <w:rPr>
                <w:rFonts w:hint="eastAsia" w:ascii="Times New Roman" w:hAnsi="Times New Roman"/>
                <w:sz w:val="24"/>
              </w:rPr>
              <w:t>和静</w:t>
            </w:r>
            <w:r>
              <w:rPr>
                <w:rFonts w:hint="default" w:ascii="Times New Roman" w:hAnsi="Times New Roman"/>
                <w:sz w:val="24"/>
              </w:rPr>
              <w:t>县</w:t>
            </w:r>
            <w:r>
              <w:rPr>
                <w:rFonts w:hint="eastAsia"/>
                <w:sz w:val="24"/>
                <w:lang w:eastAsia="zh-CN"/>
              </w:rPr>
              <w:t>，</w:t>
            </w:r>
            <w:r>
              <w:rPr>
                <w:rFonts w:hint="default" w:ascii="宋体" w:hAnsi="宋体" w:eastAsia="宋体" w:cs="宋体"/>
                <w:sz w:val="24"/>
                <w:szCs w:val="24"/>
              </w:rPr>
              <w:t>项目</w:t>
            </w:r>
            <w:r>
              <w:rPr>
                <w:rFonts w:hint="eastAsia" w:ascii="宋体" w:hAnsi="宋体" w:eastAsia="宋体" w:cs="宋体"/>
                <w:sz w:val="24"/>
                <w:szCs w:val="24"/>
                <w:lang w:val="en-US" w:eastAsia="zh-CN"/>
              </w:rPr>
              <w:t>区占地范围内无重要物种、生态敏感区以及其他需要保护的物种、种群、生物群落及生态空间等生态保护目标。</w:t>
            </w:r>
          </w:p>
        </w:tc>
      </w:tr>
      <w:tr w14:paraId="4A42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80" w:type="pct"/>
            <w:vAlign w:val="center"/>
          </w:tcPr>
          <w:p w14:paraId="312E0A89">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评价</w:t>
            </w:r>
          </w:p>
          <w:p w14:paraId="58BB4574">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标准</w:t>
            </w:r>
          </w:p>
        </w:tc>
        <w:tc>
          <w:tcPr>
            <w:tcW w:w="4619" w:type="pct"/>
            <w:vAlign w:val="center"/>
          </w:tcPr>
          <w:p w14:paraId="5E90FB03">
            <w:pPr>
              <w:keepNext w:val="0"/>
              <w:keepLines w:val="0"/>
              <w:suppressLineNumbers w:val="0"/>
              <w:adjustRightInd w:val="0"/>
              <w:snapToGrid w:val="0"/>
              <w:spacing w:before="0" w:beforeAutospacing="0" w:after="0" w:afterAutospacing="0" w:line="480" w:lineRule="exact"/>
              <w:ind w:left="0" w:right="0"/>
              <w:jc w:val="left"/>
              <w:rPr>
                <w:rFonts w:hint="default"/>
                <w:b/>
                <w:bCs/>
                <w:sz w:val="24"/>
              </w:rPr>
            </w:pPr>
            <w:r>
              <w:rPr>
                <w:rFonts w:hint="default"/>
                <w:b/>
                <w:bCs/>
                <w:sz w:val="24"/>
              </w:rPr>
              <w:t>1环境质量标准</w:t>
            </w:r>
          </w:p>
          <w:p w14:paraId="43D08CA3">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1、环境空气</w:t>
            </w:r>
          </w:p>
          <w:p w14:paraId="08D366CB">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执行《环境空气质量标准》（GB3095—2012）中二级标准及修改单</w:t>
            </w:r>
            <w:r>
              <w:rPr>
                <w:rFonts w:hint="eastAsia"/>
                <w:sz w:val="24"/>
              </w:rPr>
              <w:t>。</w:t>
            </w:r>
          </w:p>
          <w:p w14:paraId="4917ED79">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2、声环境</w:t>
            </w:r>
          </w:p>
          <w:p w14:paraId="5988979C">
            <w:pPr>
              <w:keepNext w:val="0"/>
              <w:keepLines w:val="0"/>
              <w:suppressLineNumbers w:val="0"/>
              <w:spacing w:before="0" w:beforeAutospacing="0" w:after="0" w:afterAutospacing="0" w:line="520" w:lineRule="exact"/>
              <w:ind w:left="0" w:right="0" w:firstLine="480" w:firstLineChars="200"/>
              <w:rPr>
                <w:rFonts w:hint="default"/>
              </w:rPr>
            </w:pPr>
            <w:r>
              <w:rPr>
                <w:rFonts w:hint="default"/>
                <w:bCs/>
                <w:sz w:val="24"/>
              </w:rPr>
              <w:t>根据《巴音郭楞蒙古自治州环境功能区划》，该项目所在地声环境质量执行《声环境质量标准》（GB3096－2008）2类标准执行，即昼间≤60dB</w:t>
            </w:r>
            <w:r>
              <w:rPr>
                <w:rFonts w:hint="eastAsia"/>
                <w:bCs/>
                <w:sz w:val="24"/>
              </w:rPr>
              <w:t>（</w:t>
            </w:r>
            <w:r>
              <w:rPr>
                <w:rFonts w:hint="default"/>
                <w:bCs/>
                <w:sz w:val="24"/>
              </w:rPr>
              <w:t>A</w:t>
            </w:r>
            <w:r>
              <w:rPr>
                <w:rFonts w:hint="eastAsia"/>
                <w:bCs/>
                <w:sz w:val="24"/>
              </w:rPr>
              <w:t>）</w:t>
            </w:r>
            <w:r>
              <w:rPr>
                <w:rFonts w:hint="default"/>
                <w:bCs/>
                <w:sz w:val="24"/>
              </w:rPr>
              <w:t>，夜间≤50dB</w:t>
            </w:r>
            <w:r>
              <w:rPr>
                <w:rFonts w:hint="eastAsia"/>
                <w:bCs/>
                <w:sz w:val="24"/>
              </w:rPr>
              <w:t>（</w:t>
            </w:r>
            <w:r>
              <w:rPr>
                <w:rFonts w:hint="default"/>
                <w:bCs/>
                <w:sz w:val="24"/>
              </w:rPr>
              <w:t>A</w:t>
            </w:r>
            <w:r>
              <w:rPr>
                <w:rFonts w:hint="eastAsia"/>
                <w:bCs/>
                <w:sz w:val="24"/>
              </w:rPr>
              <w:t>）</w:t>
            </w:r>
            <w:r>
              <w:rPr>
                <w:rFonts w:hint="default"/>
                <w:bCs/>
                <w:sz w:val="24"/>
              </w:rPr>
              <w:t>。</w:t>
            </w:r>
          </w:p>
          <w:p w14:paraId="4BD302A3">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3、水环境</w:t>
            </w:r>
          </w:p>
          <w:p w14:paraId="1DD85F90">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执行《地表水环境质量标准》（GB3838—2002）ⅠⅠ类标准</w:t>
            </w:r>
            <w:r>
              <w:rPr>
                <w:rFonts w:hint="eastAsia"/>
                <w:sz w:val="24"/>
              </w:rPr>
              <w:t>。</w:t>
            </w:r>
          </w:p>
          <w:p w14:paraId="294F3779">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4、土壤</w:t>
            </w:r>
          </w:p>
          <w:p w14:paraId="0B89C849">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项目区</w:t>
            </w:r>
            <w:r>
              <w:rPr>
                <w:rFonts w:hint="eastAsia"/>
                <w:sz w:val="24"/>
              </w:rPr>
              <w:t>及周边</w:t>
            </w:r>
            <w:r>
              <w:rPr>
                <w:rFonts w:hint="default"/>
                <w:sz w:val="24"/>
              </w:rPr>
              <w:t>执行《土壤环境质量</w:t>
            </w:r>
            <w:r>
              <w:rPr>
                <w:rFonts w:hint="eastAsia"/>
                <w:sz w:val="24"/>
                <w:lang w:val="en-US" w:eastAsia="zh-CN"/>
              </w:rPr>
              <w:t xml:space="preserve"> </w:t>
            </w:r>
            <w:r>
              <w:rPr>
                <w:rFonts w:hint="default"/>
                <w:sz w:val="24"/>
              </w:rPr>
              <w:t>建设用地土壤污染风险管控标准（试行）》（GB36600—2018）中筛选值第二类用地的标准。</w:t>
            </w:r>
          </w:p>
          <w:p w14:paraId="624E6D2F">
            <w:pPr>
              <w:keepNext w:val="0"/>
              <w:keepLines w:val="0"/>
              <w:suppressLineNumbers w:val="0"/>
              <w:adjustRightInd w:val="0"/>
              <w:snapToGrid w:val="0"/>
              <w:spacing w:before="0" w:beforeAutospacing="0" w:after="0" w:afterAutospacing="0" w:line="480" w:lineRule="exact"/>
              <w:ind w:left="0" w:right="0"/>
              <w:jc w:val="left"/>
              <w:rPr>
                <w:rFonts w:hint="default"/>
                <w:b/>
                <w:bCs/>
                <w:sz w:val="24"/>
              </w:rPr>
            </w:pPr>
            <w:r>
              <w:rPr>
                <w:rFonts w:hint="default"/>
                <w:b/>
                <w:bCs/>
                <w:sz w:val="24"/>
              </w:rPr>
              <w:t>2污染物排放标准</w:t>
            </w:r>
          </w:p>
          <w:p w14:paraId="57D635A5">
            <w:pPr>
              <w:keepNext w:val="0"/>
              <w:keepLines w:val="0"/>
              <w:suppressLineNumbers w:val="0"/>
              <w:adjustRightInd w:val="0"/>
              <w:snapToGrid w:val="0"/>
              <w:spacing w:before="0" w:beforeAutospacing="0" w:after="0" w:afterAutospacing="0" w:line="520" w:lineRule="exact"/>
              <w:ind w:left="0" w:right="0" w:firstLine="480" w:firstLineChars="200"/>
              <w:rPr>
                <w:rFonts w:hint="default"/>
                <w:kern w:val="0"/>
                <w:sz w:val="24"/>
              </w:rPr>
            </w:pPr>
            <w:r>
              <w:rPr>
                <w:rFonts w:hint="default"/>
                <w:kern w:val="0"/>
                <w:sz w:val="24"/>
              </w:rPr>
              <w:t>1、大气污染物排放标准</w:t>
            </w:r>
          </w:p>
          <w:p w14:paraId="2E723313">
            <w:pPr>
              <w:keepNext w:val="0"/>
              <w:keepLines w:val="0"/>
              <w:suppressLineNumbers w:val="0"/>
              <w:spacing w:before="0" w:beforeAutospacing="0" w:after="0" w:afterAutospacing="0" w:line="520" w:lineRule="exact"/>
              <w:ind w:left="0" w:right="0" w:firstLine="480" w:firstLineChars="200"/>
              <w:rPr>
                <w:rFonts w:hint="default"/>
                <w:kern w:val="0"/>
                <w:sz w:val="24"/>
              </w:rPr>
            </w:pPr>
            <w:r>
              <w:rPr>
                <w:rFonts w:hint="default"/>
                <w:kern w:val="0"/>
                <w:sz w:val="24"/>
              </w:rPr>
              <w:t>建设项目施工期施工废气排放执行</w:t>
            </w:r>
            <w:r>
              <w:rPr>
                <w:rFonts w:hint="eastAsia"/>
                <w:kern w:val="0"/>
                <w:sz w:val="24"/>
                <w:lang w:eastAsia="zh-CN"/>
              </w:rPr>
              <w:t>《大气污染物</w:t>
            </w:r>
            <w:r>
              <w:rPr>
                <w:rFonts w:hint="eastAsia"/>
                <w:kern w:val="0"/>
                <w:sz w:val="24"/>
                <w:lang w:val="en-US" w:eastAsia="zh-CN"/>
              </w:rPr>
              <w:t>综合</w:t>
            </w:r>
            <w:r>
              <w:rPr>
                <w:rFonts w:hint="eastAsia"/>
                <w:kern w:val="0"/>
                <w:sz w:val="24"/>
                <w:lang w:eastAsia="zh-CN"/>
              </w:rPr>
              <w:t>排放标准》（GB</w:t>
            </w:r>
            <w:r>
              <w:rPr>
                <w:rFonts w:hint="eastAsia"/>
                <w:kern w:val="0"/>
                <w:sz w:val="24"/>
                <w:lang w:val="en-US" w:eastAsia="zh-CN"/>
              </w:rPr>
              <w:t>16297</w:t>
            </w:r>
            <w:r>
              <w:rPr>
                <w:rFonts w:hint="eastAsia"/>
                <w:kern w:val="0"/>
                <w:sz w:val="24"/>
                <w:lang w:eastAsia="zh-CN"/>
              </w:rPr>
              <w:t>-</w:t>
            </w:r>
            <w:r>
              <w:rPr>
                <w:rFonts w:hint="eastAsia"/>
                <w:kern w:val="0"/>
                <w:sz w:val="24"/>
                <w:lang w:val="en-US" w:eastAsia="zh-CN"/>
              </w:rPr>
              <w:t>1996</w:t>
            </w:r>
            <w:r>
              <w:rPr>
                <w:rFonts w:hint="eastAsia"/>
                <w:kern w:val="0"/>
                <w:sz w:val="24"/>
                <w:lang w:eastAsia="zh-CN"/>
              </w:rPr>
              <w:t>）</w:t>
            </w:r>
            <w:r>
              <w:rPr>
                <w:rFonts w:hint="default"/>
                <w:kern w:val="0"/>
                <w:sz w:val="24"/>
              </w:rPr>
              <w:t>无组织排放监控浓度限值。</w:t>
            </w:r>
          </w:p>
          <w:p w14:paraId="785B4CD7">
            <w:pPr>
              <w:keepNext w:val="0"/>
              <w:keepLines w:val="0"/>
              <w:suppressLineNumbers w:val="0"/>
              <w:spacing w:before="0" w:beforeAutospacing="0" w:after="0" w:afterAutospacing="0" w:line="520" w:lineRule="exact"/>
              <w:ind w:left="0" w:right="0" w:firstLine="482" w:firstLineChars="200"/>
              <w:jc w:val="center"/>
              <w:rPr>
                <w:rFonts w:hint="default"/>
              </w:rPr>
            </w:pPr>
            <w:r>
              <w:rPr>
                <w:rFonts w:hint="default"/>
                <w:b/>
                <w:bCs/>
                <w:sz w:val="24"/>
              </w:rPr>
              <w:t>表3-</w:t>
            </w:r>
            <w:r>
              <w:rPr>
                <w:rFonts w:hint="eastAsia"/>
                <w:b/>
                <w:bCs/>
                <w:sz w:val="24"/>
              </w:rPr>
              <w:t>17</w:t>
            </w:r>
            <w:r>
              <w:rPr>
                <w:rFonts w:hint="default"/>
                <w:b/>
                <w:bCs/>
                <w:sz w:val="24"/>
              </w:rPr>
              <w:t xml:space="preserve">    施工期无组织废气执行标准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9"/>
              <w:gridCol w:w="1906"/>
              <w:gridCol w:w="3540"/>
            </w:tblGrid>
            <w:tr w14:paraId="081B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65" w:type="pct"/>
                  <w:vAlign w:val="center"/>
                </w:tcPr>
                <w:p w14:paraId="4BBB4E7B">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污染物</w:t>
                  </w:r>
                </w:p>
              </w:tc>
              <w:tc>
                <w:tcPr>
                  <w:tcW w:w="1167" w:type="pct"/>
                  <w:vAlign w:val="center"/>
                </w:tcPr>
                <w:p w14:paraId="5F1D2822">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限值</w:t>
                  </w:r>
                </w:p>
              </w:tc>
              <w:tc>
                <w:tcPr>
                  <w:tcW w:w="2167" w:type="pct"/>
                  <w:vAlign w:val="center"/>
                </w:tcPr>
                <w:p w14:paraId="15C1C3D6">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执行标准</w:t>
                  </w:r>
                </w:p>
              </w:tc>
            </w:tr>
            <w:tr w14:paraId="2389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2D5142DA">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颗粒物</w:t>
                  </w:r>
                </w:p>
              </w:tc>
              <w:tc>
                <w:tcPr>
                  <w:tcW w:w="1167" w:type="pct"/>
                  <w:vAlign w:val="center"/>
                </w:tcPr>
                <w:p w14:paraId="471A9E53">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eastAsia"/>
                      <w:szCs w:val="21"/>
                      <w:lang w:val="en-US" w:eastAsia="zh-CN"/>
                    </w:rPr>
                    <w:t>1</w:t>
                  </w:r>
                  <w:r>
                    <w:rPr>
                      <w:rFonts w:hint="default" w:ascii="Times New Roman" w:hAnsi="Times New Roman" w:eastAsia="宋体"/>
                      <w:szCs w:val="21"/>
                    </w:rPr>
                    <w:t>mg/m</w:t>
                  </w:r>
                  <w:r>
                    <w:rPr>
                      <w:rFonts w:hint="default" w:ascii="Times New Roman" w:hAnsi="Times New Roman" w:eastAsia="宋体"/>
                      <w:szCs w:val="21"/>
                      <w:vertAlign w:val="superscript"/>
                    </w:rPr>
                    <w:t>3</w:t>
                  </w:r>
                </w:p>
              </w:tc>
              <w:tc>
                <w:tcPr>
                  <w:tcW w:w="2167" w:type="pct"/>
                  <w:vAlign w:val="center"/>
                </w:tcPr>
                <w:p w14:paraId="45A8D2C6">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cs="Times New Roman"/>
                      <w:color w:val="auto"/>
                      <w:sz w:val="21"/>
                      <w:szCs w:val="21"/>
                    </w:rPr>
                    <w:t>《大气污染物综合排放标准》（GB16297-1996）中表2</w:t>
                  </w:r>
                </w:p>
              </w:tc>
            </w:tr>
          </w:tbl>
          <w:p w14:paraId="29CFD25B">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lang w:val="en-US" w:eastAsia="zh-CN"/>
              </w:rPr>
              <w:t>本项目为水泥用石灰岩开采，</w:t>
            </w:r>
            <w:r>
              <w:rPr>
                <w:rFonts w:hint="eastAsia"/>
                <w:sz w:val="24"/>
              </w:rPr>
              <w:t>运营期</w:t>
            </w:r>
            <w:r>
              <w:rPr>
                <w:rFonts w:hint="default"/>
                <w:sz w:val="24"/>
              </w:rPr>
              <w:t>粉尘执行《水泥工业大气污染物排放标准》（GB4951-2013）中颗粒物</w:t>
            </w:r>
            <w:r>
              <w:rPr>
                <w:rFonts w:hint="eastAsia"/>
                <w:sz w:val="24"/>
                <w:lang w:val="en-US" w:eastAsia="zh-CN"/>
              </w:rPr>
              <w:t>有</w:t>
            </w:r>
            <w:r>
              <w:rPr>
                <w:rFonts w:hint="eastAsia"/>
                <w:sz w:val="24"/>
              </w:rPr>
              <w:t>组织</w:t>
            </w:r>
            <w:r>
              <w:rPr>
                <w:rFonts w:hint="eastAsia"/>
                <w:sz w:val="24"/>
                <w:lang w:val="en-US" w:eastAsia="zh-CN"/>
              </w:rPr>
              <w:t>及无</w:t>
            </w:r>
            <w:r>
              <w:rPr>
                <w:rFonts w:hint="eastAsia"/>
                <w:sz w:val="24"/>
              </w:rPr>
              <w:t>组织</w:t>
            </w:r>
            <w:r>
              <w:rPr>
                <w:rFonts w:hint="default"/>
                <w:sz w:val="24"/>
              </w:rPr>
              <w:t>排放浓度限值</w:t>
            </w:r>
            <w:r>
              <w:rPr>
                <w:rFonts w:hint="eastAsia"/>
                <w:sz w:val="24"/>
              </w:rPr>
              <w:t>。</w:t>
            </w:r>
          </w:p>
          <w:p w14:paraId="49D2B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b/>
                <w:bCs/>
                <w:sz w:val="24"/>
              </w:rPr>
            </w:pPr>
            <w:r>
              <w:rPr>
                <w:rFonts w:hint="default"/>
                <w:b/>
                <w:bCs/>
                <w:sz w:val="24"/>
              </w:rPr>
              <w:t>表</w:t>
            </w:r>
            <w:r>
              <w:rPr>
                <w:rFonts w:hint="eastAsia"/>
                <w:b/>
                <w:bCs/>
                <w:sz w:val="24"/>
              </w:rPr>
              <w:t xml:space="preserve">3-18    </w:t>
            </w:r>
            <w:r>
              <w:rPr>
                <w:rFonts w:hint="default"/>
                <w:b/>
                <w:bCs/>
                <w:sz w:val="24"/>
              </w:rPr>
              <w:t>《水泥工业大气污染物排放标准》（GB4951-2013）</w:t>
            </w:r>
            <w:r>
              <w:rPr>
                <w:rFonts w:hint="eastAsia"/>
                <w:b/>
                <w:bCs/>
                <w:sz w:val="24"/>
              </w:rPr>
              <w:t>（mg/m³）</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2294"/>
              <w:gridCol w:w="1277"/>
              <w:gridCol w:w="2294"/>
              <w:gridCol w:w="1277"/>
            </w:tblGrid>
            <w:tr w14:paraId="4116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26" w:type="pct"/>
                  <w:vMerge w:val="restart"/>
                  <w:noWrap/>
                  <w:vAlign w:val="center"/>
                </w:tcPr>
                <w:p w14:paraId="4E729752">
                  <w:pPr>
                    <w:keepNext w:val="0"/>
                    <w:keepLines w:val="0"/>
                    <w:suppressLineNumbers w:val="0"/>
                    <w:spacing w:before="0" w:beforeAutospacing="0" w:after="0" w:afterAutospacing="0" w:line="320" w:lineRule="exact"/>
                    <w:ind w:left="0" w:right="0"/>
                    <w:jc w:val="center"/>
                    <w:rPr>
                      <w:rFonts w:hint="default" w:ascii="Times New Roman" w:hAnsi="Times New Roman" w:eastAsia="宋体"/>
                      <w:bCs/>
                    </w:rPr>
                  </w:pPr>
                  <w:r>
                    <w:rPr>
                      <w:rFonts w:hint="eastAsia" w:ascii="Times New Roman" w:hAnsi="Times New Roman" w:eastAsia="宋体"/>
                      <w:bCs/>
                    </w:rPr>
                    <w:t>污染物</w:t>
                  </w:r>
                </w:p>
              </w:tc>
              <w:tc>
                <w:tcPr>
                  <w:tcW w:w="2186" w:type="pct"/>
                  <w:gridSpan w:val="2"/>
                  <w:noWrap/>
                  <w:vAlign w:val="center"/>
                </w:tcPr>
                <w:p w14:paraId="0104F882">
                  <w:pPr>
                    <w:keepNext w:val="0"/>
                    <w:keepLines w:val="0"/>
                    <w:suppressLineNumbers w:val="0"/>
                    <w:spacing w:before="0" w:beforeAutospacing="0" w:after="0" w:afterAutospacing="0" w:line="320" w:lineRule="exact"/>
                    <w:ind w:left="0" w:right="0"/>
                    <w:jc w:val="center"/>
                    <w:rPr>
                      <w:rFonts w:hint="default" w:ascii="Times New Roman" w:hAnsi="Times New Roman" w:eastAsia="宋体"/>
                      <w:bCs/>
                    </w:rPr>
                  </w:pPr>
                  <w:r>
                    <w:rPr>
                      <w:rFonts w:hint="eastAsia"/>
                      <w:bCs/>
                      <w:lang w:val="en-US" w:eastAsia="zh-CN"/>
                    </w:rPr>
                    <w:t>有</w:t>
                  </w:r>
                  <w:r>
                    <w:rPr>
                      <w:rFonts w:hint="eastAsia" w:ascii="Times New Roman" w:hAnsi="Times New Roman" w:eastAsia="宋体"/>
                      <w:bCs/>
                    </w:rPr>
                    <w:t>组织排放监控浓度限值</w:t>
                  </w:r>
                </w:p>
              </w:tc>
              <w:tc>
                <w:tcPr>
                  <w:tcW w:w="2186" w:type="pct"/>
                  <w:gridSpan w:val="2"/>
                  <w:noWrap/>
                  <w:vAlign w:val="center"/>
                </w:tcPr>
                <w:p w14:paraId="4A6A097D">
                  <w:pPr>
                    <w:keepNext w:val="0"/>
                    <w:keepLines w:val="0"/>
                    <w:suppressLineNumbers w:val="0"/>
                    <w:spacing w:before="0" w:beforeAutospacing="0" w:after="0" w:afterAutospacing="0" w:line="320" w:lineRule="exact"/>
                    <w:ind w:left="0" w:right="0"/>
                    <w:jc w:val="center"/>
                    <w:rPr>
                      <w:rFonts w:hint="eastAsia" w:ascii="Times New Roman" w:hAnsi="Times New Roman" w:eastAsia="宋体"/>
                      <w:bCs/>
                    </w:rPr>
                  </w:pPr>
                  <w:r>
                    <w:rPr>
                      <w:rFonts w:hint="eastAsia" w:ascii="Times New Roman" w:hAnsi="Times New Roman" w:eastAsia="宋体"/>
                      <w:bCs/>
                      <w:lang w:val="en-US" w:eastAsia="zh-CN"/>
                    </w:rPr>
                    <w:t>无</w:t>
                  </w:r>
                  <w:r>
                    <w:rPr>
                      <w:rFonts w:hint="eastAsia" w:ascii="Times New Roman" w:hAnsi="Times New Roman" w:eastAsia="宋体"/>
                      <w:bCs/>
                    </w:rPr>
                    <w:t>组织排放监控浓度限值</w:t>
                  </w:r>
                </w:p>
              </w:tc>
            </w:tr>
            <w:tr w14:paraId="5624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26" w:type="pct"/>
                  <w:vMerge w:val="continue"/>
                  <w:noWrap/>
                  <w:vAlign w:val="center"/>
                </w:tcPr>
                <w:p w14:paraId="38FA2531">
                  <w:pPr>
                    <w:keepNext w:val="0"/>
                    <w:keepLines w:val="0"/>
                    <w:suppressLineNumbers w:val="0"/>
                    <w:spacing w:before="0" w:beforeAutospacing="0" w:after="0" w:afterAutospacing="0" w:line="320" w:lineRule="exact"/>
                    <w:ind w:left="0" w:right="0"/>
                    <w:jc w:val="center"/>
                    <w:rPr>
                      <w:rFonts w:hint="default" w:ascii="Times New Roman" w:hAnsi="Times New Roman" w:eastAsia="宋体"/>
                      <w:bCs/>
                    </w:rPr>
                  </w:pPr>
                </w:p>
              </w:tc>
              <w:tc>
                <w:tcPr>
                  <w:tcW w:w="1404" w:type="pct"/>
                  <w:noWrap/>
                  <w:vAlign w:val="center"/>
                </w:tcPr>
                <w:p w14:paraId="429A4043">
                  <w:pPr>
                    <w:keepNext w:val="0"/>
                    <w:keepLines w:val="0"/>
                    <w:suppressLineNumbers w:val="0"/>
                    <w:spacing w:before="0" w:beforeAutospacing="0" w:after="0" w:afterAutospacing="0" w:line="320" w:lineRule="exact"/>
                    <w:ind w:left="0" w:right="0"/>
                    <w:jc w:val="center"/>
                    <w:rPr>
                      <w:rFonts w:hint="default" w:ascii="Times New Roman" w:hAnsi="Times New Roman" w:eastAsia="宋体"/>
                      <w:bCs/>
                    </w:rPr>
                  </w:pPr>
                  <w:r>
                    <w:rPr>
                      <w:rFonts w:hint="eastAsia" w:ascii="Times New Roman" w:hAnsi="Times New Roman" w:eastAsia="宋体"/>
                      <w:bCs/>
                    </w:rPr>
                    <w:t>监控点</w:t>
                  </w:r>
                </w:p>
              </w:tc>
              <w:tc>
                <w:tcPr>
                  <w:tcW w:w="782" w:type="pct"/>
                  <w:noWrap/>
                  <w:vAlign w:val="center"/>
                </w:tcPr>
                <w:p w14:paraId="67141D9C">
                  <w:pPr>
                    <w:keepNext w:val="0"/>
                    <w:keepLines w:val="0"/>
                    <w:suppressLineNumbers w:val="0"/>
                    <w:spacing w:before="0" w:beforeAutospacing="0" w:after="0" w:afterAutospacing="0" w:line="320" w:lineRule="exact"/>
                    <w:ind w:left="0" w:right="0"/>
                    <w:jc w:val="center"/>
                    <w:rPr>
                      <w:rFonts w:hint="default" w:ascii="Times New Roman" w:hAnsi="Times New Roman" w:eastAsia="宋体"/>
                      <w:bCs/>
                    </w:rPr>
                  </w:pPr>
                  <w:r>
                    <w:rPr>
                      <w:rFonts w:hint="eastAsia" w:ascii="Times New Roman" w:hAnsi="Times New Roman" w:eastAsia="宋体"/>
                      <w:bCs/>
                    </w:rPr>
                    <w:t>浓度限值</w:t>
                  </w:r>
                </w:p>
              </w:tc>
              <w:tc>
                <w:tcPr>
                  <w:tcW w:w="1404" w:type="pct"/>
                  <w:noWrap/>
                  <w:vAlign w:val="center"/>
                </w:tcPr>
                <w:p w14:paraId="5CE9A1C2">
                  <w:pPr>
                    <w:keepNext w:val="0"/>
                    <w:keepLines w:val="0"/>
                    <w:suppressLineNumbers w:val="0"/>
                    <w:spacing w:before="0" w:beforeAutospacing="0" w:after="0" w:afterAutospacing="0" w:line="320" w:lineRule="exact"/>
                    <w:ind w:left="0" w:right="0"/>
                    <w:jc w:val="center"/>
                    <w:rPr>
                      <w:rFonts w:hint="eastAsia" w:ascii="Times New Roman" w:hAnsi="Times New Roman" w:eastAsia="宋体"/>
                      <w:bCs/>
                    </w:rPr>
                  </w:pPr>
                  <w:r>
                    <w:rPr>
                      <w:rFonts w:hint="eastAsia" w:ascii="Times New Roman" w:hAnsi="Times New Roman" w:eastAsia="宋体"/>
                      <w:bCs/>
                    </w:rPr>
                    <w:t>监控点</w:t>
                  </w:r>
                </w:p>
              </w:tc>
              <w:tc>
                <w:tcPr>
                  <w:tcW w:w="782" w:type="pct"/>
                  <w:noWrap/>
                  <w:vAlign w:val="center"/>
                </w:tcPr>
                <w:p w14:paraId="66CAFF15">
                  <w:pPr>
                    <w:keepNext w:val="0"/>
                    <w:keepLines w:val="0"/>
                    <w:suppressLineNumbers w:val="0"/>
                    <w:spacing w:before="0" w:beforeAutospacing="0" w:after="0" w:afterAutospacing="0" w:line="320" w:lineRule="exact"/>
                    <w:ind w:left="0" w:right="0"/>
                    <w:jc w:val="center"/>
                    <w:rPr>
                      <w:rFonts w:hint="eastAsia" w:ascii="Times New Roman" w:hAnsi="Times New Roman" w:eastAsia="宋体"/>
                      <w:bCs/>
                    </w:rPr>
                  </w:pPr>
                  <w:r>
                    <w:rPr>
                      <w:rFonts w:hint="eastAsia" w:ascii="Times New Roman" w:hAnsi="Times New Roman" w:eastAsia="宋体"/>
                      <w:bCs/>
                    </w:rPr>
                    <w:t>浓度限值</w:t>
                  </w:r>
                </w:p>
              </w:tc>
            </w:tr>
            <w:tr w14:paraId="36D9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26" w:type="pct"/>
                  <w:noWrap/>
                  <w:vAlign w:val="center"/>
                </w:tcPr>
                <w:p w14:paraId="5DBCC867">
                  <w:pPr>
                    <w:keepNext w:val="0"/>
                    <w:keepLines w:val="0"/>
                    <w:suppressLineNumbers w:val="0"/>
                    <w:spacing w:before="0" w:beforeAutospacing="0" w:after="0" w:afterAutospacing="0" w:line="320" w:lineRule="exact"/>
                    <w:ind w:left="0" w:right="0"/>
                    <w:jc w:val="center"/>
                    <w:rPr>
                      <w:rFonts w:hint="default" w:ascii="Times New Roman" w:hAnsi="Times New Roman" w:eastAsia="宋体"/>
                    </w:rPr>
                  </w:pPr>
                  <w:r>
                    <w:rPr>
                      <w:rFonts w:hint="eastAsia" w:ascii="Times New Roman" w:hAnsi="Times New Roman" w:eastAsia="宋体"/>
                    </w:rPr>
                    <w:t>颗粒物</w:t>
                  </w:r>
                </w:p>
              </w:tc>
              <w:tc>
                <w:tcPr>
                  <w:tcW w:w="1404" w:type="pct"/>
                  <w:noWrap/>
                  <w:vAlign w:val="center"/>
                </w:tcPr>
                <w:p w14:paraId="661A1E3E">
                  <w:pPr>
                    <w:keepNext w:val="0"/>
                    <w:keepLines w:val="0"/>
                    <w:suppressLineNumbers w:val="0"/>
                    <w:spacing w:before="0" w:beforeAutospacing="0" w:after="0" w:afterAutospacing="0" w:line="320" w:lineRule="exact"/>
                    <w:ind w:left="0" w:right="0"/>
                    <w:jc w:val="center"/>
                    <w:rPr>
                      <w:rFonts w:hint="default" w:ascii="Times New Roman" w:hAnsi="Times New Roman" w:eastAsia="宋体"/>
                    </w:rPr>
                  </w:pPr>
                  <w:r>
                    <w:rPr>
                      <w:rFonts w:hint="eastAsia" w:ascii="Times New Roman" w:hAnsi="Times New Roman" w:eastAsia="宋体"/>
                    </w:rPr>
                    <w:t>周界外浓度最高点</w:t>
                  </w:r>
                </w:p>
              </w:tc>
              <w:tc>
                <w:tcPr>
                  <w:tcW w:w="782" w:type="pct"/>
                  <w:noWrap/>
                  <w:vAlign w:val="center"/>
                </w:tcPr>
                <w:p w14:paraId="6EA83E1E">
                  <w:pPr>
                    <w:keepNext w:val="0"/>
                    <w:keepLines w:val="0"/>
                    <w:suppressLineNumbers w:val="0"/>
                    <w:spacing w:before="0" w:beforeAutospacing="0" w:after="0" w:afterAutospacing="0" w:line="320" w:lineRule="exact"/>
                    <w:ind w:left="0" w:right="0"/>
                    <w:jc w:val="center"/>
                    <w:rPr>
                      <w:rFonts w:hint="default" w:ascii="Times New Roman" w:hAnsi="Times New Roman" w:eastAsia="宋体"/>
                      <w:lang w:val="en-US" w:eastAsia="zh-CN"/>
                    </w:rPr>
                  </w:pPr>
                  <w:r>
                    <w:rPr>
                      <w:rFonts w:hint="eastAsia"/>
                      <w:lang w:val="en-US" w:eastAsia="zh-CN"/>
                    </w:rPr>
                    <w:t>20</w:t>
                  </w:r>
                </w:p>
              </w:tc>
              <w:tc>
                <w:tcPr>
                  <w:tcW w:w="1404" w:type="pct"/>
                  <w:noWrap/>
                  <w:vAlign w:val="center"/>
                </w:tcPr>
                <w:p w14:paraId="19111576">
                  <w:pPr>
                    <w:keepNext w:val="0"/>
                    <w:keepLines w:val="0"/>
                    <w:suppressLineNumbers w:val="0"/>
                    <w:spacing w:before="0" w:beforeAutospacing="0" w:after="0" w:afterAutospacing="0" w:line="320" w:lineRule="exact"/>
                    <w:ind w:left="0" w:right="0"/>
                    <w:jc w:val="center"/>
                    <w:rPr>
                      <w:rFonts w:hint="eastAsia"/>
                      <w:lang w:val="en-US" w:eastAsia="zh-CN"/>
                    </w:rPr>
                  </w:pPr>
                  <w:r>
                    <w:rPr>
                      <w:rFonts w:hint="eastAsia" w:ascii="Times New Roman" w:hAnsi="Times New Roman" w:eastAsia="宋体"/>
                    </w:rPr>
                    <w:t>周界外浓度最高点</w:t>
                  </w:r>
                </w:p>
              </w:tc>
              <w:tc>
                <w:tcPr>
                  <w:tcW w:w="782" w:type="pct"/>
                  <w:noWrap/>
                  <w:vAlign w:val="center"/>
                </w:tcPr>
                <w:p w14:paraId="5AA64591">
                  <w:pPr>
                    <w:keepNext w:val="0"/>
                    <w:keepLines w:val="0"/>
                    <w:suppressLineNumbers w:val="0"/>
                    <w:spacing w:before="0" w:beforeAutospacing="0" w:after="0" w:afterAutospacing="0" w:line="320" w:lineRule="exact"/>
                    <w:ind w:left="0" w:right="0"/>
                    <w:jc w:val="center"/>
                    <w:rPr>
                      <w:rFonts w:hint="default"/>
                      <w:lang w:val="en-US" w:eastAsia="zh-CN"/>
                    </w:rPr>
                  </w:pPr>
                  <w:r>
                    <w:rPr>
                      <w:rFonts w:hint="eastAsia"/>
                      <w:lang w:val="en-US" w:eastAsia="zh-CN"/>
                    </w:rPr>
                    <w:t>0.5</w:t>
                  </w:r>
                </w:p>
              </w:tc>
            </w:tr>
          </w:tbl>
          <w:p w14:paraId="2566CCAD">
            <w:pPr>
              <w:keepNext w:val="0"/>
              <w:keepLines w:val="0"/>
              <w:suppressLineNumbers w:val="0"/>
              <w:spacing w:before="0" w:beforeAutospacing="0" w:after="0" w:afterAutospacing="0" w:line="520" w:lineRule="exact"/>
              <w:ind w:left="0" w:right="0" w:firstLine="480" w:firstLineChars="200"/>
              <w:rPr>
                <w:rFonts w:hint="default" w:cs="Arial"/>
                <w:sz w:val="24"/>
              </w:rPr>
            </w:pPr>
            <w:r>
              <w:rPr>
                <w:rFonts w:hint="default" w:cs="Arial"/>
                <w:sz w:val="24"/>
              </w:rPr>
              <w:t>职工厨房烹饪</w:t>
            </w:r>
            <w:r>
              <w:rPr>
                <w:rFonts w:hint="default" w:cs="Arial"/>
                <w:bCs/>
                <w:sz w:val="24"/>
              </w:rPr>
              <w:t>产生的油烟</w:t>
            </w:r>
            <w:r>
              <w:rPr>
                <w:rFonts w:hint="default" w:cs="Arial"/>
                <w:sz w:val="24"/>
              </w:rPr>
              <w:t>执行《饮食行业油烟排放标准（试行）》（GB18483-2001）中的有关规定，即最高允许排放浓度为2.0mg/m</w:t>
            </w:r>
            <w:r>
              <w:rPr>
                <w:rFonts w:hint="default" w:cs="Arial"/>
                <w:sz w:val="24"/>
                <w:vertAlign w:val="superscript"/>
              </w:rPr>
              <w:t>3</w:t>
            </w:r>
            <w:r>
              <w:rPr>
                <w:rFonts w:hint="default" w:cs="Arial"/>
                <w:sz w:val="24"/>
              </w:rPr>
              <w:t>。标准值见表</w:t>
            </w:r>
            <w:r>
              <w:rPr>
                <w:rFonts w:hint="eastAsia" w:cs="Arial"/>
                <w:sz w:val="24"/>
              </w:rPr>
              <w:t>3-19</w:t>
            </w:r>
            <w:r>
              <w:rPr>
                <w:rFonts w:hint="default" w:cs="Arial"/>
                <w:sz w:val="24"/>
              </w:rPr>
              <w:t>。</w:t>
            </w:r>
          </w:p>
          <w:p w14:paraId="356D4187">
            <w:pPr>
              <w:keepNext w:val="0"/>
              <w:keepLines w:val="0"/>
              <w:suppressLineNumbers w:val="0"/>
              <w:spacing w:before="0" w:beforeAutospacing="0" w:after="0" w:afterAutospacing="0" w:line="520" w:lineRule="exact"/>
              <w:ind w:left="0" w:right="0"/>
              <w:jc w:val="center"/>
              <w:rPr>
                <w:rFonts w:hint="default" w:cs="Arial"/>
                <w:sz w:val="24"/>
              </w:rPr>
            </w:pPr>
            <w:r>
              <w:rPr>
                <w:rFonts w:hint="default" w:cs="Arial"/>
                <w:b/>
                <w:bCs/>
                <w:sz w:val="24"/>
              </w:rPr>
              <w:t>表</w:t>
            </w:r>
            <w:r>
              <w:rPr>
                <w:rFonts w:hint="eastAsia" w:cs="Arial"/>
                <w:b/>
                <w:bCs/>
                <w:sz w:val="24"/>
              </w:rPr>
              <w:t xml:space="preserve">3-19    </w:t>
            </w:r>
            <w:r>
              <w:rPr>
                <w:rFonts w:hint="default" w:cs="Arial"/>
                <w:b/>
                <w:bCs/>
                <w:sz w:val="24"/>
              </w:rPr>
              <w:t>饮食业油烟排放标准</w:t>
            </w:r>
          </w:p>
          <w:tbl>
            <w:tblPr>
              <w:tblStyle w:val="23"/>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583"/>
              <w:gridCol w:w="1486"/>
              <w:gridCol w:w="1670"/>
              <w:gridCol w:w="1422"/>
            </w:tblGrid>
            <w:tr w14:paraId="3BEC9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95" w:type="pct"/>
                  <w:vAlign w:val="center"/>
                </w:tcPr>
                <w:p w14:paraId="5117467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Arial"/>
                      <w:szCs w:val="21"/>
                    </w:rPr>
                  </w:pPr>
                  <w:r>
                    <w:rPr>
                      <w:rFonts w:hint="default" w:ascii="Times New Roman" w:hAnsi="Times New Roman" w:eastAsia="宋体" w:cs="Arial"/>
                      <w:szCs w:val="21"/>
                    </w:rPr>
                    <w:t>规模</w:t>
                  </w:r>
                </w:p>
              </w:tc>
              <w:tc>
                <w:tcPr>
                  <w:tcW w:w="910" w:type="pct"/>
                  <w:vAlign w:val="center"/>
                </w:tcPr>
                <w:p w14:paraId="30A8550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Arial"/>
                      <w:szCs w:val="21"/>
                    </w:rPr>
                  </w:pPr>
                  <w:r>
                    <w:rPr>
                      <w:rFonts w:hint="default" w:ascii="Times New Roman" w:hAnsi="Times New Roman" w:eastAsia="宋体" w:cs="Arial"/>
                      <w:szCs w:val="21"/>
                    </w:rPr>
                    <w:t>小型</w:t>
                  </w:r>
                </w:p>
              </w:tc>
              <w:tc>
                <w:tcPr>
                  <w:tcW w:w="1023" w:type="pct"/>
                  <w:vAlign w:val="center"/>
                </w:tcPr>
                <w:p w14:paraId="210D059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Arial"/>
                      <w:szCs w:val="21"/>
                    </w:rPr>
                  </w:pPr>
                  <w:r>
                    <w:rPr>
                      <w:rFonts w:hint="default" w:ascii="Times New Roman" w:hAnsi="Times New Roman" w:eastAsia="宋体" w:cs="Arial"/>
                      <w:szCs w:val="21"/>
                    </w:rPr>
                    <w:t>中型</w:t>
                  </w:r>
                </w:p>
              </w:tc>
              <w:tc>
                <w:tcPr>
                  <w:tcW w:w="870" w:type="pct"/>
                  <w:vAlign w:val="center"/>
                </w:tcPr>
                <w:p w14:paraId="7B1ADAB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Arial"/>
                      <w:szCs w:val="21"/>
                    </w:rPr>
                  </w:pPr>
                  <w:r>
                    <w:rPr>
                      <w:rFonts w:hint="default" w:ascii="Times New Roman" w:hAnsi="Times New Roman" w:eastAsia="宋体" w:cs="Arial"/>
                      <w:szCs w:val="21"/>
                    </w:rPr>
                    <w:t>大型</w:t>
                  </w:r>
                </w:p>
              </w:tc>
            </w:tr>
            <w:tr w14:paraId="18BF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95" w:type="pct"/>
                  <w:vAlign w:val="center"/>
                </w:tcPr>
                <w:p w14:paraId="03ACDD5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Arial"/>
                      <w:szCs w:val="21"/>
                    </w:rPr>
                  </w:pPr>
                  <w:r>
                    <w:rPr>
                      <w:rFonts w:hint="default" w:ascii="Times New Roman" w:hAnsi="Times New Roman" w:eastAsia="宋体" w:cs="Arial"/>
                      <w:szCs w:val="21"/>
                    </w:rPr>
                    <w:t>最高允许排放浓度（mg/m</w:t>
                  </w:r>
                  <w:r>
                    <w:rPr>
                      <w:rFonts w:hint="default" w:ascii="Times New Roman" w:hAnsi="Times New Roman" w:eastAsia="宋体" w:cs="Arial"/>
                      <w:szCs w:val="21"/>
                      <w:vertAlign w:val="superscript"/>
                    </w:rPr>
                    <w:t>3</w:t>
                  </w:r>
                  <w:r>
                    <w:rPr>
                      <w:rFonts w:hint="default" w:ascii="Times New Roman" w:hAnsi="Times New Roman" w:eastAsia="宋体" w:cs="Arial"/>
                      <w:szCs w:val="21"/>
                    </w:rPr>
                    <w:t>）</w:t>
                  </w:r>
                </w:p>
              </w:tc>
              <w:tc>
                <w:tcPr>
                  <w:tcW w:w="2804" w:type="pct"/>
                  <w:gridSpan w:val="3"/>
                  <w:vAlign w:val="center"/>
                </w:tcPr>
                <w:p w14:paraId="4BF04EFF">
                  <w:pPr>
                    <w:pStyle w:val="42"/>
                    <w:keepNext w:val="0"/>
                    <w:keepLines w:val="0"/>
                    <w:suppressLineNumbers w:val="0"/>
                    <w:spacing w:before="0" w:beforeAutospacing="0" w:after="0" w:afterAutospacing="0" w:line="320" w:lineRule="exact"/>
                    <w:ind w:left="0" w:right="0"/>
                    <w:rPr>
                      <w:rFonts w:hint="default" w:ascii="Times New Roman" w:hAnsi="Times New Roman" w:eastAsia="宋体" w:cs="Arial"/>
                      <w:szCs w:val="21"/>
                    </w:rPr>
                  </w:pPr>
                  <w:r>
                    <w:rPr>
                      <w:rFonts w:hint="default" w:ascii="Times New Roman" w:hAnsi="Times New Roman" w:eastAsia="宋体" w:cs="Arial"/>
                      <w:sz w:val="21"/>
                      <w:szCs w:val="21"/>
                    </w:rPr>
                    <w:t>2.0</w:t>
                  </w:r>
                </w:p>
              </w:tc>
            </w:tr>
            <w:tr w14:paraId="3560D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95" w:type="pct"/>
                  <w:vAlign w:val="center"/>
                </w:tcPr>
                <w:p w14:paraId="45B17F8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Arial"/>
                      <w:szCs w:val="21"/>
                    </w:rPr>
                  </w:pPr>
                  <w:r>
                    <w:rPr>
                      <w:rFonts w:hint="default" w:ascii="Times New Roman" w:hAnsi="Times New Roman" w:eastAsia="宋体" w:cs="Arial"/>
                      <w:szCs w:val="21"/>
                    </w:rPr>
                    <w:t>净化设施最低去除效率（%）</w:t>
                  </w:r>
                </w:p>
              </w:tc>
              <w:tc>
                <w:tcPr>
                  <w:tcW w:w="910" w:type="pct"/>
                  <w:vAlign w:val="center"/>
                </w:tcPr>
                <w:p w14:paraId="44F8818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Arial"/>
                      <w:szCs w:val="21"/>
                    </w:rPr>
                  </w:pPr>
                  <w:r>
                    <w:rPr>
                      <w:rFonts w:hint="default" w:ascii="Times New Roman" w:hAnsi="Times New Roman" w:eastAsia="宋体" w:cs="Arial"/>
                      <w:szCs w:val="21"/>
                    </w:rPr>
                    <w:t>60</w:t>
                  </w:r>
                </w:p>
              </w:tc>
              <w:tc>
                <w:tcPr>
                  <w:tcW w:w="1023" w:type="pct"/>
                  <w:vAlign w:val="center"/>
                </w:tcPr>
                <w:p w14:paraId="5096E48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Arial"/>
                      <w:szCs w:val="21"/>
                    </w:rPr>
                  </w:pPr>
                  <w:r>
                    <w:rPr>
                      <w:rFonts w:hint="default" w:ascii="Times New Roman" w:hAnsi="Times New Roman" w:eastAsia="宋体" w:cs="Arial"/>
                      <w:szCs w:val="21"/>
                    </w:rPr>
                    <w:t>75</w:t>
                  </w:r>
                </w:p>
              </w:tc>
              <w:tc>
                <w:tcPr>
                  <w:tcW w:w="870" w:type="pct"/>
                  <w:vAlign w:val="center"/>
                </w:tcPr>
                <w:p w14:paraId="6541B8E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Arial"/>
                      <w:szCs w:val="21"/>
                    </w:rPr>
                  </w:pPr>
                  <w:r>
                    <w:rPr>
                      <w:rFonts w:hint="default" w:ascii="Times New Roman" w:hAnsi="Times New Roman" w:eastAsia="宋体" w:cs="Arial"/>
                      <w:szCs w:val="21"/>
                    </w:rPr>
                    <w:t>85</w:t>
                  </w:r>
                </w:p>
              </w:tc>
            </w:tr>
          </w:tbl>
          <w:p w14:paraId="3E1A4E8A">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sz w:val="24"/>
              </w:rPr>
            </w:pPr>
            <w:r>
              <w:rPr>
                <w:rFonts w:hint="default"/>
                <w:sz w:val="24"/>
              </w:rPr>
              <w:t>2、噪声排放标准</w:t>
            </w:r>
          </w:p>
          <w:p w14:paraId="22511F73">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kern w:val="0"/>
                <w:sz w:val="24"/>
              </w:rPr>
              <w:t>施工噪声排放限值执行</w:t>
            </w:r>
            <w:r>
              <w:rPr>
                <w:rFonts w:hint="default"/>
                <w:sz w:val="24"/>
              </w:rPr>
              <w:t>《建筑施工场界环境噪声排放标准》（GB12523</w:t>
            </w:r>
            <w:r>
              <w:rPr>
                <w:rFonts w:hint="eastAsia"/>
                <w:sz w:val="24"/>
              </w:rPr>
              <w:t>-</w:t>
            </w:r>
            <w:r>
              <w:rPr>
                <w:rFonts w:hint="default"/>
                <w:sz w:val="24"/>
              </w:rPr>
              <w:t>2011）</w:t>
            </w:r>
            <w:r>
              <w:rPr>
                <w:rFonts w:hint="eastAsia"/>
                <w:sz w:val="24"/>
              </w:rPr>
              <w:t>；运营期噪声执行</w:t>
            </w:r>
            <w:r>
              <w:rPr>
                <w:rFonts w:hint="default"/>
                <w:kern w:val="0"/>
                <w:sz w:val="24"/>
              </w:rPr>
              <w:t>《工业企业厂界环境噪声排放标准》（GB12348－2008）</w:t>
            </w:r>
            <w:r>
              <w:rPr>
                <w:rFonts w:hint="eastAsia"/>
                <w:kern w:val="0"/>
                <w:sz w:val="24"/>
              </w:rPr>
              <w:t>2</w:t>
            </w:r>
            <w:r>
              <w:rPr>
                <w:rFonts w:hint="default"/>
                <w:kern w:val="0"/>
                <w:sz w:val="24"/>
              </w:rPr>
              <w:t>类标准，昼间：6</w:t>
            </w:r>
            <w:r>
              <w:rPr>
                <w:rFonts w:hint="eastAsia"/>
                <w:kern w:val="0"/>
                <w:sz w:val="24"/>
              </w:rPr>
              <w:t>0</w:t>
            </w:r>
            <w:r>
              <w:rPr>
                <w:rFonts w:hint="default"/>
                <w:kern w:val="0"/>
                <w:sz w:val="24"/>
              </w:rPr>
              <w:t>dB（A），夜间5</w:t>
            </w:r>
            <w:r>
              <w:rPr>
                <w:rFonts w:hint="eastAsia"/>
                <w:kern w:val="0"/>
                <w:sz w:val="24"/>
              </w:rPr>
              <w:t>0</w:t>
            </w:r>
            <w:r>
              <w:rPr>
                <w:rFonts w:hint="default"/>
                <w:kern w:val="0"/>
                <w:sz w:val="24"/>
              </w:rPr>
              <w:t>dB（A）</w:t>
            </w:r>
            <w:r>
              <w:rPr>
                <w:rFonts w:hint="eastAsia"/>
                <w:kern w:val="0"/>
                <w:sz w:val="24"/>
              </w:rPr>
              <w:t>。</w:t>
            </w:r>
          </w:p>
          <w:p w14:paraId="3D6856CC">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sz w:val="24"/>
              </w:rPr>
            </w:pPr>
            <w:r>
              <w:rPr>
                <w:rFonts w:hint="default"/>
                <w:sz w:val="24"/>
              </w:rPr>
              <w:t>3、污水排放标准</w:t>
            </w:r>
          </w:p>
          <w:p w14:paraId="291FAB7E">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运营期矿部生活区生活污水定期拉运至和静县污水处理厂。</w:t>
            </w:r>
          </w:p>
          <w:p w14:paraId="34F211B9">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4、固体废弃物</w:t>
            </w:r>
          </w:p>
          <w:p w14:paraId="29189301">
            <w:pPr>
              <w:keepNext w:val="0"/>
              <w:keepLines w:val="0"/>
              <w:suppressLineNumbers w:val="0"/>
              <w:adjustRightInd w:val="0"/>
              <w:snapToGrid w:val="0"/>
              <w:spacing w:before="0" w:beforeAutospacing="0" w:after="0" w:afterAutospacing="0" w:line="480" w:lineRule="exact"/>
              <w:ind w:left="0" w:right="0" w:firstLine="480" w:firstLineChars="200"/>
              <w:rPr>
                <w:rFonts w:hint="eastAsia"/>
                <w:sz w:val="24"/>
              </w:rPr>
            </w:pPr>
            <w:r>
              <w:rPr>
                <w:rFonts w:hint="eastAsia"/>
                <w:sz w:val="24"/>
              </w:rPr>
              <w:t>一般固体废物按照《中华人民共和国固体废物污染环境防治法》要求处置</w:t>
            </w:r>
            <w:r>
              <w:rPr>
                <w:rFonts w:hint="eastAsia"/>
                <w:sz w:val="24"/>
                <w:lang w:eastAsia="zh-CN"/>
              </w:rPr>
              <w:t>，</w:t>
            </w:r>
            <w:r>
              <w:rPr>
                <w:rFonts w:hint="eastAsia"/>
                <w:sz w:val="24"/>
              </w:rPr>
              <w:t>各类固体废物妥善处置，不得形成二次污染，一般工业固废厂区内暂存参照执行《一般工业固体废物贮存和填埋污染控制标准》</w:t>
            </w:r>
            <w:r>
              <w:rPr>
                <w:rFonts w:hint="eastAsia"/>
                <w:sz w:val="24"/>
                <w:lang w:eastAsia="zh-CN"/>
              </w:rPr>
              <w:t>（</w:t>
            </w:r>
            <w:r>
              <w:rPr>
                <w:rFonts w:hint="eastAsia"/>
                <w:sz w:val="24"/>
              </w:rPr>
              <w:t>GB18599-2020</w:t>
            </w:r>
            <w:r>
              <w:rPr>
                <w:rFonts w:hint="eastAsia"/>
                <w:sz w:val="24"/>
                <w:lang w:eastAsia="zh-CN"/>
              </w:rPr>
              <w:t>）</w:t>
            </w:r>
            <w:r>
              <w:rPr>
                <w:rFonts w:hint="eastAsia"/>
                <w:sz w:val="24"/>
              </w:rPr>
              <w:t>中的“其贮存过程应满足相应防渗漏、防雨淋、防扬尘等环境保护要求”</w:t>
            </w:r>
            <w:r>
              <w:rPr>
                <w:rFonts w:hint="default"/>
                <w:sz w:val="24"/>
              </w:rPr>
              <w:t>。</w:t>
            </w:r>
          </w:p>
        </w:tc>
      </w:tr>
      <w:tr w14:paraId="31AF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380" w:type="pct"/>
            <w:vAlign w:val="center"/>
          </w:tcPr>
          <w:p w14:paraId="442B3824">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其他</w:t>
            </w:r>
          </w:p>
        </w:tc>
        <w:tc>
          <w:tcPr>
            <w:tcW w:w="4619" w:type="pct"/>
            <w:vAlign w:val="center"/>
          </w:tcPr>
          <w:p w14:paraId="7373A1BA">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 w:val="24"/>
                <w:szCs w:val="24"/>
              </w:rPr>
              <w:t>无</w:t>
            </w:r>
          </w:p>
        </w:tc>
      </w:tr>
    </w:tbl>
    <w:p w14:paraId="0D556807">
      <w:pPr>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四、生态环境影响分析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69"/>
        <w:gridCol w:w="8091"/>
      </w:tblGrid>
      <w:tr w14:paraId="342F2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06" w:hRule="atLeast"/>
          <w:jc w:val="center"/>
        </w:trPr>
        <w:tc>
          <w:tcPr>
            <w:tcW w:w="869" w:type="dxa"/>
            <w:tcMar>
              <w:left w:w="28" w:type="dxa"/>
              <w:right w:w="28" w:type="dxa"/>
            </w:tcMar>
            <w:vAlign w:val="center"/>
          </w:tcPr>
          <w:p w14:paraId="69DED296">
            <w:pPr>
              <w:keepNext w:val="0"/>
              <w:keepLines w:val="0"/>
              <w:suppressLineNumbers w:val="0"/>
              <w:adjustRightInd w:val="0"/>
              <w:snapToGrid w:val="0"/>
              <w:spacing w:before="0" w:beforeAutospacing="0" w:after="0" w:afterAutospacing="0"/>
              <w:ind w:left="0" w:right="0"/>
              <w:jc w:val="center"/>
              <w:rPr>
                <w:rFonts w:hint="default"/>
                <w:bCs/>
                <w:szCs w:val="21"/>
              </w:rPr>
            </w:pPr>
            <w:r>
              <w:rPr>
                <w:rFonts w:hint="default"/>
                <w:bCs/>
                <w:spacing w:val="10"/>
                <w:szCs w:val="21"/>
              </w:rPr>
              <w:t>施工期生态环境影响分析</w:t>
            </w:r>
          </w:p>
        </w:tc>
        <w:tc>
          <w:tcPr>
            <w:tcW w:w="8091" w:type="dxa"/>
          </w:tcPr>
          <w:p w14:paraId="3FC18795">
            <w:pPr>
              <w:keepNext w:val="0"/>
              <w:keepLines w:val="0"/>
              <w:suppressLineNumbers w:val="0"/>
              <w:spacing w:before="0" w:beforeAutospacing="0" w:after="0" w:afterAutospacing="0" w:line="520" w:lineRule="exact"/>
              <w:ind w:left="0" w:right="0"/>
              <w:rPr>
                <w:rFonts w:hint="default"/>
                <w:b/>
                <w:bCs/>
                <w:sz w:val="24"/>
              </w:rPr>
            </w:pPr>
            <w:r>
              <w:rPr>
                <w:rFonts w:hint="eastAsia"/>
                <w:b/>
                <w:bCs/>
                <w:sz w:val="24"/>
              </w:rPr>
              <w:t>1生态影响分析</w:t>
            </w:r>
          </w:p>
          <w:p w14:paraId="64D02435">
            <w:pPr>
              <w:keepNext w:val="0"/>
              <w:keepLines w:val="0"/>
              <w:suppressLineNumbers w:val="0"/>
              <w:spacing w:before="0" w:beforeAutospacing="0" w:after="0" w:afterAutospacing="0" w:line="520" w:lineRule="exact"/>
              <w:ind w:left="0" w:right="0" w:firstLine="480" w:firstLineChars="200"/>
              <w:rPr>
                <w:rFonts w:hint="eastAsia"/>
                <w:sz w:val="24"/>
                <w:lang w:val="en-US" w:eastAsia="zh-CN"/>
              </w:rPr>
            </w:pPr>
            <w:r>
              <w:rPr>
                <w:rFonts w:hint="eastAsia"/>
                <w:sz w:val="24"/>
              </w:rPr>
              <w:t>施工期</w:t>
            </w:r>
            <w:r>
              <w:rPr>
                <w:rFonts w:hint="eastAsia" w:cs="Times New Roman"/>
                <w:b w:val="0"/>
                <w:bCs w:val="0"/>
                <w:color w:val="auto"/>
                <w:sz w:val="24"/>
                <w:szCs w:val="24"/>
                <w:highlight w:val="none"/>
                <w:lang w:val="en-US" w:eastAsia="zh-CN"/>
              </w:rPr>
              <w:t>主要进行破碎筛分场地、矿山运输道路、生活区、临时堆料场、排土场修建</w:t>
            </w:r>
            <w:r>
              <w:rPr>
                <w:rFonts w:hint="eastAsia"/>
                <w:sz w:val="24"/>
                <w:lang w:val="en-US" w:eastAsia="zh-CN"/>
              </w:rPr>
              <w:t>。生态影响主要包括对占地范围内地表的扰动、植被破坏、景观结构变化及水土流失等问题，具体表现在以下几方面：</w:t>
            </w:r>
          </w:p>
          <w:p w14:paraId="4D6F9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eastAsia"/>
                <w:b/>
                <w:bCs/>
                <w:sz w:val="24"/>
                <w:lang w:val="en-US" w:eastAsia="zh-CN"/>
              </w:rPr>
            </w:pPr>
            <w:r>
              <w:rPr>
                <w:rFonts w:hint="eastAsia"/>
                <w:b/>
                <w:bCs/>
                <w:sz w:val="24"/>
                <w:lang w:val="en-US" w:eastAsia="zh-CN"/>
              </w:rPr>
              <w:t>1.1占地影响</w:t>
            </w:r>
          </w:p>
          <w:p w14:paraId="18E95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lang w:val="en-US" w:eastAsia="zh-CN"/>
              </w:rPr>
            </w:pPr>
            <w:r>
              <w:rPr>
                <w:rFonts w:hint="eastAsia"/>
                <w:sz w:val="24"/>
                <w:lang w:val="en-US" w:eastAsia="zh-CN"/>
              </w:rPr>
              <w:t xml:space="preserve">工程施工作业将不可避免地对土壤造成一定的扰动，主要表现为施工机械的碾压、建筑材料的占压、施工人员踩踏、临时道路对土壤结构造成的扰动，这些活动都将破坏扰动区域土壤的理化性质，影响植被恢复生长，引起水土流失，从而导致土壤养分流失，使土壤肥力下降。矿山地质环境治理及土地复垦工程通过放坡、土地平整等土体重塑，可将对矿区地形占地的影响降至最低。 </w:t>
            </w:r>
          </w:p>
          <w:p w14:paraId="16347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eastAsia"/>
                <w:b/>
                <w:bCs/>
                <w:sz w:val="24"/>
                <w:lang w:val="en-US" w:eastAsia="zh-CN"/>
              </w:rPr>
            </w:pPr>
            <w:r>
              <w:rPr>
                <w:rFonts w:hint="eastAsia"/>
                <w:b/>
                <w:bCs/>
                <w:sz w:val="24"/>
                <w:lang w:val="en-US" w:eastAsia="zh-CN"/>
              </w:rPr>
              <w:t>1.2水土流失影响</w:t>
            </w:r>
          </w:p>
          <w:p w14:paraId="76C90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lang w:val="en-US" w:eastAsia="zh-CN"/>
              </w:rPr>
            </w:pPr>
            <w:r>
              <w:rPr>
                <w:rFonts w:hint="eastAsia"/>
                <w:sz w:val="24"/>
                <w:lang w:val="en-US" w:eastAsia="zh-CN"/>
              </w:rPr>
              <w:t>项目施工期土方开挖将造成新的水土流失，随着水保及环保措施施工完成，水土流失等不利生态影响可得到一定程度的控制，施工期带来的不利生态影响是短暂的、可逆的。在施工单位落实好环境保护措施和水土保持措施、合理安排施工时间（尽量避开暴雨天气施工）、尽量缩短工期的情况下，项目施工期不会改变区域的生态系统结构，对生态环境影响可接受。</w:t>
            </w:r>
          </w:p>
          <w:p w14:paraId="01170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eastAsia"/>
                <w:b/>
                <w:bCs/>
                <w:sz w:val="24"/>
                <w:lang w:val="en-US" w:eastAsia="zh-CN"/>
              </w:rPr>
            </w:pPr>
            <w:r>
              <w:rPr>
                <w:rFonts w:hint="eastAsia"/>
                <w:b/>
                <w:bCs/>
                <w:sz w:val="24"/>
                <w:lang w:val="en-US" w:eastAsia="zh-CN"/>
              </w:rPr>
              <w:t>1.3对植被的影响</w:t>
            </w:r>
          </w:p>
          <w:p w14:paraId="39551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lang w:val="en-US" w:eastAsia="zh-CN"/>
              </w:rPr>
            </w:pPr>
            <w:r>
              <w:rPr>
                <w:rFonts w:hint="eastAsia"/>
                <w:sz w:val="24"/>
                <w:lang w:val="en-US" w:eastAsia="zh-CN"/>
              </w:rPr>
              <w:t>工程在施工过程中，施工机械的碾压、建筑材料的占压、施工人员踩踏以及建筑物基础等都将不可避免对占地区域植被造成破坏性的影响。施工活动致使项目区转化为人工裸地，导致植被生产能力下降，植被覆盖度降低。项目区内大面积基岩裸露，矿区内自然植物类型单一，种类、数量均较少，施工活动致使项目区转化为人工裸地，导致植被生产能力下降，植被覆盖度降低。矿区以及矿区运输道路两侧区域地表以砾质戈壁为主，植被发育较差，覆盖度低。矿区区域植物群种类和数量均贫乏，不涉及保护植物。工程建设将造成地表植被和植被土层的破坏，工程建设区域应尽量减少和避免工程区域内植被的人为破坏。</w:t>
            </w:r>
          </w:p>
          <w:p w14:paraId="688CD2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eastAsia"/>
                <w:b/>
                <w:bCs/>
                <w:sz w:val="24"/>
                <w:lang w:val="en-US" w:eastAsia="zh-CN"/>
              </w:rPr>
            </w:pPr>
            <w:r>
              <w:rPr>
                <w:rFonts w:hint="eastAsia"/>
                <w:b/>
                <w:bCs/>
                <w:sz w:val="24"/>
                <w:lang w:val="en-US" w:eastAsia="zh-CN"/>
              </w:rPr>
              <w:t>1.4对动物的影响</w:t>
            </w:r>
          </w:p>
          <w:p w14:paraId="1072B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lang w:val="en-US" w:eastAsia="zh-CN"/>
              </w:rPr>
            </w:pPr>
            <w:r>
              <w:rPr>
                <w:rFonts w:hint="eastAsia"/>
                <w:sz w:val="24"/>
                <w:lang w:val="en-US" w:eastAsia="zh-CN"/>
              </w:rPr>
              <w:t>本工程施工范围内无珍稀动物及大型哺乳动物，仅有一些常见鸟类和啮齿类动物少量存在。施工过程中各类机械运转、人员活动等产生的噪声会使生活在较为安静环境中的鸟类、啮齿类动物的正常生活受到暂时的轻微干扰，将会使区域内少量动物出现迁徙，使矿区生物量降低，分布、数量、生物多样性发生变化。项目区没有野生动物栖息地，没有野生动物主要的迁徙路径，也无珍稀野生保护动物出没。故项目建设对野生动物生存环境的影响是局部和有限的。</w:t>
            </w:r>
          </w:p>
          <w:p w14:paraId="5F412F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eastAsia"/>
                <w:b/>
                <w:bCs/>
                <w:sz w:val="24"/>
                <w:lang w:val="en-US" w:eastAsia="zh-CN"/>
              </w:rPr>
            </w:pPr>
            <w:r>
              <w:rPr>
                <w:rFonts w:hint="eastAsia"/>
                <w:b/>
                <w:bCs/>
                <w:sz w:val="24"/>
                <w:lang w:val="en-US" w:eastAsia="zh-CN"/>
              </w:rPr>
              <w:t>1.5对区域景观的影响</w:t>
            </w:r>
          </w:p>
          <w:p w14:paraId="1E7B2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lang w:val="en-US" w:eastAsia="zh-CN"/>
              </w:rPr>
            </w:pPr>
            <w:r>
              <w:rPr>
                <w:rFonts w:hint="eastAsia"/>
                <w:sz w:val="24"/>
                <w:lang w:val="en-US" w:eastAsia="zh-CN"/>
              </w:rPr>
              <w:t>由于项目施工开挖等活动，会因为地表植被不同程度的破坏，在短期内成为与原有生态景观不协调的“裸地”或“疮疤”斑块，另外施工现场的暴露、建筑垃圾的堆存也影响区域景观，对整体生态景观形成不和谐的视觉效果，造成较为明显的不利影响。</w:t>
            </w:r>
          </w:p>
          <w:p w14:paraId="03530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eastAsia"/>
                <w:b/>
                <w:bCs/>
                <w:sz w:val="24"/>
                <w:lang w:val="en-US" w:eastAsia="zh-CN"/>
              </w:rPr>
            </w:pPr>
            <w:r>
              <w:rPr>
                <w:rFonts w:hint="eastAsia"/>
                <w:b/>
                <w:bCs/>
                <w:sz w:val="24"/>
                <w:lang w:val="en-US" w:eastAsia="zh-CN"/>
              </w:rPr>
              <w:t>1.6对生态系统完整性的影响</w:t>
            </w:r>
          </w:p>
          <w:p w14:paraId="2AE07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eastAsia"/>
                <w:sz w:val="24"/>
                <w:lang w:val="en-US" w:eastAsia="zh-CN"/>
              </w:rPr>
            </w:pPr>
            <w:r>
              <w:rPr>
                <w:rFonts w:hint="eastAsia"/>
                <w:sz w:val="24"/>
                <w:lang w:val="en-US" w:eastAsia="zh-CN"/>
              </w:rPr>
              <w:t>本项目基建期间，施工机械和施工人员对区域生态系统的扰动将会使采区内生态系统的结构和功能紊乱，植被及土壤受到破坏、扰动，在一定程度上使区域局部生态环境破碎化，但不会形成分割。由于项目施工活动对区域的影响局限在矿区局部范围内，对土壤、植被的破坏范围有限，因此对区域整体生态系统的完整性影响较小。</w:t>
            </w:r>
          </w:p>
          <w:p w14:paraId="03F641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2" w:firstLineChars="200"/>
              <w:jc w:val="center"/>
              <w:textAlignment w:val="auto"/>
              <w:rPr>
                <w:rFonts w:hint="default"/>
                <w:sz w:val="24"/>
                <w:lang w:val="en-US" w:eastAsia="zh-CN"/>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1    施工期生态环境影响分析表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0"/>
              <w:gridCol w:w="1083"/>
              <w:gridCol w:w="1329"/>
              <w:gridCol w:w="1393"/>
              <w:gridCol w:w="2020"/>
              <w:gridCol w:w="1311"/>
            </w:tblGrid>
            <w:tr w14:paraId="04A6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576" w:type="pct"/>
                  <w:vAlign w:val="center"/>
                </w:tcPr>
                <w:p w14:paraId="64AA7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cs="宋体"/>
                      <w:color w:val="000000"/>
                      <w:sz w:val="21"/>
                      <w:szCs w:val="24"/>
                      <w:lang w:val="en-US" w:eastAsia="zh-CN"/>
                    </w:rPr>
                    <w:t>施工内容</w:t>
                  </w:r>
                </w:p>
              </w:tc>
              <w:tc>
                <w:tcPr>
                  <w:tcW w:w="671" w:type="pct"/>
                  <w:vAlign w:val="center"/>
                </w:tcPr>
                <w:p w14:paraId="51103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cs="宋体"/>
                      <w:color w:val="000000"/>
                      <w:sz w:val="21"/>
                      <w:szCs w:val="24"/>
                      <w:lang w:val="en-US" w:eastAsia="zh-CN"/>
                    </w:rPr>
                    <w:t>施工行为</w:t>
                  </w:r>
                </w:p>
              </w:tc>
              <w:tc>
                <w:tcPr>
                  <w:tcW w:w="823" w:type="pct"/>
                  <w:vAlign w:val="center"/>
                </w:tcPr>
                <w:p w14:paraId="7B8B0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cs="宋体"/>
                      <w:color w:val="000000"/>
                      <w:sz w:val="21"/>
                      <w:szCs w:val="24"/>
                      <w:lang w:val="en-US" w:eastAsia="zh-CN"/>
                    </w:rPr>
                    <w:t>环境要素</w:t>
                  </w:r>
                </w:p>
              </w:tc>
              <w:tc>
                <w:tcPr>
                  <w:tcW w:w="863" w:type="pct"/>
                  <w:vAlign w:val="center"/>
                </w:tcPr>
                <w:p w14:paraId="0CB3E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宋体"/>
                      <w:color w:val="000000"/>
                      <w:sz w:val="21"/>
                      <w:szCs w:val="24"/>
                      <w:lang w:val="en-US" w:eastAsia="zh-CN"/>
                    </w:rPr>
                    <w:t>产生环节</w:t>
                  </w:r>
                </w:p>
              </w:tc>
              <w:tc>
                <w:tcPr>
                  <w:tcW w:w="1251" w:type="pct"/>
                  <w:vAlign w:val="center"/>
                </w:tcPr>
                <w:p w14:paraId="4A10E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cs="宋体"/>
                      <w:color w:val="000000"/>
                      <w:sz w:val="21"/>
                      <w:szCs w:val="24"/>
                      <w:lang w:val="en-US" w:eastAsia="zh-CN"/>
                    </w:rPr>
                    <w:t>影响对象及途径</w:t>
                  </w:r>
                </w:p>
              </w:tc>
              <w:tc>
                <w:tcPr>
                  <w:tcW w:w="812" w:type="pct"/>
                  <w:vAlign w:val="center"/>
                </w:tcPr>
                <w:p w14:paraId="6F235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cs="宋体"/>
                      <w:color w:val="000000"/>
                      <w:sz w:val="21"/>
                      <w:szCs w:val="24"/>
                      <w:lang w:val="en-US" w:eastAsia="zh-CN"/>
                    </w:rPr>
                    <w:t>影响情况</w:t>
                  </w:r>
                </w:p>
              </w:tc>
            </w:tr>
            <w:tr w14:paraId="6B9B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8" w:hRule="atLeast"/>
                <w:jc w:val="center"/>
              </w:trPr>
              <w:tc>
                <w:tcPr>
                  <w:tcW w:w="576" w:type="pct"/>
                  <w:vAlign w:val="center"/>
                </w:tcPr>
                <w:p w14:paraId="66791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sz w:val="21"/>
                      <w:vertAlign w:val="baseline"/>
                      <w:lang w:val="en-US" w:eastAsia="zh-CN"/>
                    </w:rPr>
                    <w:t>施工道路建设</w:t>
                  </w:r>
                </w:p>
              </w:tc>
              <w:tc>
                <w:tcPr>
                  <w:tcW w:w="671" w:type="pct"/>
                  <w:vAlign w:val="center"/>
                </w:tcPr>
                <w:p w14:paraId="39753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sz w:val="21"/>
                      <w:vertAlign w:val="baseline"/>
                      <w:lang w:val="en-US" w:eastAsia="zh-CN"/>
                    </w:rPr>
                    <w:t>道路平整、土方开挖、材料运输。</w:t>
                  </w:r>
                </w:p>
              </w:tc>
              <w:tc>
                <w:tcPr>
                  <w:tcW w:w="823" w:type="pct"/>
                  <w:vAlign w:val="center"/>
                </w:tcPr>
                <w:p w14:paraId="2BD4C3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sz w:val="21"/>
                      <w:vertAlign w:val="baseline"/>
                      <w:lang w:val="en-US" w:eastAsia="zh-CN"/>
                    </w:rPr>
                    <w:t>扬尘、噪声、固体废物、生态破坏。</w:t>
                  </w:r>
                </w:p>
              </w:tc>
              <w:tc>
                <w:tcPr>
                  <w:tcW w:w="863" w:type="pct"/>
                  <w:vAlign w:val="center"/>
                </w:tcPr>
                <w:p w14:paraId="29D1C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sz w:val="21"/>
                      <w:vertAlign w:val="baseline"/>
                      <w:lang w:val="en-US" w:eastAsia="zh-CN"/>
                    </w:rPr>
                    <w:t>机械作业、车辆行驶、表土剥离、表土堆放。</w:t>
                  </w:r>
                </w:p>
              </w:tc>
              <w:tc>
                <w:tcPr>
                  <w:tcW w:w="1251" w:type="pct"/>
                  <w:vAlign w:val="center"/>
                </w:tcPr>
                <w:p w14:paraId="537CAA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对象：周围植被、土壤、野生动物；</w:t>
                  </w:r>
                </w:p>
                <w:p w14:paraId="342AB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途径：扬尘扩散、水土流失、栖息地破坏。</w:t>
                  </w:r>
                </w:p>
              </w:tc>
              <w:tc>
                <w:tcPr>
                  <w:tcW w:w="812" w:type="pct"/>
                  <w:vAlign w:val="center"/>
                </w:tcPr>
                <w:p w14:paraId="41B34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z w:val="21"/>
                      <w:vertAlign w:val="baseline"/>
                      <w:lang w:val="en-US" w:eastAsia="zh-CN"/>
                    </w:rPr>
                  </w:pPr>
                  <w:r>
                    <w:rPr>
                      <w:rFonts w:hint="eastAsia"/>
                      <w:sz w:val="21"/>
                      <w:vertAlign w:val="baseline"/>
                      <w:lang w:val="en-US" w:eastAsia="zh-CN"/>
                    </w:rPr>
                    <w:t>扬尘导致植被覆盖度下降；噪声干扰动物活动。</w:t>
                  </w:r>
                </w:p>
              </w:tc>
            </w:tr>
            <w:tr w14:paraId="563D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6" w:type="pct"/>
                  <w:vAlign w:val="center"/>
                </w:tcPr>
                <w:p w14:paraId="40A97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生活区建设</w:t>
                  </w:r>
                </w:p>
              </w:tc>
              <w:tc>
                <w:tcPr>
                  <w:tcW w:w="671" w:type="pct"/>
                  <w:vAlign w:val="center"/>
                </w:tcPr>
                <w:p w14:paraId="1AF60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表土剥离、临时堆放。</w:t>
                  </w:r>
                </w:p>
              </w:tc>
              <w:tc>
                <w:tcPr>
                  <w:tcW w:w="823" w:type="pct"/>
                  <w:vAlign w:val="center"/>
                </w:tcPr>
                <w:p w14:paraId="6C836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扬尘、生态破坏、水土流失。</w:t>
                  </w:r>
                </w:p>
              </w:tc>
              <w:tc>
                <w:tcPr>
                  <w:tcW w:w="863" w:type="pct"/>
                  <w:vAlign w:val="center"/>
                </w:tcPr>
                <w:p w14:paraId="0F3B8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表土剥离。</w:t>
                  </w:r>
                </w:p>
              </w:tc>
              <w:tc>
                <w:tcPr>
                  <w:tcW w:w="1251" w:type="pct"/>
                  <w:vAlign w:val="center"/>
                </w:tcPr>
                <w:p w14:paraId="09432A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对象：表层土壤肥力、植被根系；</w:t>
                  </w:r>
                </w:p>
                <w:p w14:paraId="70782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途径：表土流失。</w:t>
                  </w:r>
                </w:p>
              </w:tc>
              <w:tc>
                <w:tcPr>
                  <w:tcW w:w="812" w:type="pct"/>
                  <w:vAlign w:val="center"/>
                </w:tcPr>
                <w:p w14:paraId="30376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表土资源流失。</w:t>
                  </w:r>
                </w:p>
              </w:tc>
            </w:tr>
            <w:tr w14:paraId="181E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6" w:type="pct"/>
                  <w:vAlign w:val="center"/>
                </w:tcPr>
                <w:p w14:paraId="02366F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排土场及临时堆料场建设</w:t>
                  </w:r>
                </w:p>
              </w:tc>
              <w:tc>
                <w:tcPr>
                  <w:tcW w:w="671" w:type="pct"/>
                  <w:vAlign w:val="center"/>
                </w:tcPr>
                <w:p w14:paraId="0C52E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表土剥离、临时堆放。</w:t>
                  </w:r>
                </w:p>
              </w:tc>
              <w:tc>
                <w:tcPr>
                  <w:tcW w:w="823" w:type="pct"/>
                  <w:vAlign w:val="center"/>
                </w:tcPr>
                <w:p w14:paraId="1F441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扬尘、固体废物、生态破坏、表土堆放、水土流失。</w:t>
                  </w:r>
                </w:p>
              </w:tc>
              <w:tc>
                <w:tcPr>
                  <w:tcW w:w="863" w:type="pct"/>
                  <w:vAlign w:val="center"/>
                </w:tcPr>
                <w:p w14:paraId="10208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表土剥离、废石堆放。</w:t>
                  </w:r>
                </w:p>
              </w:tc>
              <w:tc>
                <w:tcPr>
                  <w:tcW w:w="1251" w:type="pct"/>
                  <w:vAlign w:val="center"/>
                </w:tcPr>
                <w:p w14:paraId="3DDF37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对象：表层土壤肥力、植被根系；</w:t>
                  </w:r>
                </w:p>
                <w:p w14:paraId="5A611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途径：表土流失。</w:t>
                  </w:r>
                </w:p>
              </w:tc>
              <w:tc>
                <w:tcPr>
                  <w:tcW w:w="812" w:type="pct"/>
                  <w:vAlign w:val="center"/>
                </w:tcPr>
                <w:p w14:paraId="1325E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表土资源流失；废石堆放改变地形。</w:t>
                  </w:r>
                </w:p>
              </w:tc>
            </w:tr>
            <w:tr w14:paraId="175D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6" w:type="pct"/>
                  <w:vAlign w:val="center"/>
                </w:tcPr>
                <w:p w14:paraId="71318A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施工机械作业</w:t>
                  </w:r>
                </w:p>
              </w:tc>
              <w:tc>
                <w:tcPr>
                  <w:tcW w:w="671" w:type="pct"/>
                  <w:vAlign w:val="center"/>
                </w:tcPr>
                <w:p w14:paraId="527042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设备运输、材料加工。</w:t>
                  </w:r>
                </w:p>
              </w:tc>
              <w:tc>
                <w:tcPr>
                  <w:tcW w:w="823" w:type="pct"/>
                  <w:vAlign w:val="center"/>
                </w:tcPr>
                <w:p w14:paraId="14DC2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噪声、燃油废气、振动。</w:t>
                  </w:r>
                </w:p>
              </w:tc>
              <w:tc>
                <w:tcPr>
                  <w:tcW w:w="863" w:type="pct"/>
                  <w:vAlign w:val="center"/>
                </w:tcPr>
                <w:p w14:paraId="1C02B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挖掘机、运输车辆、破碎机等机械运行。</w:t>
                  </w:r>
                </w:p>
              </w:tc>
              <w:tc>
                <w:tcPr>
                  <w:tcW w:w="1251" w:type="pct"/>
                  <w:vAlign w:val="center"/>
                </w:tcPr>
                <w:p w14:paraId="5E1A2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对象：野生动物；</w:t>
                  </w:r>
                </w:p>
                <w:p w14:paraId="77D21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途径：噪声传播、废气扩散、地面振动。</w:t>
                  </w:r>
                </w:p>
              </w:tc>
              <w:tc>
                <w:tcPr>
                  <w:tcW w:w="812" w:type="pct"/>
                  <w:vAlign w:val="center"/>
                </w:tcPr>
                <w:p w14:paraId="6450A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噪声影响周围野生动物栖息；废气加重空气污染；振动导致土壤松散。</w:t>
                  </w:r>
                </w:p>
              </w:tc>
            </w:tr>
            <w:tr w14:paraId="4F7F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6" w:type="pct"/>
                  <w:vAlign w:val="center"/>
                </w:tcPr>
                <w:p w14:paraId="77E7D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vertAlign w:val="baseline"/>
                      <w:lang w:val="en-US" w:eastAsia="zh-CN"/>
                    </w:rPr>
                  </w:pPr>
                  <w:r>
                    <w:rPr>
                      <w:rFonts w:hint="eastAsia"/>
                      <w:sz w:val="21"/>
                      <w:vertAlign w:val="baseline"/>
                      <w:lang w:val="en-US" w:eastAsia="zh-CN"/>
                    </w:rPr>
                    <w:t>破碎筛分场地</w:t>
                  </w:r>
                </w:p>
              </w:tc>
              <w:tc>
                <w:tcPr>
                  <w:tcW w:w="671" w:type="pct"/>
                  <w:vAlign w:val="center"/>
                </w:tcPr>
                <w:p w14:paraId="7DB3F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表土剥离、临时堆放。</w:t>
                  </w:r>
                </w:p>
              </w:tc>
              <w:tc>
                <w:tcPr>
                  <w:tcW w:w="823" w:type="pct"/>
                  <w:vAlign w:val="center"/>
                </w:tcPr>
                <w:p w14:paraId="0214D9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扬尘、生态破坏、水土流失。</w:t>
                  </w:r>
                </w:p>
              </w:tc>
              <w:tc>
                <w:tcPr>
                  <w:tcW w:w="863" w:type="pct"/>
                  <w:vAlign w:val="center"/>
                </w:tcPr>
                <w:p w14:paraId="4B4B07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表土剥离。</w:t>
                  </w:r>
                </w:p>
              </w:tc>
              <w:tc>
                <w:tcPr>
                  <w:tcW w:w="1251" w:type="pct"/>
                  <w:vAlign w:val="center"/>
                </w:tcPr>
                <w:p w14:paraId="50F97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对象：表层土壤肥力、植被根系；</w:t>
                  </w:r>
                </w:p>
                <w:p w14:paraId="2A06E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途径：表土流失。</w:t>
                  </w:r>
                </w:p>
              </w:tc>
              <w:tc>
                <w:tcPr>
                  <w:tcW w:w="812" w:type="pct"/>
                  <w:vAlign w:val="center"/>
                </w:tcPr>
                <w:p w14:paraId="6A194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vertAlign w:val="baseline"/>
                      <w:lang w:val="en-US" w:eastAsia="zh-CN"/>
                    </w:rPr>
                  </w:pPr>
                  <w:r>
                    <w:rPr>
                      <w:rFonts w:hint="eastAsia"/>
                      <w:sz w:val="21"/>
                      <w:vertAlign w:val="baseline"/>
                      <w:lang w:val="en-US" w:eastAsia="zh-CN"/>
                    </w:rPr>
                    <w:t>表土资源流失。</w:t>
                  </w:r>
                </w:p>
              </w:tc>
            </w:tr>
          </w:tbl>
          <w:p w14:paraId="50640088">
            <w:pPr>
              <w:keepNext w:val="0"/>
              <w:keepLines w:val="0"/>
              <w:suppressLineNumbers w:val="0"/>
              <w:spacing w:before="0" w:beforeAutospacing="0" w:after="0" w:afterAutospacing="0" w:line="520" w:lineRule="exact"/>
              <w:ind w:left="0" w:right="0"/>
              <w:jc w:val="center"/>
              <w:rPr>
                <w:rFonts w:hint="eastAsia"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2    施工期生态环境影响分析表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789"/>
              <w:gridCol w:w="1470"/>
              <w:gridCol w:w="1630"/>
              <w:gridCol w:w="1630"/>
            </w:tblGrid>
            <w:tr w14:paraId="56D5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14:paraId="7447D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ascii="Times New Roman" w:hAnsi="Times New Roman" w:eastAsia="宋体" w:cs="宋体"/>
                      <w:color w:val="000000"/>
                      <w:sz w:val="21"/>
                      <w:szCs w:val="24"/>
                      <w:lang w:val="en-US" w:eastAsia="zh-CN"/>
                    </w:rPr>
                    <w:t>施工内容</w:t>
                  </w:r>
                </w:p>
              </w:tc>
              <w:tc>
                <w:tcPr>
                  <w:tcW w:w="1789" w:type="dxa"/>
                  <w:vAlign w:val="center"/>
                </w:tcPr>
                <w:p w14:paraId="73DC3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ascii="Times New Roman" w:hAnsi="Times New Roman" w:eastAsia="宋体" w:cs="宋体"/>
                      <w:color w:val="000000"/>
                      <w:sz w:val="21"/>
                      <w:szCs w:val="24"/>
                      <w:lang w:val="en-US" w:eastAsia="zh-CN"/>
                    </w:rPr>
                    <w:t>表土剥离量（m³）</w:t>
                  </w:r>
                </w:p>
              </w:tc>
              <w:tc>
                <w:tcPr>
                  <w:tcW w:w="1470" w:type="dxa"/>
                  <w:vAlign w:val="center"/>
                </w:tcPr>
                <w:p w14:paraId="17987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ascii="Times New Roman" w:hAnsi="Times New Roman" w:eastAsia="宋体" w:cs="宋体"/>
                      <w:color w:val="000000"/>
                      <w:sz w:val="21"/>
                      <w:szCs w:val="24"/>
                      <w:lang w:val="en-US" w:eastAsia="zh-CN"/>
                    </w:rPr>
                    <w:t>表土来源</w:t>
                  </w:r>
                  <w:r>
                    <w:rPr>
                      <w:rFonts w:hint="default" w:cs="Times New Roman"/>
                      <w:color w:val="auto"/>
                      <w:sz w:val="21"/>
                      <w:szCs w:val="21"/>
                      <w:lang w:bidi="zh-CN"/>
                    </w:rPr>
                    <w:t>（m）</w:t>
                  </w:r>
                </w:p>
              </w:tc>
              <w:tc>
                <w:tcPr>
                  <w:tcW w:w="1630" w:type="dxa"/>
                  <w:vAlign w:val="center"/>
                </w:tcPr>
                <w:p w14:paraId="5EAAC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ascii="Times New Roman" w:hAnsi="Times New Roman" w:eastAsia="宋体" w:cs="宋体"/>
                      <w:color w:val="000000"/>
                      <w:sz w:val="21"/>
                      <w:szCs w:val="24"/>
                      <w:lang w:val="en-US" w:eastAsia="zh-CN"/>
                    </w:rPr>
                    <w:t>临时处置方式</w:t>
                  </w:r>
                </w:p>
              </w:tc>
              <w:tc>
                <w:tcPr>
                  <w:tcW w:w="1630" w:type="dxa"/>
                  <w:vAlign w:val="center"/>
                </w:tcPr>
                <w:p w14:paraId="42AE2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ascii="Times New Roman" w:hAnsi="Times New Roman" w:eastAsia="宋体" w:cs="宋体"/>
                      <w:color w:val="000000"/>
                      <w:sz w:val="21"/>
                      <w:szCs w:val="24"/>
                      <w:lang w:val="en-US" w:eastAsia="zh-CN"/>
                    </w:rPr>
                    <w:t>后期利用计划</w:t>
                  </w:r>
                </w:p>
              </w:tc>
            </w:tr>
            <w:tr w14:paraId="3396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14:paraId="6D64B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Times New Roman"/>
                      <w:bCs/>
                      <w:color w:val="auto"/>
                    </w:rPr>
                    <w:t>矿山道路</w:t>
                  </w:r>
                </w:p>
              </w:tc>
              <w:tc>
                <w:tcPr>
                  <w:tcW w:w="1789" w:type="dxa"/>
                  <w:vAlign w:val="center"/>
                </w:tcPr>
                <w:p w14:paraId="15345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宋体"/>
                      <w:color w:val="000000"/>
                      <w:sz w:val="21"/>
                      <w:szCs w:val="24"/>
                      <w:lang w:val="en-US" w:eastAsia="zh-CN"/>
                    </w:rPr>
                    <w:t>992.7</w:t>
                  </w:r>
                </w:p>
              </w:tc>
              <w:tc>
                <w:tcPr>
                  <w:tcW w:w="1470" w:type="dxa"/>
                  <w:vAlign w:val="center"/>
                </w:tcPr>
                <w:p w14:paraId="2A64A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ascii="Times New Roman" w:hAnsi="Times New Roman" w:eastAsia="宋体" w:cs="宋体"/>
                      <w:color w:val="000000"/>
                      <w:sz w:val="21"/>
                      <w:szCs w:val="24"/>
                      <w:lang w:val="en-US" w:eastAsia="zh-CN"/>
                    </w:rPr>
                    <w:t>表层0.3</w:t>
                  </w:r>
                </w:p>
              </w:tc>
              <w:tc>
                <w:tcPr>
                  <w:tcW w:w="1630" w:type="dxa"/>
                  <w:vAlign w:val="center"/>
                </w:tcPr>
                <w:p w14:paraId="006C1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default" w:cs="Times New Roman"/>
                      <w:bCs/>
                      <w:color w:val="auto"/>
                    </w:rPr>
                    <w:t>堆放于排土场</w:t>
                  </w:r>
                </w:p>
              </w:tc>
              <w:tc>
                <w:tcPr>
                  <w:tcW w:w="1630" w:type="dxa"/>
                  <w:vAlign w:val="center"/>
                </w:tcPr>
                <w:p w14:paraId="6C3D66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Times New Roman"/>
                      <w:bCs/>
                      <w:color w:val="auto"/>
                      <w:lang w:val="en-US" w:eastAsia="zh-CN"/>
                    </w:rPr>
                    <w:t>采矿结束之后回填采坑</w:t>
                  </w:r>
                </w:p>
              </w:tc>
            </w:tr>
            <w:tr w14:paraId="7B10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14:paraId="56252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Cs/>
                      <w:color w:val="auto"/>
                    </w:rPr>
                  </w:pPr>
                  <w:r>
                    <w:rPr>
                      <w:rFonts w:hint="eastAsia" w:cs="Times New Roman"/>
                      <w:bCs/>
                      <w:color w:val="auto"/>
                    </w:rPr>
                    <w:t>生活区</w:t>
                  </w:r>
                </w:p>
              </w:tc>
              <w:tc>
                <w:tcPr>
                  <w:tcW w:w="1789" w:type="dxa"/>
                  <w:vAlign w:val="center"/>
                </w:tcPr>
                <w:p w14:paraId="259B2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宋体"/>
                      <w:color w:val="000000"/>
                      <w:sz w:val="21"/>
                      <w:szCs w:val="24"/>
                      <w:lang w:val="en-US" w:eastAsia="zh-CN"/>
                    </w:rPr>
                    <w:t>282</w:t>
                  </w:r>
                </w:p>
              </w:tc>
              <w:tc>
                <w:tcPr>
                  <w:tcW w:w="1470" w:type="dxa"/>
                  <w:vAlign w:val="center"/>
                </w:tcPr>
                <w:p w14:paraId="2A657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ascii="Times New Roman" w:hAnsi="Times New Roman" w:eastAsia="宋体" w:cs="宋体"/>
                      <w:color w:val="000000"/>
                      <w:sz w:val="21"/>
                      <w:szCs w:val="24"/>
                      <w:lang w:val="en-US" w:eastAsia="zh-CN"/>
                    </w:rPr>
                    <w:t>表层0.3</w:t>
                  </w:r>
                </w:p>
              </w:tc>
              <w:tc>
                <w:tcPr>
                  <w:tcW w:w="1630" w:type="dxa"/>
                  <w:vAlign w:val="center"/>
                </w:tcPr>
                <w:p w14:paraId="4E75AB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default" w:cs="Times New Roman"/>
                      <w:bCs/>
                      <w:color w:val="auto"/>
                    </w:rPr>
                    <w:t>堆放于排土场</w:t>
                  </w:r>
                </w:p>
              </w:tc>
              <w:tc>
                <w:tcPr>
                  <w:tcW w:w="1630" w:type="dxa"/>
                  <w:vAlign w:val="center"/>
                </w:tcPr>
                <w:p w14:paraId="07B6B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Times New Roman"/>
                      <w:bCs/>
                      <w:color w:val="auto"/>
                      <w:lang w:val="en-US" w:eastAsia="zh-CN"/>
                    </w:rPr>
                    <w:t>采矿结束之后回填采坑</w:t>
                  </w:r>
                </w:p>
              </w:tc>
            </w:tr>
            <w:tr w14:paraId="2057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14:paraId="15CBA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Cs/>
                      <w:color w:val="auto"/>
                    </w:rPr>
                  </w:pPr>
                  <w:r>
                    <w:rPr>
                      <w:rFonts w:hint="eastAsia" w:cs="Times New Roman"/>
                      <w:bCs/>
                      <w:color w:val="auto"/>
                    </w:rPr>
                    <w:t>排土场</w:t>
                  </w:r>
                  <w:r>
                    <w:rPr>
                      <w:rFonts w:hint="eastAsia" w:cs="Times New Roman"/>
                      <w:bCs/>
                      <w:color w:val="auto"/>
                      <w:lang w:val="en-US" w:eastAsia="zh-CN"/>
                    </w:rPr>
                    <w:t>及临时堆料场</w:t>
                  </w:r>
                </w:p>
              </w:tc>
              <w:tc>
                <w:tcPr>
                  <w:tcW w:w="1789" w:type="dxa"/>
                  <w:vAlign w:val="center"/>
                </w:tcPr>
                <w:p w14:paraId="01524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宋体"/>
                      <w:color w:val="000000"/>
                      <w:sz w:val="21"/>
                      <w:szCs w:val="24"/>
                      <w:lang w:val="en-US" w:eastAsia="zh-CN"/>
                    </w:rPr>
                    <w:t>3125.7</w:t>
                  </w:r>
                </w:p>
              </w:tc>
              <w:tc>
                <w:tcPr>
                  <w:tcW w:w="1470" w:type="dxa"/>
                  <w:vAlign w:val="center"/>
                </w:tcPr>
                <w:p w14:paraId="0B785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ascii="Times New Roman" w:hAnsi="Times New Roman" w:eastAsia="宋体" w:cs="宋体"/>
                      <w:color w:val="000000"/>
                      <w:sz w:val="21"/>
                      <w:szCs w:val="24"/>
                      <w:lang w:val="en-US" w:eastAsia="zh-CN"/>
                    </w:rPr>
                    <w:t>表层0.3</w:t>
                  </w:r>
                </w:p>
              </w:tc>
              <w:tc>
                <w:tcPr>
                  <w:tcW w:w="1630" w:type="dxa"/>
                  <w:vAlign w:val="center"/>
                </w:tcPr>
                <w:p w14:paraId="4CF85C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default" w:cs="Times New Roman"/>
                      <w:bCs/>
                      <w:color w:val="auto"/>
                    </w:rPr>
                    <w:t>堆放于排土场</w:t>
                  </w:r>
                </w:p>
              </w:tc>
              <w:tc>
                <w:tcPr>
                  <w:tcW w:w="1630" w:type="dxa"/>
                  <w:vAlign w:val="center"/>
                </w:tcPr>
                <w:p w14:paraId="1B195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Times New Roman"/>
                      <w:bCs/>
                      <w:color w:val="auto"/>
                      <w:lang w:val="en-US" w:eastAsia="zh-CN"/>
                    </w:rPr>
                    <w:t>采矿结束之后回填采坑</w:t>
                  </w:r>
                </w:p>
              </w:tc>
            </w:tr>
            <w:tr w14:paraId="07B6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14:paraId="16F7E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Cs/>
                      <w:color w:val="auto"/>
                    </w:rPr>
                  </w:pPr>
                  <w:r>
                    <w:rPr>
                      <w:rFonts w:hint="eastAsia" w:cs="Times New Roman"/>
                      <w:bCs/>
                      <w:color w:val="auto"/>
                    </w:rPr>
                    <w:t>破碎</w:t>
                  </w:r>
                  <w:r>
                    <w:rPr>
                      <w:rFonts w:hint="eastAsia" w:cs="Times New Roman"/>
                      <w:bCs/>
                      <w:color w:val="auto"/>
                      <w:lang w:val="en-US" w:eastAsia="zh-CN"/>
                    </w:rPr>
                    <w:t>筛分</w:t>
                  </w:r>
                  <w:r>
                    <w:rPr>
                      <w:rFonts w:hint="eastAsia" w:cs="Times New Roman"/>
                      <w:bCs/>
                      <w:color w:val="auto"/>
                    </w:rPr>
                    <w:t>场地</w:t>
                  </w:r>
                </w:p>
              </w:tc>
              <w:tc>
                <w:tcPr>
                  <w:tcW w:w="1789" w:type="dxa"/>
                  <w:vAlign w:val="center"/>
                </w:tcPr>
                <w:p w14:paraId="6A3C9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宋体"/>
                      <w:color w:val="000000"/>
                      <w:sz w:val="21"/>
                      <w:szCs w:val="24"/>
                      <w:lang w:val="en-US" w:eastAsia="zh-CN"/>
                    </w:rPr>
                    <w:t>900</w:t>
                  </w:r>
                </w:p>
              </w:tc>
              <w:tc>
                <w:tcPr>
                  <w:tcW w:w="1470" w:type="dxa"/>
                  <w:vAlign w:val="center"/>
                </w:tcPr>
                <w:p w14:paraId="4C27A5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ascii="Times New Roman" w:hAnsi="Times New Roman" w:eastAsia="宋体" w:cs="宋体"/>
                      <w:color w:val="000000"/>
                      <w:sz w:val="21"/>
                      <w:szCs w:val="24"/>
                      <w:lang w:val="en-US" w:eastAsia="zh-CN"/>
                    </w:rPr>
                    <w:t>表层0.3</w:t>
                  </w:r>
                </w:p>
              </w:tc>
              <w:tc>
                <w:tcPr>
                  <w:tcW w:w="1630" w:type="dxa"/>
                  <w:vAlign w:val="center"/>
                </w:tcPr>
                <w:p w14:paraId="76EBA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default" w:cs="Times New Roman"/>
                      <w:bCs/>
                      <w:color w:val="auto"/>
                    </w:rPr>
                    <w:t>堆放于排土场</w:t>
                  </w:r>
                </w:p>
              </w:tc>
              <w:tc>
                <w:tcPr>
                  <w:tcW w:w="1630" w:type="dxa"/>
                  <w:vAlign w:val="center"/>
                </w:tcPr>
                <w:p w14:paraId="48247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000000"/>
                      <w:sz w:val="21"/>
                      <w:szCs w:val="24"/>
                      <w:lang w:val="en-US" w:eastAsia="zh-CN"/>
                    </w:rPr>
                  </w:pPr>
                  <w:r>
                    <w:rPr>
                      <w:rFonts w:hint="eastAsia" w:cs="Times New Roman"/>
                      <w:bCs/>
                      <w:color w:val="auto"/>
                      <w:lang w:val="en-US" w:eastAsia="zh-CN"/>
                    </w:rPr>
                    <w:t>采矿结束之后回填采坑</w:t>
                  </w:r>
                </w:p>
              </w:tc>
            </w:tr>
          </w:tbl>
          <w:p w14:paraId="1EB27D7C">
            <w:pPr>
              <w:keepNext w:val="0"/>
              <w:keepLines w:val="0"/>
              <w:suppressLineNumbers w:val="0"/>
              <w:spacing w:before="0" w:beforeAutospacing="0" w:after="0" w:afterAutospacing="0" w:line="480" w:lineRule="exact"/>
              <w:ind w:left="0" w:right="0"/>
              <w:rPr>
                <w:rFonts w:hint="default"/>
                <w:b/>
                <w:bCs/>
                <w:sz w:val="24"/>
              </w:rPr>
            </w:pPr>
            <w:r>
              <w:rPr>
                <w:rFonts w:hint="eastAsia"/>
                <w:b/>
                <w:bCs/>
                <w:sz w:val="24"/>
              </w:rPr>
              <w:t>2大气环境影响分析</w:t>
            </w:r>
          </w:p>
          <w:p w14:paraId="0628011B">
            <w:pPr>
              <w:keepNext w:val="0"/>
              <w:keepLines w:val="0"/>
              <w:suppressLineNumbers w:val="0"/>
              <w:spacing w:before="0" w:beforeAutospacing="0" w:after="0" w:afterAutospacing="0" w:line="480" w:lineRule="exact"/>
              <w:ind w:left="0" w:right="0" w:firstLine="480" w:firstLineChars="200"/>
              <w:rPr>
                <w:rFonts w:hint="default"/>
                <w:sz w:val="24"/>
              </w:rPr>
            </w:pPr>
            <w:r>
              <w:rPr>
                <w:rFonts w:hint="default"/>
                <w:sz w:val="24"/>
              </w:rPr>
              <w:t>项目施工期对环境空气的影响主要是施工机械、车辆运输扬尘及机械燃油废气。</w:t>
            </w:r>
          </w:p>
          <w:p w14:paraId="6599A6ED">
            <w:pPr>
              <w:keepNext w:val="0"/>
              <w:keepLines w:val="0"/>
              <w:suppressLineNumbers w:val="0"/>
              <w:spacing w:before="0" w:beforeAutospacing="0" w:after="0" w:afterAutospacing="0" w:line="480" w:lineRule="exact"/>
              <w:ind w:left="0" w:right="0" w:firstLine="480" w:firstLineChars="200"/>
              <w:rPr>
                <w:rFonts w:hint="default"/>
                <w:sz w:val="24"/>
              </w:rPr>
            </w:pPr>
            <w:r>
              <w:rPr>
                <w:rFonts w:hint="eastAsia"/>
                <w:sz w:val="24"/>
              </w:rPr>
              <w:t>项目采取了设置围挡、洒水降尘、加强物料防尘管理、及时清运施工垃圾、做好运输车辆管理等措施，施工场地扬尘对环境的影响大大降低，对周围环境空气质量影响程度小、范围局限于施工场地范围内，施工粉尘对环境的影响随施工的结束而消失。</w:t>
            </w:r>
          </w:p>
          <w:p w14:paraId="54C1F18A">
            <w:pPr>
              <w:keepNext w:val="0"/>
              <w:keepLines w:val="0"/>
              <w:suppressLineNumbers w:val="0"/>
              <w:spacing w:before="0" w:beforeAutospacing="0" w:after="0" w:afterAutospacing="0" w:line="480" w:lineRule="exact"/>
              <w:ind w:left="0" w:right="0"/>
              <w:rPr>
                <w:rFonts w:hint="default"/>
                <w:b/>
                <w:bCs/>
                <w:sz w:val="24"/>
              </w:rPr>
            </w:pPr>
            <w:r>
              <w:rPr>
                <w:rFonts w:hint="eastAsia"/>
                <w:b/>
                <w:bCs/>
                <w:sz w:val="24"/>
              </w:rPr>
              <w:t>3噪声环境影响分析</w:t>
            </w:r>
          </w:p>
          <w:p w14:paraId="41911DA9">
            <w:pPr>
              <w:keepNext w:val="0"/>
              <w:keepLines w:val="0"/>
              <w:suppressLineNumbers w:val="0"/>
              <w:spacing w:before="0" w:beforeAutospacing="0" w:after="0" w:afterAutospacing="0" w:line="480" w:lineRule="exact"/>
              <w:ind w:left="0" w:right="0" w:firstLine="480" w:firstLineChars="200"/>
              <w:rPr>
                <w:rFonts w:hint="eastAsia"/>
                <w:sz w:val="24"/>
              </w:rPr>
            </w:pPr>
            <w:r>
              <w:rPr>
                <w:rFonts w:hint="eastAsia"/>
                <w:sz w:val="24"/>
              </w:rPr>
              <w:t>在施工过程中，需动用大量的车辆及施工机械，它们的噪声强度较大，且声源较多，在一定范围内将对周围环境产生一定影响。本项目通过使用低噪声机械设备，增加消声减噪装置及加强对施工人员的监督和管理等措施控制施工噪声。工程仅在白天进行了施工，夜间未进行施工，高噪声源机械设备的使用时间较少。</w:t>
            </w:r>
          </w:p>
          <w:p w14:paraId="59A4E2CB">
            <w:pPr>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施工期噪声主要来源于运输车辆噪声和施工噪声，主要噪声源为运输车辆、挖掘机、电焊机、钻孔机、切割机等，大部分是移动声源，没有明显的指向性，噪声特性见下表</w:t>
            </w:r>
            <w:r>
              <w:rPr>
                <w:rFonts w:hint="default" w:ascii="Times New Roman" w:hAnsi="Times New Roman" w:eastAsia="宋体" w:cs="Times New Roman"/>
                <w:color w:val="auto"/>
                <w:sz w:val="24"/>
                <w:szCs w:val="24"/>
                <w:highlight w:val="none"/>
              </w:rPr>
              <w:t>。</w:t>
            </w:r>
          </w:p>
          <w:p w14:paraId="05B9431B">
            <w:pPr>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leftChars="0" w:right="0"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主要施工机械的噪声特性</w:t>
            </w:r>
          </w:p>
          <w:tbl>
            <w:tblPr>
              <w:tblStyle w:val="23"/>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8"/>
              <w:gridCol w:w="3341"/>
              <w:gridCol w:w="4218"/>
            </w:tblGrid>
            <w:tr w14:paraId="5CA3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noWrap w:val="0"/>
                  <w:vAlign w:val="center"/>
                </w:tcPr>
                <w:p w14:paraId="1F3485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3341" w:type="dxa"/>
                  <w:noWrap w:val="0"/>
                  <w:vAlign w:val="center"/>
                </w:tcPr>
                <w:p w14:paraId="74A14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设备类型</w:t>
                  </w:r>
                </w:p>
              </w:tc>
              <w:tc>
                <w:tcPr>
                  <w:tcW w:w="4218" w:type="dxa"/>
                  <w:noWrap w:val="0"/>
                  <w:vAlign w:val="center"/>
                </w:tcPr>
                <w:p w14:paraId="4977E0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w:t>
                  </w:r>
                </w:p>
              </w:tc>
            </w:tr>
            <w:tr w14:paraId="6F30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noWrap w:val="0"/>
                  <w:vAlign w:val="center"/>
                </w:tcPr>
                <w:p w14:paraId="57BAED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341" w:type="dxa"/>
                  <w:noWrap w:val="0"/>
                  <w:vAlign w:val="center"/>
                </w:tcPr>
                <w:p w14:paraId="34584A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挖掘机</w:t>
                  </w:r>
                </w:p>
              </w:tc>
              <w:tc>
                <w:tcPr>
                  <w:tcW w:w="4218" w:type="dxa"/>
                  <w:noWrap w:val="0"/>
                  <w:vAlign w:val="center"/>
                </w:tcPr>
                <w:p w14:paraId="191B65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r>
            <w:tr w14:paraId="0C53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noWrap w:val="0"/>
                  <w:vAlign w:val="center"/>
                </w:tcPr>
                <w:p w14:paraId="3CD407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341" w:type="dxa"/>
                  <w:noWrap w:val="0"/>
                  <w:vAlign w:val="center"/>
                </w:tcPr>
                <w:p w14:paraId="72DF57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w:t>
                  </w:r>
                </w:p>
              </w:tc>
              <w:tc>
                <w:tcPr>
                  <w:tcW w:w="4218" w:type="dxa"/>
                  <w:noWrap w:val="0"/>
                  <w:vAlign w:val="center"/>
                </w:tcPr>
                <w:p w14:paraId="17E31C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14:paraId="1F15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noWrap w:val="0"/>
                  <w:vAlign w:val="center"/>
                </w:tcPr>
                <w:p w14:paraId="598A0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341" w:type="dxa"/>
                  <w:noWrap w:val="0"/>
                  <w:vAlign w:val="center"/>
                </w:tcPr>
                <w:p w14:paraId="2AB680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推土机</w:t>
                  </w:r>
                </w:p>
              </w:tc>
              <w:tc>
                <w:tcPr>
                  <w:tcW w:w="4218" w:type="dxa"/>
                  <w:noWrap w:val="0"/>
                  <w:vAlign w:val="center"/>
                </w:tcPr>
                <w:p w14:paraId="75AE8A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r>
            <w:tr w14:paraId="50E1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noWrap w:val="0"/>
                  <w:vAlign w:val="center"/>
                </w:tcPr>
                <w:p w14:paraId="6B12AE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341" w:type="dxa"/>
                  <w:noWrap w:val="0"/>
                  <w:vAlign w:val="center"/>
                </w:tcPr>
                <w:p w14:paraId="2DB101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振动碾</w:t>
                  </w:r>
                </w:p>
              </w:tc>
              <w:tc>
                <w:tcPr>
                  <w:tcW w:w="4218" w:type="dxa"/>
                  <w:noWrap w:val="0"/>
                  <w:vAlign w:val="center"/>
                </w:tcPr>
                <w:p w14:paraId="0FAA1D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14:paraId="7B35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88" w:type="dxa"/>
                  <w:noWrap w:val="0"/>
                  <w:vAlign w:val="center"/>
                </w:tcPr>
                <w:p w14:paraId="6BCA32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341" w:type="dxa"/>
                  <w:noWrap w:val="0"/>
                  <w:vAlign w:val="center"/>
                </w:tcPr>
                <w:p w14:paraId="13B054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发电机</w:t>
                  </w:r>
                </w:p>
              </w:tc>
              <w:tc>
                <w:tcPr>
                  <w:tcW w:w="4218" w:type="dxa"/>
                  <w:noWrap w:val="0"/>
                  <w:vAlign w:val="center"/>
                </w:tcPr>
                <w:p w14:paraId="20D6F6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w:t>
                  </w:r>
                </w:p>
              </w:tc>
            </w:tr>
          </w:tbl>
          <w:p w14:paraId="04365537">
            <w:pPr>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施工噪声具有阶段性、临时性和不确定性，施工期间多种机械噪声叠加，噪声达8</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～95dB（A）之间，噪声声源都处于露天状态。</w:t>
            </w:r>
          </w:p>
          <w:p w14:paraId="6C496F44">
            <w:pPr>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当声源尺寸大小与测试距离相比小得多时，可以将此声源视为点声源，声源噪声衰减的计算公式如下：</w:t>
            </w:r>
          </w:p>
          <w:p w14:paraId="739DC172">
            <w:pPr>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right="0" w:firstLine="480" w:firstLineChars="20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position w:val="-12"/>
                <w:sz w:val="24"/>
                <w:szCs w:val="24"/>
                <w:highlight w:val="none"/>
              </w:rPr>
              <w:object>
                <v:shape id="_x0000_i1027" o:spt="75" type="#_x0000_t75" style="height:21.75pt;width:168.75pt;" o:ole="t" filled="f" o:preferrelative="t" stroked="f" coordsize="21600,21600">
                  <v:path/>
                  <v:fill on="f" focussize="0,0"/>
                  <v:stroke on="f"/>
                  <v:imagedata r:id="rId24" embosscolor="#FFFFFF" o:title=""/>
                  <o:lock v:ext="edit" grouping="f" rotation="f" text="f" aspectratio="t"/>
                  <w10:wrap type="none"/>
                  <w10:anchorlock/>
                </v:shape>
                <o:OLEObject Type="Embed" ProgID="Equation.3" ShapeID="_x0000_i1027" DrawAspect="Content" ObjectID="_1468075727" r:id="rId23">
                  <o:LockedField>false</o:LockedField>
                </o:OLEObject>
              </w:object>
            </w:r>
          </w:p>
          <w:p w14:paraId="1DA44176">
            <w:pPr>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式中：</w:t>
            </w:r>
            <w:r>
              <w:rPr>
                <w:rFonts w:hint="default" w:ascii="Times New Roman" w:hAnsi="Times New Roman" w:eastAsia="宋体" w:cs="Times New Roman"/>
                <w:bCs/>
                <w:color w:val="auto"/>
                <w:position w:val="-10"/>
                <w:sz w:val="24"/>
                <w:szCs w:val="24"/>
                <w:highlight w:val="none"/>
              </w:rPr>
              <w:object>
                <v:shape id="_x0000_i1028" o:spt="75" type="#_x0000_t75" style="height:20.25pt;width:24pt;" o:ole="t" filled="f" o:preferrelative="t" stroked="f" coordsize="21600,21600">
                  <v:path/>
                  <v:fill on="f" focussize="0,0"/>
                  <v:stroke on="f"/>
                  <v:imagedata r:id="rId26" embosscolor="#FFFFFF" o:title=""/>
                  <o:lock v:ext="edit" grouping="f" rotation="f" text="f" aspectratio="t"/>
                  <w10:wrap type="none"/>
                  <w10:anchorlock/>
                </v:shape>
                <o:OLEObject Type="Embed" ProgID="Equation.3" ShapeID="_x0000_i1028" DrawAspect="Content" ObjectID="_1468075728" r:id="rId25">
                  <o:LockedField>false</o:LockedField>
                </o:OLEObject>
              </w:object>
            </w:r>
            <w:r>
              <w:rPr>
                <w:rFonts w:hint="default" w:ascii="Times New Roman" w:hAnsi="Times New Roman" w:eastAsia="宋体" w:cs="Times New Roman"/>
                <w:bCs/>
                <w:color w:val="auto"/>
                <w:sz w:val="24"/>
                <w:szCs w:val="24"/>
                <w:highlight w:val="none"/>
              </w:rPr>
              <w:t>—距离增加产生衰减值，dB（A）；</w:t>
            </w:r>
          </w:p>
          <w:p w14:paraId="2ABAA6E9">
            <w:pPr>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r—点声源至受声点的距离，m。</w:t>
            </w:r>
          </w:p>
          <w:p w14:paraId="61CCAD06">
            <w:pPr>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各种施工设备在施工时随距离的衰减列于下表：</w:t>
            </w:r>
          </w:p>
          <w:p w14:paraId="5AD52A52">
            <w:pPr>
              <w:pStyle w:val="42"/>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leftChars="0" w:right="0" w:firstLine="482" w:firstLineChars="200"/>
              <w:jc w:val="center"/>
              <w:rPr>
                <w:rFonts w:hint="default" w:ascii="Times New Roman" w:hAnsi="Times New Roman" w:eastAsia="宋体" w:cs="Times New Roman"/>
                <w:color w:val="auto"/>
                <w:sz w:val="24"/>
                <w:szCs w:val="24"/>
                <w:highlight w:val="green"/>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4-</w:t>
            </w:r>
            <w:r>
              <w:rPr>
                <w:rFonts w:hint="eastAsia"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施工期噪声衰减值计算表</w:t>
            </w:r>
          </w:p>
          <w:tbl>
            <w:tblPr>
              <w:tblStyle w:val="23"/>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722"/>
              <w:gridCol w:w="712"/>
              <w:gridCol w:w="681"/>
              <w:gridCol w:w="682"/>
              <w:gridCol w:w="701"/>
              <w:gridCol w:w="643"/>
              <w:gridCol w:w="720"/>
              <w:gridCol w:w="896"/>
              <w:gridCol w:w="918"/>
            </w:tblGrid>
            <w:tr w14:paraId="72BF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1323" w:type="dxa"/>
                  <w:vMerge w:val="restart"/>
                  <w:noWrap w:val="0"/>
                  <w:vAlign w:val="center"/>
                </w:tcPr>
                <w:p w14:paraId="23195A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施工机械</w:t>
                  </w:r>
                </w:p>
              </w:tc>
              <w:tc>
                <w:tcPr>
                  <w:tcW w:w="4861" w:type="dxa"/>
                  <w:gridSpan w:val="7"/>
                  <w:noWrap w:val="0"/>
                  <w:vAlign w:val="center"/>
                </w:tcPr>
                <w:p w14:paraId="61913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X（m）处A声级dB（A）</w:t>
                  </w:r>
                </w:p>
              </w:tc>
              <w:tc>
                <w:tcPr>
                  <w:tcW w:w="1814" w:type="dxa"/>
                  <w:gridSpan w:val="2"/>
                  <w:noWrap w:val="0"/>
                  <w:vAlign w:val="center"/>
                </w:tcPr>
                <w:p w14:paraId="63710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标准dB（A）</w:t>
                  </w:r>
                </w:p>
              </w:tc>
            </w:tr>
            <w:tr w14:paraId="55A9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1323" w:type="dxa"/>
                  <w:vMerge w:val="continue"/>
                  <w:noWrap w:val="0"/>
                  <w:vAlign w:val="center"/>
                </w:tcPr>
                <w:p w14:paraId="2F550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722" w:type="dxa"/>
                  <w:noWrap w:val="0"/>
                  <w:vAlign w:val="center"/>
                </w:tcPr>
                <w:p w14:paraId="254443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源强</w:t>
                  </w:r>
                </w:p>
              </w:tc>
              <w:tc>
                <w:tcPr>
                  <w:tcW w:w="712" w:type="dxa"/>
                  <w:noWrap w:val="0"/>
                  <w:vAlign w:val="center"/>
                </w:tcPr>
                <w:p w14:paraId="2A02E1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681" w:type="dxa"/>
                  <w:noWrap w:val="0"/>
                  <w:vAlign w:val="center"/>
                </w:tcPr>
                <w:p w14:paraId="48A7A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w:t>
                  </w:r>
                </w:p>
              </w:tc>
              <w:tc>
                <w:tcPr>
                  <w:tcW w:w="682" w:type="dxa"/>
                  <w:noWrap w:val="0"/>
                  <w:vAlign w:val="center"/>
                </w:tcPr>
                <w:p w14:paraId="1157F0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w:t>
                  </w:r>
                </w:p>
              </w:tc>
              <w:tc>
                <w:tcPr>
                  <w:tcW w:w="701" w:type="dxa"/>
                  <w:noWrap w:val="0"/>
                  <w:vAlign w:val="center"/>
                </w:tcPr>
                <w:p w14:paraId="1B24BA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70</w:t>
                  </w:r>
                </w:p>
              </w:tc>
              <w:tc>
                <w:tcPr>
                  <w:tcW w:w="643" w:type="dxa"/>
                  <w:noWrap w:val="0"/>
                  <w:vAlign w:val="center"/>
                </w:tcPr>
                <w:p w14:paraId="030542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100</w:t>
                  </w:r>
                </w:p>
              </w:tc>
              <w:tc>
                <w:tcPr>
                  <w:tcW w:w="720" w:type="dxa"/>
                  <w:noWrap w:val="0"/>
                  <w:vAlign w:val="center"/>
                </w:tcPr>
                <w:p w14:paraId="6AA947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150</w:t>
                  </w:r>
                </w:p>
              </w:tc>
              <w:tc>
                <w:tcPr>
                  <w:tcW w:w="896" w:type="dxa"/>
                  <w:noWrap w:val="0"/>
                  <w:vAlign w:val="center"/>
                </w:tcPr>
                <w:p w14:paraId="4096AD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昼间</w:t>
                  </w:r>
                </w:p>
              </w:tc>
              <w:tc>
                <w:tcPr>
                  <w:tcW w:w="918" w:type="dxa"/>
                  <w:noWrap w:val="0"/>
                  <w:vAlign w:val="center"/>
                </w:tcPr>
                <w:p w14:paraId="54DB10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夜间</w:t>
                  </w:r>
                </w:p>
              </w:tc>
            </w:tr>
            <w:tr w14:paraId="4D6A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1323" w:type="dxa"/>
                  <w:noWrap w:val="0"/>
                  <w:vAlign w:val="center"/>
                </w:tcPr>
                <w:p w14:paraId="1DD0BD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挖掘机</w:t>
                  </w:r>
                </w:p>
              </w:tc>
              <w:tc>
                <w:tcPr>
                  <w:tcW w:w="722" w:type="dxa"/>
                  <w:noWrap w:val="0"/>
                  <w:vAlign w:val="center"/>
                </w:tcPr>
                <w:p w14:paraId="4707B3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rPr>
                    <w:t>90</w:t>
                  </w:r>
                </w:p>
              </w:tc>
              <w:tc>
                <w:tcPr>
                  <w:tcW w:w="712" w:type="dxa"/>
                  <w:noWrap w:val="0"/>
                  <w:vAlign w:val="center"/>
                </w:tcPr>
                <w:p w14:paraId="631F5C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62</w:t>
                  </w:r>
                </w:p>
              </w:tc>
              <w:tc>
                <w:tcPr>
                  <w:tcW w:w="681" w:type="dxa"/>
                  <w:noWrap w:val="0"/>
                  <w:vAlign w:val="center"/>
                </w:tcPr>
                <w:p w14:paraId="779D6B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52.5</w:t>
                  </w:r>
                </w:p>
              </w:tc>
              <w:tc>
                <w:tcPr>
                  <w:tcW w:w="682" w:type="dxa"/>
                  <w:noWrap w:val="0"/>
                  <w:vAlign w:val="center"/>
                </w:tcPr>
                <w:p w14:paraId="39E681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48</w:t>
                  </w:r>
                </w:p>
              </w:tc>
              <w:tc>
                <w:tcPr>
                  <w:tcW w:w="701" w:type="dxa"/>
                  <w:noWrap w:val="0"/>
                  <w:vAlign w:val="center"/>
                </w:tcPr>
                <w:p w14:paraId="3D89B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w:t>
                  </w:r>
                </w:p>
              </w:tc>
              <w:tc>
                <w:tcPr>
                  <w:tcW w:w="643" w:type="dxa"/>
                  <w:noWrap w:val="0"/>
                  <w:vAlign w:val="center"/>
                </w:tcPr>
                <w:p w14:paraId="4D0A93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42</w:t>
                  </w:r>
                </w:p>
              </w:tc>
              <w:tc>
                <w:tcPr>
                  <w:tcW w:w="720" w:type="dxa"/>
                  <w:noWrap w:val="0"/>
                  <w:vAlign w:val="center"/>
                </w:tcPr>
                <w:p w14:paraId="7EA86E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38.5</w:t>
                  </w:r>
                </w:p>
              </w:tc>
              <w:tc>
                <w:tcPr>
                  <w:tcW w:w="896" w:type="dxa"/>
                  <w:noWrap w:val="0"/>
                  <w:vAlign w:val="center"/>
                </w:tcPr>
                <w:p w14:paraId="52BB26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70</w:t>
                  </w:r>
                </w:p>
              </w:tc>
              <w:tc>
                <w:tcPr>
                  <w:tcW w:w="918" w:type="dxa"/>
                  <w:noWrap w:val="0"/>
                  <w:vAlign w:val="center"/>
                </w:tcPr>
                <w:p w14:paraId="5643C7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55</w:t>
                  </w:r>
                </w:p>
              </w:tc>
            </w:tr>
            <w:tr w14:paraId="058B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1323" w:type="dxa"/>
                  <w:noWrap w:val="0"/>
                  <w:vAlign w:val="center"/>
                </w:tcPr>
                <w:p w14:paraId="63D684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装载机</w:t>
                  </w:r>
                </w:p>
              </w:tc>
              <w:tc>
                <w:tcPr>
                  <w:tcW w:w="722" w:type="dxa"/>
                  <w:noWrap w:val="0"/>
                  <w:vAlign w:val="center"/>
                </w:tcPr>
                <w:p w14:paraId="41E259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rPr>
                    <w:t>95</w:t>
                  </w:r>
                </w:p>
              </w:tc>
              <w:tc>
                <w:tcPr>
                  <w:tcW w:w="712" w:type="dxa"/>
                  <w:noWrap w:val="0"/>
                  <w:vAlign w:val="center"/>
                </w:tcPr>
                <w:p w14:paraId="078FE3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67</w:t>
                  </w:r>
                </w:p>
              </w:tc>
              <w:tc>
                <w:tcPr>
                  <w:tcW w:w="681" w:type="dxa"/>
                  <w:noWrap w:val="0"/>
                  <w:vAlign w:val="center"/>
                </w:tcPr>
                <w:p w14:paraId="67EE29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57.5</w:t>
                  </w:r>
                </w:p>
              </w:tc>
              <w:tc>
                <w:tcPr>
                  <w:tcW w:w="682" w:type="dxa"/>
                  <w:noWrap w:val="0"/>
                  <w:vAlign w:val="center"/>
                </w:tcPr>
                <w:p w14:paraId="20B7E5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53</w:t>
                  </w:r>
                </w:p>
              </w:tc>
              <w:tc>
                <w:tcPr>
                  <w:tcW w:w="701" w:type="dxa"/>
                  <w:noWrap w:val="0"/>
                  <w:vAlign w:val="center"/>
                </w:tcPr>
                <w:p w14:paraId="7333D3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w:t>
                  </w:r>
                </w:p>
              </w:tc>
              <w:tc>
                <w:tcPr>
                  <w:tcW w:w="643" w:type="dxa"/>
                  <w:noWrap w:val="0"/>
                  <w:vAlign w:val="center"/>
                </w:tcPr>
                <w:p w14:paraId="099E8B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47</w:t>
                  </w:r>
                </w:p>
              </w:tc>
              <w:tc>
                <w:tcPr>
                  <w:tcW w:w="720" w:type="dxa"/>
                  <w:noWrap w:val="0"/>
                  <w:vAlign w:val="center"/>
                </w:tcPr>
                <w:p w14:paraId="2D46FC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43.5</w:t>
                  </w:r>
                </w:p>
              </w:tc>
              <w:tc>
                <w:tcPr>
                  <w:tcW w:w="896" w:type="dxa"/>
                  <w:noWrap w:val="0"/>
                  <w:vAlign w:val="center"/>
                </w:tcPr>
                <w:p w14:paraId="4CE87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70</w:t>
                  </w:r>
                </w:p>
              </w:tc>
              <w:tc>
                <w:tcPr>
                  <w:tcW w:w="918" w:type="dxa"/>
                  <w:noWrap w:val="0"/>
                  <w:vAlign w:val="center"/>
                </w:tcPr>
                <w:p w14:paraId="2E31D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55</w:t>
                  </w:r>
                </w:p>
              </w:tc>
            </w:tr>
            <w:tr w14:paraId="2435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1323" w:type="dxa"/>
                  <w:noWrap w:val="0"/>
                  <w:vAlign w:val="center"/>
                </w:tcPr>
                <w:p w14:paraId="21094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推土机</w:t>
                  </w:r>
                </w:p>
              </w:tc>
              <w:tc>
                <w:tcPr>
                  <w:tcW w:w="722" w:type="dxa"/>
                  <w:noWrap w:val="0"/>
                  <w:vAlign w:val="center"/>
                </w:tcPr>
                <w:p w14:paraId="44A9C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rPr>
                    <w:t>84</w:t>
                  </w:r>
                </w:p>
              </w:tc>
              <w:tc>
                <w:tcPr>
                  <w:tcW w:w="712" w:type="dxa"/>
                  <w:noWrap w:val="0"/>
                  <w:vAlign w:val="center"/>
                </w:tcPr>
                <w:p w14:paraId="2478FC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56</w:t>
                  </w:r>
                </w:p>
              </w:tc>
              <w:tc>
                <w:tcPr>
                  <w:tcW w:w="681" w:type="dxa"/>
                  <w:noWrap w:val="0"/>
                  <w:vAlign w:val="center"/>
                </w:tcPr>
                <w:p w14:paraId="6905A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46.5</w:t>
                  </w:r>
                </w:p>
              </w:tc>
              <w:tc>
                <w:tcPr>
                  <w:tcW w:w="682" w:type="dxa"/>
                  <w:noWrap w:val="0"/>
                  <w:vAlign w:val="center"/>
                </w:tcPr>
                <w:p w14:paraId="519F6A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42</w:t>
                  </w:r>
                </w:p>
              </w:tc>
              <w:tc>
                <w:tcPr>
                  <w:tcW w:w="701" w:type="dxa"/>
                  <w:noWrap w:val="0"/>
                  <w:vAlign w:val="center"/>
                </w:tcPr>
                <w:p w14:paraId="626241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w:t>
                  </w:r>
                </w:p>
              </w:tc>
              <w:tc>
                <w:tcPr>
                  <w:tcW w:w="643" w:type="dxa"/>
                  <w:noWrap w:val="0"/>
                  <w:vAlign w:val="center"/>
                </w:tcPr>
                <w:p w14:paraId="523B10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w:t>
                  </w:r>
                </w:p>
              </w:tc>
              <w:tc>
                <w:tcPr>
                  <w:tcW w:w="720" w:type="dxa"/>
                  <w:noWrap w:val="0"/>
                  <w:vAlign w:val="center"/>
                </w:tcPr>
                <w:p w14:paraId="464E73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32.5</w:t>
                  </w:r>
                </w:p>
              </w:tc>
              <w:tc>
                <w:tcPr>
                  <w:tcW w:w="896" w:type="dxa"/>
                  <w:noWrap w:val="0"/>
                  <w:vAlign w:val="center"/>
                </w:tcPr>
                <w:p w14:paraId="3CCF87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70</w:t>
                  </w:r>
                </w:p>
              </w:tc>
              <w:tc>
                <w:tcPr>
                  <w:tcW w:w="918" w:type="dxa"/>
                  <w:noWrap w:val="0"/>
                  <w:vAlign w:val="center"/>
                </w:tcPr>
                <w:p w14:paraId="3E3A6A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55</w:t>
                  </w:r>
                </w:p>
              </w:tc>
            </w:tr>
            <w:tr w14:paraId="2EA4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1323" w:type="dxa"/>
                  <w:noWrap w:val="0"/>
                  <w:vAlign w:val="center"/>
                </w:tcPr>
                <w:p w14:paraId="4B51C0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振动碾</w:t>
                  </w:r>
                </w:p>
              </w:tc>
              <w:tc>
                <w:tcPr>
                  <w:tcW w:w="722" w:type="dxa"/>
                  <w:noWrap w:val="0"/>
                  <w:vAlign w:val="center"/>
                </w:tcPr>
                <w:p w14:paraId="1A0934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rPr>
                    <w:t>90</w:t>
                  </w:r>
                </w:p>
              </w:tc>
              <w:tc>
                <w:tcPr>
                  <w:tcW w:w="712" w:type="dxa"/>
                  <w:noWrap w:val="0"/>
                  <w:vAlign w:val="center"/>
                </w:tcPr>
                <w:p w14:paraId="7D5384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62</w:t>
                  </w:r>
                </w:p>
              </w:tc>
              <w:tc>
                <w:tcPr>
                  <w:tcW w:w="681" w:type="dxa"/>
                  <w:noWrap w:val="0"/>
                  <w:vAlign w:val="center"/>
                </w:tcPr>
                <w:p w14:paraId="3DFD70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52.5</w:t>
                  </w:r>
                </w:p>
              </w:tc>
              <w:tc>
                <w:tcPr>
                  <w:tcW w:w="682" w:type="dxa"/>
                  <w:noWrap w:val="0"/>
                  <w:vAlign w:val="center"/>
                </w:tcPr>
                <w:p w14:paraId="343E77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48</w:t>
                  </w:r>
                </w:p>
              </w:tc>
              <w:tc>
                <w:tcPr>
                  <w:tcW w:w="701" w:type="dxa"/>
                  <w:noWrap w:val="0"/>
                  <w:vAlign w:val="center"/>
                </w:tcPr>
                <w:p w14:paraId="4F5D85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w:t>
                  </w:r>
                </w:p>
              </w:tc>
              <w:tc>
                <w:tcPr>
                  <w:tcW w:w="643" w:type="dxa"/>
                  <w:noWrap w:val="0"/>
                  <w:vAlign w:val="center"/>
                </w:tcPr>
                <w:p w14:paraId="36CBB6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42</w:t>
                  </w:r>
                </w:p>
              </w:tc>
              <w:tc>
                <w:tcPr>
                  <w:tcW w:w="720" w:type="dxa"/>
                  <w:noWrap w:val="0"/>
                  <w:vAlign w:val="center"/>
                </w:tcPr>
                <w:p w14:paraId="0B92B2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38.5</w:t>
                  </w:r>
                </w:p>
              </w:tc>
              <w:tc>
                <w:tcPr>
                  <w:tcW w:w="896" w:type="dxa"/>
                  <w:noWrap w:val="0"/>
                  <w:vAlign w:val="center"/>
                </w:tcPr>
                <w:p w14:paraId="6A77E9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70</w:t>
                  </w:r>
                </w:p>
              </w:tc>
              <w:tc>
                <w:tcPr>
                  <w:tcW w:w="918" w:type="dxa"/>
                  <w:noWrap w:val="0"/>
                  <w:vAlign w:val="center"/>
                </w:tcPr>
                <w:p w14:paraId="1C2190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55</w:t>
                  </w:r>
                </w:p>
              </w:tc>
            </w:tr>
            <w:tr w14:paraId="2A61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23" w:type="dxa"/>
                  <w:noWrap w:val="0"/>
                  <w:vAlign w:val="center"/>
                </w:tcPr>
                <w:p w14:paraId="2D6263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发电机</w:t>
                  </w:r>
                </w:p>
              </w:tc>
              <w:tc>
                <w:tcPr>
                  <w:tcW w:w="722" w:type="dxa"/>
                  <w:noWrap w:val="0"/>
                  <w:vAlign w:val="center"/>
                </w:tcPr>
                <w:p w14:paraId="6E503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rPr>
                    <w:t>95</w:t>
                  </w:r>
                </w:p>
              </w:tc>
              <w:tc>
                <w:tcPr>
                  <w:tcW w:w="712" w:type="dxa"/>
                  <w:noWrap w:val="0"/>
                  <w:vAlign w:val="center"/>
                </w:tcPr>
                <w:p w14:paraId="00AF1C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67</w:t>
                  </w:r>
                </w:p>
              </w:tc>
              <w:tc>
                <w:tcPr>
                  <w:tcW w:w="681" w:type="dxa"/>
                  <w:noWrap w:val="0"/>
                  <w:vAlign w:val="center"/>
                </w:tcPr>
                <w:p w14:paraId="181C0D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57.5</w:t>
                  </w:r>
                </w:p>
              </w:tc>
              <w:tc>
                <w:tcPr>
                  <w:tcW w:w="682" w:type="dxa"/>
                  <w:noWrap w:val="0"/>
                  <w:vAlign w:val="center"/>
                </w:tcPr>
                <w:p w14:paraId="61B43D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53</w:t>
                  </w:r>
                </w:p>
              </w:tc>
              <w:tc>
                <w:tcPr>
                  <w:tcW w:w="701" w:type="dxa"/>
                  <w:noWrap w:val="0"/>
                  <w:vAlign w:val="center"/>
                </w:tcPr>
                <w:p w14:paraId="24A36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w:t>
                  </w:r>
                </w:p>
              </w:tc>
              <w:tc>
                <w:tcPr>
                  <w:tcW w:w="643" w:type="dxa"/>
                  <w:noWrap w:val="0"/>
                  <w:vAlign w:val="center"/>
                </w:tcPr>
                <w:p w14:paraId="69A64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47</w:t>
                  </w:r>
                </w:p>
              </w:tc>
              <w:tc>
                <w:tcPr>
                  <w:tcW w:w="720" w:type="dxa"/>
                  <w:noWrap w:val="0"/>
                  <w:vAlign w:val="center"/>
                </w:tcPr>
                <w:p w14:paraId="79195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43.5</w:t>
                  </w:r>
                </w:p>
              </w:tc>
              <w:tc>
                <w:tcPr>
                  <w:tcW w:w="896" w:type="dxa"/>
                  <w:noWrap w:val="0"/>
                  <w:vAlign w:val="center"/>
                </w:tcPr>
                <w:p w14:paraId="34568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70</w:t>
                  </w:r>
                </w:p>
              </w:tc>
              <w:tc>
                <w:tcPr>
                  <w:tcW w:w="918" w:type="dxa"/>
                  <w:noWrap w:val="0"/>
                  <w:vAlign w:val="center"/>
                </w:tcPr>
                <w:p w14:paraId="316E8D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55</w:t>
                  </w:r>
                </w:p>
              </w:tc>
            </w:tr>
          </w:tbl>
          <w:p w14:paraId="00283F8F">
            <w:pPr>
              <w:keepNext w:val="0"/>
              <w:keepLines w:val="0"/>
              <w:pageBreakBefore w:val="0"/>
              <w:suppressLineNumbers w:val="0"/>
              <w:kinsoku/>
              <w:wordWrap/>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在施工期间，根据《建筑施工场界环境噪声排放标准》（GB12523—2011）规定，昼间限值为70dB（A）夜间限值为55dB（A）。昼间施工离场地10m即可满足标准要求，夜间施工离场地大于50m时，方可满足标准要求。</w:t>
            </w:r>
          </w:p>
          <w:p w14:paraId="4804E1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rPr>
                <w:rFonts w:hint="eastAsia"/>
                <w:sz w:val="24"/>
              </w:rPr>
            </w:pPr>
            <w:r>
              <w:rPr>
                <w:rFonts w:hint="default" w:ascii="Times New Roman" w:hAnsi="Times New Roman" w:eastAsia="宋体" w:cs="Times New Roman"/>
                <w:color w:val="auto"/>
                <w:sz w:val="24"/>
                <w:szCs w:val="24"/>
                <w:highlight w:val="none"/>
              </w:rPr>
              <w:t>根据现场调查，</w:t>
            </w:r>
            <w:r>
              <w:rPr>
                <w:rFonts w:hint="default" w:ascii="Times New Roman" w:hAnsi="Times New Roman" w:eastAsia="宋体" w:cs="Times New Roman"/>
                <w:color w:val="auto"/>
                <w:sz w:val="24"/>
                <w:szCs w:val="24"/>
                <w:highlight w:val="none"/>
                <w:lang w:val="en-US" w:eastAsia="zh-CN"/>
              </w:rPr>
              <w:t>项目周边50m范围内无居民区，</w:t>
            </w:r>
            <w:r>
              <w:rPr>
                <w:rFonts w:hint="default" w:ascii="Times New Roman" w:hAnsi="Times New Roman" w:eastAsia="宋体" w:cs="Times New Roman"/>
                <w:color w:val="auto"/>
                <w:sz w:val="24"/>
                <w:szCs w:val="24"/>
                <w:highlight w:val="none"/>
                <w:lang w:eastAsia="zh-CN"/>
              </w:rPr>
              <w:t>建设单位在施工期间</w:t>
            </w:r>
            <w:r>
              <w:rPr>
                <w:rFonts w:hint="default" w:ascii="Times New Roman" w:hAnsi="Times New Roman" w:eastAsia="宋体"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lang w:eastAsia="zh-CN"/>
              </w:rPr>
              <w:t>合理安排好施工时间、设备选型尽量采用低噪声设备、做好施工场所设备维护管理，规范操作，合理进行施工场地平面布置，减少噪声对</w:t>
            </w:r>
            <w:r>
              <w:rPr>
                <w:rFonts w:hint="default"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eastAsia="zh-CN"/>
              </w:rPr>
              <w:t>的影响。</w:t>
            </w:r>
          </w:p>
          <w:p w14:paraId="32D502CA">
            <w:pPr>
              <w:keepNext w:val="0"/>
              <w:keepLines w:val="0"/>
              <w:suppressLineNumbers w:val="0"/>
              <w:spacing w:before="0" w:beforeAutospacing="0" w:after="0" w:afterAutospacing="0" w:line="480" w:lineRule="exact"/>
              <w:ind w:left="0" w:right="0"/>
              <w:rPr>
                <w:rFonts w:hint="default"/>
                <w:b/>
                <w:bCs/>
                <w:sz w:val="24"/>
              </w:rPr>
            </w:pPr>
            <w:r>
              <w:rPr>
                <w:rFonts w:hint="eastAsia"/>
                <w:b/>
                <w:bCs/>
                <w:sz w:val="24"/>
              </w:rPr>
              <w:t>4水环境影响分析</w:t>
            </w:r>
          </w:p>
          <w:p w14:paraId="2FEFAC62">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sz w:val="24"/>
              </w:rPr>
            </w:pPr>
            <w:r>
              <w:rPr>
                <w:rFonts w:hint="default" w:ascii="Times New Roman" w:hAnsi="Times New Roman" w:eastAsia="宋体" w:cs="Times New Roman"/>
                <w:sz w:val="24"/>
                <w:lang w:val="en-US" w:eastAsia="zh-CN"/>
              </w:rPr>
              <w:t>项目区不涉及饮用水水源保护区、重要湖泊周边、不在河道范围及其附近；生产用水为洒水抑尘，无污水产生；生活污水排入防渗化粪池预处理后定期拉运处理。</w:t>
            </w:r>
          </w:p>
          <w:p w14:paraId="227BEBF8">
            <w:pPr>
              <w:keepNext w:val="0"/>
              <w:keepLines w:val="0"/>
              <w:suppressLineNumbers w:val="0"/>
              <w:spacing w:before="0" w:beforeAutospacing="0" w:after="0" w:afterAutospacing="0" w:line="480" w:lineRule="exact"/>
              <w:ind w:left="0" w:right="0"/>
              <w:rPr>
                <w:rFonts w:hint="default"/>
                <w:b/>
                <w:bCs/>
                <w:sz w:val="24"/>
              </w:rPr>
            </w:pPr>
            <w:r>
              <w:rPr>
                <w:rFonts w:hint="default"/>
                <w:b/>
                <w:bCs/>
                <w:sz w:val="24"/>
              </w:rPr>
              <w:t>5固体废物环境影响</w:t>
            </w:r>
            <w:r>
              <w:rPr>
                <w:rFonts w:hint="eastAsia"/>
                <w:b/>
                <w:bCs/>
                <w:sz w:val="24"/>
              </w:rPr>
              <w:t>分析</w:t>
            </w:r>
          </w:p>
          <w:p w14:paraId="4D71F1C4">
            <w:pPr>
              <w:keepNext w:val="0"/>
              <w:keepLines w:val="0"/>
              <w:suppressLineNumbers w:val="0"/>
              <w:overflowPunct w:val="0"/>
              <w:adjustRightInd w:val="0"/>
              <w:snapToGrid w:val="0"/>
              <w:spacing w:before="0" w:beforeAutospacing="0" w:after="0" w:afterAutospacing="0" w:line="520" w:lineRule="exact"/>
              <w:ind w:left="0" w:right="0" w:firstLine="480" w:firstLineChars="200"/>
              <w:rPr>
                <w:rFonts w:hint="default"/>
                <w:sz w:val="24"/>
              </w:rPr>
            </w:pPr>
            <w:r>
              <w:rPr>
                <w:rFonts w:hint="eastAsia"/>
                <w:sz w:val="24"/>
              </w:rPr>
              <w:t>本项目施工期生活垃圾全部交由环卫部门处置，弃土全部回填用于周边土地平整，临时施工营地产生的建筑垃圾</w:t>
            </w:r>
            <w:r>
              <w:rPr>
                <w:rFonts w:hint="default"/>
                <w:sz w:val="24"/>
              </w:rPr>
              <w:t>收集后送至指定地点处理，根据现场踏勘情况，施工现场无遗留固体废弃物，</w:t>
            </w:r>
            <w:r>
              <w:rPr>
                <w:rFonts w:hint="eastAsia"/>
                <w:sz w:val="24"/>
              </w:rPr>
              <w:t>固体废物均得到了妥善处置，对环境影响不大，</w:t>
            </w:r>
            <w:r>
              <w:rPr>
                <w:rFonts w:hint="default"/>
                <w:sz w:val="24"/>
              </w:rPr>
              <w:t>固体废物对环境的影响已随施工的结束而消失。</w:t>
            </w:r>
          </w:p>
          <w:p w14:paraId="706A7E7E">
            <w:pPr>
              <w:keepNext w:val="0"/>
              <w:keepLines w:val="0"/>
              <w:suppressLineNumbers w:val="0"/>
              <w:overflowPunct w:val="0"/>
              <w:adjustRightInd w:val="0"/>
              <w:snapToGrid w:val="0"/>
              <w:spacing w:before="0" w:beforeAutospacing="0" w:after="0" w:afterAutospacing="0" w:line="520" w:lineRule="exact"/>
              <w:ind w:left="0" w:right="0" w:firstLine="480" w:firstLineChars="200"/>
              <w:rPr>
                <w:rFonts w:hint="default"/>
              </w:rPr>
            </w:pPr>
            <w:r>
              <w:rPr>
                <w:rFonts w:hint="eastAsia"/>
                <w:sz w:val="24"/>
              </w:rPr>
              <w:t>项目施工期间采取了合理的污染处理措施和生态影响控制措施，各项污染物均得到了妥善处理。</w:t>
            </w:r>
          </w:p>
        </w:tc>
      </w:tr>
      <w:tr w14:paraId="023A1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9" w:type="dxa"/>
            <w:tcMar>
              <w:left w:w="28" w:type="dxa"/>
              <w:right w:w="28" w:type="dxa"/>
            </w:tcMar>
            <w:vAlign w:val="center"/>
          </w:tcPr>
          <w:p w14:paraId="63C59D38">
            <w:pPr>
              <w:keepNext w:val="0"/>
              <w:keepLines w:val="0"/>
              <w:suppressLineNumbers w:val="0"/>
              <w:adjustRightInd w:val="0"/>
              <w:snapToGrid w:val="0"/>
              <w:spacing w:before="0" w:beforeAutospacing="0" w:after="0" w:afterAutospacing="0"/>
              <w:ind w:left="0" w:right="0"/>
              <w:jc w:val="center"/>
              <w:rPr>
                <w:rFonts w:hint="default" w:cs="宋体"/>
                <w:bCs/>
                <w:szCs w:val="21"/>
              </w:rPr>
            </w:pPr>
            <w:r>
              <w:rPr>
                <w:rFonts w:hint="eastAsia" w:cs="宋体"/>
                <w:bCs/>
                <w:spacing w:val="10"/>
                <w:szCs w:val="21"/>
              </w:rPr>
              <w:t>运营期生态环境影响分析</w:t>
            </w:r>
          </w:p>
        </w:tc>
        <w:tc>
          <w:tcPr>
            <w:tcW w:w="8091" w:type="dxa"/>
          </w:tcPr>
          <w:p w14:paraId="68951097">
            <w:pPr>
              <w:pStyle w:val="2"/>
              <w:keepLines w:val="0"/>
              <w:suppressLineNumbers w:val="0"/>
              <w:adjustRightInd w:val="0"/>
              <w:spacing w:before="0" w:beforeAutospacing="0" w:after="0" w:afterAutospacing="0" w:line="520" w:lineRule="exact"/>
              <w:ind w:right="0"/>
              <w:rPr>
                <w:rFonts w:hint="default" w:eastAsia="宋体"/>
                <w:color w:val="auto"/>
                <w:sz w:val="24"/>
                <w:szCs w:val="24"/>
              </w:rPr>
            </w:pPr>
            <w:r>
              <w:rPr>
                <w:rFonts w:hint="default" w:eastAsia="宋体"/>
                <w:color w:val="auto"/>
                <w:sz w:val="24"/>
                <w:szCs w:val="24"/>
              </w:rPr>
              <w:t>1生态环境影响分析</w:t>
            </w:r>
          </w:p>
          <w:p w14:paraId="1F2F0D8A">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本项目为粘土及其他土砂石开采项目</w:t>
            </w:r>
            <w:r>
              <w:rPr>
                <w:rFonts w:hint="eastAsia"/>
                <w:sz w:val="24"/>
                <w:lang w:eastAsia="zh-CN"/>
              </w:rPr>
              <w:t>。</w:t>
            </w:r>
            <w:r>
              <w:rPr>
                <w:rFonts w:hint="eastAsia"/>
                <w:sz w:val="24"/>
                <w:lang w:val="en-US" w:eastAsia="zh-CN"/>
              </w:rPr>
              <w:t>项目区</w:t>
            </w:r>
            <w:r>
              <w:rPr>
                <w:rFonts w:hint="default"/>
                <w:sz w:val="24"/>
              </w:rPr>
              <w:t>属</w:t>
            </w:r>
            <w:r>
              <w:rPr>
                <w:rFonts w:hint="default"/>
                <w:sz w:val="24"/>
                <w:lang w:val="en-US" w:eastAsia="zh-CN"/>
              </w:rPr>
              <w:t>低中山侵蚀地形地貌</w:t>
            </w:r>
            <w:r>
              <w:rPr>
                <w:rFonts w:hint="default"/>
                <w:sz w:val="24"/>
              </w:rPr>
              <w:t>，属</w:t>
            </w:r>
            <w:r>
              <w:rPr>
                <w:rFonts w:hint="default"/>
                <w:sz w:val="24"/>
                <w:lang w:val="zh-CN"/>
              </w:rPr>
              <w:t>典型</w:t>
            </w:r>
            <w:r>
              <w:rPr>
                <w:rFonts w:hint="default"/>
                <w:sz w:val="24"/>
              </w:rPr>
              <w:t>暖温带</w:t>
            </w:r>
            <w:r>
              <w:rPr>
                <w:rFonts w:hint="default"/>
                <w:sz w:val="24"/>
                <w:lang w:val="zh-CN"/>
              </w:rPr>
              <w:t>大陆性干旱气候</w:t>
            </w:r>
            <w:r>
              <w:rPr>
                <w:rFonts w:hint="default"/>
                <w:sz w:val="24"/>
              </w:rPr>
              <w:t>，夏季长而炎热，冬季短而干冷，降水稀少，蒸发强烈，矿区范围</w:t>
            </w:r>
            <w:r>
              <w:rPr>
                <w:rFonts w:hint="eastAsia"/>
                <w:sz w:val="24"/>
              </w:rPr>
              <w:t>土地现状为</w:t>
            </w:r>
            <w:r>
              <w:rPr>
                <w:rFonts w:hint="default"/>
                <w:sz w:val="24"/>
              </w:rPr>
              <w:t>裸</w:t>
            </w:r>
            <w:r>
              <w:rPr>
                <w:rFonts w:hint="eastAsia"/>
                <w:sz w:val="24"/>
              </w:rPr>
              <w:t>岩石地质</w:t>
            </w:r>
            <w:r>
              <w:rPr>
                <w:rFonts w:hint="default"/>
                <w:sz w:val="24"/>
              </w:rPr>
              <w:t>，自然植物种类、数量</w:t>
            </w:r>
            <w:r>
              <w:rPr>
                <w:rFonts w:hint="eastAsia"/>
                <w:sz w:val="24"/>
                <w:lang w:val="en-US" w:eastAsia="zh-CN"/>
              </w:rPr>
              <w:t>都</w:t>
            </w:r>
            <w:r>
              <w:rPr>
                <w:rFonts w:hint="default"/>
                <w:sz w:val="24"/>
              </w:rPr>
              <w:t>较少，</w:t>
            </w:r>
            <w:r>
              <w:rPr>
                <w:rFonts w:hint="eastAsia"/>
                <w:sz w:val="24"/>
                <w:lang w:val="en-US" w:eastAsia="zh-CN"/>
              </w:rPr>
              <w:t>多为</w:t>
            </w:r>
            <w:r>
              <w:rPr>
                <w:rFonts w:hint="default"/>
                <w:sz w:val="24"/>
              </w:rPr>
              <w:t>一些矮小植物（骆驼</w:t>
            </w:r>
            <w:r>
              <w:rPr>
                <w:rFonts w:hint="eastAsia"/>
                <w:sz w:val="24"/>
                <w:lang w:val="en-US" w:eastAsia="zh-CN"/>
              </w:rPr>
              <w:t>刺</w:t>
            </w:r>
            <w:r>
              <w:rPr>
                <w:rFonts w:hint="eastAsia"/>
                <w:sz w:val="24"/>
                <w:lang w:eastAsia="zh-CN"/>
              </w:rPr>
              <w:t>、</w:t>
            </w:r>
            <w:r>
              <w:rPr>
                <w:rFonts w:hint="eastAsia"/>
                <w:sz w:val="24"/>
                <w:lang w:val="en-US" w:eastAsia="zh-CN"/>
              </w:rPr>
              <w:t>麻黄草、盐爪爪、驼蹄瓣</w:t>
            </w:r>
            <w:r>
              <w:rPr>
                <w:rFonts w:hint="default"/>
                <w:sz w:val="24"/>
              </w:rPr>
              <w:t>）和其他极耐旱植物，植被覆盖率</w:t>
            </w:r>
            <w:r>
              <w:rPr>
                <w:rFonts w:hint="eastAsia"/>
                <w:sz w:val="24"/>
                <w:lang w:val="en-US" w:eastAsia="zh-CN"/>
              </w:rPr>
              <w:t>较低</w:t>
            </w:r>
            <w:r>
              <w:rPr>
                <w:rFonts w:hint="default"/>
                <w:sz w:val="24"/>
              </w:rPr>
              <w:t>。本项目矿区开采方式为露天开采，开采阶段会对生态环境造成影响。</w:t>
            </w:r>
          </w:p>
          <w:p w14:paraId="0D71EC1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根据对工程特点及环境特征的分析，工程在运行过程中对生态环境产生的影响主要如下。</w:t>
            </w:r>
          </w:p>
          <w:p w14:paraId="219E373D">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sz w:val="24"/>
              </w:rPr>
            </w:pPr>
            <w:r>
              <w:rPr>
                <w:rFonts w:hint="eastAsia"/>
                <w:b/>
                <w:bCs/>
                <w:sz w:val="24"/>
              </w:rPr>
              <w:t>1.1</w:t>
            </w:r>
            <w:r>
              <w:rPr>
                <w:rFonts w:hint="eastAsia"/>
                <w:b/>
                <w:bCs/>
                <w:sz w:val="24"/>
                <w:lang w:val="en-US" w:eastAsia="zh-CN"/>
              </w:rPr>
              <w:t>占地</w:t>
            </w:r>
            <w:r>
              <w:rPr>
                <w:rFonts w:hint="eastAsia"/>
                <w:b/>
                <w:bCs/>
                <w:sz w:val="24"/>
              </w:rPr>
              <w:t>影响分析</w:t>
            </w:r>
          </w:p>
          <w:p w14:paraId="203D8882">
            <w:pPr>
              <w:keepNext w:val="0"/>
              <w:keepLines w:val="0"/>
              <w:suppressLineNumbers w:val="0"/>
              <w:adjustRightInd w:val="0"/>
              <w:snapToGrid w:val="0"/>
              <w:spacing w:before="0" w:beforeAutospacing="0" w:after="0" w:afterAutospacing="0" w:line="520" w:lineRule="exact"/>
              <w:ind w:left="0" w:right="0" w:firstLine="480" w:firstLineChars="200"/>
              <w:rPr>
                <w:rFonts w:hint="eastAsia"/>
                <w:sz w:val="24"/>
              </w:rPr>
            </w:pPr>
            <w:r>
              <w:rPr>
                <w:rFonts w:hint="eastAsia"/>
                <w:sz w:val="24"/>
              </w:rPr>
              <w:t>本项目运营期占地主要是设备区、生活区、采矿场与废石堆场及其附属设施</w:t>
            </w:r>
            <w:r>
              <w:rPr>
                <w:rFonts w:hint="eastAsia"/>
                <w:sz w:val="24"/>
                <w:lang w:eastAsia="zh-CN"/>
              </w:rPr>
              <w:t>；</w:t>
            </w:r>
            <w:r>
              <w:rPr>
                <w:rFonts w:hint="eastAsia"/>
                <w:sz w:val="24"/>
                <w:lang w:val="en-US" w:eastAsia="zh-CN"/>
              </w:rPr>
              <w:t>项目占地将改变原有地形地貌</w:t>
            </w:r>
            <w:r>
              <w:rPr>
                <w:rFonts w:hint="eastAsia"/>
                <w:sz w:val="24"/>
              </w:rPr>
              <w:t>。</w:t>
            </w:r>
          </w:p>
          <w:p w14:paraId="2995FFB3">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eastAsia"/>
                <w:sz w:val="24"/>
              </w:rPr>
              <w:t>本次开采活动为露天开采，最低开采标高</w:t>
            </w:r>
            <w:r>
              <w:rPr>
                <w:rFonts w:hint="eastAsia"/>
                <w:sz w:val="24"/>
                <w:lang w:val="en-US" w:eastAsia="zh-CN"/>
              </w:rPr>
              <w:t>1920</w:t>
            </w:r>
            <w:r>
              <w:rPr>
                <w:rFonts w:hint="eastAsia"/>
                <w:sz w:val="24"/>
              </w:rPr>
              <w:t>m、最高开采标高</w:t>
            </w:r>
            <w:r>
              <w:rPr>
                <w:rFonts w:hint="eastAsia"/>
                <w:sz w:val="24"/>
                <w:lang w:val="en-US" w:eastAsia="zh-CN"/>
              </w:rPr>
              <w:t>2062</w:t>
            </w:r>
            <w:r>
              <w:rPr>
                <w:rFonts w:hint="eastAsia"/>
                <w:sz w:val="24"/>
              </w:rPr>
              <w:t>m，在矿体开采过程和开采结束后，矿区原有的表面形态将从整体区域平坦转变为凹陷采坑。</w:t>
            </w:r>
          </w:p>
          <w:p w14:paraId="65A35E90">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sz w:val="24"/>
              </w:rPr>
            </w:pPr>
            <w:r>
              <w:rPr>
                <w:rFonts w:hint="eastAsia"/>
                <w:b/>
                <w:bCs/>
                <w:sz w:val="24"/>
              </w:rPr>
              <w:t>1.2</w:t>
            </w:r>
            <w:r>
              <w:rPr>
                <w:rFonts w:hint="default"/>
                <w:b/>
                <w:bCs/>
                <w:sz w:val="24"/>
              </w:rPr>
              <w:t>植物的影响</w:t>
            </w:r>
          </w:p>
          <w:p w14:paraId="6E678708">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该项目在营运过程中，机械的碾压、建筑材料的占压、人员踩踏以及建筑物基础等都将不可避免对占地区域植被造成破坏性的影响。采矿、加工活动致使项目区转化为人工裸地，导致植被生产能力下降，植被覆盖度降低。</w:t>
            </w:r>
          </w:p>
          <w:p w14:paraId="48B229B8">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sz w:val="24"/>
              </w:rPr>
            </w:pPr>
            <w:r>
              <w:rPr>
                <w:rFonts w:hint="default"/>
                <w:sz w:val="24"/>
              </w:rPr>
              <w:t>项目区内大面积基岩裸露，矿区内自然植物类型单一，种类少，以嗜碱类草本植物为主，每年5～7月在该区域生长，施工活动致使项目区转化为人工裸地，导致植被生产能力下降，植被覆盖度降低。</w:t>
            </w:r>
            <w:r>
              <w:rPr>
                <w:rFonts w:hint="default"/>
                <w:bCs/>
                <w:color w:val="000000"/>
                <w:sz w:val="24"/>
              </w:rPr>
              <w:t>矿</w:t>
            </w:r>
            <w:r>
              <w:rPr>
                <w:rFonts w:hint="default"/>
                <w:sz w:val="24"/>
              </w:rPr>
              <w:t>区以及矿区运输道路两侧区域地表以砾质戈壁为主，植被发育较差，覆盖度</w:t>
            </w:r>
            <w:r>
              <w:rPr>
                <w:rFonts w:hint="eastAsia"/>
                <w:sz w:val="24"/>
                <w:lang w:val="en-US" w:eastAsia="zh-CN"/>
              </w:rPr>
              <w:t>约为</w:t>
            </w:r>
            <w:r>
              <w:rPr>
                <w:rFonts w:hint="default"/>
                <w:sz w:val="24"/>
              </w:rPr>
              <w:t>5％。矿区区域植物群种类</w:t>
            </w:r>
            <w:r>
              <w:rPr>
                <w:rFonts w:hint="eastAsia"/>
                <w:sz w:val="24"/>
                <w:lang w:val="en-US" w:eastAsia="zh-CN"/>
              </w:rPr>
              <w:t>少</w:t>
            </w:r>
            <w:r>
              <w:rPr>
                <w:rFonts w:hint="default"/>
                <w:sz w:val="24"/>
              </w:rPr>
              <w:t>，没有保护植物。施工期间弃土等的临时堆放会对植被产生一定的负面影响，工程建设将造成地表植被和植被土层的破坏，工程建设区和临时占用土地区域应尽量减少和避免工程区域内植被的人为破坏</w:t>
            </w:r>
            <w:r>
              <w:rPr>
                <w:rFonts w:hint="eastAsia"/>
                <w:sz w:val="24"/>
              </w:rPr>
              <w:t>。</w:t>
            </w:r>
            <w:r>
              <w:rPr>
                <w:rFonts w:hint="default"/>
                <w:sz w:val="24"/>
              </w:rPr>
              <w:t>由于植物生</w:t>
            </w:r>
            <w:r>
              <w:rPr>
                <w:rFonts w:hint="eastAsia"/>
                <w:sz w:val="24"/>
                <w:lang w:val="en-US" w:eastAsia="zh-CN"/>
              </w:rPr>
              <w:t>长环</w:t>
            </w:r>
            <w:r>
              <w:rPr>
                <w:rFonts w:hint="default"/>
                <w:sz w:val="24"/>
              </w:rPr>
              <w:t>境</w:t>
            </w:r>
            <w:r>
              <w:rPr>
                <w:rFonts w:hint="eastAsia"/>
                <w:sz w:val="24"/>
                <w:lang w:val="en-US" w:eastAsia="zh-CN"/>
              </w:rPr>
              <w:t>被</w:t>
            </w:r>
            <w:r>
              <w:rPr>
                <w:rFonts w:hint="default"/>
                <w:sz w:val="24"/>
              </w:rPr>
              <w:t>破坏，植被覆盖率降低，植物生产能力下降，生物多样性降低，从而导致环境功能的下降。对植被的影响主要有以下两个方面：</w:t>
            </w:r>
          </w:p>
          <w:p w14:paraId="4A2659F7">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sz w:val="24"/>
              </w:rPr>
            </w:pPr>
            <w:r>
              <w:rPr>
                <w:rFonts w:hint="default"/>
                <w:sz w:val="24"/>
              </w:rPr>
              <w:t>①矿区营运过程中产生的悬浮微粒自然沉降在周围植物的叶片上，阻塞气孔，影响植物呼吸和光合作用，有碍植物生长。通过及时</w:t>
            </w:r>
            <w:r>
              <w:rPr>
                <w:rFonts w:hint="eastAsia"/>
                <w:sz w:val="24"/>
              </w:rPr>
              <w:t>洒水</w:t>
            </w:r>
            <w:r>
              <w:rPr>
                <w:rFonts w:hint="default"/>
                <w:sz w:val="24"/>
              </w:rPr>
              <w:t>降尘以及保持表面含水率等措施，可以有效防止扬尘的产生。</w:t>
            </w:r>
          </w:p>
          <w:p w14:paraId="774FCFA3">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sz w:val="24"/>
              </w:rPr>
            </w:pPr>
            <w:r>
              <w:rPr>
                <w:rFonts w:hint="default"/>
                <w:sz w:val="24"/>
              </w:rPr>
              <w:t>②固定矿区内的运输路线。在营运过程中，如果缺乏规范和约束，过往车辆和工作人员会对项目区内的植被随意碾压和践踏，造成土壤板结、物种多样性降低。</w:t>
            </w:r>
          </w:p>
          <w:p w14:paraId="2ABB7964">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生物损失量核算</w:t>
            </w:r>
          </w:p>
          <w:p w14:paraId="498CAC04">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本项目</w:t>
            </w:r>
            <w:r>
              <w:rPr>
                <w:rFonts w:hint="eastAsia"/>
                <w:sz w:val="24"/>
                <w:lang w:val="en-US" w:eastAsia="zh-CN"/>
              </w:rPr>
              <w:t>永久</w:t>
            </w:r>
            <w:r>
              <w:rPr>
                <w:rFonts w:hint="default"/>
                <w:sz w:val="24"/>
              </w:rPr>
              <w:t>占地</w:t>
            </w:r>
            <w:r>
              <w:rPr>
                <w:rFonts w:hint="eastAsia"/>
                <w:sz w:val="24"/>
                <w:lang w:val="en-US" w:eastAsia="zh-CN"/>
              </w:rPr>
              <w:t>31.327</w:t>
            </w:r>
            <w:r>
              <w:rPr>
                <w:rFonts w:hint="eastAsia"/>
                <w:sz w:val="24"/>
              </w:rPr>
              <w:t>hm</w:t>
            </w:r>
            <w:r>
              <w:rPr>
                <w:rFonts w:hint="eastAsia"/>
                <w:sz w:val="24"/>
                <w:vertAlign w:val="superscript"/>
              </w:rPr>
              <w:t>2</w:t>
            </w:r>
            <w:r>
              <w:rPr>
                <w:rFonts w:hint="eastAsia"/>
                <w:sz w:val="24"/>
              </w:rPr>
              <w:t>，占地区植被类型</w:t>
            </w:r>
            <w:r>
              <w:rPr>
                <w:rFonts w:hint="default"/>
                <w:sz w:val="24"/>
              </w:rPr>
              <w:t>以荒漠植被为主，</w:t>
            </w:r>
            <w:r>
              <w:rPr>
                <w:rFonts w:hint="eastAsia"/>
                <w:sz w:val="24"/>
              </w:rPr>
              <w:t>永久占地</w:t>
            </w:r>
            <w:r>
              <w:rPr>
                <w:rFonts w:hint="default"/>
                <w:sz w:val="24"/>
              </w:rPr>
              <w:t>会导致生物量损失。生物量损失按下式计算：</w:t>
            </w:r>
          </w:p>
          <w:p w14:paraId="54ABA2C4">
            <w:pPr>
              <w:keepNext w:val="0"/>
              <w:keepLines w:val="0"/>
              <w:suppressLineNumbers w:val="0"/>
              <w:adjustRightInd w:val="0"/>
              <w:snapToGrid w:val="0"/>
              <w:spacing w:before="0" w:beforeAutospacing="0" w:after="0" w:afterAutospacing="0" w:line="480" w:lineRule="exact"/>
              <w:ind w:left="0" w:right="0"/>
              <w:jc w:val="center"/>
              <w:rPr>
                <w:rFonts w:hint="default"/>
                <w:sz w:val="24"/>
              </w:rPr>
            </w:pPr>
            <w:r>
              <w:rPr>
                <w:rFonts w:hint="default"/>
                <w:sz w:val="24"/>
              </w:rPr>
              <w:t>Y=Si</w:t>
            </w:r>
            <w:r>
              <w:rPr>
                <w:rFonts w:hint="eastAsia"/>
                <w:sz w:val="24"/>
              </w:rPr>
              <w:t>·</w:t>
            </w:r>
            <w:r>
              <w:rPr>
                <w:rFonts w:hint="default"/>
                <w:sz w:val="24"/>
              </w:rPr>
              <w:t>Wi</w:t>
            </w:r>
          </w:p>
          <w:p w14:paraId="230173B1">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式中，Y——永久性生物量损失，t；</w:t>
            </w:r>
          </w:p>
          <w:p w14:paraId="5186E432">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default"/>
                <w:sz w:val="24"/>
              </w:rPr>
              <w:t>Si——占地面积，hm</w:t>
            </w:r>
            <w:r>
              <w:rPr>
                <w:rFonts w:hint="default"/>
                <w:sz w:val="24"/>
                <w:vertAlign w:val="superscript"/>
              </w:rPr>
              <w:t>2</w:t>
            </w:r>
            <w:r>
              <w:rPr>
                <w:rFonts w:hint="default"/>
                <w:sz w:val="24"/>
              </w:rPr>
              <w:t>；</w:t>
            </w:r>
          </w:p>
          <w:p w14:paraId="5C4A717E">
            <w:pPr>
              <w:keepNext w:val="0"/>
              <w:keepLines w:val="0"/>
              <w:suppressLineNumbers w:val="0"/>
              <w:adjustRightInd w:val="0"/>
              <w:snapToGrid w:val="0"/>
              <w:spacing w:before="0" w:beforeAutospacing="0" w:after="0" w:afterAutospacing="0" w:line="480" w:lineRule="exact"/>
              <w:ind w:left="0" w:right="0" w:firstLine="480" w:firstLineChars="200"/>
              <w:jc w:val="left"/>
              <w:rPr>
                <w:rFonts w:hint="eastAsia" w:eastAsia="宋体"/>
                <w:sz w:val="24"/>
                <w:lang w:eastAsia="zh-CN"/>
              </w:rPr>
            </w:pPr>
            <w:r>
              <w:rPr>
                <w:rFonts w:hint="default"/>
                <w:sz w:val="24"/>
              </w:rPr>
              <w:t>Wi——单位面积生物量，t/hm</w:t>
            </w:r>
            <w:r>
              <w:rPr>
                <w:rFonts w:hint="default"/>
                <w:sz w:val="24"/>
                <w:vertAlign w:val="superscript"/>
              </w:rPr>
              <w:t>2</w:t>
            </w:r>
            <w:r>
              <w:rPr>
                <w:rFonts w:hint="eastAsia"/>
                <w:sz w:val="24"/>
                <w:lang w:eastAsia="zh-CN"/>
              </w:rPr>
              <w:t>；</w:t>
            </w:r>
          </w:p>
          <w:p w14:paraId="764D1E7E">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sz w:val="24"/>
              </w:rPr>
            </w:pPr>
            <w:r>
              <w:rPr>
                <w:rFonts w:hint="eastAsia"/>
                <w:sz w:val="24"/>
                <w:lang w:val="en-US" w:eastAsia="zh-CN"/>
              </w:rPr>
              <w:t>永久</w:t>
            </w:r>
            <w:r>
              <w:rPr>
                <w:rFonts w:hint="default"/>
                <w:sz w:val="24"/>
              </w:rPr>
              <w:t>占地区域占地主要为荒漠，植被主要为骆驼刺、</w:t>
            </w:r>
            <w:r>
              <w:rPr>
                <w:rFonts w:hint="default"/>
                <w:sz w:val="24"/>
                <w:lang w:val="en-US" w:eastAsia="zh-CN"/>
              </w:rPr>
              <w:t>麻黄草、盐爪爪、驼蹄瓣</w:t>
            </w:r>
            <w:r>
              <w:rPr>
                <w:rFonts w:hint="default"/>
                <w:sz w:val="24"/>
              </w:rPr>
              <w:t>，植被覆盖度</w:t>
            </w:r>
            <w:r>
              <w:rPr>
                <w:rFonts w:hint="eastAsia"/>
                <w:sz w:val="24"/>
                <w:lang w:val="en-US" w:eastAsia="zh-CN"/>
              </w:rPr>
              <w:t>低</w:t>
            </w:r>
            <w:r>
              <w:rPr>
                <w:rFonts w:hint="default"/>
                <w:sz w:val="24"/>
              </w:rPr>
              <w:t>，平均生物量0.18t/hm</w:t>
            </w:r>
            <w:r>
              <w:rPr>
                <w:rFonts w:hint="default"/>
                <w:sz w:val="24"/>
                <w:vertAlign w:val="superscript"/>
              </w:rPr>
              <w:t>2</w:t>
            </w:r>
            <w:r>
              <w:rPr>
                <w:rFonts w:hint="default"/>
                <w:sz w:val="24"/>
              </w:rPr>
              <w:t>。项目的实施，将造成</w:t>
            </w:r>
            <w:r>
              <w:rPr>
                <w:rFonts w:hint="eastAsia"/>
                <w:sz w:val="24"/>
                <w:lang w:val="en-US" w:eastAsia="zh-CN"/>
              </w:rPr>
              <w:t>5.64</w:t>
            </w:r>
            <w:r>
              <w:rPr>
                <w:rFonts w:hint="default"/>
                <w:sz w:val="24"/>
              </w:rPr>
              <w:t>t</w:t>
            </w:r>
            <w:r>
              <w:rPr>
                <w:rFonts w:hint="eastAsia"/>
                <w:sz w:val="24"/>
              </w:rPr>
              <w:t>永久</w:t>
            </w:r>
            <w:r>
              <w:rPr>
                <w:rFonts w:hint="eastAsia"/>
                <w:sz w:val="24"/>
                <w:lang w:val="en-US" w:eastAsia="zh-CN"/>
              </w:rPr>
              <w:t>生物量</w:t>
            </w:r>
            <w:r>
              <w:rPr>
                <w:rFonts w:hint="default"/>
                <w:sz w:val="24"/>
              </w:rPr>
              <w:t>损失。</w:t>
            </w:r>
          </w:p>
          <w:p w14:paraId="53A07CE2">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sz w:val="24"/>
              </w:rPr>
            </w:pPr>
            <w:r>
              <w:rPr>
                <w:rFonts w:hint="default"/>
                <w:sz w:val="24"/>
              </w:rPr>
              <w:t>通过收集项目区当地资料并结合现场调查的情况来看，项目区内部及周围没有珍稀濒危及受保护的植物物种。本项目开采的矿山所在区域植被稀疏，植被类型简单、覆盖率较低且没有珍稀濒危物种分布，因此，该项目的建设对整个项目区植被的群落组成、覆盖度、频率、密度以及连续性等影响在可接受范围内。</w:t>
            </w:r>
          </w:p>
          <w:p w14:paraId="37B5E28C">
            <w:pPr>
              <w:keepNext w:val="0"/>
              <w:keepLines w:val="0"/>
              <w:suppressLineNumbers w:val="0"/>
              <w:adjustRightInd w:val="0"/>
              <w:snapToGrid w:val="0"/>
              <w:spacing w:before="0" w:beforeAutospacing="0" w:after="0" w:afterAutospacing="0" w:line="520" w:lineRule="exact"/>
              <w:ind w:left="0" w:right="0" w:firstLine="482" w:firstLineChars="200"/>
              <w:rPr>
                <w:rFonts w:hint="default"/>
                <w:b/>
                <w:sz w:val="24"/>
              </w:rPr>
            </w:pPr>
            <w:r>
              <w:rPr>
                <w:rFonts w:hint="default"/>
                <w:b/>
                <w:sz w:val="24"/>
              </w:rPr>
              <w:t>1.</w:t>
            </w:r>
            <w:r>
              <w:rPr>
                <w:rFonts w:hint="eastAsia"/>
                <w:b/>
                <w:sz w:val="24"/>
              </w:rPr>
              <w:t>2</w:t>
            </w:r>
            <w:r>
              <w:rPr>
                <w:rFonts w:hint="default"/>
                <w:b/>
                <w:sz w:val="24"/>
              </w:rPr>
              <w:t>土壤环境影响</w:t>
            </w:r>
          </w:p>
          <w:p w14:paraId="03CEECF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本项目土地类型为裸岩石砾地，土壤为盐漠泥砂土，表层土壤量稀少。砂石开采过程中，对土壤的影响主要是对土壤的碾压以及各种活动扰动地表，降低土壤抗侵蚀能力，破坏土壤结构，降低土壤肥力，由于土层扰乱以及对土壤肥力和性质的破坏，使占地区土壤失去其原有的植物生长能力。引发水土流失，临时占地将改变区域土地利用功能，废</w:t>
            </w:r>
            <w:r>
              <w:rPr>
                <w:rFonts w:hint="eastAsia"/>
                <w:sz w:val="24"/>
                <w:lang w:val="en-US" w:eastAsia="zh-CN"/>
              </w:rPr>
              <w:t>土及废</w:t>
            </w:r>
            <w:r>
              <w:rPr>
                <w:rFonts w:hint="default"/>
                <w:sz w:val="24"/>
              </w:rPr>
              <w:t>石的堆放占用土地，改变土地使用功能和生态景观等。本项目对土壤的影响主要表现为对土壤性质和土壤污染两个方面。</w:t>
            </w:r>
          </w:p>
          <w:p w14:paraId="2BA73E24">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①土壤性质影响</w:t>
            </w:r>
          </w:p>
          <w:p w14:paraId="691983B6">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在砂石开采过程中，砂石的开挖、堆放以及运输车辆的碾压等活动都将对土壤理化性质产生影响。</w:t>
            </w:r>
          </w:p>
          <w:p w14:paraId="7C5293D0">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②土壤污染影响</w:t>
            </w:r>
          </w:p>
          <w:p w14:paraId="3B740927">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本项目采矿区产生的生活垃圾、污水，包括工作人员的一次性餐具、饮料瓶等废物残留于土壤中，这些在土壤中难以生物降解的固体废物，影响植物的生长。因此，采矿区必须对固体废物实施严格的管理措施，进行统一回收和专门处理，不得随意抛撒。</w:t>
            </w:r>
          </w:p>
          <w:p w14:paraId="4BA3BECB">
            <w:pPr>
              <w:keepNext w:val="0"/>
              <w:keepLines w:val="0"/>
              <w:suppressLineNumbers w:val="0"/>
              <w:adjustRightInd w:val="0"/>
              <w:snapToGrid w:val="0"/>
              <w:spacing w:before="0" w:beforeAutospacing="0" w:after="0" w:afterAutospacing="0" w:line="520" w:lineRule="exact"/>
              <w:ind w:left="0" w:right="0" w:firstLine="482" w:firstLineChars="200"/>
              <w:rPr>
                <w:rFonts w:hint="default"/>
                <w:sz w:val="24"/>
              </w:rPr>
            </w:pPr>
            <w:r>
              <w:rPr>
                <w:rFonts w:hint="eastAsia"/>
                <w:b/>
                <w:sz w:val="24"/>
              </w:rPr>
              <w:t>1.3</w:t>
            </w:r>
            <w:r>
              <w:rPr>
                <w:rFonts w:hint="default"/>
                <w:b/>
                <w:sz w:val="24"/>
              </w:rPr>
              <w:t>生物栖息环境影响</w:t>
            </w:r>
          </w:p>
          <w:p w14:paraId="06ACC894">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采矿工程对地表破坏的同时，也破坏了原有生态环</w:t>
            </w:r>
            <w:r>
              <w:rPr>
                <w:rFonts w:hint="eastAsia"/>
                <w:sz w:val="24"/>
                <w:lang w:eastAsia="zh-CN"/>
              </w:rPr>
              <w:t>境和</w:t>
            </w:r>
            <w:r>
              <w:rPr>
                <w:rFonts w:hint="default"/>
                <w:sz w:val="24"/>
              </w:rPr>
              <w:t>小型野生动物的栖息环境，加上矿区生产机械设备噪声及人员活动产生的影响，对周围动物的生活造成干扰，使它们的生活受到威胁而迁徙，远离矿区周围，缩小了活动范围。小型野生动物主要为伴人性鸟类和啮齿类、爬行类动物在直接影响区，动物将不会出现。因此，矿山开采对评价区小型野生动物的类型及数量会产生一定负面影响。因此，矿山生产不会造成该区域某一物种消失，对这些动物的生存影响较小。</w:t>
            </w:r>
          </w:p>
          <w:p w14:paraId="151EFA45">
            <w:pPr>
              <w:keepNext w:val="0"/>
              <w:keepLines w:val="0"/>
              <w:suppressLineNumbers w:val="0"/>
              <w:adjustRightInd w:val="0"/>
              <w:snapToGrid w:val="0"/>
              <w:spacing w:before="0" w:beforeAutospacing="0" w:after="0" w:afterAutospacing="0" w:line="520" w:lineRule="exact"/>
              <w:ind w:left="0" w:right="0" w:firstLine="482" w:firstLineChars="200"/>
              <w:rPr>
                <w:rFonts w:hint="default"/>
                <w:b/>
                <w:sz w:val="24"/>
              </w:rPr>
            </w:pPr>
            <w:r>
              <w:rPr>
                <w:rFonts w:hint="eastAsia"/>
                <w:b/>
                <w:sz w:val="24"/>
              </w:rPr>
              <w:t>1.4</w:t>
            </w:r>
            <w:r>
              <w:rPr>
                <w:rFonts w:hint="default"/>
                <w:b/>
                <w:sz w:val="24"/>
              </w:rPr>
              <w:t>自然景观影响</w:t>
            </w:r>
          </w:p>
          <w:p w14:paraId="0395C84C">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项目评价区范围内无自然风景区和名胜古迹，矿区范围内无珍稀植物及古树名木，无风景名胜及特殊文物保护单位等视觉景观敏感点。因此对于较大范围的生态景观，以及景区风貌来说，影响面很小。由于矿山开采破坏原有地形地貌，改变原有地表形态，破坏了原有区域自然景观的整体性，造成采区与周围自然景观环境的不协调，使原来的自然景观类型变为工业场地、挖损、堆垫、道路等人工景观，对区域景观生态产生暂时不利的影响。项目营运期</w:t>
            </w:r>
            <w:r>
              <w:rPr>
                <w:rFonts w:hint="eastAsia"/>
                <w:sz w:val="24"/>
              </w:rPr>
              <w:t>地表植被</w:t>
            </w:r>
            <w:r>
              <w:rPr>
                <w:rFonts w:hint="default"/>
                <w:sz w:val="24"/>
              </w:rPr>
              <w:t>不可避免产生</w:t>
            </w:r>
            <w:r>
              <w:rPr>
                <w:rFonts w:hint="default"/>
                <w:sz w:val="24"/>
                <w:lang w:val="zh-CN"/>
              </w:rPr>
              <w:t>不同程度的破坏，在短期内成为与原有生态景观不协调的“裸地”或“疮疤”斑块，</w:t>
            </w:r>
            <w:r>
              <w:rPr>
                <w:rFonts w:hint="default"/>
                <w:sz w:val="24"/>
              </w:rPr>
              <w:t>另外施工现场的暴露、建筑垃圾的堆存也影响区域景观，</w:t>
            </w:r>
            <w:r>
              <w:rPr>
                <w:rFonts w:hint="default"/>
                <w:sz w:val="24"/>
                <w:lang w:val="zh-CN"/>
              </w:rPr>
              <w:t>对整体生态景观形成不和谐的视觉效果，造成较为明显的不利影响</w:t>
            </w:r>
            <w:r>
              <w:rPr>
                <w:rFonts w:hint="default"/>
                <w:sz w:val="24"/>
              </w:rPr>
              <w:t>。但是随着复垦工程的实施，采坑的逐步回填，复垦工程完成，对该区域的景观环境的影响较小。</w:t>
            </w:r>
          </w:p>
          <w:p w14:paraId="573DC670">
            <w:pPr>
              <w:keepNext w:val="0"/>
              <w:keepLines w:val="0"/>
              <w:suppressLineNumbers w:val="0"/>
              <w:adjustRightInd w:val="0"/>
              <w:snapToGrid w:val="0"/>
              <w:spacing w:before="0" w:beforeAutospacing="0" w:after="0" w:afterAutospacing="0" w:line="520" w:lineRule="exact"/>
              <w:ind w:left="0" w:right="0" w:firstLine="482" w:firstLineChars="200"/>
              <w:rPr>
                <w:rFonts w:hint="default"/>
                <w:b/>
                <w:sz w:val="24"/>
              </w:rPr>
            </w:pPr>
            <w:r>
              <w:rPr>
                <w:rFonts w:hint="default"/>
                <w:b/>
                <w:sz w:val="24"/>
              </w:rPr>
              <w:t>1.</w:t>
            </w:r>
            <w:r>
              <w:rPr>
                <w:rFonts w:hint="eastAsia"/>
                <w:b/>
                <w:sz w:val="24"/>
              </w:rPr>
              <w:t>5</w:t>
            </w:r>
            <w:r>
              <w:rPr>
                <w:rFonts w:hint="default"/>
                <w:b/>
                <w:sz w:val="24"/>
              </w:rPr>
              <w:t>水土流失的影响分析</w:t>
            </w:r>
          </w:p>
          <w:p w14:paraId="22136DD8">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本项目的水土流失主要集中在开采期。矿山矿石的采掘将破坏地表结构，随着开采深度的加大，将破坏矿山天然稳定的褶皱、岩层性质，部分地质条件差、稳定性差的裸露边坡如遇暴雨天气，可能产生坍塌、滑坡等严重水土流失危害，影响矿山的正常开采；另外，矿山开采易产生水土流失。项目矿石开采将破坏地表原有的地表土壤结构，使土壤结构松散，抗侵蚀能力减弱，有可能造成水土流失。因此，在项目开采过程中，如不采取有效的水土保持措施，将进一步引起新的水土流失，影响安全。</w:t>
            </w:r>
          </w:p>
          <w:p w14:paraId="4BD69B52">
            <w:pPr>
              <w:keepNext w:val="0"/>
              <w:keepLines w:val="0"/>
              <w:suppressLineNumbers w:val="0"/>
              <w:adjustRightInd w:val="0"/>
              <w:snapToGrid w:val="0"/>
              <w:spacing w:before="0" w:beforeAutospacing="0" w:after="0" w:afterAutospacing="0" w:line="520" w:lineRule="exact"/>
              <w:ind w:left="0" w:right="0" w:firstLine="482" w:firstLineChars="200"/>
              <w:rPr>
                <w:rFonts w:hint="default"/>
                <w:b/>
                <w:sz w:val="24"/>
              </w:rPr>
            </w:pPr>
            <w:r>
              <w:rPr>
                <w:rFonts w:hint="default"/>
                <w:b/>
                <w:sz w:val="24"/>
              </w:rPr>
              <w:t>1.</w:t>
            </w:r>
            <w:r>
              <w:rPr>
                <w:rFonts w:hint="eastAsia"/>
                <w:b/>
                <w:sz w:val="24"/>
              </w:rPr>
              <w:t>5</w:t>
            </w:r>
            <w:r>
              <w:rPr>
                <w:rFonts w:hint="default"/>
                <w:b/>
                <w:sz w:val="24"/>
              </w:rPr>
              <w:t xml:space="preserve">.1可能造成的水土流失的成因及类型 </w:t>
            </w:r>
          </w:p>
          <w:p w14:paraId="27BCE890">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项目的水土流失呈点状和面状分布，主要表现在以下几方面：</w:t>
            </w:r>
          </w:p>
          <w:p w14:paraId="6D93441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①项目矿山开采活动改变了原有地形地貌、破坏植被、破坏原有水系，裸露区域容易受降雨和地表径流冲刷产生水土流失；</w:t>
            </w:r>
          </w:p>
          <w:p w14:paraId="163447C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②矿山开采破坏地表土壤结构。露天开采需破坏原有具有水保功能的地面，大量的扰动使土壤结构改变，抗蚀力显著降低，在降雨和径流等自然因素作用下极易产生土壤流失。</w:t>
            </w:r>
          </w:p>
          <w:p w14:paraId="42F9464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③项目露天开采，土石方量开发量较大。特别是矿山开采过程中产生大量易于流失的松散土方，为水土流失的发生提供了物源。</w:t>
            </w:r>
          </w:p>
          <w:p w14:paraId="10E65AF6">
            <w:pPr>
              <w:keepNext w:val="0"/>
              <w:keepLines w:val="0"/>
              <w:suppressLineNumbers w:val="0"/>
              <w:adjustRightInd w:val="0"/>
              <w:snapToGrid w:val="0"/>
              <w:spacing w:before="0" w:beforeAutospacing="0" w:after="0" w:afterAutospacing="0" w:line="520" w:lineRule="exact"/>
              <w:ind w:left="0" w:right="0" w:firstLine="482" w:firstLineChars="200"/>
              <w:rPr>
                <w:rFonts w:hint="default"/>
                <w:b/>
                <w:sz w:val="24"/>
              </w:rPr>
            </w:pPr>
            <w:r>
              <w:rPr>
                <w:rFonts w:hint="default"/>
                <w:b/>
                <w:sz w:val="24"/>
              </w:rPr>
              <w:t>1.</w:t>
            </w:r>
            <w:r>
              <w:rPr>
                <w:rFonts w:hint="eastAsia"/>
                <w:b/>
                <w:sz w:val="24"/>
              </w:rPr>
              <w:t>5</w:t>
            </w:r>
            <w:r>
              <w:rPr>
                <w:rFonts w:hint="default"/>
                <w:b/>
                <w:sz w:val="24"/>
              </w:rPr>
              <w:t xml:space="preserve">.2水土流失类型 </w:t>
            </w:r>
          </w:p>
          <w:p w14:paraId="5D13AD7B">
            <w:pPr>
              <w:pStyle w:val="49"/>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rPr>
            </w:pPr>
            <w:r>
              <w:rPr>
                <w:rFonts w:hint="default" w:ascii="Times New Roman" w:hAnsi="Times New Roman" w:cs="Times New Roman"/>
              </w:rPr>
              <w:t>本项目开采过程中，工程占地将改变原有地貌，对原有自然水土保持</w:t>
            </w:r>
            <w:r>
              <w:rPr>
                <w:rFonts w:hint="default" w:ascii="Times New Roman" w:hAnsi="Times New Roman" w:cs="Times New Roman"/>
                <w:lang w:eastAsia="zh-CN"/>
              </w:rPr>
              <w:t>功</w:t>
            </w:r>
            <w:r>
              <w:rPr>
                <w:rFonts w:hint="default" w:ascii="Times New Roman" w:hAnsi="Times New Roman" w:cs="Times New Roman"/>
              </w:rPr>
              <w:t>能造成损坏，降低其水土保持功能，加大原地表水土流失量。其新增水土流失的类型以</w:t>
            </w:r>
            <w:r>
              <w:rPr>
                <w:rFonts w:hint="default" w:ascii="Times New Roman" w:hAnsi="Times New Roman" w:cs="Times New Roman"/>
                <w:lang w:eastAsia="zh-CN"/>
              </w:rPr>
              <w:t>风力</w:t>
            </w:r>
            <w:r>
              <w:rPr>
                <w:rFonts w:hint="default" w:ascii="Times New Roman" w:hAnsi="Times New Roman" w:cs="Times New Roman"/>
              </w:rPr>
              <w:t>侵蚀、</w:t>
            </w:r>
            <w:r>
              <w:rPr>
                <w:rFonts w:hint="default" w:ascii="Times New Roman" w:hAnsi="Times New Roman" w:cs="Times New Roman"/>
                <w:lang w:eastAsia="zh-CN"/>
              </w:rPr>
              <w:t>水力</w:t>
            </w:r>
            <w:r>
              <w:rPr>
                <w:rFonts w:hint="default" w:ascii="Times New Roman" w:hAnsi="Times New Roman" w:cs="Times New Roman"/>
              </w:rPr>
              <w:t>风蚀为主。</w:t>
            </w:r>
          </w:p>
          <w:p w14:paraId="7DE654D3">
            <w:pPr>
              <w:pStyle w:val="49"/>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lang w:eastAsia="zh-CN"/>
              </w:rPr>
            </w:pPr>
            <w:r>
              <w:rPr>
                <w:rFonts w:hint="eastAsia" w:ascii="Times New Roman" w:hAnsi="Times New Roman" w:cs="Times New Roman"/>
                <w:lang w:eastAsia="zh-CN"/>
              </w:rPr>
              <w:t>开采</w:t>
            </w:r>
            <w:r>
              <w:rPr>
                <w:rFonts w:hint="default" w:ascii="Times New Roman" w:hAnsi="Times New Roman" w:cs="Times New Roman"/>
              </w:rPr>
              <w:t>过程中，建筑物开挖作业将破坏原有的地表结构，土方的调运、临时堆放在风、雨的侵蚀下，将不可避免</w:t>
            </w:r>
            <w:r>
              <w:rPr>
                <w:rFonts w:hint="eastAsia" w:ascii="Times New Roman" w:hAnsi="Times New Roman" w:cs="Times New Roman"/>
                <w:lang w:eastAsia="zh-CN"/>
              </w:rPr>
              <w:t>地产生</w:t>
            </w:r>
            <w:r>
              <w:rPr>
                <w:rFonts w:hint="default" w:ascii="Times New Roman" w:hAnsi="Times New Roman" w:cs="Times New Roman"/>
              </w:rPr>
              <w:t>水土流失。且</w:t>
            </w:r>
            <w:r>
              <w:rPr>
                <w:rFonts w:hint="eastAsia" w:ascii="Times New Roman" w:hAnsi="Times New Roman" w:cs="Times New Roman"/>
                <w:lang w:eastAsia="zh-CN"/>
              </w:rPr>
              <w:t>开采</w:t>
            </w:r>
            <w:r>
              <w:rPr>
                <w:rFonts w:hint="default" w:ascii="Times New Roman" w:hAnsi="Times New Roman" w:cs="Times New Roman"/>
              </w:rPr>
              <w:t>活动破坏了地表植被，使原地貌形态、土壤结构发生改变，为水土流失的发生创造了条件和物</w:t>
            </w:r>
            <w:r>
              <w:rPr>
                <w:rFonts w:hint="default" w:ascii="Times New Roman" w:hAnsi="Times New Roman" w:cs="Times New Roman"/>
                <w:lang w:eastAsia="zh-CN"/>
              </w:rPr>
              <w:t>质来源。施工过程中大量土石方移动，在大风、雨天气，极易引起水土流失。其影响主要是工程占压土地和大面积的地表破坏及挖填方的产生，将导致原地貌水土保持功能的破坏，同时施工过程中挖填方及废弃土方的堆置将成为水土流失的物质基础，使其原有水保功能变差，这一切均将导致局部地域水土流失加重。</w:t>
            </w:r>
          </w:p>
          <w:p w14:paraId="6B409F04">
            <w:pPr>
              <w:pStyle w:val="49"/>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bCs/>
                <w:lang w:eastAsia="zh-CN"/>
              </w:rPr>
            </w:pPr>
            <w:r>
              <w:rPr>
                <w:rFonts w:hint="eastAsia" w:ascii="Times New Roman" w:hAnsi="Times New Roman" w:cs="Times New Roman"/>
                <w:b/>
                <w:bCs/>
                <w:lang w:eastAsia="zh-CN"/>
              </w:rPr>
              <w:t>1.6</w:t>
            </w:r>
            <w:r>
              <w:rPr>
                <w:rFonts w:hint="default" w:ascii="Times New Roman" w:hAnsi="Times New Roman" w:cs="Times New Roman"/>
                <w:b/>
                <w:bCs/>
                <w:lang w:eastAsia="zh-CN"/>
              </w:rPr>
              <w:t>防沙治沙影响分析</w:t>
            </w:r>
          </w:p>
          <w:p w14:paraId="0BC05D56">
            <w:pPr>
              <w:pStyle w:val="49"/>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本项目采矿区、工业场地、</w:t>
            </w:r>
            <w:r>
              <w:rPr>
                <w:rFonts w:hint="eastAsia" w:ascii="Times New Roman" w:hAnsi="Times New Roman" w:cs="Times New Roman"/>
                <w:lang w:eastAsia="zh-CN"/>
              </w:rPr>
              <w:t>排土场</w:t>
            </w:r>
            <w:r>
              <w:rPr>
                <w:rFonts w:hint="default" w:ascii="Times New Roman" w:hAnsi="Times New Roman" w:cs="Times New Roman"/>
                <w:lang w:eastAsia="zh-CN"/>
              </w:rPr>
              <w:t>等占用裸地，评价区范围虽无沙化土地，但在施工期及运行期因工程占地等，对原有地表造成扰动，造成地表原有结构的破坏，降低了项目占地范围内的土壤抗侵蚀能力，可能导致土壤的蓄水保肥能力降低，造成土壤逐渐沙化。若未采取相应的防护措施，遇大风天气，极易加重区域沙尘天气。</w:t>
            </w:r>
          </w:p>
          <w:p w14:paraId="649AB80F">
            <w:pPr>
              <w:pStyle w:val="2"/>
              <w:keepLines w:val="0"/>
              <w:suppressLineNumbers w:val="0"/>
              <w:snapToGrid/>
              <w:spacing w:before="0" w:beforeAutospacing="0" w:after="0" w:afterAutospacing="0" w:line="520" w:lineRule="exact"/>
              <w:ind w:right="0"/>
              <w:rPr>
                <w:rFonts w:hint="default" w:eastAsia="宋体"/>
                <w:sz w:val="24"/>
                <w:szCs w:val="24"/>
              </w:rPr>
            </w:pPr>
            <w:r>
              <w:rPr>
                <w:rFonts w:hint="default" w:eastAsia="宋体"/>
                <w:sz w:val="24"/>
                <w:szCs w:val="24"/>
              </w:rPr>
              <w:t>2大气污染影响分析</w:t>
            </w:r>
          </w:p>
          <w:p w14:paraId="1E3ED457">
            <w:pPr>
              <w:keepNext w:val="0"/>
              <w:keepLines w:val="0"/>
              <w:suppressLineNumbers w:val="0"/>
              <w:spacing w:before="0" w:beforeAutospacing="0" w:after="0" w:afterAutospacing="0" w:line="520" w:lineRule="exact"/>
              <w:ind w:left="0" w:right="0" w:firstLine="482" w:firstLineChars="200"/>
              <w:rPr>
                <w:rFonts w:hint="default" w:eastAsia="宋体"/>
                <w:b/>
                <w:bCs/>
                <w:color w:val="auto"/>
                <w:sz w:val="24"/>
                <w:lang w:val="en-US" w:eastAsia="zh-CN"/>
              </w:rPr>
            </w:pPr>
            <w:r>
              <w:rPr>
                <w:rFonts w:hint="default"/>
                <w:b/>
                <w:bCs/>
                <w:color w:val="auto"/>
                <w:sz w:val="24"/>
              </w:rPr>
              <w:t>2.1</w:t>
            </w:r>
            <w:r>
              <w:rPr>
                <w:rFonts w:hint="eastAsia"/>
                <w:b/>
                <w:bCs/>
                <w:color w:val="auto"/>
                <w:sz w:val="24"/>
                <w:lang w:val="en-US" w:eastAsia="zh-CN"/>
              </w:rPr>
              <w:t>钻孔、凿岩产生废气</w:t>
            </w:r>
          </w:p>
          <w:p w14:paraId="29BA67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color w:val="auto"/>
                <w:sz w:val="24"/>
              </w:rPr>
            </w:pPr>
            <w:r>
              <w:rPr>
                <w:rFonts w:hint="default"/>
                <w:color w:val="auto"/>
                <w:sz w:val="24"/>
              </w:rPr>
              <w:t>凿岩钻孔时钻头撞击岩石产生粉尘，根据《逸散性工业粉尘控制技术》</w:t>
            </w:r>
            <w:r>
              <w:rPr>
                <w:rFonts w:hint="eastAsia"/>
                <w:color w:val="auto"/>
                <w:sz w:val="24"/>
                <w:lang w:eastAsia="zh-CN"/>
              </w:rPr>
              <w:t>（</w:t>
            </w:r>
            <w:r>
              <w:rPr>
                <w:rFonts w:hint="default"/>
                <w:color w:val="auto"/>
                <w:sz w:val="24"/>
              </w:rPr>
              <w:t>中国环境科学出版社出版、1989年12月第一版</w:t>
            </w:r>
            <w:r>
              <w:rPr>
                <w:rFonts w:hint="eastAsia"/>
                <w:color w:val="auto"/>
                <w:sz w:val="24"/>
                <w:lang w:eastAsia="zh-CN"/>
              </w:rPr>
              <w:t>）</w:t>
            </w:r>
            <w:r>
              <w:rPr>
                <w:rFonts w:hint="eastAsia"/>
                <w:color w:val="auto"/>
                <w:sz w:val="24"/>
                <w:lang w:val="en-US" w:eastAsia="zh-CN"/>
              </w:rPr>
              <w:t>的数据可知，</w:t>
            </w:r>
            <w:r>
              <w:rPr>
                <w:rFonts w:hint="default"/>
                <w:color w:val="auto"/>
                <w:sz w:val="24"/>
              </w:rPr>
              <w:t>钻孔</w:t>
            </w:r>
            <w:r>
              <w:rPr>
                <w:rFonts w:hint="eastAsia"/>
                <w:color w:val="auto"/>
                <w:sz w:val="24"/>
                <w:lang w:val="en-US" w:eastAsia="zh-CN"/>
              </w:rPr>
              <w:t>时</w:t>
            </w:r>
            <w:r>
              <w:rPr>
                <w:rFonts w:hint="default"/>
                <w:color w:val="auto"/>
                <w:sz w:val="24"/>
              </w:rPr>
              <w:t>逸散尘排放因子为0.004kg/t。本项目年开采矿石</w:t>
            </w:r>
            <w:r>
              <w:rPr>
                <w:rFonts w:hint="eastAsia"/>
                <w:color w:val="auto"/>
                <w:sz w:val="24"/>
                <w:lang w:val="en-US" w:eastAsia="zh-CN"/>
              </w:rPr>
              <w:t>50</w:t>
            </w:r>
            <w:r>
              <w:rPr>
                <w:rFonts w:hint="default"/>
                <w:color w:val="auto"/>
                <w:sz w:val="24"/>
              </w:rPr>
              <w:t>万</w:t>
            </w:r>
            <w:r>
              <w:rPr>
                <w:rFonts w:hint="eastAsia"/>
                <w:color w:val="auto"/>
                <w:sz w:val="24"/>
                <w:lang w:val="en-US" w:eastAsia="zh-CN"/>
              </w:rPr>
              <w:t>t，因此钻孔时逸散尘的产生量为2t/a（0.83kg/h）</w:t>
            </w:r>
            <w:r>
              <w:rPr>
                <w:rFonts w:hint="default"/>
                <w:color w:val="auto"/>
                <w:sz w:val="24"/>
              </w:rPr>
              <w:t>。</w:t>
            </w:r>
          </w:p>
          <w:p w14:paraId="50B920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color w:val="auto"/>
                <w:sz w:val="24"/>
              </w:rPr>
            </w:pPr>
            <w:r>
              <w:rPr>
                <w:rFonts w:hint="default"/>
                <w:color w:val="auto"/>
                <w:sz w:val="24"/>
              </w:rPr>
              <w:t>本项目采用湿式凿岩钻孔机可以</w:t>
            </w:r>
            <w:r>
              <w:rPr>
                <w:rFonts w:hint="eastAsia"/>
                <w:color w:val="auto"/>
                <w:sz w:val="24"/>
                <w:lang w:eastAsia="zh-CN"/>
              </w:rPr>
              <w:t>有效地</w:t>
            </w:r>
            <w:r>
              <w:rPr>
                <w:rFonts w:hint="default"/>
                <w:color w:val="auto"/>
                <w:sz w:val="24"/>
              </w:rPr>
              <w:t>减少粉尘的产生，根据《控制露天矿钻机呼吸性粉尘的新技术》</w:t>
            </w:r>
            <w:r>
              <w:rPr>
                <w:rFonts w:hint="eastAsia"/>
                <w:color w:val="auto"/>
                <w:sz w:val="24"/>
                <w:lang w:eastAsia="zh-CN"/>
              </w:rPr>
              <w:t>（</w:t>
            </w:r>
            <w:r>
              <w:rPr>
                <w:rFonts w:hint="default"/>
                <w:color w:val="auto"/>
                <w:sz w:val="24"/>
              </w:rPr>
              <w:t>赵玉凤，1988</w:t>
            </w:r>
            <w:r>
              <w:rPr>
                <w:rFonts w:hint="eastAsia"/>
                <w:color w:val="auto"/>
                <w:sz w:val="24"/>
                <w:lang w:eastAsia="zh-CN"/>
              </w:rPr>
              <w:t>）</w:t>
            </w:r>
            <w:r>
              <w:rPr>
                <w:rFonts w:hint="default"/>
                <w:color w:val="auto"/>
                <w:sz w:val="24"/>
              </w:rPr>
              <w:t>，湿式钻孔抑尘效率约为94%，则项目钻孔时扬尘排放量为</w:t>
            </w:r>
            <w:r>
              <w:rPr>
                <w:rFonts w:hint="eastAsia"/>
                <w:color w:val="auto"/>
                <w:sz w:val="24"/>
                <w:lang w:val="en-US" w:eastAsia="zh-CN"/>
              </w:rPr>
              <w:t>0.12</w:t>
            </w:r>
            <w:r>
              <w:rPr>
                <w:rFonts w:hint="default"/>
                <w:color w:val="auto"/>
                <w:sz w:val="24"/>
              </w:rPr>
              <w:t>t</w:t>
            </w:r>
            <w:r>
              <w:rPr>
                <w:rFonts w:hint="eastAsia"/>
                <w:color w:val="auto"/>
                <w:sz w:val="24"/>
                <w:lang w:val="en-US" w:eastAsia="zh-CN"/>
              </w:rPr>
              <w:t>/</w:t>
            </w:r>
            <w:r>
              <w:rPr>
                <w:rFonts w:hint="default"/>
                <w:color w:val="auto"/>
                <w:sz w:val="24"/>
              </w:rPr>
              <w:t>a</w:t>
            </w:r>
            <w:r>
              <w:rPr>
                <w:rFonts w:hint="eastAsia"/>
                <w:color w:val="auto"/>
                <w:sz w:val="24"/>
                <w:lang w:eastAsia="zh-CN"/>
              </w:rPr>
              <w:t>（</w:t>
            </w:r>
            <w:r>
              <w:rPr>
                <w:rFonts w:hint="eastAsia"/>
                <w:color w:val="auto"/>
                <w:sz w:val="24"/>
                <w:lang w:val="en-US" w:eastAsia="zh-CN"/>
              </w:rPr>
              <w:t>0.05kg/h</w:t>
            </w:r>
            <w:r>
              <w:rPr>
                <w:rFonts w:hint="eastAsia"/>
                <w:color w:val="auto"/>
                <w:sz w:val="24"/>
                <w:lang w:eastAsia="zh-CN"/>
              </w:rPr>
              <w:t>）</w:t>
            </w:r>
            <w:r>
              <w:rPr>
                <w:rFonts w:hint="default"/>
                <w:color w:val="auto"/>
                <w:sz w:val="24"/>
              </w:rPr>
              <w:t>。以无组织形式面源排放。</w:t>
            </w:r>
          </w:p>
          <w:p w14:paraId="0227E4A4">
            <w:pPr>
              <w:keepNext w:val="0"/>
              <w:keepLines w:val="0"/>
              <w:widowControl w:val="0"/>
              <w:suppressLineNumbers w:val="0"/>
              <w:autoSpaceDE w:val="0"/>
              <w:autoSpaceDN/>
              <w:adjustRightInd w:val="0"/>
              <w:snapToGrid w:val="0"/>
              <w:spacing w:before="0" w:beforeAutospacing="0" w:after="0" w:afterAutospacing="0" w:line="520" w:lineRule="exact"/>
              <w:ind w:left="0" w:leftChars="0" w:right="0" w:firstLine="482" w:firstLineChars="200"/>
              <w:jc w:val="both"/>
              <w:rPr>
                <w:rFonts w:hint="eastAsia"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2.</w:t>
            </w:r>
            <w:r>
              <w:rPr>
                <w:rFonts w:hint="eastAsia" w:ascii="Times New Roman" w:hAnsi="Times New Roman" w:eastAsia="宋体" w:cs="Times New Roman"/>
                <w:b/>
                <w:bCs/>
                <w:kern w:val="2"/>
                <w:sz w:val="24"/>
                <w:szCs w:val="24"/>
                <w:lang w:val="en-US" w:eastAsia="zh-CN" w:bidi="ar"/>
              </w:rPr>
              <w:t>2</w:t>
            </w:r>
            <w:r>
              <w:rPr>
                <w:rFonts w:hint="eastAsia" w:ascii="宋体" w:hAnsi="宋体" w:eastAsia="宋体" w:cs="宋体"/>
                <w:b/>
                <w:bCs/>
                <w:kern w:val="2"/>
                <w:sz w:val="24"/>
                <w:szCs w:val="24"/>
                <w:lang w:val="en-US" w:eastAsia="zh-CN" w:bidi="ar"/>
              </w:rPr>
              <w:t>爆破废气</w:t>
            </w:r>
          </w:p>
          <w:p w14:paraId="6C002AAD">
            <w:pPr>
              <w:pStyle w:val="20"/>
              <w:keepNext w:val="0"/>
              <w:keepLines w:val="0"/>
              <w:widowControl w:val="0"/>
              <w:suppressLineNumbers w:val="0"/>
              <w:wordWrap w:val="0"/>
              <w:autoSpaceDE w:val="0"/>
              <w:autoSpaceDN/>
              <w:adjustRightInd w:val="0"/>
              <w:snapToGrid w:val="0"/>
              <w:spacing w:before="0" w:beforeAutospacing="0" w:after="0" w:afterAutospacing="0" w:line="520" w:lineRule="exact"/>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爆破过程会产生含</w:t>
            </w:r>
            <w:r>
              <w:rPr>
                <w:rFonts w:hint="default" w:ascii="Times New Roman" w:hAnsi="Times New Roman" w:eastAsia="宋体" w:cs="Times New Roman"/>
                <w:kern w:val="2"/>
                <w:sz w:val="24"/>
                <w:szCs w:val="24"/>
                <w:lang w:val="en-US" w:eastAsia="zh-CN" w:bidi="ar"/>
              </w:rPr>
              <w:t>CO</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NOx</w:t>
            </w:r>
            <w:r>
              <w:rPr>
                <w:rFonts w:hint="eastAsia" w:ascii="宋体" w:hAnsi="宋体" w:eastAsia="宋体" w:cs="宋体"/>
                <w:kern w:val="2"/>
                <w:sz w:val="24"/>
                <w:szCs w:val="24"/>
                <w:lang w:val="en-US" w:eastAsia="zh-CN" w:bidi="ar"/>
              </w:rPr>
              <w:t>等的爆破烟气，属瞬时污染源，同时还会产生爆破粉尘，其中</w:t>
            </w:r>
            <w:r>
              <w:rPr>
                <w:rFonts w:hint="default" w:ascii="Times New Roman" w:hAnsi="Times New Roman" w:eastAsia="宋体" w:cs="Times New Roman"/>
                <w:kern w:val="2"/>
                <w:sz w:val="24"/>
                <w:szCs w:val="24"/>
                <w:lang w:val="en-US" w:eastAsia="zh-CN" w:bidi="ar"/>
              </w:rPr>
              <w:t>CO</w:t>
            </w:r>
            <w:r>
              <w:rPr>
                <w:rFonts w:hint="eastAsia" w:ascii="宋体" w:hAnsi="宋体" w:eastAsia="宋体" w:cs="宋体"/>
                <w:kern w:val="2"/>
                <w:sz w:val="24"/>
                <w:szCs w:val="24"/>
                <w:lang w:val="en-US" w:eastAsia="zh-CN" w:bidi="ar"/>
              </w:rPr>
              <w:t>和</w:t>
            </w:r>
            <w:r>
              <w:rPr>
                <w:rFonts w:hint="default" w:ascii="Times New Roman" w:hAnsi="Times New Roman" w:eastAsia="宋体" w:cs="Times New Roman"/>
                <w:kern w:val="2"/>
                <w:sz w:val="24"/>
                <w:szCs w:val="24"/>
                <w:lang w:val="en-US" w:eastAsia="zh-CN" w:bidi="ar"/>
              </w:rPr>
              <w:t>NOx</w:t>
            </w:r>
            <w:r>
              <w:rPr>
                <w:rFonts w:hint="eastAsia" w:ascii="宋体" w:hAnsi="宋体" w:eastAsia="宋体" w:cs="宋体"/>
                <w:kern w:val="2"/>
                <w:sz w:val="24"/>
                <w:szCs w:val="24"/>
                <w:lang w:val="en-US" w:eastAsia="zh-CN" w:bidi="ar"/>
              </w:rPr>
              <w:t>为有毒有害气体，产生量与炸药使用量等有关。根据黄忆龙《工程爆破中的灾害及其控制》，爆破炮烟中</w:t>
            </w:r>
            <w:r>
              <w:rPr>
                <w:rFonts w:hint="default" w:ascii="Times New Roman" w:hAnsi="Times New Roman" w:eastAsia="宋体" w:cs="Times New Roman"/>
                <w:kern w:val="2"/>
                <w:sz w:val="24"/>
                <w:szCs w:val="24"/>
                <w:lang w:val="en-US" w:eastAsia="zh-CN" w:bidi="ar"/>
              </w:rPr>
              <w:t>NOx</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CO</w:t>
            </w:r>
            <w:r>
              <w:rPr>
                <w:rFonts w:hint="eastAsia" w:ascii="宋体" w:hAnsi="宋体" w:eastAsia="宋体" w:cs="宋体"/>
                <w:kern w:val="2"/>
                <w:sz w:val="24"/>
                <w:szCs w:val="24"/>
                <w:lang w:val="en-US" w:eastAsia="zh-CN" w:bidi="ar"/>
              </w:rPr>
              <w:t>的产生量分别按</w:t>
            </w:r>
            <w:r>
              <w:rPr>
                <w:rFonts w:hint="default" w:ascii="Times New Roman" w:hAnsi="Times New Roman" w:eastAsia="宋体" w:cs="Times New Roman"/>
                <w:kern w:val="2"/>
                <w:sz w:val="24"/>
                <w:szCs w:val="24"/>
                <w:lang w:val="en-US" w:eastAsia="zh-CN" w:bidi="ar"/>
              </w:rPr>
              <w:t>32g/kg</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3.6g/kg</w:t>
            </w:r>
            <w:r>
              <w:rPr>
                <w:rFonts w:hint="eastAsia" w:ascii="宋体" w:hAnsi="宋体" w:eastAsia="宋体" w:cs="宋体"/>
                <w:kern w:val="2"/>
                <w:sz w:val="24"/>
                <w:szCs w:val="24"/>
                <w:lang w:val="en-US" w:eastAsia="zh-CN" w:bidi="ar"/>
              </w:rPr>
              <w:t>炸药量估算，炸药消耗量为</w:t>
            </w:r>
            <w:r>
              <w:rPr>
                <w:rFonts w:hint="default" w:ascii="Times New Roman" w:hAnsi="Times New Roman" w:eastAsia="宋体" w:cs="Times New Roman"/>
                <w:kern w:val="2"/>
                <w:sz w:val="24"/>
                <w:szCs w:val="24"/>
                <w:lang w:val="en-US" w:eastAsia="zh-CN" w:bidi="ar"/>
              </w:rPr>
              <w:t>95t/a</w:t>
            </w:r>
            <w:r>
              <w:rPr>
                <w:rFonts w:hint="eastAsia" w:ascii="宋体" w:hAnsi="宋体" w:eastAsia="宋体" w:cs="宋体"/>
                <w:kern w:val="2"/>
                <w:sz w:val="24"/>
                <w:szCs w:val="24"/>
                <w:lang w:val="en-US" w:eastAsia="zh-CN" w:bidi="ar"/>
              </w:rPr>
              <w:t>，每年爆破产生的</w:t>
            </w:r>
            <w:r>
              <w:rPr>
                <w:rFonts w:hint="default" w:ascii="Times New Roman" w:hAnsi="Times New Roman" w:eastAsia="宋体" w:cs="Times New Roman"/>
                <w:kern w:val="2"/>
                <w:sz w:val="24"/>
                <w:szCs w:val="24"/>
                <w:lang w:val="en-US" w:eastAsia="zh-CN" w:bidi="ar"/>
              </w:rPr>
              <w:t>NOx</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CO</w:t>
            </w:r>
            <w:r>
              <w:rPr>
                <w:rFonts w:hint="eastAsia" w:ascii="宋体" w:hAnsi="宋体" w:eastAsia="宋体" w:cs="宋体"/>
                <w:kern w:val="2"/>
                <w:sz w:val="24"/>
                <w:szCs w:val="24"/>
                <w:lang w:val="en-US" w:eastAsia="zh-CN" w:bidi="ar"/>
              </w:rPr>
              <w:t>的量分别为</w:t>
            </w:r>
            <w:r>
              <w:rPr>
                <w:rFonts w:hint="default" w:ascii="Times New Roman" w:hAnsi="Times New Roman" w:eastAsia="宋体" w:cs="Times New Roman"/>
                <w:kern w:val="2"/>
                <w:sz w:val="24"/>
                <w:szCs w:val="24"/>
                <w:lang w:val="en-US" w:eastAsia="zh-CN" w:bidi="ar"/>
              </w:rPr>
              <w:t>3.04t/a</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0.342t/a</w:t>
            </w:r>
            <w:r>
              <w:rPr>
                <w:rFonts w:hint="eastAsia" w:ascii="宋体" w:hAnsi="宋体" w:eastAsia="宋体" w:cs="宋体"/>
                <w:kern w:val="2"/>
                <w:sz w:val="24"/>
                <w:szCs w:val="24"/>
                <w:lang w:val="en-US" w:eastAsia="zh-CN" w:bidi="ar"/>
              </w:rPr>
              <w:t>。项目露天开采，空气流动性较好，受自然风流扩散影响，可造成采场采矿下风向的大气瞬时污染，这种瞬时污染随着时间推移，以及污染物在空气中不断扩散，其浓度也会逐渐降低，扩散后对周边环境影响不大。</w:t>
            </w:r>
          </w:p>
          <w:p w14:paraId="01B9EC20">
            <w:pPr>
              <w:keepNext w:val="0"/>
              <w:keepLines w:val="0"/>
              <w:suppressLineNumbers w:val="0"/>
              <w:spacing w:before="0" w:beforeAutospacing="0" w:after="0" w:afterAutospacing="0" w:line="520" w:lineRule="exact"/>
              <w:ind w:left="0" w:right="0" w:firstLine="482" w:firstLineChars="200"/>
              <w:rPr>
                <w:rFonts w:hint="default" w:eastAsia="宋体"/>
                <w:b/>
                <w:bCs/>
                <w:color w:val="auto"/>
                <w:sz w:val="24"/>
                <w:lang w:val="en-US" w:eastAsia="zh-CN"/>
              </w:rPr>
            </w:pPr>
            <w:r>
              <w:rPr>
                <w:rFonts w:hint="default"/>
                <w:b/>
                <w:bCs/>
                <w:color w:val="auto"/>
                <w:sz w:val="24"/>
              </w:rPr>
              <w:t>2.</w:t>
            </w:r>
            <w:r>
              <w:rPr>
                <w:rFonts w:hint="eastAsia"/>
                <w:b/>
                <w:bCs/>
                <w:color w:val="auto"/>
                <w:sz w:val="24"/>
                <w:lang w:val="en-US" w:eastAsia="zh-CN"/>
              </w:rPr>
              <w:t>3液压破碎器废气</w:t>
            </w:r>
          </w:p>
          <w:p w14:paraId="24203B6A">
            <w:pPr>
              <w:keepNext w:val="0"/>
              <w:keepLines w:val="0"/>
              <w:suppressLineNumbers w:val="0"/>
              <w:adjustRightInd w:val="0"/>
              <w:snapToGrid w:val="0"/>
              <w:spacing w:before="0" w:beforeAutospacing="0" w:after="0" w:afterAutospacing="0" w:line="520" w:lineRule="exact"/>
              <w:ind w:left="0" w:right="0" w:firstLine="480" w:firstLineChars="200"/>
              <w:rPr>
                <w:rFonts w:hint="default" w:eastAsia="宋体"/>
                <w:color w:val="auto"/>
                <w:sz w:val="24"/>
                <w:lang w:val="en-US" w:eastAsia="zh-CN"/>
              </w:rPr>
            </w:pPr>
            <w:r>
              <w:rPr>
                <w:rFonts w:hint="default"/>
                <w:color w:val="auto"/>
                <w:sz w:val="24"/>
              </w:rPr>
              <w:t>本项目</w:t>
            </w:r>
            <w:r>
              <w:rPr>
                <w:rFonts w:hint="eastAsia"/>
                <w:color w:val="auto"/>
                <w:sz w:val="24"/>
                <w:lang w:val="en-US" w:eastAsia="zh-CN"/>
              </w:rPr>
              <w:t>石灰岩矿爆破过程设计</w:t>
            </w:r>
            <w:r>
              <w:rPr>
                <w:rFonts w:hint="default"/>
                <w:color w:val="auto"/>
                <w:sz w:val="24"/>
              </w:rPr>
              <w:t>大块率控制在5%以内</w:t>
            </w:r>
            <w:r>
              <w:rPr>
                <w:rFonts w:hint="eastAsia"/>
                <w:color w:val="auto"/>
                <w:sz w:val="24"/>
                <w:lang w:eastAsia="zh-CN"/>
              </w:rPr>
              <w:t>，为解决超规格大块二次破碎问题，克服二次爆破飞石带来的安全影响，设计矿山建筑用花岗岩矿矿体露天采场二次破碎采用GB220E液压</w:t>
            </w:r>
            <w:r>
              <w:rPr>
                <w:rFonts w:hint="eastAsia"/>
                <w:color w:val="auto"/>
                <w:sz w:val="24"/>
                <w:lang w:val="en-US" w:eastAsia="zh-CN"/>
              </w:rPr>
              <w:t>破碎</w:t>
            </w:r>
            <w:r>
              <w:rPr>
                <w:rFonts w:hint="eastAsia"/>
                <w:color w:val="auto"/>
                <w:sz w:val="24"/>
                <w:lang w:eastAsia="zh-CN"/>
              </w:rPr>
              <w:t>器，碎石器安装在挖掘机上。挖掘机携带的液压碎石器对大块矿进行分解破碎，其破碎工序与钻孔工艺类似，则其粉尘产生量参照钻孔作业中的逸散尘源排放因子，按0.004kg/t计，液压</w:t>
            </w:r>
            <w:r>
              <w:rPr>
                <w:rFonts w:hint="eastAsia"/>
                <w:color w:val="auto"/>
                <w:sz w:val="24"/>
                <w:lang w:val="en-US" w:eastAsia="zh-CN"/>
              </w:rPr>
              <w:t>破碎量为2.5万t/a，</w:t>
            </w:r>
            <w:r>
              <w:rPr>
                <w:rFonts w:hint="eastAsia"/>
                <w:color w:val="auto"/>
                <w:sz w:val="24"/>
                <w:lang w:eastAsia="zh-CN"/>
              </w:rPr>
              <w:t>液压碎石器粉尘产生量为0.</w:t>
            </w:r>
            <w:r>
              <w:rPr>
                <w:rFonts w:hint="eastAsia"/>
                <w:color w:val="auto"/>
                <w:sz w:val="24"/>
                <w:lang w:val="en-US" w:eastAsia="zh-CN"/>
              </w:rPr>
              <w:t>1</w:t>
            </w:r>
            <w:r>
              <w:rPr>
                <w:rFonts w:hint="eastAsia"/>
                <w:color w:val="auto"/>
                <w:sz w:val="24"/>
                <w:lang w:eastAsia="zh-CN"/>
              </w:rPr>
              <w:t>t</w:t>
            </w:r>
            <w:r>
              <w:rPr>
                <w:rFonts w:hint="eastAsia"/>
                <w:color w:val="auto"/>
                <w:sz w:val="24"/>
                <w:lang w:val="en-US" w:eastAsia="zh-CN"/>
              </w:rPr>
              <w:t>/</w:t>
            </w:r>
            <w:r>
              <w:rPr>
                <w:rFonts w:hint="eastAsia"/>
                <w:color w:val="auto"/>
                <w:sz w:val="24"/>
                <w:lang w:eastAsia="zh-CN"/>
              </w:rPr>
              <w:t>a（</w:t>
            </w:r>
            <w:r>
              <w:rPr>
                <w:rFonts w:hint="eastAsia"/>
                <w:color w:val="auto"/>
                <w:sz w:val="24"/>
                <w:lang w:val="en-US" w:eastAsia="zh-CN"/>
              </w:rPr>
              <w:t>0.042kg/h</w:t>
            </w:r>
            <w:r>
              <w:rPr>
                <w:rFonts w:hint="eastAsia"/>
                <w:color w:val="auto"/>
                <w:sz w:val="24"/>
                <w:lang w:eastAsia="zh-CN"/>
              </w:rPr>
              <w:t>）。根据业主提供资料，该液压破碎器配置有干式收尘器，粉尘收集后通过设备自带的收尘袋后无组织排放加上液压破碎器操作过程对矿石进行洒水抑尘，减少粉尘产生。采取措施后可减少</w:t>
            </w:r>
            <w:r>
              <w:rPr>
                <w:rFonts w:hint="eastAsia"/>
                <w:color w:val="auto"/>
                <w:sz w:val="24"/>
                <w:lang w:val="en-US" w:eastAsia="zh-CN"/>
              </w:rPr>
              <w:t>90%粉尘排放，液压破碎器粉尘排放量为0.01</w:t>
            </w:r>
            <w:r>
              <w:rPr>
                <w:rFonts w:hint="eastAsia"/>
                <w:color w:val="auto"/>
                <w:sz w:val="24"/>
                <w:lang w:eastAsia="zh-CN"/>
              </w:rPr>
              <w:t>t</w:t>
            </w:r>
            <w:r>
              <w:rPr>
                <w:rFonts w:hint="eastAsia"/>
                <w:color w:val="auto"/>
                <w:sz w:val="24"/>
                <w:lang w:val="en-US" w:eastAsia="zh-CN"/>
              </w:rPr>
              <w:t>/</w:t>
            </w:r>
            <w:r>
              <w:rPr>
                <w:rFonts w:hint="eastAsia"/>
                <w:color w:val="auto"/>
                <w:sz w:val="24"/>
                <w:lang w:eastAsia="zh-CN"/>
              </w:rPr>
              <w:t>a（</w:t>
            </w:r>
            <w:r>
              <w:rPr>
                <w:rFonts w:hint="eastAsia"/>
                <w:color w:val="auto"/>
                <w:sz w:val="24"/>
                <w:lang w:val="en-US" w:eastAsia="zh-CN"/>
              </w:rPr>
              <w:t>0.0042kg/h</w:t>
            </w:r>
            <w:r>
              <w:rPr>
                <w:rFonts w:hint="eastAsia"/>
                <w:color w:val="auto"/>
                <w:sz w:val="24"/>
                <w:lang w:eastAsia="zh-CN"/>
              </w:rPr>
              <w:t>），</w:t>
            </w:r>
            <w:r>
              <w:rPr>
                <w:rFonts w:hint="eastAsia"/>
                <w:color w:val="auto"/>
                <w:sz w:val="24"/>
                <w:lang w:val="en-US" w:eastAsia="zh-CN"/>
              </w:rPr>
              <w:t>为无组织面源排放</w:t>
            </w:r>
            <w:r>
              <w:rPr>
                <w:rFonts w:hint="eastAsia"/>
                <w:color w:val="auto"/>
                <w:sz w:val="24"/>
                <w:lang w:eastAsia="zh-CN"/>
              </w:rPr>
              <w:t>。</w:t>
            </w:r>
          </w:p>
          <w:p w14:paraId="4FB5A3D1">
            <w:pPr>
              <w:pStyle w:val="48"/>
              <w:keepNext w:val="0"/>
              <w:keepLines w:val="0"/>
              <w:suppressLineNumbers w:val="0"/>
              <w:spacing w:before="0" w:beforeAutospacing="0" w:after="0" w:afterAutospacing="0"/>
              <w:ind w:left="0" w:right="0" w:firstLine="482"/>
              <w:rPr>
                <w:rFonts w:hint="default"/>
                <w:b/>
                <w:bCs/>
                <w:color w:val="auto"/>
              </w:rPr>
            </w:pPr>
            <w:r>
              <w:rPr>
                <w:rFonts w:hint="default"/>
                <w:b/>
                <w:bCs/>
                <w:color w:val="auto"/>
              </w:rPr>
              <w:t>2.</w:t>
            </w:r>
            <w:r>
              <w:rPr>
                <w:rFonts w:hint="eastAsia"/>
                <w:b/>
                <w:bCs/>
                <w:color w:val="auto"/>
                <w:lang w:val="en-US" w:eastAsia="zh-CN"/>
              </w:rPr>
              <w:t>4</w:t>
            </w:r>
            <w:r>
              <w:rPr>
                <w:rFonts w:hint="default"/>
                <w:b/>
                <w:bCs/>
                <w:color w:val="auto"/>
              </w:rPr>
              <w:t>运输道路扬尘</w:t>
            </w:r>
          </w:p>
          <w:p w14:paraId="1CC998CB">
            <w:pPr>
              <w:pStyle w:val="48"/>
              <w:keepNext w:val="0"/>
              <w:keepLines w:val="0"/>
              <w:suppressLineNumbers w:val="0"/>
              <w:spacing w:before="0" w:beforeAutospacing="0" w:after="0" w:afterAutospacing="0"/>
              <w:ind w:left="0" w:right="0" w:firstLine="480"/>
              <w:rPr>
                <w:rFonts w:hint="default"/>
                <w:color w:val="auto"/>
              </w:rPr>
            </w:pPr>
            <w:r>
              <w:rPr>
                <w:color w:val="auto"/>
                <w:kern w:val="0"/>
                <w:lang w:bidi="ar"/>
              </w:rPr>
              <w:t>场内运输采用自卸汽车进行运输</w:t>
            </w:r>
            <w:r>
              <w:rPr>
                <w:rFonts w:hint="default"/>
                <w:color w:val="auto"/>
                <w:kern w:val="0"/>
                <w:lang w:bidi="ar"/>
              </w:rPr>
              <w:t>，运输过程将产生扬尘。车辆行驶产生的扬尘，选用上海港环境保护中心和武汉水运工程学院提出的</w:t>
            </w:r>
            <w:r>
              <w:rPr>
                <w:rFonts w:hint="default"/>
                <w:color w:val="auto"/>
              </w:rPr>
              <w:t>关于</w:t>
            </w:r>
            <w:r>
              <w:rPr>
                <w:rFonts w:hint="eastAsia"/>
                <w:color w:val="auto"/>
                <w:lang w:eastAsia="zh-CN"/>
              </w:rPr>
              <w:t>汽车载有</w:t>
            </w:r>
            <w:r>
              <w:rPr>
                <w:rFonts w:hint="default"/>
                <w:color w:val="auto"/>
              </w:rPr>
              <w:t>散状物料的道路上的扬尘量经验公式计算。</w:t>
            </w:r>
            <w:r>
              <w:rPr>
                <w:color w:val="auto"/>
              </w:rPr>
              <w:t>公式如下：</w:t>
            </w:r>
          </w:p>
          <w:p w14:paraId="49E497E2">
            <w:pPr>
              <w:pStyle w:val="48"/>
              <w:keepNext w:val="0"/>
              <w:keepLines w:val="0"/>
              <w:suppressLineNumbers w:val="0"/>
              <w:spacing w:before="0" w:beforeAutospacing="0" w:after="0" w:afterAutospacing="0"/>
              <w:ind w:left="0" w:right="0" w:firstLine="0" w:firstLineChars="0"/>
              <w:jc w:val="center"/>
              <w:rPr>
                <w:rFonts w:hint="default"/>
                <w:color w:val="auto"/>
              </w:rPr>
            </w:pPr>
            <w:r>
              <w:rPr>
                <w:rFonts w:hint="default"/>
                <w:color w:val="auto"/>
              </w:rPr>
              <w:t>Q₀=0.123×</w:t>
            </w:r>
            <w:r>
              <w:rPr>
                <w:rFonts w:hint="eastAsia"/>
                <w:color w:val="auto"/>
                <w:lang w:eastAsia="zh-CN"/>
              </w:rPr>
              <w:t>(</w:t>
            </w:r>
            <w:r>
              <w:rPr>
                <w:rFonts w:hint="default"/>
                <w:color w:val="auto"/>
              </w:rPr>
              <w:t>V/5</w:t>
            </w:r>
            <w:r>
              <w:rPr>
                <w:rFonts w:hint="eastAsia"/>
                <w:color w:val="auto"/>
                <w:lang w:eastAsia="zh-CN"/>
              </w:rPr>
              <w:t>)</w:t>
            </w:r>
            <w:r>
              <w:rPr>
                <w:rFonts w:hint="default"/>
                <w:color w:val="auto"/>
              </w:rPr>
              <w:t>×</w:t>
            </w:r>
            <w:r>
              <w:rPr>
                <w:rFonts w:hint="eastAsia"/>
                <w:color w:val="auto"/>
                <w:lang w:eastAsia="zh-CN"/>
              </w:rPr>
              <w:t>(</w:t>
            </w:r>
            <w:r>
              <w:rPr>
                <w:rFonts w:hint="default"/>
                <w:color w:val="auto"/>
              </w:rPr>
              <w:t>M/6.8</w:t>
            </w:r>
            <w:r>
              <w:rPr>
                <w:rFonts w:hint="eastAsia"/>
                <w:color w:val="auto"/>
                <w:lang w:eastAsia="zh-CN"/>
              </w:rPr>
              <w:t>)</w:t>
            </w:r>
            <w:r>
              <w:rPr>
                <w:color w:val="auto"/>
                <w:vertAlign w:val="superscript"/>
              </w:rPr>
              <w:t>0.85</w:t>
            </w:r>
            <w:r>
              <w:rPr>
                <w:rFonts w:hint="default"/>
                <w:color w:val="auto"/>
              </w:rPr>
              <w:t>×</w:t>
            </w:r>
            <w:r>
              <w:rPr>
                <w:rFonts w:hint="eastAsia"/>
                <w:color w:val="auto"/>
                <w:lang w:eastAsia="zh-CN"/>
              </w:rPr>
              <w:t>(</w:t>
            </w:r>
            <w:r>
              <w:rPr>
                <w:rFonts w:hint="default"/>
                <w:color w:val="auto"/>
              </w:rPr>
              <w:t>P/0.5</w:t>
            </w:r>
            <w:r>
              <w:rPr>
                <w:rFonts w:hint="eastAsia"/>
                <w:color w:val="auto"/>
                <w:lang w:eastAsia="zh-CN"/>
              </w:rPr>
              <w:t>)</w:t>
            </w:r>
            <w:r>
              <w:rPr>
                <w:color w:val="auto"/>
                <w:vertAlign w:val="superscript"/>
              </w:rPr>
              <w:t>0.</w:t>
            </w:r>
            <w:r>
              <w:rPr>
                <w:rFonts w:hint="default"/>
                <w:color w:val="auto"/>
                <w:vertAlign w:val="superscript"/>
              </w:rPr>
              <w:t>72</w:t>
            </w:r>
          </w:p>
          <w:p w14:paraId="46E3D55B">
            <w:pPr>
              <w:keepNext w:val="0"/>
              <w:keepLines w:val="0"/>
              <w:suppressLineNumbers w:val="0"/>
              <w:adjustRightInd w:val="0"/>
              <w:snapToGrid w:val="0"/>
              <w:spacing w:before="0" w:beforeAutospacing="0" w:after="0" w:afterAutospacing="0" w:line="520" w:lineRule="exact"/>
              <w:ind w:left="0" w:right="0"/>
              <w:jc w:val="center"/>
              <w:rPr>
                <w:rFonts w:hint="default"/>
                <w:color w:val="auto"/>
              </w:rPr>
            </w:pPr>
            <w:r>
              <w:rPr>
                <w:rFonts w:hint="eastAsia"/>
                <w:color w:val="auto"/>
                <w:sz w:val="24"/>
              </w:rPr>
              <w:t>Q</w:t>
            </w:r>
            <w:r>
              <w:rPr>
                <w:rFonts w:hint="eastAsia"/>
                <w:color w:val="auto"/>
                <w:sz w:val="24"/>
                <w:vertAlign w:val="subscript"/>
              </w:rPr>
              <w:t>p</w:t>
            </w:r>
            <w:r>
              <w:rPr>
                <w:rFonts w:hint="eastAsia"/>
                <w:color w:val="auto"/>
                <w:sz w:val="24"/>
              </w:rPr>
              <w:t>=</w:t>
            </w:r>
            <w:r>
              <w:rPr>
                <w:rFonts w:hint="default"/>
                <w:color w:val="auto"/>
                <w:sz w:val="24"/>
              </w:rPr>
              <w:t>Q</w:t>
            </w:r>
            <w:r>
              <w:rPr>
                <w:rFonts w:hint="eastAsia"/>
                <w:color w:val="auto"/>
                <w:vertAlign w:val="subscript"/>
              </w:rPr>
              <w:t>0</w:t>
            </w:r>
            <w:r>
              <w:rPr>
                <w:rFonts w:hint="default"/>
                <w:color w:val="auto"/>
                <w:sz w:val="24"/>
              </w:rPr>
              <w:t>×L×</w:t>
            </w:r>
            <w:r>
              <w:rPr>
                <w:rFonts w:hint="eastAsia"/>
                <w:color w:val="auto"/>
                <w:sz w:val="24"/>
              </w:rPr>
              <w:t>Q/M</w:t>
            </w:r>
          </w:p>
          <w:p w14:paraId="58EA3A5B">
            <w:pPr>
              <w:pStyle w:val="48"/>
              <w:keepNext w:val="0"/>
              <w:keepLines w:val="0"/>
              <w:suppressLineNumbers w:val="0"/>
              <w:spacing w:before="0" w:beforeAutospacing="0" w:after="0" w:afterAutospacing="0"/>
              <w:ind w:left="0" w:right="0" w:firstLine="480"/>
              <w:rPr>
                <w:rFonts w:hint="default"/>
                <w:color w:val="auto"/>
              </w:rPr>
            </w:pPr>
            <w:r>
              <w:rPr>
                <w:rFonts w:hint="default"/>
                <w:color w:val="auto"/>
              </w:rPr>
              <w:t>式中：Q</w:t>
            </w:r>
            <w:r>
              <w:rPr>
                <w:color w:val="auto"/>
                <w:vertAlign w:val="subscript"/>
              </w:rPr>
              <w:t>0</w:t>
            </w:r>
            <w:r>
              <w:rPr>
                <w:rFonts w:hint="default"/>
                <w:color w:val="auto"/>
              </w:rPr>
              <w:t>—道路扬尘量，kg/km辆；</w:t>
            </w:r>
          </w:p>
          <w:p w14:paraId="39FB77E7">
            <w:pPr>
              <w:pStyle w:val="48"/>
              <w:keepNext w:val="0"/>
              <w:keepLines w:val="0"/>
              <w:suppressLineNumbers w:val="0"/>
              <w:spacing w:before="0" w:beforeAutospacing="0" w:after="0" w:afterAutospacing="0"/>
              <w:ind w:left="0" w:right="0" w:firstLine="480"/>
              <w:rPr>
                <w:rFonts w:hint="default"/>
                <w:color w:val="auto"/>
              </w:rPr>
            </w:pPr>
            <w:r>
              <w:rPr>
                <w:rFonts w:hint="default"/>
                <w:color w:val="auto"/>
              </w:rPr>
              <w:t>Q</w:t>
            </w:r>
            <w:r>
              <w:rPr>
                <w:rFonts w:hint="default"/>
                <w:color w:val="auto"/>
                <w:vertAlign w:val="subscript"/>
              </w:rPr>
              <w:t>p</w:t>
            </w:r>
            <w:r>
              <w:rPr>
                <w:rFonts w:hint="default"/>
                <w:color w:val="auto"/>
              </w:rPr>
              <w:t>—总扬尘量，kg/a</w:t>
            </w:r>
            <w:r>
              <w:rPr>
                <w:color w:val="auto"/>
              </w:rPr>
              <w:t>；</w:t>
            </w:r>
          </w:p>
          <w:p w14:paraId="439734AB">
            <w:pPr>
              <w:pStyle w:val="48"/>
              <w:keepNext w:val="0"/>
              <w:keepLines w:val="0"/>
              <w:suppressLineNumbers w:val="0"/>
              <w:spacing w:before="0" w:beforeAutospacing="0" w:after="0" w:afterAutospacing="0"/>
              <w:ind w:left="0" w:right="0" w:firstLine="480"/>
              <w:rPr>
                <w:rFonts w:hint="default"/>
                <w:color w:val="auto"/>
              </w:rPr>
            </w:pPr>
            <w:r>
              <w:rPr>
                <w:rFonts w:hint="default"/>
                <w:color w:val="auto"/>
              </w:rPr>
              <w:t>V—车辆</w:t>
            </w:r>
            <w:r>
              <w:rPr>
                <w:color w:val="auto"/>
              </w:rPr>
              <w:t>行驶</w:t>
            </w:r>
            <w:r>
              <w:rPr>
                <w:rFonts w:hint="default"/>
                <w:color w:val="auto"/>
              </w:rPr>
              <w:t>速度，</w:t>
            </w:r>
            <w:r>
              <w:rPr>
                <w:color w:val="auto"/>
              </w:rPr>
              <w:t>取20</w:t>
            </w:r>
            <w:r>
              <w:rPr>
                <w:rFonts w:hint="default"/>
                <w:color w:val="auto"/>
              </w:rPr>
              <w:t>km/h</w:t>
            </w:r>
            <w:r>
              <w:rPr>
                <w:color w:val="auto"/>
              </w:rPr>
              <w:t>；</w:t>
            </w:r>
          </w:p>
          <w:p w14:paraId="207C7B8C">
            <w:pPr>
              <w:pStyle w:val="48"/>
              <w:keepNext w:val="0"/>
              <w:keepLines w:val="0"/>
              <w:suppressLineNumbers w:val="0"/>
              <w:spacing w:before="0" w:beforeAutospacing="0" w:after="0" w:afterAutospacing="0"/>
              <w:ind w:left="0" w:right="0" w:firstLine="480"/>
              <w:rPr>
                <w:rFonts w:hint="default"/>
                <w:color w:val="auto"/>
              </w:rPr>
            </w:pPr>
            <w:r>
              <w:rPr>
                <w:rFonts w:hint="default"/>
                <w:color w:val="auto"/>
              </w:rPr>
              <w:t>M—车辆载重，</w:t>
            </w:r>
            <w:r>
              <w:rPr>
                <w:color w:val="auto"/>
              </w:rPr>
              <w:t>2</w:t>
            </w:r>
            <w:r>
              <w:rPr>
                <w:rFonts w:hint="eastAsia"/>
                <w:color w:val="auto"/>
                <w:lang w:val="en-US" w:eastAsia="zh-CN"/>
              </w:rPr>
              <w:t>0</w:t>
            </w:r>
            <w:r>
              <w:rPr>
                <w:rFonts w:hint="default"/>
                <w:color w:val="auto"/>
              </w:rPr>
              <w:t>t/辆；</w:t>
            </w:r>
          </w:p>
          <w:p w14:paraId="5BDF3C3C">
            <w:pPr>
              <w:pStyle w:val="48"/>
              <w:keepNext w:val="0"/>
              <w:keepLines w:val="0"/>
              <w:suppressLineNumbers w:val="0"/>
              <w:spacing w:before="0" w:beforeAutospacing="0" w:after="0" w:afterAutospacing="0"/>
              <w:ind w:left="0" w:right="0" w:firstLine="480"/>
              <w:rPr>
                <w:rFonts w:hint="default"/>
                <w:color w:val="auto"/>
              </w:rPr>
            </w:pPr>
            <w:r>
              <w:rPr>
                <w:rFonts w:hint="default"/>
                <w:color w:val="auto"/>
              </w:rPr>
              <w:t>P—道路表面物料量</w:t>
            </w:r>
            <w:r>
              <w:rPr>
                <w:color w:val="auto"/>
              </w:rPr>
              <w:t>（</w:t>
            </w:r>
            <w:r>
              <w:rPr>
                <w:rFonts w:hint="default"/>
                <w:color w:val="auto"/>
              </w:rPr>
              <w:t>kg/m²</w:t>
            </w:r>
            <w:r>
              <w:rPr>
                <w:color w:val="auto"/>
              </w:rPr>
              <w:t>），</w:t>
            </w:r>
            <w:r>
              <w:rPr>
                <w:rFonts w:hint="default"/>
                <w:color w:val="auto"/>
              </w:rPr>
              <w:t>采取道路压实、定时洒水增湿等环保措施后，取0.05kg/m²</w:t>
            </w:r>
            <w:r>
              <w:rPr>
                <w:color w:val="auto"/>
              </w:rPr>
              <w:t>；</w:t>
            </w:r>
          </w:p>
          <w:p w14:paraId="397CDCA8">
            <w:pPr>
              <w:pStyle w:val="48"/>
              <w:keepNext w:val="0"/>
              <w:keepLines w:val="0"/>
              <w:suppressLineNumbers w:val="0"/>
              <w:spacing w:before="0" w:beforeAutospacing="0" w:after="0" w:afterAutospacing="0"/>
              <w:ind w:left="0" w:right="0" w:firstLine="480"/>
              <w:rPr>
                <w:rFonts w:hint="default"/>
                <w:color w:val="auto"/>
              </w:rPr>
            </w:pPr>
            <w:r>
              <w:rPr>
                <w:rFonts w:hint="default"/>
                <w:color w:val="auto"/>
              </w:rPr>
              <w:t>L—运距，</w:t>
            </w:r>
            <w:r>
              <w:rPr>
                <w:color w:val="auto"/>
              </w:rPr>
              <w:t>km，场内运输道路为</w:t>
            </w:r>
            <w:r>
              <w:rPr>
                <w:rFonts w:hint="eastAsia"/>
                <w:color w:val="auto"/>
                <w:lang w:val="en-US" w:eastAsia="zh-CN"/>
              </w:rPr>
              <w:t>1.5</w:t>
            </w:r>
            <w:r>
              <w:rPr>
                <w:color w:val="auto"/>
              </w:rPr>
              <w:t>km；</w:t>
            </w:r>
          </w:p>
          <w:p w14:paraId="5E13FAD6">
            <w:pPr>
              <w:pStyle w:val="48"/>
              <w:keepNext w:val="0"/>
              <w:keepLines w:val="0"/>
              <w:suppressLineNumbers w:val="0"/>
              <w:spacing w:before="0" w:beforeAutospacing="0" w:after="0" w:afterAutospacing="0"/>
              <w:ind w:left="0" w:right="0" w:firstLine="480"/>
              <w:rPr>
                <w:rFonts w:hint="default"/>
                <w:color w:val="auto"/>
              </w:rPr>
            </w:pPr>
            <w:r>
              <w:rPr>
                <w:rFonts w:hint="default"/>
                <w:color w:val="auto"/>
              </w:rPr>
              <w:t>Q—运输量，</w:t>
            </w:r>
            <w:r>
              <w:rPr>
                <w:color w:val="auto"/>
              </w:rPr>
              <w:t>取</w:t>
            </w:r>
            <w:r>
              <w:rPr>
                <w:rFonts w:hint="eastAsia"/>
                <w:color w:val="auto"/>
                <w:lang w:val="en-US" w:eastAsia="zh-CN"/>
              </w:rPr>
              <w:t>50</w:t>
            </w:r>
            <w:r>
              <w:rPr>
                <w:color w:val="auto"/>
              </w:rPr>
              <w:t>0000</w:t>
            </w:r>
            <w:r>
              <w:rPr>
                <w:rFonts w:hint="default"/>
                <w:color w:val="auto"/>
              </w:rPr>
              <w:t>t/a。</w:t>
            </w:r>
          </w:p>
          <w:p w14:paraId="678F7785">
            <w:pPr>
              <w:pStyle w:val="48"/>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color w:val="000000" w:themeColor="text1"/>
                <w14:textFill>
                  <w14:solidFill>
                    <w14:schemeClr w14:val="tx1"/>
                  </w14:solidFill>
                </w14:textFill>
              </w:rPr>
              <w:t>计算可知</w:t>
            </w:r>
            <w:r>
              <w:rPr>
                <w:rFonts w:hint="default"/>
                <w:color w:val="000000" w:themeColor="text1"/>
                <w14:textFill>
                  <w14:solidFill>
                    <w14:schemeClr w14:val="tx1"/>
                  </w14:solidFill>
                </w14:textFill>
              </w:rPr>
              <w:t>，</w:t>
            </w:r>
            <w:r>
              <w:rPr>
                <w:rFonts w:hint="default"/>
                <w:color w:val="auto"/>
              </w:rPr>
              <w:t>道路扬尘量</w:t>
            </w:r>
            <w:r>
              <w:rPr>
                <w:rFonts w:hint="default"/>
                <w:color w:val="000000" w:themeColor="text1"/>
                <w:lang w:val="en-US" w:eastAsia="zh-CN"/>
                <w14:textFill>
                  <w14:solidFill>
                    <w14:schemeClr w14:val="tx1"/>
                  </w14:solidFill>
                </w14:textFill>
              </w:rPr>
              <w:t>为0.2</w:t>
            </w:r>
            <w:r>
              <w:rPr>
                <w:rFonts w:hint="eastAsia"/>
                <w:color w:val="000000" w:themeColor="text1"/>
                <w:lang w:val="en-US" w:eastAsia="zh-CN"/>
                <w14:textFill>
                  <w14:solidFill>
                    <w14:schemeClr w14:val="tx1"/>
                  </w14:solidFill>
                </w14:textFill>
              </w:rPr>
              <w:t>46</w:t>
            </w:r>
            <w:r>
              <w:rPr>
                <w:rFonts w:hint="default"/>
                <w:color w:val="000000" w:themeColor="text1"/>
                <w14:textFill>
                  <w14:solidFill>
                    <w14:schemeClr w14:val="tx1"/>
                  </w14:solidFill>
                </w14:textFill>
              </w:rPr>
              <w:t>kg/km辆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总扬尘量9.225t/a（3.84kg/h）</w:t>
            </w:r>
            <w:r>
              <w:rPr>
                <w:rFonts w:hint="default"/>
                <w:color w:val="000000" w:themeColor="text1"/>
                <w14:textFill>
                  <w14:solidFill>
                    <w14:schemeClr w14:val="tx1"/>
                  </w14:solidFill>
                </w14:textFill>
              </w:rPr>
              <w:t>。通过对运输</w:t>
            </w:r>
            <w:r>
              <w:rPr>
                <w:rFonts w:hint="eastAsia"/>
                <w:color w:val="000000" w:themeColor="text1"/>
                <w:lang w:val="en-US" w:eastAsia="zh-CN"/>
                <w14:textFill>
                  <w14:solidFill>
                    <w14:schemeClr w14:val="tx1"/>
                  </w14:solidFill>
                </w14:textFill>
              </w:rPr>
              <w:t>车辆</w:t>
            </w:r>
            <w:r>
              <w:rPr>
                <w:rFonts w:hint="default"/>
                <w:color w:val="000000" w:themeColor="text1"/>
                <w14:textFill>
                  <w14:solidFill>
                    <w14:schemeClr w14:val="tx1"/>
                  </w14:solidFill>
                </w14:textFill>
              </w:rPr>
              <w:t>控制车速、密封</w:t>
            </w:r>
            <w:r>
              <w:rPr>
                <w:rFonts w:hint="eastAsia"/>
                <w:color w:val="000000" w:themeColor="text1"/>
                <w:lang w:val="en-US" w:eastAsia="zh-CN"/>
                <w14:textFill>
                  <w14:solidFill>
                    <w14:schemeClr w14:val="tx1"/>
                  </w14:solidFill>
                </w14:textFill>
              </w:rPr>
              <w:t>遮盖</w:t>
            </w:r>
            <w:r>
              <w:rPr>
                <w:rFonts w:hint="default"/>
                <w:color w:val="000000" w:themeColor="text1"/>
                <w14:textFill>
                  <w14:solidFill>
                    <w14:schemeClr w14:val="tx1"/>
                  </w14:solidFill>
                </w14:textFill>
              </w:rPr>
              <w:t>运输物料</w:t>
            </w:r>
            <w:r>
              <w:rPr>
                <w:rFonts w:hint="eastAsia"/>
                <w:color w:val="000000" w:themeColor="text1"/>
                <w:lang w:val="en-US" w:eastAsia="zh-CN"/>
                <w14:textFill>
                  <w14:solidFill>
                    <w14:schemeClr w14:val="tx1"/>
                  </w14:solidFill>
                </w14:textFill>
              </w:rPr>
              <w:t>以</w:t>
            </w:r>
            <w:r>
              <w:rPr>
                <w:rFonts w:hint="default"/>
                <w:color w:val="000000" w:themeColor="text1"/>
                <w14:textFill>
                  <w14:solidFill>
                    <w14:schemeClr w14:val="tx1"/>
                  </w14:solidFill>
                </w14:textFill>
              </w:rPr>
              <w:t>及</w:t>
            </w:r>
            <w:r>
              <w:rPr>
                <w:rFonts w:hint="eastAsia"/>
                <w:color w:val="000000" w:themeColor="text1"/>
                <w:lang w:val="en-US" w:eastAsia="zh-CN"/>
                <w14:textFill>
                  <w14:solidFill>
                    <w14:schemeClr w14:val="tx1"/>
                  </w14:solidFill>
                </w14:textFill>
              </w:rPr>
              <w:t>对出入车辆清洗</w:t>
            </w:r>
            <w:r>
              <w:rPr>
                <w:rFonts w:hint="default"/>
                <w:color w:val="000000" w:themeColor="text1"/>
                <w14:textFill>
                  <w14:solidFill>
                    <w14:schemeClr w14:val="tx1"/>
                  </w14:solidFill>
                </w14:textFill>
              </w:rPr>
              <w:t>措施，可使运输起尘量</w:t>
            </w:r>
            <w:r>
              <w:rPr>
                <w:rFonts w:hint="eastAsia"/>
                <w:color w:val="000000" w:themeColor="text1"/>
                <w:lang w:val="en-US" w:eastAsia="zh-CN"/>
                <w14:textFill>
                  <w14:solidFill>
                    <w14:schemeClr w14:val="tx1"/>
                  </w14:solidFill>
                </w14:textFill>
              </w:rPr>
              <w:t>减少。按照</w:t>
            </w:r>
            <w:r>
              <w:rPr>
                <w:rFonts w:hint="default"/>
                <w:color w:val="000000" w:themeColor="text1"/>
                <w14:textFill>
                  <w14:solidFill>
                    <w14:schemeClr w14:val="tx1"/>
                  </w14:solidFill>
                </w14:textFill>
              </w:rPr>
              <w:t>《固体物料堆存颗粒物产排污核算系数手册》附录4</w:t>
            </w:r>
            <w:r>
              <w:rPr>
                <w:rFonts w:hint="eastAsia"/>
                <w:color w:val="000000" w:themeColor="text1"/>
                <w:lang w:val="en-US" w:eastAsia="zh-CN"/>
                <w14:textFill>
                  <w14:solidFill>
                    <w14:schemeClr w14:val="tx1"/>
                  </w14:solidFill>
                </w14:textFill>
              </w:rPr>
              <w:t>中的控制措施编制覆盖可控制86%、出入车辆冲洗可控制78%</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则运输扬尘无组织排放量为</w:t>
            </w:r>
            <w:r>
              <w:rPr>
                <w:rFonts w:hint="eastAsia"/>
                <w:color w:val="000000" w:themeColor="text1"/>
                <w:lang w:val="en-US" w:eastAsia="zh-CN"/>
                <w14:textFill>
                  <w14:solidFill>
                    <w14:schemeClr w14:val="tx1"/>
                  </w14:solidFill>
                </w14:textFill>
              </w:rPr>
              <w:t>0.284</w:t>
            </w:r>
            <w:r>
              <w:rPr>
                <w:rFonts w:hint="default"/>
                <w:color w:val="000000" w:themeColor="text1"/>
                <w14:textFill>
                  <w14:solidFill>
                    <w14:schemeClr w14:val="tx1"/>
                  </w14:solidFill>
                </w14:textFill>
              </w:rPr>
              <w:t>t/a</w:t>
            </w:r>
            <w:r>
              <w:rPr>
                <w:rFonts w:hint="default"/>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0.118</w:t>
            </w:r>
            <w:r>
              <w:rPr>
                <w:rFonts w:hint="default"/>
                <w:color w:val="000000" w:themeColor="text1"/>
                <w:lang w:val="en-US" w:eastAsia="zh-CN"/>
                <w14:textFill>
                  <w14:solidFill>
                    <w14:schemeClr w14:val="tx1"/>
                  </w14:solidFill>
                </w14:textFill>
              </w:rPr>
              <w:t>kg/h</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。在采取控制车速、</w:t>
            </w:r>
            <w:r>
              <w:rPr>
                <w:rFonts w:hint="default"/>
                <w:color w:val="000000" w:themeColor="text1"/>
                <w:lang w:val="en-US" w:eastAsia="zh-CN"/>
                <w14:textFill>
                  <w14:solidFill>
                    <w14:schemeClr w14:val="tx1"/>
                  </w14:solidFill>
                </w14:textFill>
              </w:rPr>
              <w:t>车辆加盖篷布</w:t>
            </w:r>
            <w:r>
              <w:rPr>
                <w:rFonts w:hint="default"/>
                <w:color w:val="000000" w:themeColor="text1"/>
                <w14:textFill>
                  <w14:solidFill>
                    <w14:schemeClr w14:val="tx1"/>
                  </w14:solidFill>
                </w14:textFill>
              </w:rPr>
              <w:t>及</w:t>
            </w:r>
            <w:r>
              <w:rPr>
                <w:rFonts w:hint="default"/>
                <w:color w:val="000000" w:themeColor="text1"/>
                <w:lang w:val="en-US" w:eastAsia="zh-CN"/>
                <w14:textFill>
                  <w14:solidFill>
                    <w14:schemeClr w14:val="tx1"/>
                  </w14:solidFill>
                </w14:textFill>
              </w:rPr>
              <w:t>出入车辆冲洗等措施</w:t>
            </w:r>
            <w:r>
              <w:rPr>
                <w:rFonts w:hint="default"/>
                <w:color w:val="000000" w:themeColor="text1"/>
                <w14:textFill>
                  <w14:solidFill>
                    <w14:schemeClr w14:val="tx1"/>
                  </w14:solidFill>
                </w14:textFill>
              </w:rPr>
              <w:t>后，运输产生的扬尘对周围环境影响不大。</w:t>
            </w:r>
          </w:p>
          <w:p w14:paraId="371CAFDE">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2.</w:t>
            </w:r>
            <w:r>
              <w:rPr>
                <w:rFonts w:hint="eastAsia"/>
                <w:b/>
                <w:bCs/>
                <w:color w:val="000000" w:themeColor="text1"/>
                <w:sz w:val="24"/>
                <w:lang w:val="en-US" w:eastAsia="zh-CN"/>
                <w14:textFill>
                  <w14:solidFill>
                    <w14:schemeClr w14:val="tx1"/>
                  </w14:solidFill>
                </w14:textFill>
              </w:rPr>
              <w:t>5排土场</w:t>
            </w:r>
            <w:r>
              <w:rPr>
                <w:rFonts w:hint="default"/>
                <w:b/>
                <w:bCs/>
                <w:color w:val="000000" w:themeColor="text1"/>
                <w:sz w:val="24"/>
                <w14:textFill>
                  <w14:solidFill>
                    <w14:schemeClr w14:val="tx1"/>
                  </w14:solidFill>
                </w14:textFill>
              </w:rPr>
              <w:t>扬尘</w:t>
            </w:r>
            <w:r>
              <w:rPr>
                <w:rFonts w:hint="eastAsia"/>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装卸、</w:t>
            </w:r>
            <w:r>
              <w:rPr>
                <w:rFonts w:hint="eastAsia"/>
                <w:b/>
                <w:bCs/>
                <w:color w:val="000000" w:themeColor="text1"/>
                <w:sz w:val="24"/>
                <w14:textFill>
                  <w14:solidFill>
                    <w14:schemeClr w14:val="tx1"/>
                  </w14:solidFill>
                </w14:textFill>
              </w:rPr>
              <w:t>堆存）</w:t>
            </w:r>
          </w:p>
          <w:p w14:paraId="7D9EEAFC">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废</w:t>
            </w:r>
            <w:r>
              <w:rPr>
                <w:rFonts w:hint="eastAsia"/>
                <w:color w:val="000000" w:themeColor="text1"/>
                <w:sz w:val="24"/>
                <w:lang w:val="en-US" w:eastAsia="zh-CN"/>
                <w14:textFill>
                  <w14:solidFill>
                    <w14:schemeClr w14:val="tx1"/>
                  </w14:solidFill>
                </w14:textFill>
              </w:rPr>
              <w:t>土、</w:t>
            </w:r>
            <w:r>
              <w:rPr>
                <w:rFonts w:hint="default"/>
                <w:color w:val="000000" w:themeColor="text1"/>
                <w:sz w:val="24"/>
                <w14:textFill>
                  <w14:solidFill>
                    <w14:schemeClr w14:val="tx1"/>
                  </w14:solidFill>
                </w14:textFill>
              </w:rPr>
              <w:t>石堆放产生的扬尘量按照《固体物料堆存颗粒物产排污核算系数手册》中的公式计算。颗粒物产生量核算公式</w:t>
            </w:r>
            <w:r>
              <w:rPr>
                <w:rFonts w:hint="eastAsia"/>
                <w:color w:val="000000" w:themeColor="text1"/>
                <w:sz w:val="24"/>
                <w14:textFill>
                  <w14:solidFill>
                    <w14:schemeClr w14:val="tx1"/>
                  </w14:solidFill>
                </w14:textFill>
              </w:rPr>
              <w:t>如下</w:t>
            </w:r>
            <w:r>
              <w:rPr>
                <w:rFonts w:hint="default"/>
                <w:color w:val="000000" w:themeColor="text1"/>
                <w:sz w:val="24"/>
                <w14:textFill>
                  <w14:solidFill>
                    <w14:schemeClr w14:val="tx1"/>
                  </w14:solidFill>
                </w14:textFill>
              </w:rPr>
              <w:t>：</w:t>
            </w:r>
          </w:p>
          <w:p w14:paraId="2D63914A">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drawing>
                <wp:anchor distT="0" distB="0" distL="114300" distR="114300" simplePos="0" relativeHeight="251659264" behindDoc="0" locked="0" layoutInCell="1" allowOverlap="1">
                  <wp:simplePos x="0" y="0"/>
                  <wp:positionH relativeFrom="column">
                    <wp:posOffset>495300</wp:posOffset>
                  </wp:positionH>
                  <wp:positionV relativeFrom="paragraph">
                    <wp:posOffset>116840</wp:posOffset>
                  </wp:positionV>
                  <wp:extent cx="3924300" cy="298450"/>
                  <wp:effectExtent l="0" t="0" r="0" b="6350"/>
                  <wp:wrapTopAndBottom/>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27"/>
                          <a:stretch>
                            <a:fillRect/>
                          </a:stretch>
                        </pic:blipFill>
                        <pic:spPr>
                          <a:xfrm>
                            <a:off x="0" y="0"/>
                            <a:ext cx="3924300" cy="298450"/>
                          </a:xfrm>
                          <a:prstGeom prst="rect">
                            <a:avLst/>
                          </a:prstGeom>
                          <a:noFill/>
                          <a:ln>
                            <a:noFill/>
                          </a:ln>
                        </pic:spPr>
                      </pic:pic>
                    </a:graphicData>
                  </a:graphic>
                </wp:anchor>
              </w:drawing>
            </w:r>
            <w:r>
              <w:rPr>
                <w:rFonts w:hint="default"/>
                <w:color w:val="000000" w:themeColor="text1"/>
                <w:sz w:val="24"/>
                <w14:textFill>
                  <w14:solidFill>
                    <w14:schemeClr w14:val="tx1"/>
                  </w14:solidFill>
                </w14:textFill>
              </w:rPr>
              <w:t>计算参数：P——颗粒物产生量（t）；</w:t>
            </w:r>
          </w:p>
          <w:p w14:paraId="3DBB02C1">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ZCy——装卸扬尘产生量（t）；</w:t>
            </w:r>
          </w:p>
          <w:p w14:paraId="4D604434">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FCy——风蚀扬尘产生量（t）；</w:t>
            </w:r>
          </w:p>
          <w:p w14:paraId="15BD68BE">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Nc——年物料运载车次（车）；</w:t>
            </w:r>
          </w:p>
          <w:p w14:paraId="6D9EAE11">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D——单车平均运载量（t/车）；</w:t>
            </w:r>
          </w:p>
          <w:p w14:paraId="3B79CEF0">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（a/b）——装卸扬尘概化系数（kg/t），a指各省风速概化系数（查表取0.0011），b指物料含水率概化系数（查表取0.0</w:t>
            </w:r>
            <w:r>
              <w:rPr>
                <w:rFonts w:hint="eastAsia"/>
                <w:color w:val="000000" w:themeColor="text1"/>
                <w:sz w:val="24"/>
                <w:lang w:val="en-US" w:eastAsia="zh-CN"/>
                <w14:textFill>
                  <w14:solidFill>
                    <w14:schemeClr w14:val="tx1"/>
                  </w14:solidFill>
                </w14:textFill>
              </w:rPr>
              <w:t>017</w:t>
            </w:r>
            <w:r>
              <w:rPr>
                <w:rFonts w:hint="default"/>
                <w:color w:val="000000" w:themeColor="text1"/>
                <w:sz w:val="24"/>
                <w14:textFill>
                  <w14:solidFill>
                    <w14:schemeClr w14:val="tx1"/>
                  </w14:solidFill>
                </w14:textFill>
              </w:rPr>
              <w:t>）；</w:t>
            </w:r>
          </w:p>
          <w:p w14:paraId="24663864">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kern w:val="0"/>
                <w:sz w:val="24"/>
                <w:lang w:bidi="ar"/>
                <w14:textFill>
                  <w14:solidFill>
                    <w14:schemeClr w14:val="tx1"/>
                  </w14:solidFill>
                </w14:textFill>
              </w:rPr>
            </w:pPr>
            <w:r>
              <w:rPr>
                <w:rFonts w:hint="default"/>
                <w:color w:val="000000" w:themeColor="text1"/>
                <w:kern w:val="0"/>
                <w:sz w:val="24"/>
                <w:lang w:bidi="ar"/>
                <w14:textFill>
                  <w14:solidFill>
                    <w14:schemeClr w14:val="tx1"/>
                  </w14:solidFill>
                </w14:textFill>
              </w:rPr>
              <w:t>E</w:t>
            </w:r>
            <w:r>
              <w:rPr>
                <w:rFonts w:hint="default"/>
                <w:color w:val="000000" w:themeColor="text1"/>
                <w:kern w:val="0"/>
                <w:sz w:val="24"/>
                <w:vertAlign w:val="subscript"/>
                <w:lang w:bidi="ar"/>
                <w14:textFill>
                  <w14:solidFill>
                    <w14:schemeClr w14:val="tx1"/>
                  </w14:solidFill>
                </w14:textFill>
              </w:rPr>
              <w:t>f</w:t>
            </w:r>
            <w:r>
              <w:rPr>
                <w:rFonts w:hint="default"/>
                <w:color w:val="000000" w:themeColor="text1"/>
                <w:kern w:val="0"/>
                <w:sz w:val="24"/>
                <w:lang w:bidi="ar"/>
                <w14:textFill>
                  <w14:solidFill>
                    <w14:schemeClr w14:val="tx1"/>
                  </w14:solidFill>
                </w14:textFill>
              </w:rPr>
              <w:t>——堆场风蚀扬尘概化系数（查表取</w:t>
            </w:r>
            <w:r>
              <w:rPr>
                <w:rFonts w:hint="eastAsia"/>
                <w:color w:val="000000" w:themeColor="text1"/>
                <w:kern w:val="0"/>
                <w:sz w:val="24"/>
                <w:lang w:val="en-US" w:eastAsia="zh-CN" w:bidi="ar"/>
                <w14:textFill>
                  <w14:solidFill>
                    <w14:schemeClr w14:val="tx1"/>
                  </w14:solidFill>
                </w14:textFill>
              </w:rPr>
              <w:t>3.6062</w:t>
            </w:r>
            <w:r>
              <w:rPr>
                <w:rFonts w:hint="default"/>
                <w:color w:val="000000" w:themeColor="text1"/>
                <w:kern w:val="0"/>
                <w:sz w:val="24"/>
                <w:lang w:bidi="ar"/>
                <w14:textFill>
                  <w14:solidFill>
                    <w14:schemeClr w14:val="tx1"/>
                  </w14:solidFill>
                </w14:textFill>
              </w:rPr>
              <w:t>）；</w:t>
            </w:r>
          </w:p>
          <w:p w14:paraId="79BA7CB5">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kern w:val="0"/>
                <w:sz w:val="24"/>
                <w:lang w:bidi="ar"/>
                <w14:textFill>
                  <w14:solidFill>
                    <w14:schemeClr w14:val="tx1"/>
                  </w14:solidFill>
                </w14:textFill>
              </w:rPr>
            </w:pPr>
            <w:r>
              <w:rPr>
                <w:rFonts w:hint="default"/>
                <w:color w:val="000000" w:themeColor="text1"/>
                <w:kern w:val="0"/>
                <w:sz w:val="24"/>
                <w:lang w:bidi="ar"/>
                <w14:textFill>
                  <w14:solidFill>
                    <w14:schemeClr w14:val="tx1"/>
                  </w14:solidFill>
                </w14:textFill>
              </w:rPr>
              <w:t>S——堆场占地面积（m</w:t>
            </w:r>
            <w:r>
              <w:rPr>
                <w:rFonts w:hint="default"/>
                <w:color w:val="000000" w:themeColor="text1"/>
                <w:kern w:val="0"/>
                <w:sz w:val="24"/>
                <w:vertAlign w:val="superscript"/>
                <w:lang w:bidi="ar"/>
                <w14:textFill>
                  <w14:solidFill>
                    <w14:schemeClr w14:val="tx1"/>
                  </w14:solidFill>
                </w14:textFill>
              </w:rPr>
              <w:t>2</w:t>
            </w:r>
            <w:r>
              <w:rPr>
                <w:rFonts w:hint="default"/>
                <w:color w:val="000000" w:themeColor="text1"/>
                <w:kern w:val="0"/>
                <w:sz w:val="24"/>
                <w:lang w:bidi="ar"/>
                <w14:textFill>
                  <w14:solidFill>
                    <w14:schemeClr w14:val="tx1"/>
                  </w14:solidFill>
                </w14:textFill>
              </w:rPr>
              <w:t>）。</w:t>
            </w:r>
          </w:p>
          <w:p w14:paraId="50DECD3C">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经计算，</w:t>
            </w:r>
            <w:r>
              <w:rPr>
                <w:rFonts w:hint="eastAsia"/>
                <w:color w:val="000000" w:themeColor="text1"/>
                <w:sz w:val="24"/>
                <w:lang w:eastAsia="zh-CN"/>
                <w14:textFill>
                  <w14:solidFill>
                    <w14:schemeClr w14:val="tx1"/>
                  </w14:solidFill>
                </w14:textFill>
              </w:rPr>
              <w:t>排土场</w:t>
            </w:r>
            <w:r>
              <w:rPr>
                <w:rFonts w:hint="default"/>
                <w:color w:val="000000" w:themeColor="text1"/>
                <w:sz w:val="24"/>
                <w14:textFill>
                  <w14:solidFill>
                    <w14:schemeClr w14:val="tx1"/>
                  </w14:solidFill>
                </w14:textFill>
              </w:rPr>
              <w:t>扬尘产生量为</w:t>
            </w:r>
            <w:r>
              <w:rPr>
                <w:rFonts w:hint="eastAsia"/>
                <w:color w:val="000000" w:themeColor="text1"/>
                <w:sz w:val="24"/>
                <w:lang w:val="en-US" w:eastAsia="zh-CN"/>
                <w14:textFill>
                  <w14:solidFill>
                    <w14:schemeClr w14:val="tx1"/>
                  </w14:solidFill>
                </w14:textFill>
              </w:rPr>
              <w:t>24.85</w:t>
            </w:r>
            <w:r>
              <w:rPr>
                <w:rFonts w:hint="default"/>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10.35</w:t>
            </w:r>
            <w:r>
              <w:rPr>
                <w:rFonts w:hint="default"/>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项目在</w:t>
            </w:r>
            <w:r>
              <w:rPr>
                <w:rFonts w:hint="default"/>
                <w:color w:val="000000" w:themeColor="text1"/>
                <w:sz w:val="24"/>
                <w14:textFill>
                  <w14:solidFill>
                    <w14:schemeClr w14:val="tx1"/>
                  </w14:solidFill>
                </w14:textFill>
              </w:rPr>
              <w:t>废石装卸时进行洒水抑尘，根据《固体物料堆存颗粒物产排污核算系数手册》附录4可知，</w:t>
            </w:r>
            <w:r>
              <w:rPr>
                <w:rFonts w:hint="eastAsia"/>
                <w:sz w:val="24"/>
                <w:lang w:val="en-US" w:eastAsia="zh-CN"/>
              </w:rPr>
              <w:t>覆盖</w:t>
            </w:r>
            <w:r>
              <w:rPr>
                <w:rFonts w:hint="default"/>
                <w:sz w:val="24"/>
              </w:rPr>
              <w:t>可将无组织逸散量减少</w:t>
            </w:r>
            <w:r>
              <w:rPr>
                <w:rFonts w:hint="eastAsia"/>
                <w:sz w:val="24"/>
                <w:lang w:val="en-US" w:eastAsia="zh-CN"/>
              </w:rPr>
              <w:t>86</w:t>
            </w:r>
            <w:r>
              <w:rPr>
                <w:rFonts w:hint="default"/>
                <w:sz w:val="24"/>
              </w:rPr>
              <w:t>%</w:t>
            </w:r>
            <w:r>
              <w:rPr>
                <w:rFonts w:hint="eastAsia"/>
                <w:sz w:val="24"/>
                <w:lang w:eastAsia="zh-CN"/>
              </w:rPr>
              <w:t>，</w:t>
            </w:r>
            <w:r>
              <w:rPr>
                <w:rFonts w:hint="default"/>
                <w:color w:val="000000" w:themeColor="text1"/>
                <w:sz w:val="24"/>
                <w14:textFill>
                  <w14:solidFill>
                    <w14:schemeClr w14:val="tx1"/>
                  </w14:solidFill>
                </w14:textFill>
              </w:rPr>
              <w:t>洒水抑尘可减少74%，则</w:t>
            </w:r>
            <w:r>
              <w:rPr>
                <w:rFonts w:hint="eastAsia"/>
                <w:color w:val="000000" w:themeColor="text1"/>
                <w:sz w:val="24"/>
                <w:lang w:eastAsia="zh-CN"/>
                <w14:textFill>
                  <w14:solidFill>
                    <w14:schemeClr w14:val="tx1"/>
                  </w14:solidFill>
                </w14:textFill>
              </w:rPr>
              <w:t>排土场</w:t>
            </w:r>
            <w:r>
              <w:rPr>
                <w:rFonts w:hint="default"/>
                <w:color w:val="000000" w:themeColor="text1"/>
                <w:sz w:val="24"/>
                <w14:textFill>
                  <w14:solidFill>
                    <w14:schemeClr w14:val="tx1"/>
                  </w14:solidFill>
                </w14:textFill>
              </w:rPr>
              <w:t>无组织扬尘排放量为</w:t>
            </w:r>
            <w:r>
              <w:rPr>
                <w:rFonts w:hint="eastAsia"/>
                <w:color w:val="000000" w:themeColor="text1"/>
                <w:sz w:val="24"/>
                <w:lang w:val="en-US" w:eastAsia="zh-CN"/>
                <w14:textFill>
                  <w14:solidFill>
                    <w14:schemeClr w14:val="tx1"/>
                  </w14:solidFill>
                </w14:textFill>
              </w:rPr>
              <w:t>0.9</w:t>
            </w:r>
            <w:r>
              <w:rPr>
                <w:rFonts w:hint="default"/>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0.38</w:t>
            </w:r>
            <w:r>
              <w:rPr>
                <w:rFonts w:hint="default"/>
                <w:color w:val="000000" w:themeColor="text1"/>
                <w:sz w:val="24"/>
                <w14:textFill>
                  <w14:solidFill>
                    <w14:schemeClr w14:val="tx1"/>
                  </w14:solidFill>
                </w14:textFill>
              </w:rPr>
              <w:t>kg/h）。</w:t>
            </w:r>
          </w:p>
          <w:p w14:paraId="2FC614C4">
            <w:pPr>
              <w:keepNext w:val="0"/>
              <w:keepLines w:val="0"/>
              <w:suppressLineNumbers w:val="0"/>
              <w:adjustRightInd w:val="0"/>
              <w:snapToGrid w:val="0"/>
              <w:spacing w:before="0" w:beforeAutospacing="0" w:after="0" w:afterAutospacing="0" w:line="520" w:lineRule="exact"/>
              <w:ind w:left="0" w:right="0" w:firstLine="482" w:firstLineChars="200"/>
              <w:rPr>
                <w:rFonts w:hint="eastAsia"/>
                <w:b/>
                <w:bCs/>
                <w:sz w:val="24"/>
                <w:lang w:val="en-US" w:eastAsia="zh-CN"/>
              </w:rPr>
            </w:pPr>
            <w:r>
              <w:rPr>
                <w:rFonts w:hint="eastAsia"/>
                <w:b/>
                <w:bCs/>
                <w:sz w:val="24"/>
              </w:rPr>
              <w:t>2.</w:t>
            </w:r>
            <w:r>
              <w:rPr>
                <w:rFonts w:hint="eastAsia"/>
                <w:b/>
                <w:bCs/>
                <w:sz w:val="24"/>
                <w:lang w:val="en-US" w:eastAsia="zh-CN"/>
              </w:rPr>
              <w:t>6上料废气</w:t>
            </w:r>
          </w:p>
          <w:p w14:paraId="0FDDC9EC">
            <w:pPr>
              <w:keepNext w:val="0"/>
              <w:keepLines w:val="0"/>
              <w:suppressLineNumbers w:val="0"/>
              <w:adjustRightInd w:val="0"/>
              <w:snapToGrid w:val="0"/>
              <w:spacing w:before="0" w:beforeAutospacing="0" w:after="0" w:afterAutospacing="0" w:line="520" w:lineRule="exact"/>
              <w:ind w:left="0" w:right="0"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本项目上料过程中主要是块状物料的装卸扬尘，</w:t>
            </w:r>
            <w:r>
              <w:rPr>
                <w:rFonts w:hint="default"/>
                <w:color w:val="auto"/>
                <w:sz w:val="24"/>
              </w:rPr>
              <w:t>项目年开采</w:t>
            </w:r>
            <w:r>
              <w:rPr>
                <w:rFonts w:hint="eastAsia"/>
                <w:color w:val="auto"/>
                <w:sz w:val="24"/>
                <w:lang w:val="en-US" w:eastAsia="zh-CN"/>
              </w:rPr>
              <w:t>石灰石5</w:t>
            </w:r>
            <w:r>
              <w:rPr>
                <w:rFonts w:hint="eastAsia"/>
                <w:color w:val="auto"/>
                <w:sz w:val="24"/>
              </w:rPr>
              <w:t>0</w:t>
            </w:r>
            <w:r>
              <w:rPr>
                <w:rFonts w:hint="default"/>
                <w:color w:val="auto"/>
                <w:sz w:val="24"/>
              </w:rPr>
              <w:t>万</w:t>
            </w:r>
            <w:r>
              <w:rPr>
                <w:rFonts w:hint="eastAsia"/>
                <w:color w:val="auto"/>
                <w:sz w:val="24"/>
                <w:lang w:val="en-US" w:eastAsia="zh-CN"/>
              </w:rPr>
              <w:t>t，项目上料粉尘参照《逸散性工业粉尘控制技术》中粒料加工厂碎石进料粉尘排放因子0.0007kg/t计算，</w:t>
            </w:r>
            <w:r>
              <w:rPr>
                <w:rFonts w:hint="eastAsia"/>
                <w:sz w:val="24"/>
              </w:rPr>
              <w:t>则上料工序粉尘的产生量为0.3</w:t>
            </w:r>
            <w:r>
              <w:rPr>
                <w:rFonts w:hint="eastAsia"/>
                <w:sz w:val="24"/>
                <w:lang w:val="en-US" w:eastAsia="zh-CN"/>
              </w:rPr>
              <w:t>5</w:t>
            </w:r>
            <w:r>
              <w:rPr>
                <w:rFonts w:hint="eastAsia"/>
                <w:sz w:val="24"/>
              </w:rPr>
              <w:t>t/a，产生速率为0.1</w:t>
            </w:r>
            <w:r>
              <w:rPr>
                <w:rFonts w:hint="eastAsia"/>
                <w:sz w:val="24"/>
                <w:lang w:val="en-US" w:eastAsia="zh-CN"/>
              </w:rPr>
              <w:t>46</w:t>
            </w:r>
            <w:r>
              <w:rPr>
                <w:rFonts w:hint="eastAsia"/>
                <w:sz w:val="24"/>
              </w:rPr>
              <w:t>kg/h</w:t>
            </w:r>
            <w:r>
              <w:rPr>
                <w:rFonts w:hint="eastAsia"/>
                <w:sz w:val="24"/>
                <w:lang w:eastAsia="zh-CN"/>
              </w:rPr>
              <w:t>，上料口设有三面围挡，参照《固体物料堆存颗粒物产排污核算系数手册》，抑尘效率为60%，则上料工序粉尘的排放量为0.</w:t>
            </w:r>
            <w:r>
              <w:rPr>
                <w:rFonts w:hint="eastAsia"/>
                <w:sz w:val="24"/>
                <w:lang w:val="en-US" w:eastAsia="zh-CN"/>
              </w:rPr>
              <w:t>14</w:t>
            </w:r>
            <w:r>
              <w:rPr>
                <w:rFonts w:hint="eastAsia"/>
                <w:sz w:val="24"/>
                <w:lang w:eastAsia="zh-CN"/>
              </w:rPr>
              <w:t>t/a，排放速率为0.0</w:t>
            </w:r>
            <w:r>
              <w:rPr>
                <w:rFonts w:hint="eastAsia"/>
                <w:sz w:val="24"/>
                <w:lang w:val="en-US" w:eastAsia="zh-CN"/>
              </w:rPr>
              <w:t>58</w:t>
            </w:r>
            <w:r>
              <w:rPr>
                <w:rFonts w:hint="eastAsia"/>
                <w:sz w:val="24"/>
                <w:lang w:eastAsia="zh-CN"/>
              </w:rPr>
              <w:t>kg/h。</w:t>
            </w:r>
          </w:p>
          <w:p w14:paraId="1CDC5B83">
            <w:pPr>
              <w:keepNext w:val="0"/>
              <w:keepLines w:val="0"/>
              <w:suppressLineNumbers w:val="0"/>
              <w:adjustRightInd w:val="0"/>
              <w:snapToGrid w:val="0"/>
              <w:spacing w:before="0" w:beforeAutospacing="0" w:after="0" w:afterAutospacing="0" w:line="520" w:lineRule="exact"/>
              <w:ind w:left="0" w:right="0" w:firstLine="482" w:firstLineChars="200"/>
              <w:rPr>
                <w:rFonts w:hint="eastAsia"/>
                <w:b/>
                <w:bCs/>
                <w:sz w:val="24"/>
                <w:lang w:val="en-US" w:eastAsia="zh-CN"/>
              </w:rPr>
            </w:pPr>
            <w:r>
              <w:rPr>
                <w:rFonts w:hint="eastAsia"/>
                <w:b/>
                <w:bCs/>
                <w:sz w:val="24"/>
              </w:rPr>
              <w:t>2.</w:t>
            </w:r>
            <w:r>
              <w:rPr>
                <w:rFonts w:hint="eastAsia"/>
                <w:b/>
                <w:bCs/>
                <w:sz w:val="24"/>
                <w:lang w:val="en-US" w:eastAsia="zh-CN"/>
              </w:rPr>
              <w:t>7破碎、筛分废气</w:t>
            </w:r>
          </w:p>
          <w:p w14:paraId="33AE8CFB">
            <w:pPr>
              <w:keepNext w:val="0"/>
              <w:keepLines w:val="0"/>
              <w:suppressLineNumbers w:val="0"/>
              <w:adjustRightInd w:val="0"/>
              <w:snapToGrid w:val="0"/>
              <w:spacing w:before="0" w:beforeAutospacing="0" w:after="0" w:afterAutospacing="0" w:line="520" w:lineRule="exact"/>
              <w:ind w:left="0" w:right="0" w:firstLine="480" w:firstLineChars="200"/>
              <w:rPr>
                <w:rFonts w:hint="eastAsia" w:ascii="Times New Roman" w:hAnsi="Times New Roman" w:eastAsia="宋体" w:cs="Times New Roman"/>
                <w:color w:val="auto"/>
                <w:sz w:val="24"/>
                <w:lang w:val="en-US" w:eastAsia="zh-CN"/>
              </w:rPr>
            </w:pPr>
            <w:r>
              <w:rPr>
                <w:rFonts w:hint="default"/>
                <w:color w:val="auto"/>
                <w:sz w:val="24"/>
              </w:rPr>
              <w:t>本项目</w:t>
            </w:r>
            <w:r>
              <w:rPr>
                <w:rFonts w:hint="eastAsia"/>
                <w:color w:val="auto"/>
                <w:sz w:val="24"/>
                <w:lang w:val="en-US" w:eastAsia="zh-CN"/>
              </w:rPr>
              <w:t>水泥用石灰石破碎</w:t>
            </w:r>
            <w:r>
              <w:rPr>
                <w:rFonts w:hint="default"/>
                <w:color w:val="auto"/>
                <w:sz w:val="24"/>
              </w:rPr>
              <w:t>粉尘排污系数</w:t>
            </w:r>
            <w:r>
              <w:rPr>
                <w:rFonts w:hint="eastAsia"/>
                <w:color w:val="auto"/>
                <w:sz w:val="24"/>
              </w:rPr>
              <w:t>参照</w:t>
            </w:r>
            <w:r>
              <w:rPr>
                <w:rFonts w:hint="default"/>
                <w:color w:val="auto"/>
                <w:sz w:val="24"/>
              </w:rPr>
              <w:t>《排放源统计调查产排污核算方法和系数手册》10</w:t>
            </w:r>
            <w:r>
              <w:rPr>
                <w:rFonts w:hint="eastAsia"/>
                <w:color w:val="auto"/>
                <w:sz w:val="24"/>
                <w:lang w:val="en-US" w:eastAsia="zh-CN"/>
              </w:rPr>
              <w:t>11</w:t>
            </w:r>
            <w:r>
              <w:rPr>
                <w:rFonts w:hint="default"/>
                <w:color w:val="auto"/>
                <w:sz w:val="24"/>
              </w:rPr>
              <w:t xml:space="preserve"> </w:t>
            </w:r>
            <w:r>
              <w:rPr>
                <w:rFonts w:hint="eastAsia" w:cs="Times New Roman"/>
                <w:color w:val="auto"/>
                <w:sz w:val="24"/>
                <w:szCs w:val="24"/>
                <w:highlight w:val="none"/>
                <w:lang w:val="en-US" w:eastAsia="zh-CN"/>
              </w:rPr>
              <w:t>石灰石石膏</w:t>
            </w:r>
            <w:r>
              <w:rPr>
                <w:rFonts w:hint="default" w:ascii="Times New Roman" w:hAnsi="Times New Roman" w:eastAsia="宋体" w:cs="Times New Roman"/>
                <w:color w:val="auto"/>
                <w:sz w:val="24"/>
                <w:szCs w:val="24"/>
                <w:highlight w:val="none"/>
                <w:lang w:val="en-US" w:eastAsia="zh-CN"/>
              </w:rPr>
              <w:t>开采行业系数表中</w:t>
            </w:r>
            <w:r>
              <w:rPr>
                <w:rFonts w:hint="eastAsia" w:cs="Times New Roman"/>
                <w:color w:val="auto"/>
                <w:sz w:val="24"/>
                <w:szCs w:val="24"/>
                <w:highlight w:val="none"/>
                <w:lang w:val="en-US" w:eastAsia="zh-CN"/>
              </w:rPr>
              <w:t>石灰石</w:t>
            </w:r>
            <w:r>
              <w:rPr>
                <w:rFonts w:hint="eastAsia" w:ascii="Times New Roman" w:hAnsi="Times New Roman" w:eastAsia="宋体" w:cs="Times New Roman"/>
                <w:color w:val="auto"/>
                <w:sz w:val="24"/>
                <w:szCs w:val="24"/>
                <w:highlight w:val="none"/>
                <w:lang w:val="en-US" w:eastAsia="zh-CN"/>
              </w:rPr>
              <w:t>破碎</w:t>
            </w:r>
            <w:r>
              <w:rPr>
                <w:rFonts w:hint="default" w:ascii="Times New Roman" w:hAnsi="Times New Roman" w:eastAsia="宋体" w:cs="Times New Roman"/>
                <w:color w:val="auto"/>
                <w:sz w:val="24"/>
                <w:szCs w:val="24"/>
                <w:highlight w:val="none"/>
                <w:lang w:val="en-US" w:eastAsia="zh-CN"/>
              </w:rPr>
              <w:t>系数进行核算，产污系数为</w:t>
            </w:r>
            <w:r>
              <w:rPr>
                <w:rFonts w:hint="eastAsia" w:cs="Times New Roman"/>
                <w:color w:val="auto"/>
                <w:sz w:val="24"/>
                <w:szCs w:val="24"/>
                <w:highlight w:val="none"/>
                <w:lang w:val="en-US" w:eastAsia="zh-CN"/>
              </w:rPr>
              <w:t>3.07*10</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千克/吨－产品</w:t>
            </w:r>
            <w:r>
              <w:rPr>
                <w:rFonts w:hint="default"/>
                <w:color w:val="auto"/>
                <w:sz w:val="24"/>
              </w:rPr>
              <w:t>，本项目年开采</w:t>
            </w:r>
            <w:r>
              <w:rPr>
                <w:rFonts w:hint="eastAsia"/>
                <w:color w:val="auto"/>
                <w:sz w:val="24"/>
                <w:lang w:val="en-US" w:eastAsia="zh-CN"/>
              </w:rPr>
              <w:t>石灰石5</w:t>
            </w:r>
            <w:r>
              <w:rPr>
                <w:rFonts w:hint="eastAsia"/>
                <w:color w:val="auto"/>
                <w:sz w:val="24"/>
              </w:rPr>
              <w:t>0</w:t>
            </w:r>
            <w:r>
              <w:rPr>
                <w:rFonts w:hint="default"/>
                <w:color w:val="auto"/>
                <w:sz w:val="24"/>
              </w:rPr>
              <w:t>万</w:t>
            </w:r>
            <w:r>
              <w:rPr>
                <w:rFonts w:hint="eastAsia"/>
                <w:color w:val="auto"/>
                <w:sz w:val="24"/>
                <w:lang w:val="en-US" w:eastAsia="zh-CN"/>
              </w:rPr>
              <w:t>t</w:t>
            </w:r>
            <w:r>
              <w:rPr>
                <w:rFonts w:hint="default"/>
                <w:color w:val="auto"/>
                <w:sz w:val="24"/>
              </w:rPr>
              <w:t>，则</w:t>
            </w:r>
            <w:r>
              <w:rPr>
                <w:rFonts w:hint="eastAsia"/>
                <w:color w:val="auto"/>
                <w:sz w:val="24"/>
                <w:lang w:val="en-US" w:eastAsia="zh-CN"/>
              </w:rPr>
              <w:t>破碎</w:t>
            </w:r>
            <w:r>
              <w:rPr>
                <w:rFonts w:hint="default"/>
                <w:color w:val="auto"/>
                <w:sz w:val="24"/>
              </w:rPr>
              <w:t>粉尘产生量为</w:t>
            </w:r>
            <w:r>
              <w:rPr>
                <w:rFonts w:hint="eastAsia"/>
                <w:color w:val="auto"/>
                <w:sz w:val="24"/>
                <w:lang w:val="en-US" w:eastAsia="zh-CN"/>
              </w:rPr>
              <w:t>15.35</w:t>
            </w:r>
            <w:r>
              <w:rPr>
                <w:rFonts w:hint="default"/>
                <w:color w:val="auto"/>
                <w:sz w:val="24"/>
              </w:rPr>
              <w:t>t/a</w:t>
            </w:r>
            <w:r>
              <w:rPr>
                <w:rFonts w:hint="eastAsia"/>
                <w:color w:val="auto"/>
                <w:sz w:val="24"/>
              </w:rPr>
              <w:t>（</w:t>
            </w:r>
            <w:r>
              <w:rPr>
                <w:rFonts w:hint="eastAsia"/>
                <w:color w:val="auto"/>
                <w:sz w:val="24"/>
                <w:lang w:val="en-US" w:eastAsia="zh-CN"/>
              </w:rPr>
              <w:t>6.4</w:t>
            </w:r>
            <w:r>
              <w:rPr>
                <w:rFonts w:hint="eastAsia"/>
                <w:color w:val="auto"/>
                <w:sz w:val="24"/>
              </w:rPr>
              <w:t>kg/h）</w:t>
            </w:r>
            <w:r>
              <w:rPr>
                <w:rFonts w:hint="eastAsia"/>
                <w:color w:val="auto"/>
                <w:sz w:val="24"/>
                <w:lang w:val="en-US" w:eastAsia="zh-CN"/>
              </w:rPr>
              <w:t>。</w:t>
            </w:r>
          </w:p>
          <w:p w14:paraId="222AC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筛分参照《排放源统计调查产排污核算方法和系数手册》1011 石灰石石膏开采行业系数表中石灰石筛分系数进行核算，产污系数为0.4</w:t>
            </w:r>
            <w:r>
              <w:rPr>
                <w:rFonts w:hint="eastAsia"/>
                <w:color w:val="000000" w:themeColor="text1"/>
                <w:sz w:val="24"/>
                <w14:textFill>
                  <w14:solidFill>
                    <w14:schemeClr w14:val="tx1"/>
                  </w14:solidFill>
                </w14:textFill>
              </w:rPr>
              <w:t>kg/t。本项目筛选总量为</w:t>
            </w:r>
            <w:r>
              <w:rPr>
                <w:rFonts w:hint="eastAsia"/>
                <w:color w:val="000000" w:themeColor="text1"/>
                <w:sz w:val="24"/>
                <w:lang w:val="en-US" w:eastAsia="zh-CN"/>
                <w14:textFill>
                  <w14:solidFill>
                    <w14:schemeClr w14:val="tx1"/>
                  </w14:solidFill>
                </w14:textFill>
              </w:rPr>
              <w:t>50</w:t>
            </w:r>
            <w:r>
              <w:rPr>
                <w:rFonts w:hint="eastAsia"/>
                <w:color w:val="000000" w:themeColor="text1"/>
                <w:sz w:val="24"/>
                <w14:textFill>
                  <w14:solidFill>
                    <w14:schemeClr w14:val="tx1"/>
                  </w14:solidFill>
                </w14:textFill>
              </w:rPr>
              <w:t>万t/a，则项目</w:t>
            </w:r>
            <w:r>
              <w:rPr>
                <w:rFonts w:hint="eastAsia"/>
                <w:color w:val="000000" w:themeColor="text1"/>
                <w:sz w:val="24"/>
                <w:lang w:val="en-US" w:eastAsia="zh-CN"/>
                <w14:textFill>
                  <w14:solidFill>
                    <w14:schemeClr w14:val="tx1"/>
                  </w14:solidFill>
                </w14:textFill>
              </w:rPr>
              <w:t>振动</w:t>
            </w:r>
            <w:r>
              <w:rPr>
                <w:rFonts w:hint="eastAsia"/>
                <w:color w:val="000000" w:themeColor="text1"/>
                <w:sz w:val="24"/>
                <w14:textFill>
                  <w14:solidFill>
                    <w14:schemeClr w14:val="tx1"/>
                  </w14:solidFill>
                </w14:textFill>
              </w:rPr>
              <w:t>筛工序颗粒物产生量为</w:t>
            </w:r>
            <w:r>
              <w:rPr>
                <w:rFonts w:hint="eastAsia"/>
                <w:color w:val="000000" w:themeColor="text1"/>
                <w:sz w:val="24"/>
                <w:lang w:val="en-US" w:eastAsia="zh-CN"/>
                <w14:textFill>
                  <w14:solidFill>
                    <w14:schemeClr w14:val="tx1"/>
                  </w14:solidFill>
                </w14:textFill>
              </w:rPr>
              <w:t>200</w:t>
            </w:r>
            <w:r>
              <w:rPr>
                <w:rFonts w:hint="eastAsia"/>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83.3</w:t>
            </w:r>
            <w:r>
              <w:rPr>
                <w:rFonts w:hint="eastAsia"/>
                <w:color w:val="000000" w:themeColor="text1"/>
                <w:sz w:val="24"/>
                <w14:textFill>
                  <w14:solidFill>
                    <w14:schemeClr w14:val="tx1"/>
                  </w14:solidFill>
                </w14:textFill>
              </w:rPr>
              <w:t>kg/h）</w:t>
            </w:r>
            <w:r>
              <w:rPr>
                <w:rFonts w:hint="eastAsia"/>
                <w:color w:val="000000" w:themeColor="text1"/>
                <w:sz w:val="24"/>
                <w:lang w:eastAsia="zh-CN"/>
                <w14:textFill>
                  <w14:solidFill>
                    <w14:schemeClr w14:val="tx1"/>
                  </w14:solidFill>
                </w14:textFill>
              </w:rPr>
              <w:t>。</w:t>
            </w:r>
          </w:p>
          <w:p w14:paraId="52687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auto"/>
              <w:rPr>
                <w:rFonts w:hint="default" w:eastAsia="宋体"/>
                <w:color w:val="000000" w:themeColor="text1"/>
                <w:kern w:val="0"/>
                <w:sz w:val="24"/>
                <w:lang w:val="en-US" w:eastAsia="zh-CN" w:bidi="ar"/>
                <w14:textFill>
                  <w14:solidFill>
                    <w14:schemeClr w14:val="tx1"/>
                  </w14:solidFill>
                </w14:textFill>
              </w:rPr>
            </w:pPr>
            <w:r>
              <w:rPr>
                <w:rFonts w:hint="eastAsia"/>
                <w:color w:val="000000" w:themeColor="text1"/>
                <w:sz w:val="24"/>
                <w:lang w:val="en-US" w:eastAsia="zh-CN"/>
                <w14:textFill>
                  <w14:solidFill>
                    <w14:schemeClr w14:val="tx1"/>
                  </w14:solidFill>
                </w14:textFill>
              </w:rPr>
              <w:t>破碎、筛分</w:t>
            </w:r>
            <w:r>
              <w:rPr>
                <w:rFonts w:hint="eastAsia"/>
                <w:color w:val="000000" w:themeColor="text1"/>
                <w:sz w:val="24"/>
                <w14:textFill>
                  <w14:solidFill>
                    <w14:schemeClr w14:val="tx1"/>
                  </w14:solidFill>
                </w14:textFill>
              </w:rPr>
              <w:t>工序上方设置有布袋除尘器，废气经布袋除尘器处理</w:t>
            </w:r>
            <w:r>
              <w:rPr>
                <w:rFonts w:hint="eastAsia" w:ascii="Times New Roman" w:hAnsi="Times New Roman" w:eastAsia="宋体" w:cs="Times New Roman"/>
                <w:color w:val="000000" w:themeColor="text1"/>
                <w:sz w:val="24"/>
                <w:lang w:val="en-US" w:eastAsia="zh-CN"/>
                <w14:textFill>
                  <w14:solidFill>
                    <w14:schemeClr w14:val="tx1"/>
                  </w14:solidFill>
                </w14:textFill>
              </w:rPr>
              <w:t>后经15m高排气筒DA001排放</w:t>
            </w:r>
            <w:r>
              <w:rPr>
                <w:rFonts w:hint="eastAsia"/>
                <w:color w:val="000000" w:themeColor="text1"/>
                <w:sz w:val="24"/>
                <w14:textFill>
                  <w14:solidFill>
                    <w14:schemeClr w14:val="tx1"/>
                  </w14:solidFill>
                </w14:textFill>
              </w:rPr>
              <w:t>，</w:t>
            </w:r>
            <w:r>
              <w:rPr>
                <w:rFonts w:hint="default"/>
                <w:color w:val="000000" w:themeColor="text1"/>
                <w:kern w:val="0"/>
                <w:sz w:val="24"/>
                <w:lang w:bidi="ar"/>
                <w14:textFill>
                  <w14:solidFill>
                    <w14:schemeClr w14:val="tx1"/>
                  </w14:solidFill>
                </w14:textFill>
              </w:rPr>
              <w:t>收集系统引风机设计风量为</w:t>
            </w:r>
            <w:r>
              <w:rPr>
                <w:rFonts w:hint="eastAsia"/>
                <w:color w:val="000000" w:themeColor="text1"/>
                <w:kern w:val="0"/>
                <w:sz w:val="24"/>
                <w:lang w:val="en-US" w:eastAsia="zh-CN" w:bidi="ar"/>
                <w14:textFill>
                  <w14:solidFill>
                    <w14:schemeClr w14:val="tx1"/>
                  </w14:solidFill>
                </w14:textFill>
              </w:rPr>
              <w:t>1</w:t>
            </w:r>
            <w:r>
              <w:rPr>
                <w:rFonts w:hint="eastAsia"/>
                <w:color w:val="000000" w:themeColor="text1"/>
                <w:kern w:val="0"/>
                <w:sz w:val="24"/>
                <w:lang w:bidi="ar"/>
                <w14:textFill>
                  <w14:solidFill>
                    <w14:schemeClr w14:val="tx1"/>
                  </w14:solidFill>
                </w14:textFill>
              </w:rPr>
              <w:t>5</w:t>
            </w:r>
            <w:r>
              <w:rPr>
                <w:rFonts w:hint="default"/>
                <w:color w:val="000000" w:themeColor="text1"/>
                <w:kern w:val="0"/>
                <w:sz w:val="24"/>
                <w:lang w:bidi="ar"/>
                <w14:textFill>
                  <w14:solidFill>
                    <w14:schemeClr w14:val="tx1"/>
                  </w14:solidFill>
                </w14:textFill>
              </w:rPr>
              <w:t>000m</w:t>
            </w:r>
            <w:r>
              <w:rPr>
                <w:rFonts w:hint="eastAsia"/>
                <w:color w:val="000000" w:themeColor="text1"/>
                <w:kern w:val="0"/>
                <w:sz w:val="24"/>
                <w:vertAlign w:val="super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w:t>
            </w:r>
            <w:r>
              <w:rPr>
                <w:rFonts w:hint="default"/>
                <w:color w:val="000000" w:themeColor="text1"/>
                <w:kern w:val="0"/>
                <w:sz w:val="24"/>
                <w:lang w:bidi="ar"/>
                <w14:textFill>
                  <w14:solidFill>
                    <w14:schemeClr w14:val="tx1"/>
                  </w14:solidFill>
                </w14:textFill>
              </w:rPr>
              <w:t>h</w:t>
            </w:r>
            <w:r>
              <w:rPr>
                <w:rFonts w:hint="eastAsia"/>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废气收集效率为90%，</w:t>
            </w:r>
            <w:r>
              <w:rPr>
                <w:rFonts w:hint="eastAsia"/>
                <w:color w:val="000000" w:themeColor="text1"/>
                <w:kern w:val="0"/>
                <w:sz w:val="24"/>
                <w:lang w:bidi="ar"/>
                <w14:textFill>
                  <w14:solidFill>
                    <w14:schemeClr w14:val="tx1"/>
                  </w14:solidFill>
                </w14:textFill>
              </w:rPr>
              <w:t>则有组织颗粒物产生量为</w:t>
            </w:r>
            <w:r>
              <w:rPr>
                <w:rFonts w:hint="eastAsia"/>
                <w:color w:val="000000" w:themeColor="text1"/>
                <w:kern w:val="0"/>
                <w:sz w:val="24"/>
                <w:lang w:val="en-US" w:eastAsia="zh-CN" w:bidi="ar"/>
                <w14:textFill>
                  <w14:solidFill>
                    <w14:schemeClr w14:val="tx1"/>
                  </w14:solidFill>
                </w14:textFill>
              </w:rPr>
              <w:t>193.82</w:t>
            </w:r>
            <w:r>
              <w:rPr>
                <w:rFonts w:hint="eastAsia"/>
                <w:color w:val="000000" w:themeColor="text1"/>
                <w:kern w:val="0"/>
                <w:sz w:val="24"/>
                <w:lang w:bidi="ar"/>
                <w14:textFill>
                  <w14:solidFill>
                    <w14:schemeClr w14:val="tx1"/>
                  </w14:solidFill>
                </w14:textFill>
              </w:rPr>
              <w:t>t/a，产生速率为</w:t>
            </w:r>
            <w:r>
              <w:rPr>
                <w:rFonts w:hint="eastAsia"/>
                <w:color w:val="000000" w:themeColor="text1"/>
                <w:kern w:val="0"/>
                <w:sz w:val="24"/>
                <w:lang w:val="en-US" w:eastAsia="zh-CN" w:bidi="ar"/>
                <w14:textFill>
                  <w14:solidFill>
                    <w14:schemeClr w14:val="tx1"/>
                  </w14:solidFill>
                </w14:textFill>
              </w:rPr>
              <w:t>80.76</w:t>
            </w:r>
            <w:r>
              <w:rPr>
                <w:rFonts w:hint="eastAsia"/>
                <w:color w:val="000000" w:themeColor="text1"/>
                <w:kern w:val="0"/>
                <w:sz w:val="24"/>
                <w:lang w:bidi="ar"/>
                <w14:textFill>
                  <w14:solidFill>
                    <w14:schemeClr w14:val="tx1"/>
                  </w14:solidFill>
                </w14:textFill>
              </w:rPr>
              <w:t>kg/h。布袋除尘器</w:t>
            </w:r>
            <w:r>
              <w:rPr>
                <w:rFonts w:hint="eastAsia"/>
                <w:color w:val="000000" w:themeColor="text1"/>
                <w:sz w:val="24"/>
                <w14:textFill>
                  <w14:solidFill>
                    <w14:schemeClr w14:val="tx1"/>
                  </w14:solidFill>
                </w14:textFill>
              </w:rPr>
              <w:t>除尘效率为99.</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w:t>
            </w:r>
            <w:r>
              <w:rPr>
                <w:rFonts w:hint="eastAsia"/>
                <w:color w:val="000000" w:themeColor="text1"/>
                <w:kern w:val="0"/>
                <w:sz w:val="24"/>
                <w:lang w:bidi="ar"/>
                <w14:textFill>
                  <w14:solidFill>
                    <w14:schemeClr w14:val="tx1"/>
                  </w14:solidFill>
                </w14:textFill>
              </w:rPr>
              <w:t>则有组织颗粒物排放量为</w:t>
            </w:r>
            <w:r>
              <w:rPr>
                <w:rFonts w:hint="eastAsia"/>
                <w:color w:val="000000" w:themeColor="text1"/>
                <w:kern w:val="0"/>
                <w:sz w:val="24"/>
                <w:lang w:val="en-US" w:eastAsia="zh-CN" w:bidi="ar"/>
                <w14:textFill>
                  <w14:solidFill>
                    <w14:schemeClr w14:val="tx1"/>
                  </w14:solidFill>
                </w14:textFill>
              </w:rPr>
              <w:t>0.58</w:t>
            </w:r>
            <w:r>
              <w:rPr>
                <w:rFonts w:hint="eastAsia"/>
                <w:color w:val="000000" w:themeColor="text1"/>
                <w:kern w:val="0"/>
                <w:sz w:val="24"/>
                <w:lang w:bidi="ar"/>
                <w14:textFill>
                  <w14:solidFill>
                    <w14:schemeClr w14:val="tx1"/>
                  </w14:solidFill>
                </w14:textFill>
              </w:rPr>
              <w:t>t/a，排放速率为</w:t>
            </w:r>
            <w:r>
              <w:rPr>
                <w:rFonts w:hint="eastAsia"/>
                <w:color w:val="000000" w:themeColor="text1"/>
                <w:kern w:val="0"/>
                <w:sz w:val="24"/>
                <w:lang w:val="en-US" w:eastAsia="zh-CN" w:bidi="ar"/>
                <w14:textFill>
                  <w14:solidFill>
                    <w14:schemeClr w14:val="tx1"/>
                  </w14:solidFill>
                </w14:textFill>
              </w:rPr>
              <w:t>0.242</w:t>
            </w:r>
            <w:r>
              <w:rPr>
                <w:rFonts w:hint="default"/>
                <w:color w:val="000000" w:themeColor="text1"/>
                <w:kern w:val="0"/>
                <w:sz w:val="24"/>
                <w:lang w:bidi="ar"/>
                <w14:textFill>
                  <w14:solidFill>
                    <w14:schemeClr w14:val="tx1"/>
                  </w14:solidFill>
                </w14:textFill>
              </w:rPr>
              <w:t>kg/</w:t>
            </w:r>
            <w:r>
              <w:rPr>
                <w:rFonts w:hint="eastAsia"/>
                <w:color w:val="000000" w:themeColor="text1"/>
                <w14:textFill>
                  <w14:solidFill>
                    <w14:schemeClr w14:val="tx1"/>
                  </w14:solidFill>
                </w14:textFill>
              </w:rPr>
              <w:t>h</w:t>
            </w:r>
            <w:r>
              <w:rPr>
                <w:rFonts w:hint="eastAsia"/>
                <w:color w:val="000000" w:themeColor="text1"/>
                <w:kern w:val="0"/>
                <w:sz w:val="24"/>
                <w:lang w:bidi="ar"/>
                <w14:textFill>
                  <w14:solidFill>
                    <w14:schemeClr w14:val="tx1"/>
                  </w14:solidFill>
                </w14:textFill>
              </w:rPr>
              <w:t>，排放浓</w:t>
            </w:r>
            <w:r>
              <w:rPr>
                <w:rFonts w:hint="eastAsia"/>
                <w:color w:val="auto"/>
                <w:kern w:val="0"/>
                <w:sz w:val="24"/>
                <w:lang w:bidi="ar"/>
              </w:rPr>
              <w:t>度为</w:t>
            </w:r>
            <w:r>
              <w:rPr>
                <w:rFonts w:hint="eastAsia"/>
                <w:color w:val="auto"/>
                <w:kern w:val="0"/>
                <w:sz w:val="24"/>
                <w:lang w:val="en-US" w:eastAsia="zh-CN" w:bidi="ar"/>
              </w:rPr>
              <w:t>16.13</w:t>
            </w:r>
            <w:r>
              <w:rPr>
                <w:rFonts w:hint="default"/>
                <w:color w:val="auto"/>
                <w:kern w:val="0"/>
                <w:sz w:val="24"/>
                <w:lang w:bidi="ar"/>
              </w:rPr>
              <w:t>mg</w:t>
            </w:r>
            <w:r>
              <w:rPr>
                <w:rFonts w:hint="default"/>
                <w:color w:val="000000" w:themeColor="text1"/>
                <w:kern w:val="0"/>
                <w:sz w:val="24"/>
                <w:lang w:bidi="ar"/>
                <w14:textFill>
                  <w14:solidFill>
                    <w14:schemeClr w14:val="tx1"/>
                  </w14:solidFill>
                </w14:textFill>
              </w:rPr>
              <w:t>/m</w:t>
            </w:r>
            <w:r>
              <w:rPr>
                <w:rFonts w:hint="default"/>
                <w:color w:val="000000" w:themeColor="text1"/>
                <w:kern w:val="0"/>
                <w:sz w:val="24"/>
                <w:vertAlign w:val="super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。满足《水泥工业大气污染物排放标准》（GB</w:t>
            </w:r>
            <w:r>
              <w:rPr>
                <w:rFonts w:hint="eastAsia"/>
                <w:color w:val="000000" w:themeColor="text1"/>
                <w:kern w:val="0"/>
                <w:sz w:val="24"/>
                <w:lang w:val="en-US" w:eastAsia="zh-CN" w:bidi="ar"/>
                <w14:textFill>
                  <w14:solidFill>
                    <w14:schemeClr w14:val="tx1"/>
                  </w14:solidFill>
                </w14:textFill>
              </w:rPr>
              <w:t>4951-2013</w:t>
            </w:r>
            <w:r>
              <w:rPr>
                <w:rFonts w:hint="eastAsia"/>
                <w:color w:val="000000" w:themeColor="text1"/>
                <w:kern w:val="0"/>
                <w:sz w:val="24"/>
                <w:lang w:bidi="ar"/>
                <w14:textFill>
                  <w14:solidFill>
                    <w14:schemeClr w14:val="tx1"/>
                  </w14:solidFill>
                </w14:textFill>
              </w:rPr>
              <w:t>）中排放浓度要求。</w:t>
            </w:r>
          </w:p>
          <w:p w14:paraId="749F8DE7">
            <w:pPr>
              <w:keepNext w:val="0"/>
              <w:keepLines w:val="0"/>
              <w:widowControl/>
              <w:suppressLineNumbers w:val="0"/>
              <w:spacing w:before="0" w:beforeAutospacing="0" w:after="0" w:afterAutospacing="0" w:line="520" w:lineRule="exact"/>
              <w:ind w:left="0" w:right="0" w:firstLine="480" w:firstLineChars="200"/>
              <w:jc w:val="left"/>
              <w:rPr>
                <w:rFonts w:hint="default"/>
                <w:color w:val="000000" w:themeColor="text1"/>
                <w14:textFill>
                  <w14:solidFill>
                    <w14:schemeClr w14:val="tx1"/>
                  </w14:solidFill>
                </w14:textFill>
              </w:rPr>
            </w:pPr>
            <w:r>
              <w:rPr>
                <w:rFonts w:hint="eastAsia"/>
                <w:color w:val="000000" w:themeColor="text1"/>
                <w:kern w:val="0"/>
                <w:sz w:val="24"/>
                <w:lang w:bidi="ar"/>
                <w14:textFill>
                  <w14:solidFill>
                    <w14:schemeClr w14:val="tx1"/>
                  </w14:solidFill>
                </w14:textFill>
              </w:rPr>
              <w:t>未被收集的颗粒物在</w:t>
            </w:r>
            <w:r>
              <w:rPr>
                <w:rFonts w:hint="default"/>
                <w:color w:val="000000" w:themeColor="text1"/>
                <w:kern w:val="0"/>
                <w:sz w:val="24"/>
                <w:lang w:bidi="ar"/>
                <w14:textFill>
                  <w14:solidFill>
                    <w14:schemeClr w14:val="tx1"/>
                  </w14:solidFill>
                </w14:textFill>
              </w:rPr>
              <w:t>车间内无组织排放</w:t>
            </w:r>
            <w:r>
              <w:rPr>
                <w:rFonts w:hint="eastAsia"/>
                <w:color w:val="000000" w:themeColor="text1"/>
                <w:kern w:val="0"/>
                <w:sz w:val="24"/>
                <w:lang w:bidi="ar"/>
                <w14:textFill>
                  <w14:solidFill>
                    <w14:schemeClr w14:val="tx1"/>
                  </w14:solidFill>
                </w14:textFill>
              </w:rPr>
              <w:t>，则无组织</w:t>
            </w:r>
            <w:r>
              <w:rPr>
                <w:rFonts w:hint="eastAsia"/>
                <w:color w:val="000000" w:themeColor="text1"/>
                <w:sz w:val="24"/>
                <w14:textFill>
                  <w14:solidFill>
                    <w14:schemeClr w14:val="tx1"/>
                  </w14:solidFill>
                </w14:textFill>
              </w:rPr>
              <w:t>颗粒物</w:t>
            </w:r>
            <w:r>
              <w:rPr>
                <w:rFonts w:hint="eastAsia"/>
                <w:color w:val="000000" w:themeColor="text1"/>
                <w:kern w:val="0"/>
                <w:sz w:val="24"/>
                <w:lang w:bidi="ar"/>
                <w14:textFill>
                  <w14:solidFill>
                    <w14:schemeClr w14:val="tx1"/>
                  </w14:solidFill>
                </w14:textFill>
              </w:rPr>
              <w:t>产生量为</w:t>
            </w:r>
            <w:r>
              <w:rPr>
                <w:rFonts w:hint="eastAsia"/>
                <w:color w:val="000000" w:themeColor="text1"/>
                <w:kern w:val="0"/>
                <w:sz w:val="24"/>
                <w:lang w:val="en-US" w:eastAsia="zh-CN" w:bidi="ar"/>
                <w14:textFill>
                  <w14:solidFill>
                    <w14:schemeClr w14:val="tx1"/>
                  </w14:solidFill>
                </w14:textFill>
              </w:rPr>
              <w:t>21.54</w:t>
            </w:r>
            <w:r>
              <w:rPr>
                <w:rFonts w:hint="eastAsia"/>
                <w:color w:val="000000" w:themeColor="text1"/>
                <w:kern w:val="0"/>
                <w:sz w:val="24"/>
                <w:lang w:bidi="ar"/>
                <w14:textFill>
                  <w14:solidFill>
                    <w14:schemeClr w14:val="tx1"/>
                  </w14:solidFill>
                </w14:textFill>
              </w:rPr>
              <w:t>t/a，产生速率为</w:t>
            </w:r>
            <w:r>
              <w:rPr>
                <w:rFonts w:hint="eastAsia"/>
                <w:color w:val="000000" w:themeColor="text1"/>
                <w:kern w:val="0"/>
                <w:sz w:val="24"/>
                <w:lang w:val="en-US" w:eastAsia="zh-CN" w:bidi="ar"/>
                <w14:textFill>
                  <w14:solidFill>
                    <w14:schemeClr w14:val="tx1"/>
                  </w14:solidFill>
                </w14:textFill>
              </w:rPr>
              <w:t>8.97</w:t>
            </w:r>
            <w:r>
              <w:rPr>
                <w:rFonts w:hint="eastAsia"/>
                <w:color w:val="000000" w:themeColor="text1"/>
                <w:kern w:val="0"/>
                <w:sz w:val="24"/>
                <w:lang w:bidi="ar"/>
                <w14:textFill>
                  <w14:solidFill>
                    <w14:schemeClr w14:val="tx1"/>
                  </w14:solidFill>
                </w14:textFill>
              </w:rPr>
              <w:t>kg/h。</w:t>
            </w:r>
          </w:p>
          <w:p w14:paraId="56D32337">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sz w:val="24"/>
              </w:rPr>
            </w:pPr>
            <w:r>
              <w:rPr>
                <w:rFonts w:hint="eastAsia"/>
                <w:b/>
                <w:bCs/>
                <w:sz w:val="24"/>
              </w:rPr>
              <w:t>2.</w:t>
            </w:r>
            <w:r>
              <w:rPr>
                <w:rFonts w:hint="eastAsia"/>
                <w:b/>
                <w:bCs/>
                <w:sz w:val="24"/>
                <w:lang w:val="en-US" w:eastAsia="zh-CN"/>
              </w:rPr>
              <w:t>8临时堆料</w:t>
            </w:r>
            <w:r>
              <w:rPr>
                <w:rFonts w:hint="eastAsia"/>
                <w:b/>
                <w:bCs/>
                <w:sz w:val="24"/>
                <w:lang w:eastAsia="zh-CN"/>
              </w:rPr>
              <w:t>场</w:t>
            </w:r>
            <w:r>
              <w:rPr>
                <w:rFonts w:hint="eastAsia"/>
                <w:b/>
                <w:bCs/>
                <w:sz w:val="24"/>
              </w:rPr>
              <w:t>扬尘（</w:t>
            </w:r>
            <w:r>
              <w:rPr>
                <w:rFonts w:hint="eastAsia"/>
                <w:b/>
                <w:bCs/>
                <w:sz w:val="24"/>
                <w:lang w:val="en-US" w:eastAsia="zh-CN"/>
              </w:rPr>
              <w:t>装卸、</w:t>
            </w:r>
            <w:r>
              <w:rPr>
                <w:rFonts w:hint="eastAsia"/>
                <w:b/>
                <w:bCs/>
                <w:sz w:val="24"/>
              </w:rPr>
              <w:t>堆存）</w:t>
            </w:r>
          </w:p>
          <w:p w14:paraId="24B7E88A">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eastAsia"/>
                <w:sz w:val="24"/>
                <w:lang w:val="en-US" w:eastAsia="zh-CN"/>
              </w:rPr>
              <w:t>成品</w:t>
            </w:r>
            <w:r>
              <w:rPr>
                <w:rFonts w:hint="eastAsia"/>
                <w:sz w:val="24"/>
              </w:rPr>
              <w:t>料</w:t>
            </w:r>
            <w:r>
              <w:rPr>
                <w:rFonts w:hint="default"/>
                <w:sz w:val="24"/>
              </w:rPr>
              <w:t>堆放产生的扬尘量按照《固体物料堆存颗粒物产排污核算系数手册》中的公式计算。颗粒物产生量核算公式</w:t>
            </w:r>
            <w:r>
              <w:rPr>
                <w:rFonts w:hint="eastAsia"/>
                <w:sz w:val="24"/>
              </w:rPr>
              <w:t>如下</w:t>
            </w:r>
            <w:r>
              <w:rPr>
                <w:rFonts w:hint="default"/>
                <w:sz w:val="24"/>
              </w:rPr>
              <w:t>：</w:t>
            </w:r>
          </w:p>
          <w:p w14:paraId="2F644BCE">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drawing>
                <wp:anchor distT="0" distB="0" distL="114300" distR="114300" simplePos="0" relativeHeight="251660288" behindDoc="0" locked="0" layoutInCell="1" allowOverlap="1">
                  <wp:simplePos x="0" y="0"/>
                  <wp:positionH relativeFrom="column">
                    <wp:posOffset>495300</wp:posOffset>
                  </wp:positionH>
                  <wp:positionV relativeFrom="paragraph">
                    <wp:posOffset>116840</wp:posOffset>
                  </wp:positionV>
                  <wp:extent cx="3924300" cy="298450"/>
                  <wp:effectExtent l="0" t="0" r="0" b="6350"/>
                  <wp:wrapTopAndBottom/>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pic:cNvPicPr>
                            <a:picLocks noChangeAspect="1"/>
                          </pic:cNvPicPr>
                        </pic:nvPicPr>
                        <pic:blipFill>
                          <a:blip r:embed="rId27"/>
                          <a:stretch>
                            <a:fillRect/>
                          </a:stretch>
                        </pic:blipFill>
                        <pic:spPr>
                          <a:xfrm>
                            <a:off x="0" y="0"/>
                            <a:ext cx="3924300" cy="298450"/>
                          </a:xfrm>
                          <a:prstGeom prst="rect">
                            <a:avLst/>
                          </a:prstGeom>
                          <a:noFill/>
                          <a:ln>
                            <a:noFill/>
                          </a:ln>
                        </pic:spPr>
                      </pic:pic>
                    </a:graphicData>
                  </a:graphic>
                </wp:anchor>
              </w:drawing>
            </w:r>
            <w:r>
              <w:rPr>
                <w:rFonts w:hint="default"/>
                <w:sz w:val="24"/>
              </w:rPr>
              <w:t>计算参数：P——颗粒物产生量（t）；</w:t>
            </w:r>
          </w:p>
          <w:p w14:paraId="7E007362">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ZCy——装卸扬尘产生量（t）；</w:t>
            </w:r>
          </w:p>
          <w:p w14:paraId="23516B1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FCy——风蚀扬尘产生量（t）；</w:t>
            </w:r>
          </w:p>
          <w:p w14:paraId="36DCFB4B">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Nc——年物料运载车次（车）；</w:t>
            </w:r>
          </w:p>
          <w:p w14:paraId="7A1DE544">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D——单车平均运载量（t/车）；</w:t>
            </w:r>
          </w:p>
          <w:p w14:paraId="5F64CB4B">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（a/b）——装卸扬尘概化系数（kg/t），a指各省风速概化系数（查表取0.0011），b指物料含水率概化系数（查表取0.0</w:t>
            </w:r>
            <w:r>
              <w:rPr>
                <w:rFonts w:hint="eastAsia"/>
                <w:sz w:val="24"/>
                <w:lang w:val="en-US" w:eastAsia="zh-CN"/>
              </w:rPr>
              <w:t>017</w:t>
            </w:r>
            <w:r>
              <w:rPr>
                <w:rFonts w:hint="default"/>
                <w:sz w:val="24"/>
              </w:rPr>
              <w:t>）；</w:t>
            </w:r>
          </w:p>
          <w:p w14:paraId="38685366">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kern w:val="0"/>
                <w:sz w:val="24"/>
                <w:lang w:bidi="ar"/>
              </w:rPr>
            </w:pPr>
            <w:r>
              <w:rPr>
                <w:rFonts w:hint="default"/>
                <w:color w:val="000000"/>
                <w:kern w:val="0"/>
                <w:sz w:val="24"/>
                <w:lang w:bidi="ar"/>
              </w:rPr>
              <w:t>E</w:t>
            </w:r>
            <w:r>
              <w:rPr>
                <w:rFonts w:hint="default"/>
                <w:color w:val="000000"/>
                <w:kern w:val="0"/>
                <w:sz w:val="24"/>
                <w:vertAlign w:val="subscript"/>
                <w:lang w:bidi="ar"/>
              </w:rPr>
              <w:t>f</w:t>
            </w:r>
            <w:r>
              <w:rPr>
                <w:rFonts w:hint="default"/>
                <w:color w:val="000000"/>
                <w:kern w:val="0"/>
                <w:sz w:val="24"/>
                <w:lang w:bidi="ar"/>
              </w:rPr>
              <w:t>——堆场风蚀扬尘概化系数（查表取</w:t>
            </w:r>
            <w:r>
              <w:rPr>
                <w:rFonts w:hint="eastAsia"/>
                <w:color w:val="000000"/>
                <w:kern w:val="0"/>
                <w:sz w:val="24"/>
                <w:lang w:val="en-US" w:eastAsia="zh-CN" w:bidi="ar"/>
              </w:rPr>
              <w:t>3.6062</w:t>
            </w:r>
            <w:r>
              <w:rPr>
                <w:rFonts w:hint="default"/>
                <w:color w:val="000000"/>
                <w:kern w:val="0"/>
                <w:sz w:val="24"/>
                <w:lang w:bidi="ar"/>
              </w:rPr>
              <w:t>）；</w:t>
            </w:r>
          </w:p>
          <w:p w14:paraId="40D8BA6D">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kern w:val="0"/>
                <w:sz w:val="24"/>
                <w:lang w:bidi="ar"/>
              </w:rPr>
            </w:pPr>
            <w:r>
              <w:rPr>
                <w:rFonts w:hint="default"/>
                <w:color w:val="000000"/>
                <w:kern w:val="0"/>
                <w:sz w:val="24"/>
                <w:lang w:bidi="ar"/>
              </w:rPr>
              <w:t>S——堆场占地面积（m</w:t>
            </w:r>
            <w:r>
              <w:rPr>
                <w:rFonts w:hint="default"/>
                <w:color w:val="000000"/>
                <w:kern w:val="0"/>
                <w:sz w:val="24"/>
                <w:vertAlign w:val="superscript"/>
                <w:lang w:bidi="ar"/>
              </w:rPr>
              <w:t>2</w:t>
            </w:r>
            <w:r>
              <w:rPr>
                <w:rFonts w:hint="default"/>
                <w:color w:val="000000"/>
                <w:kern w:val="0"/>
                <w:sz w:val="24"/>
                <w:lang w:bidi="ar"/>
              </w:rPr>
              <w:t>）。</w:t>
            </w:r>
          </w:p>
          <w:p w14:paraId="5450DD0C">
            <w:pPr>
              <w:keepNext w:val="0"/>
              <w:keepLines w:val="0"/>
              <w:suppressLineNumbers w:val="0"/>
              <w:adjustRightInd w:val="0"/>
              <w:snapToGrid w:val="0"/>
              <w:spacing w:before="0" w:beforeAutospacing="0" w:after="0" w:afterAutospacing="0" w:line="520" w:lineRule="exact"/>
              <w:ind w:left="0" w:right="0" w:firstLine="480" w:firstLineChars="200"/>
              <w:rPr>
                <w:rFonts w:hint="eastAsia" w:eastAsia="宋体"/>
                <w:b/>
                <w:bCs/>
                <w:color w:val="000000" w:themeColor="text1"/>
                <w:sz w:val="24"/>
                <w:lang w:val="en-US" w:eastAsia="zh-CN"/>
                <w14:textFill>
                  <w14:solidFill>
                    <w14:schemeClr w14:val="tx1"/>
                  </w14:solidFill>
                </w14:textFill>
              </w:rPr>
            </w:pPr>
            <w:r>
              <w:rPr>
                <w:rFonts w:hint="default"/>
                <w:sz w:val="24"/>
              </w:rPr>
              <w:t>经计算，</w:t>
            </w:r>
            <w:r>
              <w:rPr>
                <w:rFonts w:hint="default"/>
                <w:sz w:val="24"/>
                <w:lang w:eastAsia="zh-CN"/>
              </w:rPr>
              <w:t>临时堆料场</w:t>
            </w:r>
            <w:r>
              <w:rPr>
                <w:rFonts w:hint="default"/>
                <w:sz w:val="24"/>
              </w:rPr>
              <w:t>扬尘产生量为</w:t>
            </w:r>
            <w:r>
              <w:rPr>
                <w:rFonts w:hint="eastAsia"/>
                <w:sz w:val="24"/>
                <w:lang w:val="en-US" w:eastAsia="zh-CN"/>
              </w:rPr>
              <w:t>64.72</w:t>
            </w:r>
            <w:r>
              <w:rPr>
                <w:rFonts w:hint="default"/>
                <w:sz w:val="24"/>
              </w:rPr>
              <w:t>t/a（</w:t>
            </w:r>
            <w:r>
              <w:rPr>
                <w:rFonts w:hint="eastAsia"/>
                <w:sz w:val="24"/>
                <w:lang w:val="en-US" w:eastAsia="zh-CN"/>
              </w:rPr>
              <w:t>26.97</w:t>
            </w:r>
            <w:r>
              <w:rPr>
                <w:rFonts w:hint="default"/>
                <w:sz w:val="24"/>
              </w:rPr>
              <w:t>kg/h）。</w:t>
            </w:r>
            <w:r>
              <w:rPr>
                <w:rFonts w:hint="eastAsia"/>
                <w:sz w:val="24"/>
              </w:rPr>
              <w:t>项目在</w:t>
            </w:r>
            <w:r>
              <w:rPr>
                <w:rFonts w:hint="default"/>
                <w:sz w:val="24"/>
              </w:rPr>
              <w:t>装卸时</w:t>
            </w:r>
            <w:r>
              <w:rPr>
                <w:rFonts w:hint="eastAsia"/>
                <w:sz w:val="24"/>
              </w:rPr>
              <w:t>采取</w:t>
            </w:r>
            <w:r>
              <w:rPr>
                <w:rFonts w:hint="default"/>
                <w:sz w:val="24"/>
              </w:rPr>
              <w:t>洒水抑尘</w:t>
            </w:r>
            <w:r>
              <w:rPr>
                <w:rFonts w:hint="eastAsia"/>
                <w:sz w:val="24"/>
              </w:rPr>
              <w:t>的措施</w:t>
            </w:r>
            <w:r>
              <w:rPr>
                <w:rFonts w:hint="default"/>
                <w:sz w:val="24"/>
              </w:rPr>
              <w:t>，根据《固体物料堆存颗粒物产排污核算系数手册》附录4可知，</w:t>
            </w:r>
            <w:r>
              <w:rPr>
                <w:rFonts w:hint="default"/>
                <w:sz w:val="24"/>
                <w:lang w:val="en-US" w:eastAsia="zh-CN"/>
              </w:rPr>
              <w:t>防尘抑尘网（墙）</w:t>
            </w:r>
            <w:r>
              <w:rPr>
                <w:rFonts w:hint="default"/>
                <w:sz w:val="24"/>
              </w:rPr>
              <w:t>将无组织逸散量减少</w:t>
            </w:r>
            <w:r>
              <w:rPr>
                <w:rFonts w:hint="eastAsia"/>
                <w:sz w:val="24"/>
                <w:lang w:val="en-US" w:eastAsia="zh-CN"/>
              </w:rPr>
              <w:t>60</w:t>
            </w:r>
            <w:r>
              <w:rPr>
                <w:rFonts w:hint="default"/>
                <w:sz w:val="24"/>
              </w:rPr>
              <w:t>%</w:t>
            </w:r>
            <w:r>
              <w:rPr>
                <w:rFonts w:hint="eastAsia"/>
                <w:sz w:val="24"/>
                <w:lang w:eastAsia="zh-CN"/>
              </w:rPr>
              <w:t>，</w:t>
            </w:r>
            <w:r>
              <w:rPr>
                <w:rFonts w:hint="default"/>
                <w:sz w:val="24"/>
              </w:rPr>
              <w:t>洒水抑尘可将无组织逸散量减少74%，则排</w:t>
            </w:r>
            <w:r>
              <w:rPr>
                <w:rFonts w:hint="eastAsia"/>
                <w:sz w:val="24"/>
              </w:rPr>
              <w:t>临时堆场</w:t>
            </w:r>
            <w:r>
              <w:rPr>
                <w:rFonts w:hint="default"/>
                <w:sz w:val="24"/>
              </w:rPr>
              <w:t>组织扬尘排放量为</w:t>
            </w:r>
            <w:r>
              <w:rPr>
                <w:rFonts w:hint="eastAsia"/>
                <w:sz w:val="24"/>
                <w:lang w:val="en-US" w:eastAsia="zh-CN"/>
              </w:rPr>
              <w:t>6.73</w:t>
            </w:r>
            <w:r>
              <w:rPr>
                <w:rFonts w:hint="default"/>
                <w:sz w:val="24"/>
              </w:rPr>
              <w:t>t/a（</w:t>
            </w:r>
            <w:r>
              <w:rPr>
                <w:rFonts w:hint="eastAsia"/>
                <w:sz w:val="24"/>
                <w:lang w:val="en-US" w:eastAsia="zh-CN"/>
              </w:rPr>
              <w:t>2.805</w:t>
            </w:r>
            <w:r>
              <w:rPr>
                <w:rFonts w:hint="default"/>
                <w:sz w:val="24"/>
              </w:rPr>
              <w:t>kg/h）。</w:t>
            </w:r>
          </w:p>
          <w:p w14:paraId="7D9BF76A">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2.</w:t>
            </w:r>
            <w:r>
              <w:rPr>
                <w:rFonts w:hint="eastAsia"/>
                <w:b/>
                <w:bCs/>
                <w:color w:val="000000" w:themeColor="text1"/>
                <w:sz w:val="24"/>
                <w:lang w:val="en-US" w:eastAsia="zh-CN"/>
                <w14:textFill>
                  <w14:solidFill>
                    <w14:schemeClr w14:val="tx1"/>
                  </w14:solidFill>
                </w14:textFill>
              </w:rPr>
              <w:t>9</w:t>
            </w:r>
            <w:r>
              <w:rPr>
                <w:rFonts w:hint="default"/>
                <w:b/>
                <w:bCs/>
                <w:color w:val="000000" w:themeColor="text1"/>
                <w:sz w:val="24"/>
                <w14:textFill>
                  <w14:solidFill>
                    <w14:schemeClr w14:val="tx1"/>
                  </w14:solidFill>
                </w14:textFill>
              </w:rPr>
              <w:t>机械燃油废气</w:t>
            </w:r>
          </w:p>
          <w:p w14:paraId="776E48DF">
            <w:pPr>
              <w:pStyle w:val="48"/>
              <w:keepNext w:val="0"/>
              <w:keepLines w:val="0"/>
              <w:suppressLineNumbers w:val="0"/>
              <w:adjustRightInd w:val="0"/>
              <w:snapToGrid w:val="0"/>
              <w:spacing w:before="0" w:beforeAutospacing="0" w:after="0" w:afterAutospacing="0"/>
              <w:ind w:left="0" w:right="0" w:firstLine="480"/>
              <w:rPr>
                <w:rFonts w:hint="default"/>
                <w:b/>
                <w:bCs/>
                <w:color w:val="000000" w:themeColor="text1"/>
                <w14:textFill>
                  <w14:solidFill>
                    <w14:schemeClr w14:val="tx1"/>
                  </w14:solidFill>
                </w14:textFill>
              </w:rPr>
            </w:pPr>
            <w:r>
              <w:rPr>
                <w:rFonts w:hint="default"/>
                <w:color w:val="000000" w:themeColor="text1"/>
                <w14:textFill>
                  <w14:solidFill>
                    <w14:schemeClr w14:val="tx1"/>
                  </w14:solidFill>
                </w14:textFill>
              </w:rPr>
              <w:t>在运输原材料、施工设备以及施工机械设备在运行过程中均会排放定量的CO、NOx以及未完全燃烧的碳氢化合物等，其特点是排放量小，属间断性排放。加之本项目施工场地开阔，扩散条件良好，因此运营期机械废气对周围环境影响不大。环评要求施工单位在施工期内安排专人注意加强施工机械维护，确保机械设备正常运行。</w:t>
            </w:r>
          </w:p>
          <w:p w14:paraId="72009C61">
            <w:pPr>
              <w:keepNext w:val="0"/>
              <w:keepLines w:val="0"/>
              <w:suppressLineNumbers w:val="0"/>
              <w:spacing w:before="0" w:beforeAutospacing="0" w:after="0" w:afterAutospacing="0" w:line="520" w:lineRule="exact"/>
              <w:ind w:left="0" w:right="0" w:firstLine="480" w:firstLineChars="200"/>
              <w:rPr>
                <w:rFonts w:hint="default"/>
                <w:b w:val="0"/>
                <w:bCs w:val="0"/>
                <w:color w:val="auto"/>
                <w:sz w:val="24"/>
                <w:lang w:val="en-US" w:eastAsia="zh-CN"/>
              </w:rPr>
            </w:pPr>
            <w:r>
              <w:rPr>
                <w:rFonts w:hint="default"/>
                <w:b w:val="0"/>
                <w:bCs w:val="0"/>
                <w:color w:val="auto"/>
                <w:sz w:val="24"/>
                <w:lang w:val="en-US" w:eastAsia="zh-CN"/>
              </w:rPr>
              <w:t>废气源强核算排放情况见下表。</w:t>
            </w:r>
          </w:p>
          <w:p w14:paraId="2D4F3BB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000000"/>
                <w:kern w:val="0"/>
                <w:sz w:val="24"/>
                <w:szCs w:val="24"/>
                <w:lang w:val="en-US" w:eastAsia="zh-CN" w:bidi="ar-SA"/>
              </w:rPr>
            </w:pPr>
            <w:r>
              <w:rPr>
                <w:rFonts w:hint="default" w:ascii="Times New Roman" w:hAnsi="Times New Roman" w:eastAsia="宋体" w:cs="Times New Roman"/>
                <w:b/>
                <w:bCs/>
                <w:color w:val="000000"/>
                <w:kern w:val="0"/>
                <w:sz w:val="24"/>
                <w:szCs w:val="24"/>
                <w:lang w:val="en-US" w:eastAsia="zh-CN" w:bidi="ar-SA"/>
              </w:rPr>
              <w:t>表4-</w:t>
            </w:r>
            <w:r>
              <w:rPr>
                <w:rFonts w:hint="eastAsia" w:cs="Times New Roman"/>
                <w:b/>
                <w:bCs/>
                <w:color w:val="000000"/>
                <w:kern w:val="0"/>
                <w:sz w:val="24"/>
                <w:szCs w:val="24"/>
                <w:lang w:val="en-US" w:eastAsia="zh-CN" w:bidi="ar-SA"/>
              </w:rPr>
              <w:t>5</w:t>
            </w:r>
            <w:r>
              <w:rPr>
                <w:rFonts w:hint="default" w:ascii="Times New Roman" w:hAnsi="Times New Roman" w:eastAsia="宋体" w:cs="Times New Roman"/>
                <w:b/>
                <w:bCs/>
                <w:color w:val="000000"/>
                <w:kern w:val="0"/>
                <w:sz w:val="24"/>
                <w:szCs w:val="24"/>
                <w:lang w:val="en-US" w:eastAsia="zh-CN" w:bidi="ar-SA"/>
              </w:rPr>
              <w:t xml:space="preserve">  </w:t>
            </w:r>
            <w:r>
              <w:rPr>
                <w:rFonts w:hint="eastAsia" w:cs="Times New Roman"/>
                <w:b/>
                <w:bCs/>
                <w:color w:val="000000"/>
                <w:kern w:val="0"/>
                <w:sz w:val="24"/>
                <w:szCs w:val="24"/>
                <w:lang w:val="en-US" w:eastAsia="zh-CN" w:bidi="ar-SA"/>
              </w:rPr>
              <w:t xml:space="preserve">       </w:t>
            </w:r>
            <w:r>
              <w:rPr>
                <w:rFonts w:hint="default" w:ascii="Times New Roman" w:hAnsi="Times New Roman" w:eastAsia="宋体" w:cs="Times New Roman"/>
                <w:b/>
                <w:bCs/>
                <w:color w:val="000000"/>
                <w:kern w:val="0"/>
                <w:sz w:val="24"/>
                <w:szCs w:val="24"/>
                <w:lang w:val="en-US" w:eastAsia="zh-CN" w:bidi="ar-SA"/>
              </w:rPr>
              <w:t>废气产排污情况一览表</w:t>
            </w:r>
          </w:p>
          <w:tbl>
            <w:tblPr>
              <w:tblStyle w:val="2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97"/>
              <w:gridCol w:w="982"/>
              <w:gridCol w:w="760"/>
              <w:gridCol w:w="785"/>
              <w:gridCol w:w="760"/>
              <w:gridCol w:w="696"/>
              <w:gridCol w:w="677"/>
              <w:gridCol w:w="682"/>
              <w:gridCol w:w="769"/>
              <w:gridCol w:w="768"/>
            </w:tblGrid>
            <w:tr w14:paraId="19D15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jc w:val="center"/>
              </w:trPr>
              <w:tc>
                <w:tcPr>
                  <w:tcW w:w="741" w:type="pct"/>
                  <w:vMerge w:val="restart"/>
                  <w:tcBorders>
                    <w:top w:val="single" w:color="auto" w:sz="12" w:space="0"/>
                    <w:bottom w:val="single" w:color="auto" w:sz="4" w:space="0"/>
                    <w:right w:val="single" w:color="auto" w:sz="4" w:space="0"/>
                    <w:tl2br w:val="nil"/>
                    <w:tr2bl w:val="nil"/>
                  </w:tcBorders>
                  <w:noWrap w:val="0"/>
                  <w:vAlign w:val="center"/>
                </w:tcPr>
                <w:p w14:paraId="1FD490D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产污环节</w:t>
                  </w:r>
                </w:p>
              </w:tc>
              <w:tc>
                <w:tcPr>
                  <w:tcW w:w="607" w:type="pct"/>
                  <w:vMerge w:val="restart"/>
                  <w:tcBorders>
                    <w:top w:val="single" w:color="auto" w:sz="12" w:space="0"/>
                    <w:left w:val="single" w:color="auto" w:sz="4" w:space="0"/>
                    <w:bottom w:val="single" w:color="auto" w:sz="4" w:space="0"/>
                    <w:right w:val="single" w:color="auto" w:sz="4" w:space="0"/>
                    <w:tl2br w:val="nil"/>
                    <w:tr2bl w:val="nil"/>
                  </w:tcBorders>
                  <w:noWrap w:val="0"/>
                  <w:vAlign w:val="center"/>
                </w:tcPr>
                <w:p w14:paraId="0EEA74F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排放方式</w:t>
                  </w:r>
                </w:p>
              </w:tc>
              <w:tc>
                <w:tcPr>
                  <w:tcW w:w="470" w:type="pct"/>
                  <w:vMerge w:val="restart"/>
                  <w:tcBorders>
                    <w:top w:val="single" w:color="auto" w:sz="12" w:space="0"/>
                    <w:left w:val="single" w:color="auto" w:sz="4" w:space="0"/>
                    <w:bottom w:val="single" w:color="auto" w:sz="4" w:space="0"/>
                    <w:right w:val="single" w:color="auto" w:sz="4" w:space="0"/>
                    <w:tl2br w:val="nil"/>
                    <w:tr2bl w:val="nil"/>
                  </w:tcBorders>
                  <w:noWrap w:val="0"/>
                  <w:vAlign w:val="center"/>
                </w:tcPr>
                <w:p w14:paraId="4F56DD8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污染物</w:t>
                  </w:r>
                </w:p>
              </w:tc>
              <w:tc>
                <w:tcPr>
                  <w:tcW w:w="1387" w:type="pct"/>
                  <w:gridSpan w:val="3"/>
                  <w:tcBorders>
                    <w:top w:val="single" w:color="auto" w:sz="12" w:space="0"/>
                    <w:left w:val="single" w:color="auto" w:sz="4" w:space="0"/>
                    <w:bottom w:val="single" w:color="auto" w:sz="4" w:space="0"/>
                    <w:right w:val="single" w:color="auto" w:sz="4" w:space="0"/>
                    <w:tl2br w:val="nil"/>
                    <w:tr2bl w:val="nil"/>
                  </w:tcBorders>
                  <w:noWrap w:val="0"/>
                  <w:vAlign w:val="center"/>
                </w:tcPr>
                <w:p w14:paraId="3D65786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污染物产生情况</w:t>
                  </w:r>
                </w:p>
              </w:tc>
              <w:tc>
                <w:tcPr>
                  <w:tcW w:w="1317" w:type="pct"/>
                  <w:gridSpan w:val="3"/>
                  <w:tcBorders>
                    <w:top w:val="single" w:color="auto" w:sz="12" w:space="0"/>
                    <w:left w:val="single" w:color="auto" w:sz="4" w:space="0"/>
                    <w:bottom w:val="single" w:color="auto" w:sz="4" w:space="0"/>
                    <w:right w:val="single" w:color="auto" w:sz="4" w:space="0"/>
                    <w:tl2br w:val="nil"/>
                    <w:tr2bl w:val="nil"/>
                  </w:tcBorders>
                  <w:noWrap w:val="0"/>
                  <w:vAlign w:val="center"/>
                </w:tcPr>
                <w:p w14:paraId="41E3845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highlight w:val="none"/>
                      <w:lang w:val="en-US" w:eastAsia="zh-CN"/>
                    </w:rPr>
                  </w:pPr>
                  <w:r>
                    <w:rPr>
                      <w:rFonts w:hint="eastAsia"/>
                      <w:color w:val="auto"/>
                      <w:highlight w:val="none"/>
                      <w:lang w:val="en-US" w:eastAsia="zh-CN"/>
                    </w:rPr>
                    <w:t>污染物排放情况</w:t>
                  </w:r>
                </w:p>
              </w:tc>
              <w:tc>
                <w:tcPr>
                  <w:tcW w:w="475" w:type="pct"/>
                  <w:tcBorders>
                    <w:top w:val="single" w:color="auto" w:sz="12" w:space="0"/>
                    <w:left w:val="single" w:color="auto" w:sz="4" w:space="0"/>
                    <w:bottom w:val="single" w:color="auto" w:sz="4" w:space="0"/>
                    <w:tl2br w:val="nil"/>
                    <w:tr2bl w:val="nil"/>
                  </w:tcBorders>
                  <w:noWrap w:val="0"/>
                  <w:vAlign w:val="center"/>
                </w:tcPr>
                <w:p w14:paraId="30E2E67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排放标准</w:t>
                  </w:r>
                </w:p>
              </w:tc>
            </w:tr>
            <w:tr w14:paraId="7A70D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jc w:val="center"/>
              </w:trPr>
              <w:tc>
                <w:tcPr>
                  <w:tcW w:w="741" w:type="pct"/>
                  <w:vMerge w:val="continue"/>
                  <w:tcBorders>
                    <w:top w:val="single" w:color="auto" w:sz="4" w:space="0"/>
                    <w:bottom w:val="single" w:color="auto" w:sz="4" w:space="0"/>
                    <w:right w:val="single" w:color="auto" w:sz="4" w:space="0"/>
                    <w:tl2br w:val="nil"/>
                    <w:tr2bl w:val="nil"/>
                  </w:tcBorders>
                  <w:noWrap w:val="0"/>
                  <w:vAlign w:val="center"/>
                </w:tcPr>
                <w:p w14:paraId="49BD088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p>
              </w:tc>
              <w:tc>
                <w:tcPr>
                  <w:tcW w:w="60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0C6002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p>
              </w:tc>
              <w:tc>
                <w:tcPr>
                  <w:tcW w:w="47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4D3BE8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highlight w:val="none"/>
                      <w:lang w:val="en-US" w:eastAsia="zh-CN"/>
                    </w:rPr>
                  </w:pP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09179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产生量t/a</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710F9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产生速率kg/h</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514B2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产生浓度mg/m</w:t>
                  </w:r>
                  <w:r>
                    <w:rPr>
                      <w:rFonts w:hint="eastAsia"/>
                      <w:color w:val="auto"/>
                      <w:highlight w:val="none"/>
                      <w:vertAlign w:val="superscript"/>
                      <w:lang w:val="en-US" w:eastAsia="zh-CN"/>
                    </w:rPr>
                    <w:t>3</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E5B7B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排放量t/a</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F2579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排放速率kg/h</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1D685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排放浓度mg/m</w:t>
                  </w:r>
                  <w:r>
                    <w:rPr>
                      <w:rFonts w:hint="eastAsia"/>
                      <w:color w:val="auto"/>
                      <w:highlight w:val="none"/>
                      <w:vertAlign w:val="superscript"/>
                      <w:lang w:val="en-US" w:eastAsia="zh-CN"/>
                    </w:rPr>
                    <w:t>3</w:t>
                  </w:r>
                </w:p>
              </w:tc>
              <w:tc>
                <w:tcPr>
                  <w:tcW w:w="475" w:type="pct"/>
                  <w:tcBorders>
                    <w:top w:val="single" w:color="auto" w:sz="4" w:space="0"/>
                    <w:left w:val="single" w:color="auto" w:sz="4" w:space="0"/>
                    <w:bottom w:val="single" w:color="auto" w:sz="4" w:space="0"/>
                    <w:tl2br w:val="nil"/>
                    <w:tr2bl w:val="nil"/>
                  </w:tcBorders>
                  <w:noWrap w:val="0"/>
                  <w:vAlign w:val="center"/>
                </w:tcPr>
                <w:p w14:paraId="4B197B0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浓度限值mg/m</w:t>
                  </w:r>
                  <w:r>
                    <w:rPr>
                      <w:rFonts w:hint="eastAsia"/>
                      <w:color w:val="auto"/>
                      <w:highlight w:val="none"/>
                      <w:vertAlign w:val="superscript"/>
                      <w:lang w:val="en-US" w:eastAsia="zh-CN"/>
                    </w:rPr>
                    <w:t>3</w:t>
                  </w:r>
                </w:p>
              </w:tc>
            </w:tr>
            <w:tr w14:paraId="69649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jc w:val="center"/>
              </w:trPr>
              <w:tc>
                <w:tcPr>
                  <w:tcW w:w="741" w:type="pct"/>
                  <w:tcBorders>
                    <w:top w:val="single" w:color="auto" w:sz="4" w:space="0"/>
                    <w:bottom w:val="single" w:color="auto" w:sz="4" w:space="0"/>
                    <w:right w:val="single" w:color="auto" w:sz="4" w:space="0"/>
                    <w:tl2br w:val="nil"/>
                    <w:tr2bl w:val="nil"/>
                  </w:tcBorders>
                  <w:noWrap w:val="0"/>
                  <w:vAlign w:val="center"/>
                </w:tcPr>
                <w:p w14:paraId="5F69190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default"/>
                      <w:color w:val="auto"/>
                      <w:highlight w:val="none"/>
                      <w:lang w:val="en-US" w:eastAsia="zh-CN"/>
                    </w:rPr>
                    <w:t>钻孔、凿岩产生废气</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25BFB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无组织</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38CE1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highlight w:val="none"/>
                      <w:lang w:val="en-US" w:eastAsia="zh-CN"/>
                    </w:rPr>
                  </w:pPr>
                  <w:r>
                    <w:rPr>
                      <w:rFonts w:hint="eastAsia"/>
                      <w:color w:val="auto"/>
                      <w:highlight w:val="none"/>
                      <w:lang w:val="en-US" w:eastAsia="zh-CN"/>
                    </w:rPr>
                    <w:t>颗粒物</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4118A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2</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57D2A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0.83</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D5550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F94C4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0.12</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893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lang w:val="en-US" w:eastAsia="zh-CN"/>
                    </w:rPr>
                  </w:pPr>
                  <w:r>
                    <w:rPr>
                      <w:rFonts w:hint="eastAsia"/>
                      <w:lang w:val="en-US" w:eastAsia="zh-CN"/>
                    </w:rPr>
                    <w:t>0.05</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1FF21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73A5C97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w:t>
                  </w:r>
                </w:p>
              </w:tc>
            </w:tr>
            <w:tr w14:paraId="09248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jc w:val="center"/>
              </w:trPr>
              <w:tc>
                <w:tcPr>
                  <w:tcW w:w="741" w:type="pct"/>
                  <w:vMerge w:val="restart"/>
                  <w:tcBorders>
                    <w:top w:val="single" w:color="auto" w:sz="4" w:space="0"/>
                    <w:right w:val="single" w:color="auto" w:sz="4" w:space="0"/>
                    <w:tl2br w:val="nil"/>
                    <w:tr2bl w:val="nil"/>
                  </w:tcBorders>
                  <w:noWrap w:val="0"/>
                  <w:vAlign w:val="center"/>
                </w:tcPr>
                <w:p w14:paraId="60AB713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default"/>
                      <w:color w:val="auto"/>
                      <w:highlight w:val="none"/>
                      <w:lang w:val="en-US" w:eastAsia="zh-CN"/>
                    </w:rPr>
                    <w:t>爆破废气</w:t>
                  </w:r>
                </w:p>
              </w:tc>
              <w:tc>
                <w:tcPr>
                  <w:tcW w:w="607" w:type="pct"/>
                  <w:vMerge w:val="restart"/>
                  <w:tcBorders>
                    <w:top w:val="single" w:color="auto" w:sz="4" w:space="0"/>
                    <w:left w:val="single" w:color="auto" w:sz="4" w:space="0"/>
                    <w:right w:val="single" w:color="auto" w:sz="4" w:space="0"/>
                    <w:tl2br w:val="nil"/>
                    <w:tr2bl w:val="nil"/>
                  </w:tcBorders>
                  <w:noWrap w:val="0"/>
                  <w:vAlign w:val="center"/>
                </w:tcPr>
                <w:p w14:paraId="3A8FE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color w:val="auto"/>
                      <w:highlight w:val="none"/>
                      <w:lang w:val="en-US" w:eastAsia="zh-CN"/>
                    </w:rPr>
                  </w:pPr>
                  <w:r>
                    <w:rPr>
                      <w:rFonts w:hint="eastAsia"/>
                      <w:color w:val="auto"/>
                      <w:highlight w:val="none"/>
                      <w:lang w:val="en-US" w:eastAsia="zh-CN"/>
                    </w:rPr>
                    <w:t>无组织</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13C92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lang w:val="en-US" w:eastAsia="zh-CN"/>
                    </w:rPr>
                  </w:pPr>
                  <w:r>
                    <w:rPr>
                      <w:rFonts w:hint="default"/>
                      <w:color w:val="auto"/>
                      <w:lang w:val="en-US" w:eastAsia="zh-CN"/>
                    </w:rPr>
                    <w:t>CO</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EEE04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lang w:val="en-US" w:eastAsia="zh-CN"/>
                    </w:rPr>
                  </w:pPr>
                  <w:r>
                    <w:rPr>
                      <w:rFonts w:hint="eastAsia"/>
                      <w:color w:val="auto"/>
                      <w:highlight w:val="none"/>
                      <w:lang w:val="en-US" w:eastAsia="zh-CN"/>
                    </w:rPr>
                    <w:t>0.342</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42382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16E8F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AB221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lang w:val="en-US" w:eastAsia="zh-CN"/>
                    </w:rPr>
                  </w:pPr>
                  <w:r>
                    <w:rPr>
                      <w:rFonts w:hint="eastAsia"/>
                      <w:lang w:val="en-US" w:eastAsia="zh-CN"/>
                    </w:rPr>
                    <w:t>0.342</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1E09B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lang w:val="en-US" w:eastAsia="zh-CN"/>
                    </w:rPr>
                  </w:pPr>
                  <w:r>
                    <w:rPr>
                      <w:rFonts w:hint="eastAsia"/>
                      <w:lang w:val="en-US" w:eastAsia="zh-CN"/>
                    </w:rPr>
                    <w:t>/</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5AAB4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4D85C8C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r>
            <w:tr w14:paraId="04878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jc w:val="center"/>
              </w:trPr>
              <w:tc>
                <w:tcPr>
                  <w:tcW w:w="741" w:type="pct"/>
                  <w:vMerge w:val="continue"/>
                  <w:tcBorders>
                    <w:bottom w:val="single" w:color="auto" w:sz="4" w:space="0"/>
                    <w:right w:val="single" w:color="auto" w:sz="4" w:space="0"/>
                    <w:tl2br w:val="nil"/>
                    <w:tr2bl w:val="nil"/>
                  </w:tcBorders>
                  <w:noWrap w:val="0"/>
                  <w:vAlign w:val="center"/>
                </w:tcPr>
                <w:p w14:paraId="6AF0EAD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highlight w:val="none"/>
                      <w:lang w:val="en-US" w:eastAsia="zh-CN"/>
                    </w:rPr>
                  </w:pPr>
                </w:p>
              </w:tc>
              <w:tc>
                <w:tcPr>
                  <w:tcW w:w="607" w:type="pct"/>
                  <w:vMerge w:val="continue"/>
                  <w:tcBorders>
                    <w:left w:val="single" w:color="auto" w:sz="4" w:space="0"/>
                    <w:bottom w:val="single" w:color="auto" w:sz="4" w:space="0"/>
                    <w:right w:val="single" w:color="auto" w:sz="4" w:space="0"/>
                    <w:tl2br w:val="nil"/>
                    <w:tr2bl w:val="nil"/>
                  </w:tcBorders>
                  <w:noWrap w:val="0"/>
                  <w:vAlign w:val="center"/>
                </w:tcPr>
                <w:p w14:paraId="48EB2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color w:val="auto"/>
                      <w:highlight w:val="none"/>
                      <w:lang w:val="en-US" w:eastAsia="zh-CN"/>
                    </w:rPr>
                  </w:pP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151A8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lang w:val="en-US" w:eastAsia="zh-CN"/>
                    </w:rPr>
                  </w:pPr>
                  <w:r>
                    <w:rPr>
                      <w:rFonts w:hint="default"/>
                      <w:color w:val="auto"/>
                      <w:lang w:val="en-US" w:eastAsia="zh-CN"/>
                    </w:rPr>
                    <w:t>NOx</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717FE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lang w:val="en-US" w:eastAsia="zh-CN"/>
                    </w:rPr>
                  </w:pPr>
                  <w:r>
                    <w:rPr>
                      <w:rFonts w:hint="eastAsia"/>
                      <w:color w:val="auto"/>
                      <w:highlight w:val="none"/>
                      <w:lang w:val="en-US" w:eastAsia="zh-CN"/>
                    </w:rPr>
                    <w:t>3.04</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145E6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8BE27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BFFCB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lang w:val="en-US" w:eastAsia="zh-CN"/>
                    </w:rPr>
                  </w:pPr>
                  <w:r>
                    <w:rPr>
                      <w:rFonts w:hint="eastAsia"/>
                      <w:lang w:val="en-US" w:eastAsia="zh-CN"/>
                    </w:rPr>
                    <w:t>3.04</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7670E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lang w:val="en-US" w:eastAsia="zh-CN"/>
                    </w:rPr>
                  </w:pPr>
                  <w:r>
                    <w:rPr>
                      <w:rFonts w:hint="eastAsia"/>
                      <w:lang w:val="en-US" w:eastAsia="zh-CN"/>
                    </w:rPr>
                    <w:t>/</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59DF9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7409489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w:t>
                  </w:r>
                </w:p>
              </w:tc>
            </w:tr>
            <w:tr w14:paraId="788C4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jc w:val="center"/>
              </w:trPr>
              <w:tc>
                <w:tcPr>
                  <w:tcW w:w="741" w:type="pct"/>
                  <w:tcBorders>
                    <w:top w:val="single" w:color="auto" w:sz="4" w:space="0"/>
                    <w:bottom w:val="single" w:color="auto" w:sz="4" w:space="0"/>
                    <w:right w:val="single" w:color="auto" w:sz="4" w:space="0"/>
                    <w:tl2br w:val="nil"/>
                    <w:tr2bl w:val="nil"/>
                  </w:tcBorders>
                  <w:noWrap w:val="0"/>
                  <w:vAlign w:val="center"/>
                </w:tcPr>
                <w:p w14:paraId="4CF754B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default"/>
                      <w:color w:val="auto"/>
                      <w:highlight w:val="none"/>
                      <w:lang w:val="en-US" w:eastAsia="zh-CN"/>
                    </w:rPr>
                    <w:t>液压破碎器废气</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ECAF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color w:val="auto"/>
                      <w:highlight w:val="none"/>
                      <w:lang w:val="en-US" w:eastAsia="zh-CN"/>
                    </w:rPr>
                  </w:pPr>
                  <w:r>
                    <w:rPr>
                      <w:rFonts w:hint="eastAsia"/>
                      <w:color w:val="auto"/>
                      <w:highlight w:val="none"/>
                      <w:lang w:val="en-US" w:eastAsia="zh-CN"/>
                    </w:rPr>
                    <w:t>无组织</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1CF9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7D7D9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0.1</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BB124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0.042</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E879D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41FBA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0.01</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DD8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lang w:val="en-US" w:eastAsia="zh-CN"/>
                    </w:rPr>
                  </w:pPr>
                  <w:r>
                    <w:rPr>
                      <w:rFonts w:hint="eastAsia"/>
                      <w:lang w:val="en-US" w:eastAsia="zh-CN"/>
                    </w:rPr>
                    <w:t>0.0042</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8E1E48">
                  <w:pPr>
                    <w:keepNext w:val="0"/>
                    <w:keepLines w:val="0"/>
                    <w:suppressLineNumbers w:val="0"/>
                    <w:spacing w:before="0" w:beforeAutospacing="0" w:after="0" w:afterAutospacing="0"/>
                    <w:ind w:left="0" w:right="0"/>
                    <w:jc w:val="center"/>
                    <w:rPr>
                      <w:rFonts w:hint="eastAsia" w:eastAsia="宋体"/>
                      <w:lang w:val="en-US" w:eastAsia="zh-CN"/>
                    </w:rPr>
                  </w:pPr>
                  <w:r>
                    <w:rPr>
                      <w:rFonts w:hint="eastAsia"/>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43782AF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w:t>
                  </w:r>
                </w:p>
              </w:tc>
            </w:tr>
            <w:tr w14:paraId="122C6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jc w:val="center"/>
              </w:trPr>
              <w:tc>
                <w:tcPr>
                  <w:tcW w:w="741" w:type="pct"/>
                  <w:tcBorders>
                    <w:top w:val="single" w:color="auto" w:sz="4" w:space="0"/>
                    <w:bottom w:val="single" w:color="auto" w:sz="4" w:space="0"/>
                    <w:right w:val="single" w:color="auto" w:sz="4" w:space="0"/>
                    <w:tl2br w:val="nil"/>
                    <w:tr2bl w:val="nil"/>
                  </w:tcBorders>
                  <w:noWrap w:val="0"/>
                  <w:vAlign w:val="center"/>
                </w:tcPr>
                <w:p w14:paraId="403CC4E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运输道路扬尘</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84E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olor w:val="auto"/>
                      <w:highlight w:val="none"/>
                      <w:lang w:val="en-US" w:eastAsia="zh-CN"/>
                    </w:rPr>
                  </w:pPr>
                  <w:r>
                    <w:rPr>
                      <w:rFonts w:hint="eastAsia"/>
                      <w:color w:val="auto"/>
                      <w:highlight w:val="none"/>
                      <w:lang w:val="en-US" w:eastAsia="zh-CN"/>
                    </w:rPr>
                    <w:t>无组织</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1E0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29C2D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9.225</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F39D6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3.84</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600A5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4732B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lang w:val="en-US" w:eastAsia="zh-CN"/>
                    </w:rPr>
                  </w:pPr>
                  <w:r>
                    <w:rPr>
                      <w:rFonts w:hint="eastAsia"/>
                      <w:lang w:val="en-US" w:eastAsia="zh-CN"/>
                    </w:rPr>
                    <w:t>0.284</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85B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lang w:val="en-US" w:eastAsia="zh-CN"/>
                    </w:rPr>
                  </w:pPr>
                  <w:r>
                    <w:rPr>
                      <w:rFonts w:hint="eastAsia"/>
                      <w:lang w:val="en-US" w:eastAsia="zh-CN"/>
                    </w:rPr>
                    <w:t>0.118</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D343D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56A470C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r>
            <w:tr w14:paraId="5748E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jc w:val="center"/>
              </w:trPr>
              <w:tc>
                <w:tcPr>
                  <w:tcW w:w="741" w:type="pct"/>
                  <w:tcBorders>
                    <w:top w:val="single" w:color="auto" w:sz="4" w:space="0"/>
                    <w:bottom w:val="single" w:color="auto" w:sz="4" w:space="0"/>
                    <w:right w:val="single" w:color="auto" w:sz="4" w:space="0"/>
                    <w:tl2br w:val="nil"/>
                    <w:tr2bl w:val="nil"/>
                  </w:tcBorders>
                  <w:noWrap w:val="0"/>
                  <w:vAlign w:val="center"/>
                </w:tcPr>
                <w:p w14:paraId="3952082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上料废气</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7DF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olor w:val="auto"/>
                      <w:highlight w:val="none"/>
                      <w:lang w:val="en-US" w:eastAsia="zh-CN"/>
                    </w:rPr>
                  </w:pPr>
                  <w:r>
                    <w:rPr>
                      <w:rFonts w:hint="eastAsia"/>
                      <w:color w:val="auto"/>
                      <w:highlight w:val="none"/>
                      <w:lang w:val="en-US" w:eastAsia="zh-CN"/>
                    </w:rPr>
                    <w:t>无组织</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813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46E63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0.35</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7B0FC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0.146</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2AA4E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588CE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lang w:val="en-US" w:eastAsia="zh-CN"/>
                    </w:rPr>
                  </w:pPr>
                  <w:r>
                    <w:rPr>
                      <w:rFonts w:hint="eastAsia"/>
                      <w:lang w:val="en-US" w:eastAsia="zh-CN"/>
                    </w:rPr>
                    <w:t>0.14</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0D5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lang w:val="en-US" w:eastAsia="zh-CN"/>
                    </w:rPr>
                  </w:pPr>
                  <w:r>
                    <w:rPr>
                      <w:rFonts w:hint="eastAsia"/>
                      <w:lang w:val="en-US" w:eastAsia="zh-CN"/>
                    </w:rPr>
                    <w:t>0.058</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743A6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6D1020A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r>
            <w:tr w14:paraId="14E1F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jc w:val="center"/>
              </w:trPr>
              <w:tc>
                <w:tcPr>
                  <w:tcW w:w="741" w:type="pct"/>
                  <w:tcBorders>
                    <w:top w:val="single" w:color="auto" w:sz="4" w:space="0"/>
                    <w:bottom w:val="single" w:color="auto" w:sz="4" w:space="0"/>
                    <w:right w:val="single" w:color="auto" w:sz="4" w:space="0"/>
                    <w:tl2br w:val="nil"/>
                    <w:tr2bl w:val="nil"/>
                  </w:tcBorders>
                  <w:noWrap w:val="0"/>
                  <w:vAlign w:val="center"/>
                </w:tcPr>
                <w:p w14:paraId="47BA38F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eastAsia="宋体"/>
                      <w:color w:val="auto"/>
                      <w:highlight w:val="none"/>
                      <w:lang w:val="en-US" w:eastAsia="zh-CN"/>
                    </w:rPr>
                  </w:pPr>
                  <w:r>
                    <w:rPr>
                      <w:rFonts w:hint="eastAsia"/>
                      <w:color w:val="auto"/>
                      <w:highlight w:val="none"/>
                      <w:lang w:val="en-US" w:eastAsia="zh-CN"/>
                    </w:rPr>
                    <w:t>排土场扬尘（堆存）</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3783D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无组织</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902AF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颗粒物</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C6DF6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24.85</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BA745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10.35</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3D6CB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A57BE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eastAsia="宋体"/>
                      <w:lang w:val="en-US" w:eastAsia="zh-CN"/>
                    </w:rPr>
                  </w:pPr>
                  <w:r>
                    <w:rPr>
                      <w:rFonts w:hint="eastAsia"/>
                      <w:lang w:val="en-US" w:eastAsia="zh-CN"/>
                    </w:rPr>
                    <w:t>0.9</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C58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eastAsia="宋体"/>
                      <w:lang w:val="en-US" w:eastAsia="zh-CN"/>
                    </w:rPr>
                  </w:pPr>
                  <w:r>
                    <w:rPr>
                      <w:rFonts w:hint="eastAsia"/>
                      <w:lang w:val="en-US" w:eastAsia="zh-CN"/>
                    </w:rPr>
                    <w:t>0.38</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1915D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2705D43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r>
            <w:tr w14:paraId="67D3A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41" w:type="pct"/>
                  <w:vMerge w:val="restart"/>
                  <w:tcBorders>
                    <w:top w:val="single" w:color="auto" w:sz="4" w:space="0"/>
                    <w:right w:val="single" w:color="auto" w:sz="4" w:space="0"/>
                    <w:tl2br w:val="nil"/>
                    <w:tr2bl w:val="nil"/>
                  </w:tcBorders>
                  <w:noWrap w:val="0"/>
                  <w:vAlign w:val="center"/>
                </w:tcPr>
                <w:p w14:paraId="318C856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破碎</w:t>
                  </w:r>
                  <w:r>
                    <w:rPr>
                      <w:rFonts w:hint="eastAsia"/>
                      <w:lang w:eastAsia="zh-CN"/>
                    </w:rPr>
                    <w:t>、</w:t>
                  </w:r>
                  <w:r>
                    <w:rPr>
                      <w:rFonts w:hint="eastAsia"/>
                      <w:lang w:val="en-US" w:eastAsia="zh-CN"/>
                    </w:rPr>
                    <w:t>筛分</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BB998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有组织（DA001）</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9A93A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颗粒物</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DCB05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193.82</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72B09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80.76</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BA1A2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FC5DE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lang w:val="en-US" w:eastAsia="zh-CN"/>
                    </w:rPr>
                    <w:t>0.58</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015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color w:val="auto"/>
                      <w:highlight w:val="none"/>
                      <w:lang w:val="en-US" w:eastAsia="zh-CN"/>
                    </w:rPr>
                  </w:pPr>
                  <w:r>
                    <w:rPr>
                      <w:rFonts w:hint="eastAsia"/>
                      <w:lang w:val="en-US" w:eastAsia="zh-CN"/>
                    </w:rPr>
                    <w:t>0.242</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A1548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16.13</w:t>
                  </w:r>
                </w:p>
              </w:tc>
              <w:tc>
                <w:tcPr>
                  <w:tcW w:w="475" w:type="pct"/>
                  <w:tcBorders>
                    <w:top w:val="single" w:color="auto" w:sz="4" w:space="0"/>
                    <w:left w:val="single" w:color="auto" w:sz="4" w:space="0"/>
                    <w:bottom w:val="single" w:color="auto" w:sz="4" w:space="0"/>
                    <w:tl2br w:val="nil"/>
                    <w:tr2bl w:val="nil"/>
                  </w:tcBorders>
                  <w:noWrap w:val="0"/>
                  <w:vAlign w:val="center"/>
                </w:tcPr>
                <w:p w14:paraId="70E1AE2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20</w:t>
                  </w:r>
                </w:p>
              </w:tc>
            </w:tr>
            <w:tr w14:paraId="0F36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41" w:type="pct"/>
                  <w:vMerge w:val="continue"/>
                  <w:tcBorders>
                    <w:bottom w:val="single" w:color="auto" w:sz="4" w:space="0"/>
                    <w:right w:val="single" w:color="auto" w:sz="4" w:space="0"/>
                    <w:tl2br w:val="nil"/>
                    <w:tr2bl w:val="nil"/>
                  </w:tcBorders>
                  <w:noWrap w:val="0"/>
                  <w:vAlign w:val="center"/>
                </w:tcPr>
                <w:p w14:paraId="1347EAC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highlight w:val="none"/>
                      <w:lang w:val="en-US" w:eastAsia="zh-CN"/>
                    </w:rPr>
                  </w:pP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0C396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无组织</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5A1E3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颗粒物</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A7649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21.54</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A8A03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8.97</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DB3AB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B3DA2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8.61</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993CE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3.59</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A1067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5E5CD00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0.5</w:t>
                  </w:r>
                </w:p>
              </w:tc>
            </w:tr>
            <w:tr w14:paraId="30333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41" w:type="pct"/>
                  <w:tcBorders>
                    <w:top w:val="single" w:color="auto" w:sz="4" w:space="0"/>
                    <w:bottom w:val="single" w:color="auto" w:sz="4" w:space="0"/>
                    <w:right w:val="single" w:color="auto" w:sz="4" w:space="0"/>
                    <w:tl2br w:val="nil"/>
                    <w:tr2bl w:val="nil"/>
                  </w:tcBorders>
                  <w:noWrap w:val="0"/>
                  <w:vAlign w:val="center"/>
                </w:tcPr>
                <w:p w14:paraId="1161690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临时堆料场扬尘</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3A676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无组织</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E67A2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颗粒物</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EED5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64.72</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A7EDF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26.97</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39959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F3762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6.73</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EADD6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2.805</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E7A96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0ADA2CD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w:t>
                  </w:r>
                </w:p>
              </w:tc>
            </w:tr>
            <w:tr w14:paraId="19231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41" w:type="pct"/>
                  <w:tcBorders>
                    <w:top w:val="single" w:color="auto" w:sz="4" w:space="0"/>
                    <w:bottom w:val="single" w:color="auto" w:sz="4" w:space="0"/>
                    <w:right w:val="single" w:color="auto" w:sz="4" w:space="0"/>
                    <w:tl2br w:val="nil"/>
                    <w:tr2bl w:val="nil"/>
                  </w:tcBorders>
                  <w:noWrap w:val="0"/>
                  <w:vAlign w:val="center"/>
                </w:tcPr>
                <w:p w14:paraId="58BDB7C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机械燃油废气</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B29388">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无组织</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DD59F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CO、NOx</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碳氢化合物</w:t>
                  </w:r>
                </w:p>
              </w:tc>
              <w:tc>
                <w:tcPr>
                  <w:tcW w:w="4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326AE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w:t>
                  </w:r>
                </w:p>
              </w:tc>
              <w:tc>
                <w:tcPr>
                  <w:tcW w:w="4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0BD1A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w:t>
                  </w:r>
                </w:p>
              </w:tc>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1A997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w:t>
                  </w:r>
                </w:p>
              </w:tc>
              <w:tc>
                <w:tcPr>
                  <w:tcW w:w="4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94A12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w:t>
                  </w:r>
                </w:p>
              </w:tc>
              <w:tc>
                <w:tcPr>
                  <w:tcW w:w="4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BAC1A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w:t>
                  </w:r>
                </w:p>
              </w:tc>
              <w:tc>
                <w:tcPr>
                  <w:tcW w:w="4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6E58F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w:t>
                  </w:r>
                </w:p>
              </w:tc>
              <w:tc>
                <w:tcPr>
                  <w:tcW w:w="475" w:type="pct"/>
                  <w:tcBorders>
                    <w:top w:val="single" w:color="auto" w:sz="4" w:space="0"/>
                    <w:left w:val="single" w:color="auto" w:sz="4" w:space="0"/>
                    <w:bottom w:val="single" w:color="auto" w:sz="4" w:space="0"/>
                    <w:tl2br w:val="nil"/>
                    <w:tr2bl w:val="nil"/>
                  </w:tcBorders>
                  <w:noWrap w:val="0"/>
                  <w:vAlign w:val="center"/>
                </w:tcPr>
                <w:p w14:paraId="11D523B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val="en-US" w:eastAsia="zh-CN"/>
                    </w:rPr>
                    <w:t>/</w:t>
                  </w:r>
                </w:p>
              </w:tc>
            </w:tr>
          </w:tbl>
          <w:p w14:paraId="14FA27D5">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jc w:val="both"/>
              <w:textAlignment w:val="auto"/>
              <w:rPr>
                <w:rFonts w:hint="default" w:eastAsia="宋体"/>
                <w:lang w:val="en-US" w:eastAsia="zh-CN"/>
              </w:rPr>
            </w:pPr>
            <w:r>
              <w:rPr>
                <w:rFonts w:hint="eastAsia" w:ascii="Times New Roman" w:hAnsi="Times New Roman" w:eastAsia="宋体" w:cs="Times New Roman"/>
                <w:b/>
                <w:bCs/>
                <w:color w:val="auto"/>
                <w:kern w:val="2"/>
                <w:sz w:val="24"/>
                <w:szCs w:val="24"/>
                <w:highlight w:val="none"/>
                <w:lang w:val="en-US" w:eastAsia="zh-CN" w:bidi="ar-SA"/>
              </w:rPr>
              <w:t>2.10项目排气筒信息</w:t>
            </w:r>
          </w:p>
          <w:p w14:paraId="2ADAA4B1">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60" w:firstLineChars="200"/>
              <w:jc w:val="both"/>
              <w:textAlignment w:val="auto"/>
              <w:rPr>
                <w:rFonts w:hint="eastAsia" w:ascii="Times New Roman" w:hAnsi="Times New Roman" w:cs="Times New Roman" w:eastAsiaTheme="minorEastAsia"/>
                <w:b/>
                <w:color w:val="auto"/>
                <w:kern w:val="2"/>
                <w:sz w:val="24"/>
                <w:szCs w:val="24"/>
                <w:lang w:val="en-US" w:eastAsia="zh-CN" w:bidi="ar-SA"/>
              </w:rPr>
            </w:pPr>
            <w:r>
              <w:rPr>
                <w:rFonts w:hint="eastAsia" w:cs="宋体"/>
                <w:color w:val="auto"/>
                <w:spacing w:val="-5"/>
                <w:kern w:val="2"/>
                <w:sz w:val="24"/>
                <w:szCs w:val="24"/>
                <w:highlight w:val="none"/>
                <w:lang w:val="en-US" w:eastAsia="zh-CN" w:bidi="ar-SA"/>
              </w:rPr>
              <w:t>本</w:t>
            </w:r>
            <w:r>
              <w:rPr>
                <w:rFonts w:hint="eastAsia" w:ascii="宋体" w:hAnsi="宋体" w:eastAsia="宋体" w:cs="宋体"/>
                <w:color w:val="auto"/>
                <w:spacing w:val="-5"/>
                <w:kern w:val="2"/>
                <w:sz w:val="24"/>
                <w:szCs w:val="24"/>
                <w:highlight w:val="none"/>
                <w:lang w:val="en-US" w:eastAsia="zh-CN" w:bidi="ar-SA"/>
              </w:rPr>
              <w:t>项目大气污染物排气口信息见下表。</w:t>
            </w:r>
          </w:p>
          <w:p w14:paraId="54E86550">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Times New Roman" w:hAnsi="Times New Roman" w:cs="Times New Roman" w:eastAsiaTheme="minorEastAsia"/>
                <w:b/>
                <w:color w:val="auto"/>
                <w:kern w:val="2"/>
                <w:sz w:val="24"/>
                <w:szCs w:val="24"/>
                <w:lang w:val="en-US" w:eastAsia="zh-CN" w:bidi="ar-SA"/>
              </w:rPr>
            </w:pPr>
            <w:r>
              <w:rPr>
                <w:rFonts w:hint="eastAsia" w:ascii="Times New Roman" w:hAnsi="Times New Roman" w:cs="Times New Roman" w:eastAsiaTheme="minorEastAsia"/>
                <w:b/>
                <w:color w:val="auto"/>
                <w:kern w:val="2"/>
                <w:sz w:val="24"/>
                <w:szCs w:val="24"/>
                <w:lang w:val="en-US" w:eastAsia="zh-CN" w:bidi="ar-SA"/>
              </w:rPr>
              <w:t>表4-6废气排气筒基本信息表</w:t>
            </w:r>
          </w:p>
          <w:tbl>
            <w:tblPr>
              <w:tblStyle w:val="24"/>
              <w:tblpPr w:leftFromText="180" w:rightFromText="180" w:vertAnchor="text" w:horzAnchor="page" w:tblpXSpec="center" w:tblpY="1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235"/>
              <w:gridCol w:w="1415"/>
              <w:gridCol w:w="1810"/>
              <w:gridCol w:w="1272"/>
              <w:gridCol w:w="1208"/>
            </w:tblGrid>
            <w:tr w14:paraId="00EA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Align w:val="center"/>
                </w:tcPr>
                <w:p w14:paraId="579EB9A8">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排放口名称</w:t>
                  </w:r>
                </w:p>
              </w:tc>
              <w:tc>
                <w:tcPr>
                  <w:tcW w:w="1235" w:type="dxa"/>
                  <w:vAlign w:val="center"/>
                </w:tcPr>
                <w:p w14:paraId="7AA21559">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排放口编号</w:t>
                  </w:r>
                </w:p>
              </w:tc>
              <w:tc>
                <w:tcPr>
                  <w:tcW w:w="1415" w:type="dxa"/>
                  <w:vAlign w:val="center"/>
                </w:tcPr>
                <w:p w14:paraId="1C9F35BC">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排气筒高度/m</w:t>
                  </w:r>
                </w:p>
              </w:tc>
              <w:tc>
                <w:tcPr>
                  <w:tcW w:w="1810" w:type="dxa"/>
                  <w:vAlign w:val="center"/>
                </w:tcPr>
                <w:p w14:paraId="1FEBF4F2">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排气筒出口内径/m</w:t>
                  </w:r>
                </w:p>
              </w:tc>
              <w:tc>
                <w:tcPr>
                  <w:tcW w:w="1272" w:type="dxa"/>
                  <w:vAlign w:val="center"/>
                </w:tcPr>
                <w:p w14:paraId="23CC1F6C">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烟气温度/℃</w:t>
                  </w:r>
                </w:p>
              </w:tc>
              <w:tc>
                <w:tcPr>
                  <w:tcW w:w="1208" w:type="dxa"/>
                  <w:vAlign w:val="center"/>
                </w:tcPr>
                <w:p w14:paraId="26570EE5">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类型</w:t>
                  </w:r>
                </w:p>
              </w:tc>
            </w:tr>
            <w:tr w14:paraId="579B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Align w:val="center"/>
                </w:tcPr>
                <w:p w14:paraId="045B9ECB">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废气排放口</w:t>
                  </w:r>
                </w:p>
              </w:tc>
              <w:tc>
                <w:tcPr>
                  <w:tcW w:w="1235" w:type="dxa"/>
                  <w:vAlign w:val="center"/>
                </w:tcPr>
                <w:p w14:paraId="26169ECA">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DA</w:t>
                  </w: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1</w:t>
                  </w:r>
                </w:p>
              </w:tc>
              <w:tc>
                <w:tcPr>
                  <w:tcW w:w="1415" w:type="dxa"/>
                  <w:vAlign w:val="center"/>
                </w:tcPr>
                <w:p w14:paraId="3CDD9D06">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1810" w:type="dxa"/>
                  <w:vAlign w:val="center"/>
                </w:tcPr>
                <w:p w14:paraId="0DE3AA07">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lang w:val="en-US" w:eastAsia="zh-CN"/>
                    </w:rPr>
                    <w:t>6</w:t>
                  </w:r>
                </w:p>
              </w:tc>
              <w:tc>
                <w:tcPr>
                  <w:tcW w:w="1272" w:type="dxa"/>
                  <w:vAlign w:val="center"/>
                </w:tcPr>
                <w:p w14:paraId="071EF6FA">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常温</w:t>
                  </w:r>
                </w:p>
              </w:tc>
              <w:tc>
                <w:tcPr>
                  <w:tcW w:w="1208" w:type="dxa"/>
                  <w:vAlign w:val="center"/>
                </w:tcPr>
                <w:p w14:paraId="29D64945">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一般排放口</w:t>
                  </w:r>
                </w:p>
              </w:tc>
            </w:tr>
          </w:tbl>
          <w:p w14:paraId="6C77822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jc w:val="left"/>
              <w:textAlignment w:val="auto"/>
              <w:rPr>
                <w:rFonts w:hint="default" w:ascii="Times New Roman" w:hAnsi="Times New Roman" w:cs="Times New Roman" w:eastAsiaTheme="minorEastAsia"/>
                <w:b/>
                <w:color w:val="auto"/>
                <w:kern w:val="2"/>
                <w:sz w:val="24"/>
                <w:szCs w:val="24"/>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2.10措施可行性分析</w:t>
            </w:r>
          </w:p>
          <w:p w14:paraId="6F4BC1D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hint="default" w:ascii="Times New Roman" w:hAnsi="Times New Roman" w:cs="Times New Roman" w:eastAsiaTheme="minorEastAsia"/>
                <w:b/>
                <w:color w:val="auto"/>
                <w:kern w:val="2"/>
                <w:sz w:val="24"/>
                <w:szCs w:val="24"/>
                <w:lang w:val="en-US" w:eastAsia="zh-CN" w:bidi="ar-SA"/>
              </w:rPr>
            </w:pPr>
            <w:r>
              <w:rPr>
                <w:rFonts w:hint="eastAsia" w:ascii="Times New Roman" w:hAnsi="Times New Roman" w:cs="Times New Roman" w:eastAsiaTheme="minorEastAsia"/>
                <w:b/>
                <w:color w:val="auto"/>
                <w:kern w:val="2"/>
                <w:sz w:val="24"/>
                <w:szCs w:val="24"/>
                <w:lang w:val="en-US" w:eastAsia="zh-CN" w:bidi="ar-SA"/>
              </w:rPr>
              <w:t>表4-7</w:t>
            </w:r>
            <w:r>
              <w:rPr>
                <w:rFonts w:hint="default" w:ascii="Times New Roman" w:hAnsi="Times New Roman" w:cs="Times New Roman" w:eastAsiaTheme="minorEastAsia"/>
                <w:b/>
                <w:color w:val="auto"/>
                <w:kern w:val="2"/>
                <w:sz w:val="24"/>
                <w:szCs w:val="24"/>
                <w:lang w:val="en-US" w:eastAsia="zh-CN" w:bidi="ar-SA"/>
              </w:rPr>
              <w:t>措施可行性分析列表</w:t>
            </w:r>
          </w:p>
          <w:tbl>
            <w:tblPr>
              <w:tblStyle w:val="24"/>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136"/>
              <w:gridCol w:w="1136"/>
              <w:gridCol w:w="5413"/>
            </w:tblGrid>
            <w:tr w14:paraId="1F66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2" w:type="dxa"/>
                  <w:vAlign w:val="center"/>
                </w:tcPr>
                <w:p w14:paraId="47D29624">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pacing w:val="-3"/>
                      <w:sz w:val="21"/>
                      <w:szCs w:val="21"/>
                      <w:highlight w:val="none"/>
                      <w:vertAlign w:val="baseline"/>
                      <w:lang w:val="en-US" w:eastAsia="zh-CN"/>
                    </w:rPr>
                  </w:pPr>
                  <w:r>
                    <w:rPr>
                      <w:rFonts w:hint="eastAsia" w:ascii="Times New Roman" w:hAnsi="Times New Roman" w:eastAsia="宋体"/>
                      <w:color w:val="auto"/>
                      <w:spacing w:val="-3"/>
                      <w:sz w:val="21"/>
                      <w:szCs w:val="21"/>
                      <w:highlight w:val="none"/>
                      <w:vertAlign w:val="baseline"/>
                      <w:lang w:val="en-US" w:eastAsia="zh-CN"/>
                    </w:rPr>
                    <w:t>序号</w:t>
                  </w:r>
                </w:p>
              </w:tc>
              <w:tc>
                <w:tcPr>
                  <w:tcW w:w="1136" w:type="dxa"/>
                  <w:vAlign w:val="center"/>
                </w:tcPr>
                <w:p w14:paraId="2D80568B">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lang w:val="en-US" w:eastAsia="zh-CN"/>
                    </w:rPr>
                  </w:pPr>
                  <w:r>
                    <w:rPr>
                      <w:rFonts w:hint="eastAsia" w:ascii="Times New Roman" w:hAnsi="Times New Roman" w:eastAsia="宋体"/>
                      <w:color w:val="auto"/>
                      <w:spacing w:val="-3"/>
                      <w:sz w:val="21"/>
                      <w:szCs w:val="21"/>
                      <w:highlight w:val="none"/>
                      <w:vertAlign w:val="baseline"/>
                      <w:lang w:val="en-US" w:eastAsia="zh-CN"/>
                    </w:rPr>
                    <w:t>产污环节</w:t>
                  </w:r>
                </w:p>
              </w:tc>
              <w:tc>
                <w:tcPr>
                  <w:tcW w:w="1136" w:type="dxa"/>
                  <w:vAlign w:val="center"/>
                </w:tcPr>
                <w:p w14:paraId="32FE0701">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pacing w:val="-3"/>
                      <w:sz w:val="21"/>
                      <w:szCs w:val="21"/>
                      <w:highlight w:val="none"/>
                      <w:vertAlign w:val="baseline"/>
                      <w:lang w:val="en-US" w:eastAsia="zh-CN"/>
                    </w:rPr>
                  </w:pPr>
                  <w:r>
                    <w:rPr>
                      <w:rFonts w:hint="eastAsia" w:ascii="Times New Roman" w:hAnsi="Times New Roman" w:eastAsia="宋体"/>
                      <w:color w:val="auto"/>
                      <w:spacing w:val="-3"/>
                      <w:sz w:val="21"/>
                      <w:szCs w:val="21"/>
                      <w:highlight w:val="none"/>
                      <w:vertAlign w:val="baseline"/>
                      <w:lang w:val="en-US" w:eastAsia="zh-CN"/>
                    </w:rPr>
                    <w:t>治理措施</w:t>
                  </w:r>
                </w:p>
              </w:tc>
              <w:tc>
                <w:tcPr>
                  <w:tcW w:w="5413" w:type="dxa"/>
                  <w:vAlign w:val="center"/>
                </w:tcPr>
                <w:p w14:paraId="0C484F60">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lang w:val="en-US" w:eastAsia="zh-CN"/>
                    </w:rPr>
                  </w:pPr>
                  <w:r>
                    <w:rPr>
                      <w:rFonts w:hint="eastAsia" w:ascii="Times New Roman" w:hAnsi="Times New Roman" w:eastAsia="宋体"/>
                      <w:color w:val="auto"/>
                      <w:spacing w:val="-3"/>
                      <w:sz w:val="21"/>
                      <w:szCs w:val="21"/>
                      <w:highlight w:val="none"/>
                      <w:vertAlign w:val="baseline"/>
                      <w:lang w:val="en-US" w:eastAsia="zh-CN"/>
                    </w:rPr>
                    <w:t>可行性论证</w:t>
                  </w:r>
                </w:p>
              </w:tc>
            </w:tr>
            <w:tr w14:paraId="06AD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Align w:val="center"/>
                </w:tcPr>
                <w:p w14:paraId="59A5FDE0">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lang w:val="en-US" w:eastAsia="zh-CN"/>
                    </w:rPr>
                  </w:pPr>
                  <w:r>
                    <w:rPr>
                      <w:rFonts w:hint="eastAsia" w:ascii="Times New Roman" w:hAnsi="Times New Roman" w:eastAsia="宋体"/>
                      <w:color w:val="auto"/>
                      <w:spacing w:val="-3"/>
                      <w:sz w:val="21"/>
                      <w:szCs w:val="21"/>
                      <w:highlight w:val="none"/>
                      <w:vertAlign w:val="baseline"/>
                      <w:lang w:val="en-US" w:eastAsia="zh-CN"/>
                    </w:rPr>
                    <w:t>1</w:t>
                  </w:r>
                </w:p>
              </w:tc>
              <w:tc>
                <w:tcPr>
                  <w:tcW w:w="1136" w:type="dxa"/>
                  <w:vAlign w:val="center"/>
                </w:tcPr>
                <w:p w14:paraId="0B23C0C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pacing w:val="-3"/>
                      <w:sz w:val="21"/>
                      <w:szCs w:val="21"/>
                      <w:highlight w:val="none"/>
                      <w:vertAlign w:val="baseline"/>
                      <w:lang w:val="en-US" w:eastAsia="zh-CN"/>
                    </w:rPr>
                  </w:pPr>
                  <w:r>
                    <w:rPr>
                      <w:rFonts w:hint="eastAsia" w:ascii="Times New Roman" w:hAnsi="Times New Roman" w:eastAsia="宋体"/>
                      <w:color w:val="auto"/>
                      <w:spacing w:val="-3"/>
                      <w:sz w:val="21"/>
                      <w:szCs w:val="21"/>
                      <w:highlight w:val="none"/>
                      <w:vertAlign w:val="baseline"/>
                      <w:lang w:val="en-US" w:eastAsia="zh-CN"/>
                    </w:rPr>
                    <w:t>钻孔、凿岩产生废气</w:t>
                  </w:r>
                </w:p>
              </w:tc>
              <w:tc>
                <w:tcPr>
                  <w:tcW w:w="1136" w:type="dxa"/>
                  <w:vAlign w:val="center"/>
                </w:tcPr>
                <w:p w14:paraId="27D27B6C">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eastAsia" w:ascii="Times New Roman" w:hAnsi="Times New Roman" w:eastAsia="宋体" w:cs="宋体"/>
                      <w:color w:val="auto"/>
                      <w:spacing w:val="-3"/>
                      <w:sz w:val="21"/>
                      <w:szCs w:val="21"/>
                      <w:highlight w:val="none"/>
                      <w:vertAlign w:val="baseline"/>
                      <w:lang w:val="en-US" w:eastAsia="zh-CN"/>
                    </w:rPr>
                    <w:t>水力喷雾降尘</w:t>
                  </w:r>
                </w:p>
              </w:tc>
              <w:tc>
                <w:tcPr>
                  <w:tcW w:w="5413" w:type="dxa"/>
                  <w:vAlign w:val="center"/>
                </w:tcPr>
                <w:p w14:paraId="43C3F40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default" w:ascii="Times New Roman" w:hAnsi="Times New Roman" w:eastAsia="宋体"/>
                      <w:color w:val="auto"/>
                      <w:spacing w:val="-3"/>
                      <w:sz w:val="21"/>
                      <w:szCs w:val="21"/>
                      <w:highlight w:val="none"/>
                      <w:vertAlign w:val="baseline"/>
                      <w:lang w:val="en-US" w:eastAsia="zh-CN"/>
                    </w:rPr>
                    <w:t>开采过程中采用湿式作业，对工作面采取水力喷雾降尘措施，</w:t>
                  </w:r>
                  <w:r>
                    <w:rPr>
                      <w:rFonts w:hint="eastAsia" w:ascii="Times New Roman" w:hAnsi="Times New Roman" w:eastAsia="宋体"/>
                      <w:color w:val="auto"/>
                      <w:spacing w:val="-3"/>
                      <w:sz w:val="21"/>
                      <w:szCs w:val="21"/>
                      <w:highlight w:val="none"/>
                      <w:vertAlign w:val="baseline"/>
                      <w:lang w:val="en-US" w:eastAsia="zh-CN"/>
                    </w:rPr>
                    <w:t>根据《控制露天矿钻机呼吸性粉尘的新技术》</w:t>
                  </w:r>
                  <w:r>
                    <w:rPr>
                      <w:rFonts w:hint="eastAsia" w:ascii="Times New Roman" w:hAnsi="Times New Roman"/>
                      <w:color w:val="auto"/>
                      <w:spacing w:val="-3"/>
                      <w:sz w:val="21"/>
                      <w:szCs w:val="21"/>
                      <w:highlight w:val="none"/>
                      <w:vertAlign w:val="baseline"/>
                      <w:lang w:val="en-US" w:eastAsia="zh-CN"/>
                    </w:rPr>
                    <w:t>（</w:t>
                  </w:r>
                  <w:r>
                    <w:rPr>
                      <w:rFonts w:hint="eastAsia" w:ascii="Times New Roman" w:hAnsi="Times New Roman" w:eastAsia="宋体"/>
                      <w:color w:val="auto"/>
                      <w:spacing w:val="-3"/>
                      <w:sz w:val="21"/>
                      <w:szCs w:val="21"/>
                      <w:highlight w:val="none"/>
                      <w:vertAlign w:val="baseline"/>
                      <w:lang w:val="en-US" w:eastAsia="zh-CN"/>
                    </w:rPr>
                    <w:t>赵玉凤，1988</w:t>
                  </w:r>
                  <w:r>
                    <w:rPr>
                      <w:rFonts w:hint="eastAsia" w:ascii="Times New Roman" w:hAnsi="Times New Roman"/>
                      <w:color w:val="auto"/>
                      <w:spacing w:val="-3"/>
                      <w:sz w:val="21"/>
                      <w:szCs w:val="21"/>
                      <w:highlight w:val="none"/>
                      <w:vertAlign w:val="baseline"/>
                      <w:lang w:val="en-US" w:eastAsia="zh-CN"/>
                    </w:rPr>
                    <w:t>）</w:t>
                  </w:r>
                  <w:r>
                    <w:rPr>
                      <w:rFonts w:hint="eastAsia" w:ascii="Times New Roman" w:hAnsi="Times New Roman" w:eastAsia="宋体"/>
                      <w:color w:val="auto"/>
                      <w:spacing w:val="-3"/>
                      <w:sz w:val="21"/>
                      <w:szCs w:val="21"/>
                      <w:highlight w:val="none"/>
                      <w:vertAlign w:val="baseline"/>
                      <w:lang w:val="en-US" w:eastAsia="zh-CN"/>
                    </w:rPr>
                    <w:t>，湿式钻孔抑尘效率约为94%。</w:t>
                  </w:r>
                </w:p>
              </w:tc>
            </w:tr>
            <w:tr w14:paraId="0956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Align w:val="center"/>
                </w:tcPr>
                <w:p w14:paraId="2EE82B85">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lang w:val="en-US" w:eastAsia="zh-CN"/>
                    </w:rPr>
                  </w:pPr>
                  <w:r>
                    <w:rPr>
                      <w:rFonts w:hint="eastAsia" w:ascii="Times New Roman" w:hAnsi="Times New Roman"/>
                      <w:color w:val="auto"/>
                      <w:spacing w:val="-3"/>
                      <w:sz w:val="21"/>
                      <w:szCs w:val="21"/>
                      <w:highlight w:val="none"/>
                      <w:vertAlign w:val="baseline"/>
                      <w:lang w:val="en-US" w:eastAsia="zh-CN"/>
                    </w:rPr>
                    <w:t>2</w:t>
                  </w:r>
                </w:p>
              </w:tc>
              <w:tc>
                <w:tcPr>
                  <w:tcW w:w="1136" w:type="dxa"/>
                  <w:vAlign w:val="center"/>
                </w:tcPr>
                <w:p w14:paraId="7194F39C">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pacing w:val="-3"/>
                      <w:sz w:val="21"/>
                      <w:szCs w:val="21"/>
                      <w:highlight w:val="none"/>
                      <w:vertAlign w:val="baseline"/>
                      <w:lang w:val="en-US" w:eastAsia="zh-CN"/>
                    </w:rPr>
                  </w:pPr>
                  <w:r>
                    <w:rPr>
                      <w:rFonts w:hint="eastAsia" w:ascii="Times New Roman" w:hAnsi="Times New Roman" w:eastAsia="宋体"/>
                      <w:color w:val="auto"/>
                      <w:spacing w:val="-3"/>
                      <w:sz w:val="21"/>
                      <w:szCs w:val="21"/>
                      <w:highlight w:val="none"/>
                      <w:vertAlign w:val="baseline"/>
                      <w:lang w:val="en-US" w:eastAsia="zh-CN"/>
                    </w:rPr>
                    <w:t>液压破碎器废气</w:t>
                  </w:r>
                </w:p>
              </w:tc>
              <w:tc>
                <w:tcPr>
                  <w:tcW w:w="1136" w:type="dxa"/>
                  <w:vAlign w:val="center"/>
                </w:tcPr>
                <w:p w14:paraId="05560BE8">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eastAsia="宋体" w:cs="宋体"/>
                      <w:color w:val="auto"/>
                      <w:spacing w:val="-3"/>
                      <w:sz w:val="21"/>
                      <w:szCs w:val="21"/>
                      <w:highlight w:val="none"/>
                      <w:vertAlign w:val="baseline"/>
                      <w:lang w:val="en-US" w:eastAsia="zh-CN"/>
                    </w:rPr>
                    <w:t>酒水抑尘</w:t>
                  </w:r>
                </w:p>
              </w:tc>
              <w:tc>
                <w:tcPr>
                  <w:tcW w:w="5413" w:type="dxa"/>
                  <w:vAlign w:val="center"/>
                </w:tcPr>
                <w:p w14:paraId="0BDCB3EC">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lang w:val="en-US" w:eastAsia="zh-CN"/>
                    </w:rPr>
                  </w:pPr>
                  <w:r>
                    <w:rPr>
                      <w:rFonts w:hint="default" w:ascii="Times New Roman" w:hAnsi="Times New Roman" w:eastAsia="宋体"/>
                      <w:color w:val="auto"/>
                      <w:spacing w:val="-3"/>
                      <w:sz w:val="21"/>
                      <w:szCs w:val="21"/>
                      <w:highlight w:val="none"/>
                      <w:vertAlign w:val="baseline"/>
                      <w:lang w:val="en-US" w:eastAsia="zh-CN"/>
                    </w:rPr>
                    <w:t>液压破碎器配置有干式收尘器</w:t>
                  </w:r>
                  <w:r>
                    <w:rPr>
                      <w:rFonts w:hint="eastAsia" w:ascii="Times New Roman" w:hAnsi="Times New Roman"/>
                      <w:color w:val="auto"/>
                      <w:spacing w:val="-3"/>
                      <w:sz w:val="21"/>
                      <w:szCs w:val="21"/>
                      <w:highlight w:val="none"/>
                      <w:vertAlign w:val="baseline"/>
                      <w:lang w:val="en-US" w:eastAsia="zh-CN"/>
                    </w:rPr>
                    <w:t>，</w:t>
                  </w:r>
                  <w:r>
                    <w:rPr>
                      <w:rFonts w:hint="default" w:ascii="Times New Roman" w:hAnsi="Times New Roman" w:eastAsia="宋体"/>
                      <w:color w:val="auto"/>
                      <w:spacing w:val="-3"/>
                      <w:sz w:val="21"/>
                      <w:szCs w:val="21"/>
                      <w:highlight w:val="none"/>
                      <w:vertAlign w:val="baseline"/>
                      <w:lang w:val="en-US" w:eastAsia="zh-CN"/>
                    </w:rPr>
                    <w:t>粉尘收集后通过设备自带的收尘袋后无组织排放加上液压破碎器操作过程对矿石进行</w:t>
                  </w:r>
                  <w:r>
                    <w:rPr>
                      <w:rFonts w:hint="eastAsia" w:ascii="Times New Roman" w:hAnsi="Times New Roman"/>
                      <w:color w:val="auto"/>
                      <w:spacing w:val="-3"/>
                      <w:sz w:val="21"/>
                      <w:szCs w:val="21"/>
                      <w:highlight w:val="none"/>
                      <w:vertAlign w:val="baseline"/>
                      <w:lang w:val="en-US" w:eastAsia="zh-CN"/>
                    </w:rPr>
                    <w:t>洒水</w:t>
                  </w:r>
                  <w:r>
                    <w:rPr>
                      <w:rFonts w:hint="default" w:ascii="Times New Roman" w:hAnsi="Times New Roman" w:eastAsia="宋体"/>
                      <w:color w:val="auto"/>
                      <w:spacing w:val="-3"/>
                      <w:sz w:val="21"/>
                      <w:szCs w:val="21"/>
                      <w:highlight w:val="none"/>
                      <w:vertAlign w:val="baseline"/>
                      <w:lang w:val="en-US" w:eastAsia="zh-CN"/>
                    </w:rPr>
                    <w:t>抑尘，减少粉尘产生。采取措施后可减少90%粉尘排放</w:t>
                  </w:r>
                  <w:r>
                    <w:rPr>
                      <w:rFonts w:hint="eastAsia" w:ascii="Times New Roman" w:hAnsi="Times New Roman"/>
                      <w:color w:val="auto"/>
                      <w:spacing w:val="-3"/>
                      <w:sz w:val="21"/>
                      <w:szCs w:val="21"/>
                      <w:highlight w:val="none"/>
                      <w:vertAlign w:val="baseline"/>
                      <w:lang w:val="en-US" w:eastAsia="zh-CN"/>
                    </w:rPr>
                    <w:t>。</w:t>
                  </w:r>
                </w:p>
              </w:tc>
            </w:tr>
            <w:tr w14:paraId="6DB7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Align w:val="center"/>
                </w:tcPr>
                <w:p w14:paraId="0C493F5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olor w:val="auto"/>
                      <w:spacing w:val="-3"/>
                      <w:sz w:val="21"/>
                      <w:szCs w:val="21"/>
                      <w:highlight w:val="none"/>
                      <w:vertAlign w:val="baseline"/>
                      <w:lang w:val="en-US" w:eastAsia="zh-CN"/>
                    </w:rPr>
                  </w:pPr>
                  <w:r>
                    <w:rPr>
                      <w:rFonts w:hint="eastAsia" w:ascii="Times New Roman" w:hAnsi="Times New Roman"/>
                      <w:color w:val="auto"/>
                      <w:spacing w:val="-3"/>
                      <w:sz w:val="21"/>
                      <w:szCs w:val="21"/>
                      <w:highlight w:val="none"/>
                      <w:vertAlign w:val="baseline"/>
                      <w:lang w:val="en-US" w:eastAsia="zh-CN"/>
                    </w:rPr>
                    <w:t>3</w:t>
                  </w:r>
                </w:p>
              </w:tc>
              <w:tc>
                <w:tcPr>
                  <w:tcW w:w="1136" w:type="dxa"/>
                  <w:vAlign w:val="center"/>
                </w:tcPr>
                <w:p w14:paraId="60A6CEFF">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olor w:val="auto"/>
                      <w:spacing w:val="-3"/>
                      <w:sz w:val="21"/>
                      <w:szCs w:val="21"/>
                      <w:highlight w:val="none"/>
                      <w:vertAlign w:val="baseline"/>
                      <w:lang w:val="en-US" w:eastAsia="zh-CN"/>
                    </w:rPr>
                  </w:pPr>
                  <w:r>
                    <w:rPr>
                      <w:rFonts w:hint="default" w:ascii="Times New Roman" w:hAnsi="Times New Roman" w:eastAsia="宋体" w:cs="宋体"/>
                      <w:color w:val="auto"/>
                      <w:spacing w:val="-3"/>
                      <w:sz w:val="21"/>
                      <w:szCs w:val="21"/>
                      <w:highlight w:val="none"/>
                      <w:vertAlign w:val="baseline"/>
                      <w:lang w:val="en-US" w:eastAsia="zh-CN"/>
                    </w:rPr>
                    <w:t>运输道路扬尘</w:t>
                  </w:r>
                </w:p>
              </w:tc>
              <w:tc>
                <w:tcPr>
                  <w:tcW w:w="1136" w:type="dxa"/>
                  <w:vAlign w:val="center"/>
                </w:tcPr>
                <w:p w14:paraId="6445DAE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cs="宋体"/>
                      <w:color w:val="auto"/>
                      <w:spacing w:val="-3"/>
                      <w:sz w:val="21"/>
                      <w:szCs w:val="21"/>
                      <w:highlight w:val="none"/>
                      <w:vertAlign w:val="baseline"/>
                      <w:lang w:val="en-US" w:eastAsia="zh-CN"/>
                    </w:rPr>
                    <w:t>编制覆盖、出入车辆清洗</w:t>
                  </w:r>
                </w:p>
              </w:tc>
              <w:tc>
                <w:tcPr>
                  <w:tcW w:w="5413" w:type="dxa"/>
                  <w:vAlign w:val="center"/>
                </w:tcPr>
                <w:p w14:paraId="0487831C">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default" w:ascii="Times New Roman" w:hAnsi="Times New Roman" w:eastAsia="宋体"/>
                      <w:color w:val="auto"/>
                      <w:spacing w:val="-3"/>
                      <w:sz w:val="21"/>
                      <w:szCs w:val="21"/>
                      <w:highlight w:val="none"/>
                      <w:vertAlign w:val="baseline"/>
                      <w:lang w:val="en-US" w:eastAsia="zh-CN"/>
                    </w:rPr>
                    <w:t>对运输道路及开采作业面控制车速、</w:t>
                  </w:r>
                  <w:r>
                    <w:rPr>
                      <w:rFonts w:hint="eastAsia" w:ascii="Times New Roman" w:hAnsi="Times New Roman"/>
                      <w:color w:val="auto"/>
                      <w:spacing w:val="-3"/>
                      <w:sz w:val="21"/>
                      <w:szCs w:val="21"/>
                      <w:highlight w:val="none"/>
                      <w:vertAlign w:val="baseline"/>
                      <w:lang w:val="en-US" w:eastAsia="zh-CN"/>
                    </w:rPr>
                    <w:t>编制覆盖</w:t>
                  </w:r>
                  <w:r>
                    <w:rPr>
                      <w:rFonts w:hint="default" w:ascii="Times New Roman" w:hAnsi="Times New Roman" w:eastAsia="宋体"/>
                      <w:color w:val="auto"/>
                      <w:spacing w:val="-3"/>
                      <w:sz w:val="21"/>
                      <w:szCs w:val="21"/>
                      <w:highlight w:val="none"/>
                      <w:vertAlign w:val="baseline"/>
                      <w:lang w:val="en-US" w:eastAsia="zh-CN"/>
                    </w:rPr>
                    <w:t>运输物料及洒水抑尘的措施</w:t>
                  </w:r>
                  <w:r>
                    <w:rPr>
                      <w:rFonts w:hint="eastAsia" w:ascii="Times New Roman" w:hAnsi="Times New Roman" w:eastAsia="宋体"/>
                      <w:color w:val="auto"/>
                      <w:spacing w:val="-3"/>
                      <w:sz w:val="21"/>
                      <w:szCs w:val="21"/>
                      <w:highlight w:val="none"/>
                      <w:vertAlign w:val="baseline"/>
                      <w:lang w:val="en-US" w:eastAsia="zh-CN"/>
                    </w:rPr>
                    <w:t>，根据</w:t>
                  </w:r>
                  <w:r>
                    <w:rPr>
                      <w:rFonts w:hint="default" w:ascii="Times New Roman" w:hAnsi="Times New Roman" w:eastAsia="宋体"/>
                      <w:sz w:val="24"/>
                    </w:rPr>
                    <w:t>《</w:t>
                  </w:r>
                  <w:r>
                    <w:rPr>
                      <w:rFonts w:hint="default" w:ascii="Times New Roman" w:hAnsi="Times New Roman" w:eastAsia="宋体"/>
                      <w:color w:val="auto"/>
                      <w:spacing w:val="-3"/>
                      <w:sz w:val="21"/>
                      <w:szCs w:val="21"/>
                      <w:highlight w:val="none"/>
                      <w:vertAlign w:val="baseline"/>
                      <w:lang w:val="en-US" w:eastAsia="zh-CN"/>
                    </w:rPr>
                    <w:t>固体物料堆存颗粒物产排污核算系数手册</w:t>
                  </w:r>
                  <w:r>
                    <w:rPr>
                      <w:rFonts w:hint="default" w:ascii="Times New Roman" w:hAnsi="Times New Roman" w:eastAsia="宋体"/>
                      <w:sz w:val="24"/>
                    </w:rPr>
                    <w:t>》</w:t>
                  </w:r>
                  <w:r>
                    <w:rPr>
                      <w:rFonts w:hint="eastAsia" w:ascii="Times New Roman" w:hAnsi="Times New Roman" w:eastAsia="宋体"/>
                      <w:color w:val="auto"/>
                      <w:spacing w:val="-3"/>
                      <w:sz w:val="21"/>
                      <w:szCs w:val="21"/>
                      <w:highlight w:val="none"/>
                      <w:vertAlign w:val="baseline"/>
                      <w:lang w:val="en-US" w:eastAsia="zh-CN"/>
                    </w:rPr>
                    <w:t>附录4</w:t>
                  </w:r>
                  <w:r>
                    <w:rPr>
                      <w:rFonts w:hint="eastAsia" w:ascii="Times New Roman" w:hAnsi="Times New Roman"/>
                      <w:color w:val="auto"/>
                      <w:spacing w:val="-3"/>
                      <w:sz w:val="21"/>
                      <w:szCs w:val="21"/>
                      <w:highlight w:val="none"/>
                      <w:vertAlign w:val="baseline"/>
                      <w:lang w:val="en-US" w:eastAsia="zh-CN"/>
                    </w:rPr>
                    <w:t>，编制覆盖</w:t>
                  </w:r>
                  <w:r>
                    <w:rPr>
                      <w:rFonts w:hint="default" w:ascii="Times New Roman" w:hAnsi="Times New Roman" w:eastAsia="宋体"/>
                      <w:color w:val="auto"/>
                      <w:spacing w:val="-3"/>
                      <w:sz w:val="21"/>
                      <w:szCs w:val="21"/>
                      <w:highlight w:val="none"/>
                      <w:vertAlign w:val="baseline"/>
                      <w:lang w:val="en-US" w:eastAsia="zh-CN"/>
                    </w:rPr>
                    <w:t>运输物料</w:t>
                  </w:r>
                  <w:r>
                    <w:rPr>
                      <w:rFonts w:hint="eastAsia" w:ascii="Times New Roman" w:hAnsi="Times New Roman"/>
                      <w:color w:val="auto"/>
                      <w:spacing w:val="-3"/>
                      <w:sz w:val="21"/>
                      <w:szCs w:val="21"/>
                      <w:highlight w:val="none"/>
                      <w:vertAlign w:val="baseline"/>
                      <w:lang w:val="en-US" w:eastAsia="zh-CN"/>
                    </w:rPr>
                    <w:t>控制效率为86%，</w:t>
                  </w:r>
                  <w:r>
                    <w:rPr>
                      <w:rFonts w:hint="eastAsia" w:ascii="Times New Roman" w:hAnsi="Times New Roman" w:cs="宋体"/>
                      <w:color w:val="auto"/>
                      <w:spacing w:val="-3"/>
                      <w:sz w:val="21"/>
                      <w:szCs w:val="21"/>
                      <w:highlight w:val="none"/>
                      <w:vertAlign w:val="baseline"/>
                      <w:lang w:val="en-US" w:eastAsia="zh-CN"/>
                    </w:rPr>
                    <w:t>出入车辆清洗</w:t>
                  </w:r>
                  <w:r>
                    <w:rPr>
                      <w:rFonts w:hint="eastAsia" w:ascii="Times New Roman" w:hAnsi="Times New Roman"/>
                      <w:color w:val="auto"/>
                      <w:spacing w:val="-3"/>
                      <w:sz w:val="21"/>
                      <w:szCs w:val="21"/>
                      <w:highlight w:val="none"/>
                      <w:vertAlign w:val="baseline"/>
                      <w:lang w:val="en-US" w:eastAsia="zh-CN"/>
                    </w:rPr>
                    <w:t>控制效率为</w:t>
                  </w:r>
                  <w:r>
                    <w:rPr>
                      <w:rFonts w:hint="eastAsia" w:ascii="Times New Roman" w:hAnsi="Times New Roman" w:eastAsia="宋体"/>
                      <w:color w:val="auto"/>
                      <w:spacing w:val="-3"/>
                      <w:sz w:val="21"/>
                      <w:szCs w:val="21"/>
                      <w:highlight w:val="none"/>
                      <w:vertAlign w:val="baseline"/>
                      <w:lang w:val="en-US" w:eastAsia="zh-CN"/>
                    </w:rPr>
                    <w:t>78%。</w:t>
                  </w:r>
                </w:p>
              </w:tc>
            </w:tr>
            <w:tr w14:paraId="0A24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Align w:val="center"/>
                </w:tcPr>
                <w:p w14:paraId="3AC9AD1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olor w:val="auto"/>
                      <w:spacing w:val="-3"/>
                      <w:sz w:val="21"/>
                      <w:szCs w:val="21"/>
                      <w:highlight w:val="none"/>
                      <w:vertAlign w:val="baseline"/>
                      <w:lang w:val="en-US" w:eastAsia="zh-CN"/>
                    </w:rPr>
                  </w:pPr>
                  <w:r>
                    <w:rPr>
                      <w:rFonts w:hint="eastAsia" w:ascii="Times New Roman" w:hAnsi="Times New Roman"/>
                      <w:color w:val="auto"/>
                      <w:spacing w:val="-3"/>
                      <w:sz w:val="21"/>
                      <w:szCs w:val="21"/>
                      <w:highlight w:val="none"/>
                      <w:vertAlign w:val="baseline"/>
                      <w:lang w:val="en-US" w:eastAsia="zh-CN"/>
                    </w:rPr>
                    <w:t>4</w:t>
                  </w:r>
                </w:p>
              </w:tc>
              <w:tc>
                <w:tcPr>
                  <w:tcW w:w="1136" w:type="dxa"/>
                  <w:vAlign w:val="center"/>
                </w:tcPr>
                <w:p w14:paraId="146CD9A4">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eastAsia="宋体" w:cs="宋体"/>
                      <w:color w:val="auto"/>
                      <w:spacing w:val="-3"/>
                      <w:sz w:val="21"/>
                      <w:szCs w:val="21"/>
                      <w:highlight w:val="none"/>
                      <w:vertAlign w:val="baseline"/>
                      <w:lang w:val="en-US" w:eastAsia="zh-CN"/>
                    </w:rPr>
                    <w:t>排土场扬尘（装卸、堆存）</w:t>
                  </w:r>
                </w:p>
              </w:tc>
              <w:tc>
                <w:tcPr>
                  <w:tcW w:w="1136" w:type="dxa"/>
                  <w:vAlign w:val="center"/>
                </w:tcPr>
                <w:p w14:paraId="3CC90EF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olor w:val="auto"/>
                      <w:spacing w:val="-3"/>
                      <w:sz w:val="21"/>
                      <w:szCs w:val="21"/>
                      <w:highlight w:val="none"/>
                      <w:vertAlign w:val="baseline"/>
                      <w:lang w:val="en-US" w:eastAsia="zh-CN"/>
                    </w:rPr>
                  </w:pPr>
                  <w:r>
                    <w:rPr>
                      <w:rFonts w:hint="default" w:ascii="Times New Roman" w:hAnsi="Times New Roman" w:eastAsia="宋体" w:cs="宋体"/>
                      <w:color w:val="auto"/>
                      <w:spacing w:val="-3"/>
                      <w:sz w:val="21"/>
                      <w:szCs w:val="21"/>
                      <w:highlight w:val="none"/>
                      <w:vertAlign w:val="baseline"/>
                      <w:lang w:val="en-US" w:eastAsia="zh-CN"/>
                    </w:rPr>
                    <w:t>洒水抑尘</w:t>
                  </w:r>
                </w:p>
              </w:tc>
              <w:tc>
                <w:tcPr>
                  <w:tcW w:w="5413" w:type="dxa"/>
                  <w:vAlign w:val="center"/>
                </w:tcPr>
                <w:p w14:paraId="6DD99774">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eastAsia" w:ascii="Times New Roman" w:hAnsi="Times New Roman" w:eastAsia="宋体"/>
                      <w:color w:val="auto"/>
                      <w:spacing w:val="-3"/>
                      <w:sz w:val="21"/>
                      <w:szCs w:val="21"/>
                      <w:highlight w:val="none"/>
                      <w:vertAlign w:val="baseline"/>
                      <w:lang w:val="en-US" w:eastAsia="zh-CN"/>
                    </w:rPr>
                    <w:t>在</w:t>
                  </w:r>
                  <w:r>
                    <w:rPr>
                      <w:rFonts w:hint="default" w:ascii="Times New Roman" w:hAnsi="Times New Roman" w:eastAsia="宋体"/>
                      <w:color w:val="auto"/>
                      <w:spacing w:val="-3"/>
                      <w:sz w:val="21"/>
                      <w:szCs w:val="21"/>
                      <w:highlight w:val="none"/>
                      <w:vertAlign w:val="baseline"/>
                      <w:lang w:val="en-US" w:eastAsia="zh-CN"/>
                    </w:rPr>
                    <w:t>废</w:t>
                  </w:r>
                  <w:r>
                    <w:rPr>
                      <w:rFonts w:hint="eastAsia" w:ascii="Times New Roman" w:hAnsi="Times New Roman"/>
                      <w:color w:val="auto"/>
                      <w:spacing w:val="-3"/>
                      <w:sz w:val="21"/>
                      <w:szCs w:val="21"/>
                      <w:highlight w:val="none"/>
                      <w:vertAlign w:val="baseline"/>
                      <w:lang w:val="en-US" w:eastAsia="zh-CN"/>
                    </w:rPr>
                    <w:t>土、废</w:t>
                  </w:r>
                  <w:r>
                    <w:rPr>
                      <w:rFonts w:hint="default" w:ascii="Times New Roman" w:hAnsi="Times New Roman" w:eastAsia="宋体"/>
                      <w:color w:val="auto"/>
                      <w:spacing w:val="-3"/>
                      <w:sz w:val="21"/>
                      <w:szCs w:val="21"/>
                      <w:highlight w:val="none"/>
                      <w:vertAlign w:val="baseline"/>
                      <w:lang w:val="en-US" w:eastAsia="zh-CN"/>
                    </w:rPr>
                    <w:t>石</w:t>
                  </w:r>
                  <w:r>
                    <w:rPr>
                      <w:rFonts w:hint="eastAsia" w:ascii="Times New Roman" w:hAnsi="Times New Roman" w:eastAsia="宋体"/>
                      <w:color w:val="auto"/>
                      <w:spacing w:val="-3"/>
                      <w:sz w:val="21"/>
                      <w:szCs w:val="21"/>
                      <w:highlight w:val="none"/>
                      <w:vertAlign w:val="baseline"/>
                      <w:lang w:val="en-US" w:eastAsia="zh-CN"/>
                    </w:rPr>
                    <w:t>堆存</w:t>
                  </w:r>
                  <w:r>
                    <w:rPr>
                      <w:rFonts w:hint="default" w:ascii="Times New Roman" w:hAnsi="Times New Roman" w:eastAsia="宋体"/>
                      <w:color w:val="auto"/>
                      <w:spacing w:val="-3"/>
                      <w:sz w:val="21"/>
                      <w:szCs w:val="21"/>
                      <w:highlight w:val="none"/>
                      <w:vertAlign w:val="baseline"/>
                      <w:lang w:val="en-US" w:eastAsia="zh-CN"/>
                    </w:rPr>
                    <w:t>时采取洒水抑尘＋覆盖的措施</w:t>
                  </w:r>
                  <w:r>
                    <w:rPr>
                      <w:rFonts w:hint="eastAsia" w:ascii="Times New Roman" w:hAnsi="Times New Roman" w:eastAsia="宋体"/>
                      <w:color w:val="auto"/>
                      <w:spacing w:val="-3"/>
                      <w:sz w:val="21"/>
                      <w:szCs w:val="21"/>
                      <w:highlight w:val="none"/>
                      <w:vertAlign w:val="baseline"/>
                      <w:lang w:val="en-US" w:eastAsia="zh-CN"/>
                    </w:rPr>
                    <w:t>，根据</w:t>
                  </w:r>
                  <w:r>
                    <w:rPr>
                      <w:rFonts w:hint="default" w:ascii="Times New Roman" w:hAnsi="Times New Roman" w:eastAsia="宋体"/>
                      <w:sz w:val="24"/>
                    </w:rPr>
                    <w:t>《</w:t>
                  </w:r>
                  <w:r>
                    <w:rPr>
                      <w:rFonts w:hint="default" w:ascii="Times New Roman" w:hAnsi="Times New Roman" w:eastAsia="宋体"/>
                      <w:color w:val="auto"/>
                      <w:spacing w:val="-3"/>
                      <w:sz w:val="21"/>
                      <w:szCs w:val="21"/>
                      <w:highlight w:val="none"/>
                      <w:vertAlign w:val="baseline"/>
                      <w:lang w:val="en-US" w:eastAsia="zh-CN"/>
                    </w:rPr>
                    <w:t>固体物料堆存颗粒物产排污核算系数手册</w:t>
                  </w:r>
                  <w:r>
                    <w:rPr>
                      <w:rFonts w:hint="default" w:ascii="Times New Roman" w:hAnsi="Times New Roman" w:eastAsia="宋体"/>
                      <w:sz w:val="24"/>
                    </w:rPr>
                    <w:t>》</w:t>
                  </w:r>
                  <w:r>
                    <w:rPr>
                      <w:rFonts w:hint="eastAsia" w:ascii="Times New Roman" w:hAnsi="Times New Roman" w:eastAsia="宋体"/>
                      <w:color w:val="auto"/>
                      <w:spacing w:val="-3"/>
                      <w:sz w:val="21"/>
                      <w:szCs w:val="21"/>
                      <w:highlight w:val="none"/>
                      <w:vertAlign w:val="baseline"/>
                      <w:lang w:val="en-US" w:eastAsia="zh-CN"/>
                    </w:rPr>
                    <w:t>附录4覆盖控制效率为86%，洒水抑尘控制效率74%。</w:t>
                  </w:r>
                </w:p>
              </w:tc>
            </w:tr>
            <w:tr w14:paraId="6F6B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shd w:val="clear" w:color="auto" w:fill="auto"/>
                  <w:vAlign w:val="center"/>
                </w:tcPr>
                <w:p w14:paraId="412E8A3E">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宋体"/>
                      <w:color w:val="auto"/>
                      <w:spacing w:val="-3"/>
                      <w:kern w:val="2"/>
                      <w:sz w:val="21"/>
                      <w:szCs w:val="21"/>
                      <w:highlight w:val="none"/>
                      <w:vertAlign w:val="baseline"/>
                      <w:lang w:val="en-US" w:eastAsia="zh-CN" w:bidi="ar-SA"/>
                    </w:rPr>
                  </w:pPr>
                  <w:r>
                    <w:rPr>
                      <w:rFonts w:hint="eastAsia" w:ascii="Times New Roman" w:hAnsi="Times New Roman" w:eastAsia="宋体"/>
                      <w:color w:val="auto"/>
                      <w:spacing w:val="-3"/>
                      <w:sz w:val="21"/>
                      <w:szCs w:val="21"/>
                      <w:highlight w:val="none"/>
                      <w:vertAlign w:val="baseline"/>
                      <w:lang w:val="en-US" w:eastAsia="zh-CN"/>
                    </w:rPr>
                    <w:t>5</w:t>
                  </w:r>
                </w:p>
              </w:tc>
              <w:tc>
                <w:tcPr>
                  <w:tcW w:w="1136" w:type="dxa"/>
                  <w:vAlign w:val="center"/>
                </w:tcPr>
                <w:p w14:paraId="2B7113D3">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cs="宋体"/>
                      <w:color w:val="auto"/>
                      <w:spacing w:val="-3"/>
                      <w:sz w:val="21"/>
                      <w:szCs w:val="21"/>
                      <w:highlight w:val="none"/>
                      <w:vertAlign w:val="baseline"/>
                      <w:lang w:val="en-US" w:eastAsia="zh-CN"/>
                    </w:rPr>
                    <w:t>上料废气</w:t>
                  </w:r>
                </w:p>
              </w:tc>
              <w:tc>
                <w:tcPr>
                  <w:tcW w:w="1136" w:type="dxa"/>
                  <w:vAlign w:val="center"/>
                </w:tcPr>
                <w:p w14:paraId="18ACA90D">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cs="宋体"/>
                      <w:color w:val="auto"/>
                      <w:spacing w:val="-3"/>
                      <w:sz w:val="21"/>
                      <w:szCs w:val="21"/>
                      <w:highlight w:val="none"/>
                      <w:vertAlign w:val="baseline"/>
                      <w:lang w:val="en-US" w:eastAsia="zh-CN"/>
                    </w:rPr>
                    <w:t>三面围挡</w:t>
                  </w:r>
                </w:p>
              </w:tc>
              <w:tc>
                <w:tcPr>
                  <w:tcW w:w="5413" w:type="dxa"/>
                  <w:vAlign w:val="center"/>
                </w:tcPr>
                <w:p w14:paraId="7773C77B">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lang w:val="en-US" w:eastAsia="zh-CN"/>
                    </w:rPr>
                  </w:pPr>
                  <w:r>
                    <w:rPr>
                      <w:rFonts w:hint="eastAsia" w:ascii="Times New Roman" w:hAnsi="Times New Roman" w:eastAsia="宋体"/>
                      <w:color w:val="auto"/>
                      <w:spacing w:val="-3"/>
                      <w:sz w:val="21"/>
                      <w:szCs w:val="21"/>
                      <w:highlight w:val="none"/>
                      <w:vertAlign w:val="baseline"/>
                      <w:lang w:val="en-US" w:eastAsia="zh-CN"/>
                    </w:rPr>
                    <w:t>上料口设有三面围挡，参照《固体物料堆存颗粒物产排污核算系数手册》，抑尘效率为60%</w:t>
                  </w:r>
                  <w:r>
                    <w:rPr>
                      <w:rFonts w:hint="eastAsia" w:ascii="Times New Roman" w:hAnsi="Times New Roman"/>
                      <w:color w:val="auto"/>
                      <w:spacing w:val="-3"/>
                      <w:sz w:val="21"/>
                      <w:szCs w:val="21"/>
                      <w:highlight w:val="none"/>
                      <w:vertAlign w:val="baseline"/>
                      <w:lang w:val="en-US" w:eastAsia="zh-CN"/>
                    </w:rPr>
                    <w:t>，输送带为封闭式；</w:t>
                  </w:r>
                </w:p>
              </w:tc>
            </w:tr>
            <w:tr w14:paraId="4722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shd w:val="clear" w:color="auto" w:fill="auto"/>
                  <w:vAlign w:val="center"/>
                </w:tcPr>
                <w:p w14:paraId="0AF5A341">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宋体"/>
                      <w:color w:val="auto"/>
                      <w:spacing w:val="-3"/>
                      <w:kern w:val="2"/>
                      <w:sz w:val="21"/>
                      <w:szCs w:val="21"/>
                      <w:highlight w:val="none"/>
                      <w:vertAlign w:val="baseline"/>
                      <w:lang w:val="en-US" w:eastAsia="zh-CN" w:bidi="ar-SA"/>
                    </w:rPr>
                  </w:pPr>
                  <w:r>
                    <w:rPr>
                      <w:rFonts w:hint="eastAsia" w:ascii="Times New Roman" w:hAnsi="Times New Roman" w:eastAsia="宋体"/>
                      <w:color w:val="auto"/>
                      <w:spacing w:val="-3"/>
                      <w:sz w:val="21"/>
                      <w:szCs w:val="21"/>
                      <w:highlight w:val="none"/>
                      <w:vertAlign w:val="baseline"/>
                      <w:lang w:val="en-US" w:eastAsia="zh-CN"/>
                    </w:rPr>
                    <w:t>6</w:t>
                  </w:r>
                </w:p>
              </w:tc>
              <w:tc>
                <w:tcPr>
                  <w:tcW w:w="1136" w:type="dxa"/>
                  <w:vAlign w:val="center"/>
                </w:tcPr>
                <w:p w14:paraId="3064B77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eastAsia="宋体" w:cs="宋体"/>
                      <w:color w:val="auto"/>
                      <w:spacing w:val="-3"/>
                      <w:sz w:val="21"/>
                      <w:szCs w:val="21"/>
                      <w:highlight w:val="none"/>
                      <w:vertAlign w:val="baseline"/>
                      <w:lang w:val="en-US" w:eastAsia="zh-CN"/>
                    </w:rPr>
                    <w:t>破碎废气</w:t>
                  </w:r>
                </w:p>
              </w:tc>
              <w:tc>
                <w:tcPr>
                  <w:tcW w:w="1136" w:type="dxa"/>
                  <w:vAlign w:val="center"/>
                </w:tcPr>
                <w:p w14:paraId="7D862976">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eastAsia="宋体" w:cs="宋体"/>
                      <w:color w:val="auto"/>
                      <w:spacing w:val="-3"/>
                      <w:sz w:val="21"/>
                      <w:szCs w:val="21"/>
                      <w:highlight w:val="none"/>
                      <w:vertAlign w:val="baseline"/>
                      <w:lang w:val="en-US" w:eastAsia="zh-CN"/>
                    </w:rPr>
                    <w:t>布袋式除尘器除尘</w:t>
                  </w:r>
                </w:p>
              </w:tc>
              <w:tc>
                <w:tcPr>
                  <w:tcW w:w="5413" w:type="dxa"/>
                  <w:vAlign w:val="center"/>
                </w:tcPr>
                <w:p w14:paraId="6423CC00">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pacing w:val="-3"/>
                      <w:sz w:val="21"/>
                      <w:szCs w:val="21"/>
                      <w:highlight w:val="none"/>
                      <w:vertAlign w:val="baseline"/>
                      <w:lang w:eastAsia="zh-CN"/>
                    </w:rPr>
                  </w:pPr>
                  <w:r>
                    <w:rPr>
                      <w:rFonts w:hint="eastAsia" w:ascii="Times New Roman" w:hAnsi="Times New Roman" w:eastAsia="宋体"/>
                      <w:color w:val="auto"/>
                      <w:spacing w:val="-3"/>
                      <w:sz w:val="21"/>
                      <w:szCs w:val="21"/>
                      <w:highlight w:val="none"/>
                      <w:vertAlign w:val="baseline"/>
                      <w:lang w:val="en-US" w:eastAsia="zh-CN"/>
                    </w:rPr>
                    <w:t>破碎</w:t>
                  </w:r>
                  <w:r>
                    <w:rPr>
                      <w:rFonts w:hint="default" w:ascii="Times New Roman" w:hAnsi="Times New Roman" w:eastAsia="宋体"/>
                      <w:color w:val="auto"/>
                      <w:spacing w:val="-3"/>
                      <w:sz w:val="21"/>
                      <w:szCs w:val="21"/>
                      <w:highlight w:val="none"/>
                      <w:vertAlign w:val="baseline"/>
                    </w:rPr>
                    <w:t>过程</w:t>
                  </w:r>
                  <w:r>
                    <w:rPr>
                      <w:rFonts w:hint="default" w:ascii="Times New Roman" w:hAnsi="Times New Roman" w:eastAsia="宋体"/>
                      <w:color w:val="auto"/>
                      <w:spacing w:val="-3"/>
                      <w:sz w:val="21"/>
                      <w:szCs w:val="21"/>
                      <w:highlight w:val="none"/>
                      <w:vertAlign w:val="baseline"/>
                      <w:lang w:val="en-US" w:eastAsia="zh-CN"/>
                    </w:rPr>
                    <w:t>在破碎机上方安装</w:t>
                  </w:r>
                  <w:r>
                    <w:rPr>
                      <w:rFonts w:hint="eastAsia" w:ascii="Times New Roman" w:hAnsi="Times New Roman" w:eastAsia="宋体"/>
                      <w:color w:val="auto"/>
                      <w:spacing w:val="-3"/>
                      <w:sz w:val="21"/>
                      <w:szCs w:val="21"/>
                      <w:highlight w:val="none"/>
                      <w:vertAlign w:val="baseline"/>
                      <w:lang w:val="en-US" w:eastAsia="zh-CN"/>
                    </w:rPr>
                    <w:t>集气罩</w:t>
                  </w:r>
                  <w:r>
                    <w:rPr>
                      <w:rFonts w:hint="default" w:ascii="Times New Roman" w:hAnsi="Times New Roman" w:eastAsia="宋体"/>
                      <w:color w:val="auto"/>
                      <w:spacing w:val="-3"/>
                      <w:sz w:val="21"/>
                      <w:szCs w:val="21"/>
                      <w:highlight w:val="none"/>
                      <w:vertAlign w:val="baseline"/>
                      <w:lang w:val="en-US" w:eastAsia="zh-CN"/>
                    </w:rPr>
                    <w:t>收集产生的粉尘，收集的粉尘经</w:t>
                  </w:r>
                  <w:r>
                    <w:rPr>
                      <w:rFonts w:hint="eastAsia" w:ascii="Times New Roman" w:hAnsi="Times New Roman" w:eastAsia="宋体"/>
                      <w:color w:val="auto"/>
                      <w:spacing w:val="-3"/>
                      <w:sz w:val="21"/>
                      <w:szCs w:val="21"/>
                      <w:highlight w:val="none"/>
                      <w:vertAlign w:val="baseline"/>
                      <w:lang w:val="en-US" w:eastAsia="zh-CN"/>
                    </w:rPr>
                    <w:t>集气罩收集</w:t>
                  </w:r>
                  <w:r>
                    <w:rPr>
                      <w:rFonts w:hint="default" w:ascii="Times New Roman" w:hAnsi="Times New Roman" w:eastAsia="宋体"/>
                      <w:color w:val="auto"/>
                      <w:spacing w:val="-3"/>
                      <w:sz w:val="21"/>
                      <w:szCs w:val="21"/>
                      <w:highlight w:val="none"/>
                      <w:vertAlign w:val="baseline"/>
                      <w:lang w:val="en-US" w:eastAsia="zh-CN"/>
                    </w:rPr>
                    <w:t>汇入</w:t>
                  </w:r>
                  <w:r>
                    <w:rPr>
                      <w:rFonts w:hint="eastAsia" w:ascii="Times New Roman" w:hAnsi="Times New Roman" w:eastAsia="宋体"/>
                      <w:color w:val="auto"/>
                      <w:spacing w:val="-3"/>
                      <w:sz w:val="21"/>
                      <w:szCs w:val="21"/>
                      <w:highlight w:val="none"/>
                      <w:vertAlign w:val="baseline"/>
                      <w:lang w:val="en-US" w:eastAsia="zh-CN"/>
                    </w:rPr>
                    <w:t>布袋除尘器</w:t>
                  </w:r>
                  <w:r>
                    <w:rPr>
                      <w:rFonts w:hint="default" w:ascii="Times New Roman" w:hAnsi="Times New Roman" w:eastAsia="宋体"/>
                      <w:color w:val="auto"/>
                      <w:spacing w:val="-3"/>
                      <w:sz w:val="21"/>
                      <w:szCs w:val="21"/>
                      <w:highlight w:val="none"/>
                      <w:vertAlign w:val="baseline"/>
                      <w:lang w:val="en-US" w:eastAsia="zh-CN"/>
                    </w:rPr>
                    <w:t>处置。</w:t>
                  </w:r>
                  <w:r>
                    <w:rPr>
                      <w:rFonts w:hint="eastAsia" w:ascii="Times New Roman" w:hAnsi="Times New Roman" w:eastAsia="宋体"/>
                      <w:color w:val="auto"/>
                      <w:spacing w:val="-3"/>
                      <w:sz w:val="21"/>
                      <w:szCs w:val="21"/>
                      <w:highlight w:val="none"/>
                      <w:vertAlign w:val="baseline"/>
                      <w:lang w:val="en-US" w:eastAsia="zh-CN"/>
                    </w:rPr>
                    <w:t>集气罩</w:t>
                  </w:r>
                  <w:r>
                    <w:rPr>
                      <w:rFonts w:hint="default" w:ascii="Times New Roman" w:hAnsi="Times New Roman" w:eastAsia="宋体"/>
                      <w:color w:val="auto"/>
                      <w:spacing w:val="-3"/>
                      <w:sz w:val="21"/>
                      <w:szCs w:val="21"/>
                      <w:highlight w:val="none"/>
                      <w:vertAlign w:val="baseline"/>
                      <w:lang w:val="en-US" w:eastAsia="zh-CN"/>
                    </w:rPr>
                    <w:t>收集效率为9</w:t>
                  </w:r>
                  <w:r>
                    <w:rPr>
                      <w:rFonts w:hint="eastAsia" w:ascii="Times New Roman" w:hAnsi="Times New Roman" w:eastAsia="宋体"/>
                      <w:color w:val="auto"/>
                      <w:spacing w:val="-3"/>
                      <w:sz w:val="21"/>
                      <w:szCs w:val="21"/>
                      <w:highlight w:val="none"/>
                      <w:vertAlign w:val="baseline"/>
                      <w:lang w:val="en-US" w:eastAsia="zh-CN"/>
                    </w:rPr>
                    <w:t>0</w:t>
                  </w:r>
                  <w:r>
                    <w:rPr>
                      <w:rFonts w:hint="default" w:ascii="Times New Roman" w:hAnsi="Times New Roman" w:eastAsia="宋体"/>
                      <w:color w:val="auto"/>
                      <w:spacing w:val="-3"/>
                      <w:sz w:val="21"/>
                      <w:szCs w:val="21"/>
                      <w:highlight w:val="none"/>
                      <w:vertAlign w:val="baseline"/>
                      <w:lang w:val="en-US" w:eastAsia="zh-CN"/>
                    </w:rPr>
                    <w:t>%</w:t>
                  </w:r>
                  <w:r>
                    <w:rPr>
                      <w:rFonts w:hint="eastAsia" w:ascii="Times New Roman" w:hAnsi="Times New Roman" w:eastAsia="宋体"/>
                      <w:color w:val="auto"/>
                      <w:spacing w:val="-3"/>
                      <w:sz w:val="21"/>
                      <w:szCs w:val="21"/>
                      <w:highlight w:val="none"/>
                      <w:vertAlign w:val="baseline"/>
                      <w:lang w:val="en-US" w:eastAsia="zh-CN"/>
                    </w:rPr>
                    <w:t>，</w:t>
                  </w:r>
                  <w:r>
                    <w:rPr>
                      <w:rFonts w:hint="eastAsia" w:ascii="Times New Roman" w:hAnsi="Times New Roman" w:eastAsia="宋体"/>
                      <w:color w:val="auto"/>
                      <w:spacing w:val="-3"/>
                      <w:sz w:val="21"/>
                      <w:szCs w:val="21"/>
                      <w:highlight w:val="none"/>
                      <w:vertAlign w:val="baseline"/>
                    </w:rPr>
                    <w:t>并配备布袋式除尘器设备</w:t>
                  </w:r>
                  <w:r>
                    <w:rPr>
                      <w:rFonts w:hint="default" w:ascii="Times New Roman" w:hAnsi="Times New Roman" w:eastAsia="宋体"/>
                      <w:color w:val="auto"/>
                      <w:spacing w:val="-3"/>
                      <w:sz w:val="21"/>
                      <w:szCs w:val="21"/>
                      <w:highlight w:val="none"/>
                      <w:vertAlign w:val="baseline"/>
                    </w:rPr>
                    <w:t>，</w:t>
                  </w:r>
                  <w:r>
                    <w:rPr>
                      <w:rFonts w:hint="eastAsia" w:ascii="Times New Roman" w:hAnsi="Times New Roman" w:eastAsia="宋体"/>
                      <w:color w:val="auto"/>
                      <w:spacing w:val="-3"/>
                      <w:sz w:val="21"/>
                      <w:szCs w:val="21"/>
                      <w:highlight w:val="none"/>
                      <w:vertAlign w:val="baseline"/>
                      <w:lang w:val="en-US" w:eastAsia="zh-CN"/>
                    </w:rPr>
                    <w:t>有组织废气根据</w:t>
                  </w:r>
                  <w:r>
                    <w:rPr>
                      <w:rFonts w:hint="default" w:ascii="Times New Roman" w:hAnsi="Times New Roman" w:eastAsia="宋体"/>
                      <w:sz w:val="24"/>
                    </w:rPr>
                    <w:t>《</w:t>
                  </w:r>
                  <w:r>
                    <w:rPr>
                      <w:rFonts w:hint="default" w:ascii="Times New Roman" w:hAnsi="Times New Roman" w:eastAsia="宋体"/>
                      <w:color w:val="auto"/>
                      <w:spacing w:val="-3"/>
                      <w:sz w:val="21"/>
                      <w:szCs w:val="21"/>
                      <w:highlight w:val="none"/>
                      <w:vertAlign w:val="baseline"/>
                      <w:lang w:val="en-US" w:eastAsia="zh-CN"/>
                    </w:rPr>
                    <w:t>固体物料堆存颗粒物产排污核算系数手册</w:t>
                  </w:r>
                  <w:r>
                    <w:rPr>
                      <w:rFonts w:hint="default" w:ascii="Times New Roman" w:hAnsi="Times New Roman" w:eastAsia="宋体"/>
                      <w:sz w:val="24"/>
                    </w:rPr>
                    <w:t>》</w:t>
                  </w:r>
                  <w:r>
                    <w:rPr>
                      <w:rFonts w:hint="eastAsia" w:ascii="Times New Roman" w:hAnsi="Times New Roman" w:eastAsia="宋体"/>
                      <w:color w:val="auto"/>
                      <w:spacing w:val="-3"/>
                      <w:sz w:val="21"/>
                      <w:szCs w:val="21"/>
                      <w:highlight w:val="none"/>
                      <w:vertAlign w:val="baseline"/>
                      <w:lang w:val="en-US" w:eastAsia="zh-CN"/>
                    </w:rPr>
                    <w:t>附录4</w:t>
                  </w:r>
                  <w:r>
                    <w:rPr>
                      <w:rFonts w:hint="default" w:ascii="Times New Roman" w:hAnsi="Times New Roman" w:eastAsia="宋体"/>
                      <w:color w:val="auto"/>
                      <w:spacing w:val="-3"/>
                      <w:sz w:val="21"/>
                      <w:szCs w:val="21"/>
                      <w:highlight w:val="none"/>
                      <w:vertAlign w:val="baseline"/>
                      <w:lang w:val="en-US" w:eastAsia="zh-CN"/>
                    </w:rPr>
                    <w:t>除尘效率可达到</w:t>
                  </w:r>
                  <w:r>
                    <w:rPr>
                      <w:rFonts w:hint="eastAsia" w:ascii="Times New Roman" w:hAnsi="Times New Roman" w:eastAsia="宋体"/>
                      <w:color w:val="auto"/>
                      <w:spacing w:val="-3"/>
                      <w:sz w:val="21"/>
                      <w:szCs w:val="21"/>
                      <w:highlight w:val="none"/>
                      <w:vertAlign w:val="baseline"/>
                      <w:lang w:val="en-US" w:eastAsia="zh-CN"/>
                    </w:rPr>
                    <w:t>99.7</w:t>
                  </w:r>
                  <w:r>
                    <w:rPr>
                      <w:rFonts w:hint="default" w:ascii="Times New Roman" w:hAnsi="Times New Roman" w:eastAsia="宋体"/>
                      <w:color w:val="auto"/>
                      <w:spacing w:val="-3"/>
                      <w:sz w:val="21"/>
                      <w:szCs w:val="21"/>
                      <w:highlight w:val="none"/>
                      <w:vertAlign w:val="baseline"/>
                    </w:rPr>
                    <w:t>%</w:t>
                  </w:r>
                  <w:r>
                    <w:rPr>
                      <w:rFonts w:hint="eastAsia" w:ascii="Times New Roman" w:hAnsi="Times New Roman"/>
                      <w:color w:val="auto"/>
                      <w:spacing w:val="-3"/>
                      <w:sz w:val="21"/>
                      <w:szCs w:val="21"/>
                      <w:highlight w:val="none"/>
                      <w:vertAlign w:val="baseline"/>
                      <w:lang w:eastAsia="zh-CN"/>
                    </w:rPr>
                    <w:t>。</w:t>
                  </w:r>
                </w:p>
              </w:tc>
            </w:tr>
            <w:tr w14:paraId="0764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shd w:val="clear" w:color="auto" w:fill="auto"/>
                  <w:vAlign w:val="center"/>
                </w:tcPr>
                <w:p w14:paraId="1C63D99B">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宋体"/>
                      <w:color w:val="auto"/>
                      <w:spacing w:val="-3"/>
                      <w:kern w:val="2"/>
                      <w:sz w:val="21"/>
                      <w:szCs w:val="21"/>
                      <w:highlight w:val="none"/>
                      <w:vertAlign w:val="baseline"/>
                      <w:lang w:val="en-US" w:eastAsia="zh-CN" w:bidi="ar-SA"/>
                    </w:rPr>
                  </w:pPr>
                  <w:r>
                    <w:rPr>
                      <w:rFonts w:hint="eastAsia" w:ascii="Times New Roman" w:hAnsi="Times New Roman" w:eastAsia="宋体"/>
                      <w:color w:val="auto"/>
                      <w:spacing w:val="-3"/>
                      <w:sz w:val="21"/>
                      <w:szCs w:val="21"/>
                      <w:highlight w:val="none"/>
                      <w:vertAlign w:val="baseline"/>
                      <w:lang w:val="en-US" w:eastAsia="zh-CN"/>
                    </w:rPr>
                    <w:t>7</w:t>
                  </w:r>
                </w:p>
              </w:tc>
              <w:tc>
                <w:tcPr>
                  <w:tcW w:w="1136" w:type="dxa"/>
                  <w:vAlign w:val="center"/>
                </w:tcPr>
                <w:p w14:paraId="5714821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eastAsia="宋体" w:cs="宋体"/>
                      <w:color w:val="auto"/>
                      <w:spacing w:val="-3"/>
                      <w:sz w:val="21"/>
                      <w:szCs w:val="21"/>
                      <w:highlight w:val="none"/>
                      <w:vertAlign w:val="baseline"/>
                      <w:lang w:val="en-US" w:eastAsia="zh-CN"/>
                    </w:rPr>
                    <w:t>临时堆料场扬尘（装卸、堆存）</w:t>
                  </w:r>
                </w:p>
              </w:tc>
              <w:tc>
                <w:tcPr>
                  <w:tcW w:w="1136" w:type="dxa"/>
                  <w:vAlign w:val="center"/>
                </w:tcPr>
                <w:p w14:paraId="3EED6CC3">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default" w:ascii="Times New Roman" w:hAnsi="Times New Roman" w:eastAsia="宋体" w:cs="宋体"/>
                      <w:color w:val="auto"/>
                      <w:spacing w:val="-3"/>
                      <w:sz w:val="21"/>
                      <w:szCs w:val="21"/>
                      <w:highlight w:val="none"/>
                      <w:vertAlign w:val="baseline"/>
                      <w:lang w:val="en-US" w:eastAsia="zh-CN"/>
                    </w:rPr>
                    <w:t>洒水抑尘</w:t>
                  </w:r>
                </w:p>
              </w:tc>
              <w:tc>
                <w:tcPr>
                  <w:tcW w:w="5413" w:type="dxa"/>
                  <w:vAlign w:val="center"/>
                </w:tcPr>
                <w:p w14:paraId="0CB115CF">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eastAsia" w:ascii="Times New Roman" w:hAnsi="Times New Roman" w:eastAsia="宋体"/>
                      <w:color w:val="auto"/>
                      <w:spacing w:val="-3"/>
                      <w:sz w:val="21"/>
                      <w:szCs w:val="21"/>
                      <w:highlight w:val="none"/>
                      <w:vertAlign w:val="baseline"/>
                      <w:lang w:val="en-US" w:eastAsia="zh-CN"/>
                    </w:rPr>
                    <w:t>堆存</w:t>
                  </w:r>
                  <w:r>
                    <w:rPr>
                      <w:rFonts w:hint="default" w:ascii="Times New Roman" w:hAnsi="Times New Roman" w:eastAsia="宋体"/>
                      <w:color w:val="auto"/>
                      <w:spacing w:val="-3"/>
                      <w:sz w:val="21"/>
                      <w:szCs w:val="21"/>
                      <w:highlight w:val="none"/>
                      <w:vertAlign w:val="baseline"/>
                      <w:lang w:val="en-US" w:eastAsia="zh-CN"/>
                    </w:rPr>
                    <w:t>时</w:t>
                  </w:r>
                  <w:r>
                    <w:rPr>
                      <w:rFonts w:hint="eastAsia" w:ascii="Times New Roman" w:hAnsi="Times New Roman" w:eastAsia="宋体"/>
                      <w:color w:val="auto"/>
                      <w:spacing w:val="-3"/>
                      <w:sz w:val="21"/>
                      <w:szCs w:val="21"/>
                      <w:highlight w:val="none"/>
                      <w:vertAlign w:val="baseline"/>
                      <w:lang w:val="en-US" w:eastAsia="zh-CN"/>
                    </w:rPr>
                    <w:t>采取</w:t>
                  </w:r>
                  <w:r>
                    <w:rPr>
                      <w:rFonts w:hint="eastAsia" w:ascii="Times New Roman"/>
                      <w:color w:val="000000" w:themeColor="text1"/>
                      <w:sz w:val="21"/>
                      <w:lang w:val="en-US" w:eastAsia="zh-CN"/>
                      <w14:textFill>
                        <w14:solidFill>
                          <w14:schemeClr w14:val="tx1"/>
                        </w14:solidFill>
                      </w14:textFill>
                    </w:rPr>
                    <w:t>防尘抑尘网（墙）加洒水抑尘</w:t>
                  </w:r>
                  <w:r>
                    <w:rPr>
                      <w:rFonts w:hint="eastAsia" w:ascii="Times New Roman" w:hAnsi="Times New Roman" w:eastAsia="宋体"/>
                      <w:color w:val="auto"/>
                      <w:spacing w:val="-3"/>
                      <w:sz w:val="21"/>
                      <w:szCs w:val="21"/>
                      <w:highlight w:val="none"/>
                      <w:vertAlign w:val="baseline"/>
                      <w:lang w:val="en-US" w:eastAsia="zh-CN"/>
                    </w:rPr>
                    <w:t>措施</w:t>
                  </w:r>
                  <w:r>
                    <w:rPr>
                      <w:rFonts w:hint="default" w:ascii="Times New Roman" w:hAnsi="Times New Roman" w:eastAsia="宋体"/>
                      <w:color w:val="auto"/>
                      <w:spacing w:val="-3"/>
                      <w:sz w:val="21"/>
                      <w:szCs w:val="21"/>
                      <w:highlight w:val="none"/>
                      <w:vertAlign w:val="baseline"/>
                      <w:lang w:val="en-US" w:eastAsia="zh-CN"/>
                    </w:rPr>
                    <w:t>，根据《固体物料堆存颗粒物产排污核算系数手册》附录4可知，</w:t>
                  </w:r>
                  <w:r>
                    <w:rPr>
                      <w:rFonts w:hint="eastAsia" w:ascii="Times New Roman"/>
                      <w:color w:val="000000" w:themeColor="text1"/>
                      <w:sz w:val="21"/>
                      <w:lang w:val="en-US" w:eastAsia="zh-CN"/>
                      <w14:textFill>
                        <w14:solidFill>
                          <w14:schemeClr w14:val="tx1"/>
                        </w14:solidFill>
                      </w14:textFill>
                    </w:rPr>
                    <w:t>采取防尘抑尘网（墙）60</w:t>
                  </w:r>
                  <w:r>
                    <w:rPr>
                      <w:rFonts w:hint="eastAsia" w:ascii="Times New Roman" w:hAnsi="Times New Roman" w:eastAsia="宋体"/>
                      <w:color w:val="auto"/>
                      <w:spacing w:val="-3"/>
                      <w:sz w:val="21"/>
                      <w:szCs w:val="21"/>
                      <w:highlight w:val="none"/>
                      <w:vertAlign w:val="baseline"/>
                      <w:lang w:val="en-US" w:eastAsia="zh-CN"/>
                    </w:rPr>
                    <w:t>%，洒水抑尘控制效率74%。</w:t>
                  </w:r>
                </w:p>
              </w:tc>
            </w:tr>
            <w:tr w14:paraId="48B8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shd w:val="clear" w:color="auto" w:fill="auto"/>
                  <w:vAlign w:val="center"/>
                </w:tcPr>
                <w:p w14:paraId="5DD779F4">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宋体"/>
                      <w:color w:val="auto"/>
                      <w:spacing w:val="-3"/>
                      <w:kern w:val="2"/>
                      <w:sz w:val="21"/>
                      <w:szCs w:val="21"/>
                      <w:highlight w:val="none"/>
                      <w:vertAlign w:val="baseline"/>
                      <w:lang w:val="en-US" w:eastAsia="zh-CN" w:bidi="ar-SA"/>
                    </w:rPr>
                  </w:pPr>
                  <w:r>
                    <w:rPr>
                      <w:rFonts w:hint="eastAsia" w:ascii="Times New Roman" w:hAnsi="Times New Roman" w:eastAsia="宋体"/>
                      <w:color w:val="auto"/>
                      <w:spacing w:val="-3"/>
                      <w:sz w:val="21"/>
                      <w:szCs w:val="21"/>
                      <w:highlight w:val="none"/>
                      <w:vertAlign w:val="baseline"/>
                      <w:lang w:val="en-US" w:eastAsia="zh-CN"/>
                    </w:rPr>
                    <w:t>8</w:t>
                  </w:r>
                </w:p>
              </w:tc>
              <w:tc>
                <w:tcPr>
                  <w:tcW w:w="1136" w:type="dxa"/>
                  <w:vAlign w:val="center"/>
                </w:tcPr>
                <w:p w14:paraId="5948297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eastAsia="宋体" w:cs="宋体"/>
                      <w:color w:val="auto"/>
                      <w:spacing w:val="-3"/>
                      <w:sz w:val="21"/>
                      <w:szCs w:val="21"/>
                      <w:highlight w:val="none"/>
                      <w:vertAlign w:val="baseline"/>
                      <w:lang w:val="en-US" w:eastAsia="zh-CN"/>
                    </w:rPr>
                    <w:t>振动筛废气</w:t>
                  </w:r>
                </w:p>
              </w:tc>
              <w:tc>
                <w:tcPr>
                  <w:tcW w:w="1136" w:type="dxa"/>
                  <w:vAlign w:val="center"/>
                </w:tcPr>
                <w:p w14:paraId="08ED1638">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eastAsia" w:ascii="Times New Roman" w:hAnsi="Times New Roman" w:eastAsia="宋体" w:cs="宋体"/>
                      <w:color w:val="auto"/>
                      <w:spacing w:val="-3"/>
                      <w:sz w:val="21"/>
                      <w:szCs w:val="21"/>
                      <w:highlight w:val="none"/>
                      <w:vertAlign w:val="baseline"/>
                      <w:lang w:val="en-US" w:eastAsia="zh-CN"/>
                    </w:rPr>
                    <w:t>布袋式除尘器除尘</w:t>
                  </w:r>
                </w:p>
              </w:tc>
              <w:tc>
                <w:tcPr>
                  <w:tcW w:w="5413" w:type="dxa"/>
                  <w:vAlign w:val="center"/>
                </w:tcPr>
                <w:p w14:paraId="3D86B54D">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pacing w:val="-3"/>
                      <w:sz w:val="21"/>
                      <w:szCs w:val="21"/>
                      <w:highlight w:val="none"/>
                      <w:vertAlign w:val="baseline"/>
                      <w:lang w:eastAsia="zh-CN"/>
                    </w:rPr>
                  </w:pPr>
                  <w:r>
                    <w:rPr>
                      <w:rFonts w:hint="eastAsia" w:ascii="Times New Roman" w:hAnsi="Times New Roman" w:eastAsia="宋体"/>
                      <w:color w:val="auto"/>
                      <w:spacing w:val="-3"/>
                      <w:sz w:val="21"/>
                      <w:szCs w:val="21"/>
                      <w:highlight w:val="none"/>
                      <w:vertAlign w:val="baseline"/>
                      <w:lang w:val="en-US" w:eastAsia="zh-CN"/>
                    </w:rPr>
                    <w:t>筛分</w:t>
                  </w:r>
                  <w:r>
                    <w:rPr>
                      <w:rFonts w:hint="default" w:ascii="Times New Roman" w:hAnsi="Times New Roman" w:eastAsia="宋体"/>
                      <w:color w:val="auto"/>
                      <w:spacing w:val="-3"/>
                      <w:sz w:val="21"/>
                      <w:szCs w:val="21"/>
                      <w:highlight w:val="none"/>
                      <w:vertAlign w:val="baseline"/>
                    </w:rPr>
                    <w:t>过程</w:t>
                  </w:r>
                  <w:r>
                    <w:rPr>
                      <w:rFonts w:hint="default" w:ascii="Times New Roman" w:hAnsi="Times New Roman" w:eastAsia="宋体"/>
                      <w:color w:val="auto"/>
                      <w:spacing w:val="-3"/>
                      <w:sz w:val="21"/>
                      <w:szCs w:val="21"/>
                      <w:highlight w:val="none"/>
                      <w:vertAlign w:val="baseline"/>
                      <w:lang w:val="en-US" w:eastAsia="zh-CN"/>
                    </w:rPr>
                    <w:t>在</w:t>
                  </w:r>
                  <w:r>
                    <w:rPr>
                      <w:rFonts w:hint="eastAsia" w:ascii="Times New Roman" w:hAnsi="Times New Roman" w:eastAsia="宋体"/>
                      <w:color w:val="auto"/>
                      <w:spacing w:val="-3"/>
                      <w:sz w:val="21"/>
                      <w:szCs w:val="21"/>
                      <w:highlight w:val="none"/>
                      <w:vertAlign w:val="baseline"/>
                      <w:lang w:val="en-US" w:eastAsia="zh-CN"/>
                    </w:rPr>
                    <w:t>筛分</w:t>
                  </w:r>
                  <w:r>
                    <w:rPr>
                      <w:rFonts w:hint="default" w:ascii="Times New Roman" w:hAnsi="Times New Roman" w:eastAsia="宋体"/>
                      <w:color w:val="auto"/>
                      <w:spacing w:val="-3"/>
                      <w:sz w:val="21"/>
                      <w:szCs w:val="21"/>
                      <w:highlight w:val="none"/>
                      <w:vertAlign w:val="baseline"/>
                      <w:lang w:val="en-US" w:eastAsia="zh-CN"/>
                    </w:rPr>
                    <w:t>机上方安装</w:t>
                  </w:r>
                  <w:r>
                    <w:rPr>
                      <w:rFonts w:hint="eastAsia" w:ascii="Times New Roman" w:hAnsi="Times New Roman" w:eastAsia="宋体"/>
                      <w:color w:val="auto"/>
                      <w:spacing w:val="-3"/>
                      <w:sz w:val="21"/>
                      <w:szCs w:val="21"/>
                      <w:highlight w:val="none"/>
                      <w:vertAlign w:val="baseline"/>
                      <w:lang w:val="en-US" w:eastAsia="zh-CN"/>
                    </w:rPr>
                    <w:t>集气罩</w:t>
                  </w:r>
                  <w:r>
                    <w:rPr>
                      <w:rFonts w:hint="default" w:ascii="Times New Roman" w:hAnsi="Times New Roman" w:eastAsia="宋体"/>
                      <w:color w:val="auto"/>
                      <w:spacing w:val="-3"/>
                      <w:sz w:val="21"/>
                      <w:szCs w:val="21"/>
                      <w:highlight w:val="none"/>
                      <w:vertAlign w:val="baseline"/>
                      <w:lang w:val="en-US" w:eastAsia="zh-CN"/>
                    </w:rPr>
                    <w:t>收集产生的粉尘，收集的粉尘经</w:t>
                  </w:r>
                  <w:r>
                    <w:rPr>
                      <w:rFonts w:hint="eastAsia" w:ascii="Times New Roman" w:hAnsi="Times New Roman" w:eastAsia="宋体"/>
                      <w:color w:val="auto"/>
                      <w:spacing w:val="-3"/>
                      <w:sz w:val="21"/>
                      <w:szCs w:val="21"/>
                      <w:highlight w:val="none"/>
                      <w:vertAlign w:val="baseline"/>
                      <w:lang w:val="en-US" w:eastAsia="zh-CN"/>
                    </w:rPr>
                    <w:t>集气罩收集</w:t>
                  </w:r>
                  <w:r>
                    <w:rPr>
                      <w:rFonts w:hint="default" w:ascii="Times New Roman" w:hAnsi="Times New Roman" w:eastAsia="宋体"/>
                      <w:color w:val="auto"/>
                      <w:spacing w:val="-3"/>
                      <w:sz w:val="21"/>
                      <w:szCs w:val="21"/>
                      <w:highlight w:val="none"/>
                      <w:vertAlign w:val="baseline"/>
                      <w:lang w:val="en-US" w:eastAsia="zh-CN"/>
                    </w:rPr>
                    <w:t>汇入</w:t>
                  </w:r>
                  <w:r>
                    <w:rPr>
                      <w:rFonts w:hint="eastAsia" w:ascii="Times New Roman" w:hAnsi="Times New Roman" w:eastAsia="宋体"/>
                      <w:color w:val="auto"/>
                      <w:spacing w:val="-3"/>
                      <w:sz w:val="21"/>
                      <w:szCs w:val="21"/>
                      <w:highlight w:val="none"/>
                      <w:vertAlign w:val="baseline"/>
                      <w:lang w:val="en-US" w:eastAsia="zh-CN"/>
                    </w:rPr>
                    <w:t>布袋除尘器</w:t>
                  </w:r>
                  <w:r>
                    <w:rPr>
                      <w:rFonts w:hint="default" w:ascii="Times New Roman" w:hAnsi="Times New Roman" w:eastAsia="宋体"/>
                      <w:color w:val="auto"/>
                      <w:spacing w:val="-3"/>
                      <w:sz w:val="21"/>
                      <w:szCs w:val="21"/>
                      <w:highlight w:val="none"/>
                      <w:vertAlign w:val="baseline"/>
                      <w:lang w:val="en-US" w:eastAsia="zh-CN"/>
                    </w:rPr>
                    <w:t>处置。</w:t>
                  </w:r>
                  <w:r>
                    <w:rPr>
                      <w:rFonts w:hint="eastAsia" w:ascii="Times New Roman" w:hAnsi="Times New Roman" w:eastAsia="宋体"/>
                      <w:color w:val="auto"/>
                      <w:spacing w:val="-3"/>
                      <w:sz w:val="21"/>
                      <w:szCs w:val="21"/>
                      <w:highlight w:val="none"/>
                      <w:vertAlign w:val="baseline"/>
                      <w:lang w:val="en-US" w:eastAsia="zh-CN"/>
                    </w:rPr>
                    <w:t>集气罩</w:t>
                  </w:r>
                  <w:r>
                    <w:rPr>
                      <w:rFonts w:hint="default" w:ascii="Times New Roman" w:hAnsi="Times New Roman" w:eastAsia="宋体"/>
                      <w:color w:val="auto"/>
                      <w:spacing w:val="-3"/>
                      <w:sz w:val="21"/>
                      <w:szCs w:val="21"/>
                      <w:highlight w:val="none"/>
                      <w:vertAlign w:val="baseline"/>
                      <w:lang w:val="en-US" w:eastAsia="zh-CN"/>
                    </w:rPr>
                    <w:t>收集效率为9</w:t>
                  </w:r>
                  <w:r>
                    <w:rPr>
                      <w:rFonts w:hint="eastAsia" w:ascii="Times New Roman" w:hAnsi="Times New Roman" w:eastAsia="宋体"/>
                      <w:color w:val="auto"/>
                      <w:spacing w:val="-3"/>
                      <w:sz w:val="21"/>
                      <w:szCs w:val="21"/>
                      <w:highlight w:val="none"/>
                      <w:vertAlign w:val="baseline"/>
                      <w:lang w:val="en-US" w:eastAsia="zh-CN"/>
                    </w:rPr>
                    <w:t>0</w:t>
                  </w:r>
                  <w:r>
                    <w:rPr>
                      <w:rFonts w:hint="default" w:ascii="Times New Roman" w:hAnsi="Times New Roman" w:eastAsia="宋体"/>
                      <w:color w:val="auto"/>
                      <w:spacing w:val="-3"/>
                      <w:sz w:val="21"/>
                      <w:szCs w:val="21"/>
                      <w:highlight w:val="none"/>
                      <w:vertAlign w:val="baseline"/>
                      <w:lang w:val="en-US" w:eastAsia="zh-CN"/>
                    </w:rPr>
                    <w:t>%</w:t>
                  </w:r>
                  <w:r>
                    <w:rPr>
                      <w:rFonts w:hint="eastAsia" w:ascii="Times New Roman" w:hAnsi="Times New Roman" w:eastAsia="宋体"/>
                      <w:color w:val="auto"/>
                      <w:spacing w:val="-3"/>
                      <w:sz w:val="21"/>
                      <w:szCs w:val="21"/>
                      <w:highlight w:val="none"/>
                      <w:vertAlign w:val="baseline"/>
                      <w:lang w:val="en-US" w:eastAsia="zh-CN"/>
                    </w:rPr>
                    <w:t>，</w:t>
                  </w:r>
                  <w:r>
                    <w:rPr>
                      <w:rFonts w:hint="eastAsia" w:ascii="Times New Roman" w:hAnsi="Times New Roman" w:eastAsia="宋体"/>
                      <w:color w:val="auto"/>
                      <w:spacing w:val="-3"/>
                      <w:sz w:val="21"/>
                      <w:szCs w:val="21"/>
                      <w:highlight w:val="none"/>
                      <w:vertAlign w:val="baseline"/>
                    </w:rPr>
                    <w:t>并配备布袋式除尘器设备</w:t>
                  </w:r>
                  <w:r>
                    <w:rPr>
                      <w:rFonts w:hint="default" w:ascii="Times New Roman" w:hAnsi="Times New Roman" w:eastAsia="宋体"/>
                      <w:color w:val="auto"/>
                      <w:spacing w:val="-3"/>
                      <w:sz w:val="21"/>
                      <w:szCs w:val="21"/>
                      <w:highlight w:val="none"/>
                      <w:vertAlign w:val="baseline"/>
                    </w:rPr>
                    <w:t>，</w:t>
                  </w:r>
                  <w:r>
                    <w:rPr>
                      <w:rFonts w:hint="eastAsia" w:ascii="Times New Roman" w:hAnsi="Times New Roman" w:eastAsia="宋体"/>
                      <w:color w:val="auto"/>
                      <w:spacing w:val="-3"/>
                      <w:sz w:val="21"/>
                      <w:szCs w:val="21"/>
                      <w:highlight w:val="none"/>
                      <w:vertAlign w:val="baseline"/>
                      <w:lang w:val="en-US" w:eastAsia="zh-CN"/>
                    </w:rPr>
                    <w:t>有组织废气根据</w:t>
                  </w:r>
                  <w:r>
                    <w:rPr>
                      <w:rFonts w:hint="default" w:ascii="Times New Roman" w:hAnsi="Times New Roman" w:eastAsia="宋体"/>
                      <w:sz w:val="24"/>
                    </w:rPr>
                    <w:t>《</w:t>
                  </w:r>
                  <w:r>
                    <w:rPr>
                      <w:rFonts w:hint="default" w:ascii="Times New Roman" w:hAnsi="Times New Roman" w:eastAsia="宋体"/>
                      <w:color w:val="auto"/>
                      <w:spacing w:val="-3"/>
                      <w:sz w:val="21"/>
                      <w:szCs w:val="21"/>
                      <w:highlight w:val="none"/>
                      <w:vertAlign w:val="baseline"/>
                      <w:lang w:val="en-US" w:eastAsia="zh-CN"/>
                    </w:rPr>
                    <w:t>固体物料堆存颗粒物产排污核算系数手册</w:t>
                  </w:r>
                  <w:r>
                    <w:rPr>
                      <w:rFonts w:hint="default" w:ascii="Times New Roman" w:hAnsi="Times New Roman" w:eastAsia="宋体"/>
                      <w:sz w:val="24"/>
                    </w:rPr>
                    <w:t>》</w:t>
                  </w:r>
                  <w:r>
                    <w:rPr>
                      <w:rFonts w:hint="eastAsia" w:ascii="Times New Roman" w:hAnsi="Times New Roman" w:eastAsia="宋体"/>
                      <w:color w:val="auto"/>
                      <w:spacing w:val="-3"/>
                      <w:sz w:val="21"/>
                      <w:szCs w:val="21"/>
                      <w:highlight w:val="none"/>
                      <w:vertAlign w:val="baseline"/>
                      <w:lang w:val="en-US" w:eastAsia="zh-CN"/>
                    </w:rPr>
                    <w:t>附录4</w:t>
                  </w:r>
                  <w:r>
                    <w:rPr>
                      <w:rFonts w:hint="default" w:ascii="Times New Roman" w:hAnsi="Times New Roman" w:eastAsia="宋体"/>
                      <w:color w:val="auto"/>
                      <w:spacing w:val="-3"/>
                      <w:sz w:val="21"/>
                      <w:szCs w:val="21"/>
                      <w:highlight w:val="none"/>
                      <w:vertAlign w:val="baseline"/>
                      <w:lang w:val="en-US" w:eastAsia="zh-CN"/>
                    </w:rPr>
                    <w:t>除尘效率可达到</w:t>
                  </w:r>
                  <w:r>
                    <w:rPr>
                      <w:rFonts w:hint="eastAsia" w:ascii="Times New Roman" w:hAnsi="Times New Roman" w:eastAsia="宋体"/>
                      <w:color w:val="auto"/>
                      <w:spacing w:val="-3"/>
                      <w:sz w:val="21"/>
                      <w:szCs w:val="21"/>
                      <w:highlight w:val="none"/>
                      <w:vertAlign w:val="baseline"/>
                      <w:lang w:val="en-US" w:eastAsia="zh-CN"/>
                    </w:rPr>
                    <w:t>99.7</w:t>
                  </w:r>
                  <w:r>
                    <w:rPr>
                      <w:rFonts w:hint="default" w:ascii="Times New Roman" w:hAnsi="Times New Roman" w:eastAsia="宋体"/>
                      <w:color w:val="auto"/>
                      <w:spacing w:val="-3"/>
                      <w:sz w:val="21"/>
                      <w:szCs w:val="21"/>
                      <w:highlight w:val="none"/>
                      <w:vertAlign w:val="baseline"/>
                    </w:rPr>
                    <w:t>%</w:t>
                  </w:r>
                  <w:r>
                    <w:rPr>
                      <w:rFonts w:hint="eastAsia" w:ascii="Times New Roman" w:hAnsi="Times New Roman"/>
                      <w:color w:val="auto"/>
                      <w:spacing w:val="-3"/>
                      <w:sz w:val="21"/>
                      <w:szCs w:val="21"/>
                      <w:highlight w:val="none"/>
                      <w:vertAlign w:val="baseline"/>
                      <w:lang w:eastAsia="zh-CN"/>
                    </w:rPr>
                    <w:t>。</w:t>
                  </w:r>
                </w:p>
              </w:tc>
            </w:tr>
            <w:tr w14:paraId="0C40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shd w:val="clear" w:color="auto" w:fill="auto"/>
                  <w:vAlign w:val="center"/>
                </w:tcPr>
                <w:p w14:paraId="047DBD9D">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宋体"/>
                      <w:color w:val="auto"/>
                      <w:spacing w:val="-3"/>
                      <w:kern w:val="2"/>
                      <w:sz w:val="21"/>
                      <w:szCs w:val="21"/>
                      <w:highlight w:val="none"/>
                      <w:vertAlign w:val="baseline"/>
                      <w:lang w:val="en-US" w:eastAsia="zh-CN" w:bidi="ar-SA"/>
                    </w:rPr>
                  </w:pPr>
                  <w:r>
                    <w:rPr>
                      <w:rFonts w:hint="eastAsia" w:ascii="Times New Roman" w:hAnsi="Times New Roman" w:eastAsia="宋体" w:cs="宋体"/>
                      <w:color w:val="auto"/>
                      <w:spacing w:val="-3"/>
                      <w:kern w:val="2"/>
                      <w:sz w:val="21"/>
                      <w:szCs w:val="21"/>
                      <w:highlight w:val="none"/>
                      <w:vertAlign w:val="baseline"/>
                      <w:lang w:val="en-US" w:eastAsia="zh-CN" w:bidi="ar-SA"/>
                    </w:rPr>
                    <w:t>9</w:t>
                  </w:r>
                </w:p>
              </w:tc>
              <w:tc>
                <w:tcPr>
                  <w:tcW w:w="1136" w:type="dxa"/>
                  <w:vAlign w:val="center"/>
                </w:tcPr>
                <w:p w14:paraId="5EF385C1">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eastAsia="宋体" w:cs="宋体"/>
                      <w:color w:val="auto"/>
                      <w:spacing w:val="-3"/>
                      <w:sz w:val="21"/>
                      <w:szCs w:val="21"/>
                      <w:highlight w:val="none"/>
                      <w:vertAlign w:val="baseline"/>
                      <w:lang w:val="en-US" w:eastAsia="zh-CN"/>
                    </w:rPr>
                    <w:t>机械燃油废气</w:t>
                  </w:r>
                </w:p>
              </w:tc>
              <w:tc>
                <w:tcPr>
                  <w:tcW w:w="1136" w:type="dxa"/>
                  <w:vAlign w:val="center"/>
                </w:tcPr>
                <w:p w14:paraId="4987CD40">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default" w:ascii="Times New Roman" w:hAnsi="Times New Roman" w:eastAsia="宋体"/>
                      <w:color w:val="auto"/>
                      <w:spacing w:val="-3"/>
                      <w:sz w:val="21"/>
                      <w:szCs w:val="21"/>
                      <w:highlight w:val="none"/>
                      <w:vertAlign w:val="baseline"/>
                    </w:rPr>
                    <w:t>加强施工机械维护</w:t>
                  </w:r>
                </w:p>
              </w:tc>
              <w:tc>
                <w:tcPr>
                  <w:tcW w:w="5413" w:type="dxa"/>
                  <w:vAlign w:val="center"/>
                </w:tcPr>
                <w:p w14:paraId="6ABB7AA9">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eastAsia" w:ascii="Times New Roman" w:hAnsi="Times New Roman" w:eastAsia="宋体"/>
                      <w:color w:val="auto"/>
                      <w:spacing w:val="-3"/>
                      <w:sz w:val="21"/>
                      <w:szCs w:val="21"/>
                      <w:highlight w:val="none"/>
                      <w:vertAlign w:val="baseline"/>
                    </w:rPr>
                    <w:t>运输原材料、施工设备及施工机械运行会排放CO、NOx和未完全燃烧的碳氢化合物等，排放量小且间断性排放。项目施工场地开阔、扩散条件好，运营期机械废气对周边环境影响小。环评要求施工单位施工期专人加强机械维护，确保正常运行。</w:t>
                  </w:r>
                </w:p>
              </w:tc>
            </w:tr>
            <w:tr w14:paraId="7591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Align w:val="center"/>
                </w:tcPr>
                <w:p w14:paraId="27A08B37">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olor w:val="auto"/>
                      <w:spacing w:val="-3"/>
                      <w:sz w:val="21"/>
                      <w:szCs w:val="21"/>
                      <w:highlight w:val="none"/>
                      <w:vertAlign w:val="baseline"/>
                      <w:lang w:val="en-US" w:eastAsia="zh-CN"/>
                    </w:rPr>
                  </w:pPr>
                  <w:r>
                    <w:rPr>
                      <w:rFonts w:hint="eastAsia" w:ascii="Times New Roman" w:hAnsi="Times New Roman"/>
                      <w:color w:val="auto"/>
                      <w:spacing w:val="-3"/>
                      <w:sz w:val="21"/>
                      <w:szCs w:val="21"/>
                      <w:highlight w:val="none"/>
                      <w:vertAlign w:val="baseline"/>
                      <w:lang w:val="en-US" w:eastAsia="zh-CN"/>
                    </w:rPr>
                    <w:t>10</w:t>
                  </w:r>
                </w:p>
              </w:tc>
              <w:tc>
                <w:tcPr>
                  <w:tcW w:w="1136" w:type="dxa"/>
                  <w:vAlign w:val="center"/>
                </w:tcPr>
                <w:p w14:paraId="27650F55">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olor w:val="auto"/>
                      <w:spacing w:val="-3"/>
                      <w:sz w:val="21"/>
                      <w:szCs w:val="21"/>
                      <w:highlight w:val="none"/>
                      <w:vertAlign w:val="baseline"/>
                      <w:lang w:val="en-US" w:eastAsia="zh-CN"/>
                    </w:rPr>
                  </w:pPr>
                  <w:r>
                    <w:rPr>
                      <w:rFonts w:hint="eastAsia" w:ascii="Times New Roman" w:hAnsi="Times New Roman" w:eastAsia="宋体" w:cs="宋体"/>
                      <w:color w:val="auto"/>
                      <w:spacing w:val="-3"/>
                      <w:sz w:val="21"/>
                      <w:szCs w:val="21"/>
                      <w:highlight w:val="none"/>
                      <w:vertAlign w:val="baseline"/>
                      <w:lang w:val="en-US" w:eastAsia="zh-CN"/>
                    </w:rPr>
                    <w:t>爆破废气</w:t>
                  </w:r>
                </w:p>
              </w:tc>
              <w:tc>
                <w:tcPr>
                  <w:tcW w:w="1136" w:type="dxa"/>
                  <w:shd w:val="clear" w:color="auto" w:fill="auto"/>
                  <w:vAlign w:val="center"/>
                </w:tcPr>
                <w:p w14:paraId="7B2474DB">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eastAsia" w:ascii="Times New Roman" w:hAnsi="Times New Roman" w:eastAsia="宋体"/>
                      <w:color w:val="auto"/>
                      <w:spacing w:val="-3"/>
                      <w:sz w:val="21"/>
                      <w:szCs w:val="21"/>
                      <w:highlight w:val="none"/>
                      <w:vertAlign w:val="baseline"/>
                      <w:lang w:val="en-US" w:eastAsia="zh-CN"/>
                    </w:rPr>
                    <w:t>瞬时污染废气，受</w:t>
                  </w:r>
                  <w:r>
                    <w:rPr>
                      <w:rFonts w:hint="default" w:ascii="Times New Roman" w:hAnsi="Times New Roman" w:eastAsia="宋体"/>
                      <w:color w:val="auto"/>
                      <w:spacing w:val="-3"/>
                      <w:sz w:val="21"/>
                      <w:szCs w:val="21"/>
                      <w:highlight w:val="none"/>
                      <w:vertAlign w:val="baseline"/>
                      <w:lang w:val="en-US" w:eastAsia="zh-CN"/>
                    </w:rPr>
                    <w:t>自然风流扩散</w:t>
                  </w:r>
                </w:p>
              </w:tc>
              <w:tc>
                <w:tcPr>
                  <w:tcW w:w="5413" w:type="dxa"/>
                  <w:shd w:val="clear" w:color="auto" w:fill="auto"/>
                  <w:vAlign w:val="center"/>
                </w:tcPr>
                <w:p w14:paraId="5CEEF77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pacing w:val="-3"/>
                      <w:sz w:val="21"/>
                      <w:szCs w:val="21"/>
                      <w:highlight w:val="none"/>
                      <w:vertAlign w:val="baseline"/>
                    </w:rPr>
                  </w:pPr>
                  <w:r>
                    <w:rPr>
                      <w:rFonts w:hint="eastAsia" w:ascii="Times New Roman" w:hAnsi="Times New Roman" w:eastAsia="宋体"/>
                      <w:color w:val="auto"/>
                      <w:spacing w:val="-3"/>
                      <w:sz w:val="21"/>
                      <w:szCs w:val="21"/>
                      <w:highlight w:val="none"/>
                      <w:vertAlign w:val="baseline"/>
                    </w:rPr>
                    <w:t>项目露天开采时空气流动性佳，自然风流扩散虽会使采场采矿下风向出现大气瞬时污染，但随时间推移、污染物不断扩散，浓度渐降，扩散后对周边环境影响小。</w:t>
                  </w:r>
                </w:p>
              </w:tc>
            </w:tr>
          </w:tbl>
          <w:p w14:paraId="782AE5DA">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jc w:val="both"/>
              <w:textAlignment w:val="auto"/>
              <w:rPr>
                <w:rFonts w:hint="default"/>
                <w:color w:val="auto"/>
                <w:spacing w:val="-3"/>
                <w:highlight w:val="none"/>
              </w:rPr>
            </w:pPr>
          </w:p>
        </w:tc>
      </w:tr>
    </w:tbl>
    <w:p w14:paraId="0422E621">
      <w:pPr>
        <w:jc w:val="center"/>
        <w:rPr>
          <w:rFonts w:ascii="黑体" w:hAnsi="黑体" w:eastAsia="黑体"/>
          <w:snapToGrid w:val="0"/>
          <w:sz w:val="36"/>
          <w:szCs w:val="36"/>
        </w:rPr>
        <w:sectPr>
          <w:pgSz w:w="11906" w:h="16838"/>
          <w:pgMar w:top="1701" w:right="1531" w:bottom="1701" w:left="1531" w:header="851" w:footer="1077" w:gutter="0"/>
          <w:pgNumType w:fmt="decimal"/>
          <w:cols w:space="720" w:num="1"/>
          <w:docGrid w:linePitch="312" w:charSpace="0"/>
        </w:sect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6"/>
        <w:gridCol w:w="7570"/>
      </w:tblGrid>
      <w:tr w14:paraId="2400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0" w:type="dxa"/>
            <w:vAlign w:val="top"/>
          </w:tcPr>
          <w:p w14:paraId="00310570">
            <w:pPr>
              <w:keepNext w:val="0"/>
              <w:keepLines w:val="0"/>
              <w:suppressLineNumbers w:val="0"/>
              <w:spacing w:before="0" w:beforeAutospacing="0" w:after="0" w:afterAutospacing="0"/>
              <w:ind w:left="0" w:right="0"/>
              <w:rPr>
                <w:rFonts w:hint="default"/>
                <w:color w:val="FF0000"/>
              </w:rPr>
            </w:pPr>
          </w:p>
        </w:tc>
        <w:tc>
          <w:tcPr>
            <w:tcW w:w="7752" w:type="dxa"/>
            <w:vAlign w:val="top"/>
          </w:tcPr>
          <w:p w14:paraId="28D3CCE9">
            <w:pPr>
              <w:pStyle w:val="2"/>
              <w:keepLines w:val="0"/>
              <w:suppressLineNumbers w:val="0"/>
              <w:snapToGrid/>
              <w:spacing w:before="0" w:beforeAutospacing="0" w:after="0" w:afterAutospacing="0" w:line="520" w:lineRule="exact"/>
              <w:ind w:right="0"/>
              <w:outlineLvl w:val="0"/>
              <w:rPr>
                <w:rFonts w:hint="default" w:eastAsia="宋体"/>
                <w:color w:val="000000" w:themeColor="text1"/>
                <w:sz w:val="24"/>
                <w:szCs w:val="24"/>
                <w14:textFill>
                  <w14:solidFill>
                    <w14:schemeClr w14:val="tx1"/>
                  </w14:solidFill>
                </w14:textFill>
              </w:rPr>
            </w:pPr>
            <w:r>
              <w:rPr>
                <w:rFonts w:hint="default" w:eastAsia="宋体"/>
                <w:color w:val="000000" w:themeColor="text1"/>
                <w:sz w:val="24"/>
                <w:szCs w:val="24"/>
                <w14:textFill>
                  <w14:solidFill>
                    <w14:schemeClr w14:val="tx1"/>
                  </w14:solidFill>
                </w14:textFill>
              </w:rPr>
              <w:t>3废水环境影响分析</w:t>
            </w:r>
          </w:p>
          <w:p w14:paraId="5E7CAC86">
            <w:pPr>
              <w:keepNext w:val="0"/>
              <w:keepLines w:val="0"/>
              <w:suppressLineNumbers w:val="0"/>
              <w:wordWrap w:val="0"/>
              <w:adjustRightInd w:val="0"/>
              <w:snapToGrid w:val="0"/>
              <w:spacing w:before="0" w:beforeAutospacing="0" w:after="0" w:afterAutospacing="0" w:line="520" w:lineRule="exact"/>
              <w:ind w:left="0" w:right="0" w:firstLine="480" w:firstLineChars="200"/>
              <w:rPr>
                <w:rFonts w:hint="default" w:ascii="宋体" w:hAnsi="宋体" w:eastAsia="宋体" w:cs="宋体"/>
                <w:sz w:val="24"/>
                <w:szCs w:val="24"/>
                <w:highlight w:val="none"/>
              </w:rPr>
            </w:pPr>
            <w:r>
              <w:rPr>
                <w:rFonts w:hint="default"/>
                <w:bCs/>
                <w:color w:val="000000" w:themeColor="text1"/>
                <w:sz w:val="24"/>
                <w14:textFill>
                  <w14:solidFill>
                    <w14:schemeClr w14:val="tx1"/>
                  </w14:solidFill>
                </w14:textFill>
              </w:rPr>
              <w:t>矿区设有员工宿舍，</w:t>
            </w:r>
            <w:r>
              <w:rPr>
                <w:rFonts w:hint="eastAsia"/>
                <w:bCs/>
                <w:color w:val="000000" w:themeColor="text1"/>
                <w:sz w:val="24"/>
                <w14:textFill>
                  <w14:solidFill>
                    <w14:schemeClr w14:val="tx1"/>
                  </w14:solidFill>
                </w14:textFill>
              </w:rPr>
              <w:t>职工均在场内食宿，</w:t>
            </w:r>
            <w:r>
              <w:rPr>
                <w:rFonts w:hint="default"/>
                <w:bCs/>
                <w:color w:val="000000" w:themeColor="text1"/>
                <w:sz w:val="24"/>
                <w14:textFill>
                  <w14:solidFill>
                    <w14:schemeClr w14:val="tx1"/>
                  </w14:solidFill>
                </w14:textFill>
              </w:rPr>
              <w:t>根据《新疆维吾尔自治区自治区生活用水定额》规定，生活用水定额按</w:t>
            </w:r>
            <w:r>
              <w:rPr>
                <w:rFonts w:hint="default"/>
                <w:bCs/>
                <w:color w:val="000000" w:themeColor="text1"/>
                <w:sz w:val="24"/>
                <w:lang w:val="en-US" w:eastAsia="zh-CN"/>
                <w14:textFill>
                  <w14:solidFill>
                    <w14:schemeClr w14:val="tx1"/>
                  </w14:solidFill>
                </w14:textFill>
              </w:rPr>
              <w:t>人均</w:t>
            </w:r>
            <w:r>
              <w:rPr>
                <w:rFonts w:hint="default"/>
                <w:bCs/>
                <w:color w:val="000000" w:themeColor="text1"/>
                <w:sz w:val="24"/>
                <w14:textFill>
                  <w14:solidFill>
                    <w14:schemeClr w14:val="tx1"/>
                  </w14:solidFill>
                </w14:textFill>
              </w:rPr>
              <w:t>0.12m</w:t>
            </w:r>
            <w:r>
              <w:rPr>
                <w:rFonts w:hint="default"/>
                <w:bCs/>
                <w:color w:val="000000" w:themeColor="text1"/>
                <w:sz w:val="24"/>
                <w:vertAlign w:val="superscript"/>
                <w14:textFill>
                  <w14:solidFill>
                    <w14:schemeClr w14:val="tx1"/>
                  </w14:solidFill>
                </w14:textFill>
              </w:rPr>
              <w:t>3</w:t>
            </w:r>
            <w:r>
              <w:rPr>
                <w:rFonts w:hint="default"/>
                <w:bCs/>
                <w:color w:val="000000" w:themeColor="text1"/>
                <w:sz w:val="24"/>
                <w14:textFill>
                  <w14:solidFill>
                    <w14:schemeClr w14:val="tx1"/>
                  </w14:solidFill>
                </w14:textFill>
              </w:rPr>
              <w:t>/d计，项目劳动定员为</w:t>
            </w:r>
            <w:r>
              <w:rPr>
                <w:rFonts w:hint="eastAsia"/>
                <w:bCs/>
                <w:color w:val="000000" w:themeColor="text1"/>
                <w:sz w:val="24"/>
                <w:lang w:val="en-US" w:eastAsia="zh-CN"/>
                <w14:textFill>
                  <w14:solidFill>
                    <w14:schemeClr w14:val="tx1"/>
                  </w14:solidFill>
                </w14:textFill>
              </w:rPr>
              <w:t>41</w:t>
            </w:r>
            <w:r>
              <w:rPr>
                <w:rFonts w:hint="default"/>
                <w:bCs/>
                <w:color w:val="000000" w:themeColor="text1"/>
                <w:sz w:val="24"/>
                <w14:textFill>
                  <w14:solidFill>
                    <w14:schemeClr w14:val="tx1"/>
                  </w14:solidFill>
                </w14:textFill>
              </w:rPr>
              <w:t>人，年工作天数为</w:t>
            </w:r>
            <w:r>
              <w:rPr>
                <w:rFonts w:hint="eastAsia"/>
                <w:bCs/>
                <w:color w:val="000000" w:themeColor="text1"/>
                <w:sz w:val="24"/>
                <w:lang w:val="en-US" w:eastAsia="zh-CN"/>
                <w14:textFill>
                  <w14:solidFill>
                    <w14:schemeClr w14:val="tx1"/>
                  </w14:solidFill>
                </w14:textFill>
              </w:rPr>
              <w:t>300</w:t>
            </w:r>
            <w:r>
              <w:rPr>
                <w:rFonts w:hint="default"/>
                <w:bCs/>
                <w:color w:val="000000" w:themeColor="text1"/>
                <w:sz w:val="24"/>
                <w14:textFill>
                  <w14:solidFill>
                    <w14:schemeClr w14:val="tx1"/>
                  </w14:solidFill>
                </w14:textFill>
              </w:rPr>
              <w:t>天，则生活用水量为</w:t>
            </w:r>
            <w:r>
              <w:rPr>
                <w:rFonts w:hint="eastAsia"/>
                <w:bCs/>
                <w:color w:val="000000" w:themeColor="text1"/>
                <w:sz w:val="24"/>
                <w:lang w:val="en-US" w:eastAsia="zh-CN"/>
                <w14:textFill>
                  <w14:solidFill>
                    <w14:schemeClr w14:val="tx1"/>
                  </w14:solidFill>
                </w14:textFill>
              </w:rPr>
              <w:t>4.92</w:t>
            </w:r>
            <w:r>
              <w:rPr>
                <w:rFonts w:hint="default"/>
                <w:bCs/>
                <w:color w:val="000000" w:themeColor="text1"/>
                <w:sz w:val="24"/>
                <w14:textFill>
                  <w14:solidFill>
                    <w14:schemeClr w14:val="tx1"/>
                  </w14:solidFill>
                </w14:textFill>
              </w:rPr>
              <w:t>m³/d（</w:t>
            </w:r>
            <w:r>
              <w:rPr>
                <w:rFonts w:hint="eastAsia"/>
                <w:bCs/>
                <w:color w:val="000000" w:themeColor="text1"/>
                <w:sz w:val="24"/>
                <w:lang w:val="en-US" w:eastAsia="zh-CN"/>
                <w14:textFill>
                  <w14:solidFill>
                    <w14:schemeClr w14:val="tx1"/>
                  </w14:solidFill>
                </w14:textFill>
              </w:rPr>
              <w:t>1476</w:t>
            </w:r>
            <w:r>
              <w:rPr>
                <w:rFonts w:hint="default"/>
                <w:bCs/>
                <w:color w:val="000000" w:themeColor="text1"/>
                <w:sz w:val="24"/>
                <w14:textFill>
                  <w14:solidFill>
                    <w14:schemeClr w14:val="tx1"/>
                  </w14:solidFill>
                </w14:textFill>
              </w:rPr>
              <w:t>m³/a）。生活污水排污系数按用水量的80</w:t>
            </w:r>
            <w:r>
              <w:rPr>
                <w:rFonts w:hint="eastAsia"/>
                <w:bCs/>
                <w:color w:val="000000" w:themeColor="text1"/>
                <w:sz w:val="24"/>
                <w14:textFill>
                  <w14:solidFill>
                    <w14:schemeClr w14:val="tx1"/>
                  </w14:solidFill>
                </w14:textFill>
              </w:rPr>
              <w:t>%</w:t>
            </w:r>
            <w:r>
              <w:rPr>
                <w:rFonts w:hint="default"/>
                <w:bCs/>
                <w:color w:val="000000" w:themeColor="text1"/>
                <w:sz w:val="24"/>
                <w14:textFill>
                  <w14:solidFill>
                    <w14:schemeClr w14:val="tx1"/>
                  </w14:solidFill>
                </w14:textFill>
              </w:rPr>
              <w:t>计，则生活污水量为</w:t>
            </w:r>
            <w:r>
              <w:rPr>
                <w:rFonts w:hint="eastAsia"/>
                <w:bCs/>
                <w:color w:val="000000" w:themeColor="text1"/>
                <w:sz w:val="24"/>
                <w:lang w:val="en-US" w:eastAsia="zh-CN"/>
                <w14:textFill>
                  <w14:solidFill>
                    <w14:schemeClr w14:val="tx1"/>
                  </w14:solidFill>
                </w14:textFill>
              </w:rPr>
              <w:t>3.936</w:t>
            </w:r>
            <w:r>
              <w:rPr>
                <w:rFonts w:hint="default"/>
                <w:bCs/>
                <w:color w:val="000000" w:themeColor="text1"/>
                <w:sz w:val="24"/>
                <w14:textFill>
                  <w14:solidFill>
                    <w14:schemeClr w14:val="tx1"/>
                  </w14:solidFill>
                </w14:textFill>
              </w:rPr>
              <w:t>m³/d（</w:t>
            </w:r>
            <w:r>
              <w:rPr>
                <w:rFonts w:hint="eastAsia"/>
                <w:bCs/>
                <w:color w:val="000000" w:themeColor="text1"/>
                <w:sz w:val="24"/>
                <w:lang w:val="en-US" w:eastAsia="zh-CN"/>
                <w14:textFill>
                  <w14:solidFill>
                    <w14:schemeClr w14:val="tx1"/>
                  </w14:solidFill>
                </w14:textFill>
              </w:rPr>
              <w:t>1180.8</w:t>
            </w:r>
            <w:r>
              <w:rPr>
                <w:rFonts w:hint="default"/>
                <w:bCs/>
                <w:color w:val="000000" w:themeColor="text1"/>
                <w:sz w:val="24"/>
                <w14:textFill>
                  <w14:solidFill>
                    <w14:schemeClr w14:val="tx1"/>
                  </w14:solidFill>
                </w14:textFill>
              </w:rPr>
              <w:t>m³/a）</w:t>
            </w:r>
            <w:r>
              <w:rPr>
                <w:rFonts w:hint="default" w:ascii="Times New Roman" w:hAnsi="Times New Roman" w:cs="Times New Roman"/>
                <w:b w:val="0"/>
                <w:bCs/>
                <w:color w:val="auto"/>
                <w:sz w:val="24"/>
                <w:highlight w:val="none"/>
              </w:rPr>
              <w:t>。</w:t>
            </w:r>
            <w:r>
              <w:rPr>
                <w:rFonts w:hint="default"/>
                <w:bCs/>
                <w:color w:val="000000" w:themeColor="text1"/>
                <w:sz w:val="24"/>
                <w14:textFill>
                  <w14:solidFill>
                    <w14:schemeClr w14:val="tx1"/>
                  </w14:solidFill>
                </w14:textFill>
              </w:rPr>
              <w:t>生活污水</w:t>
            </w:r>
            <w:r>
              <w:rPr>
                <w:rFonts w:hint="eastAsia"/>
                <w:bCs/>
                <w:color w:val="000000" w:themeColor="text1"/>
                <w:sz w:val="24"/>
                <w:lang w:val="en-US" w:eastAsia="zh-CN"/>
                <w14:textFill>
                  <w14:solidFill>
                    <w14:schemeClr w14:val="tx1"/>
                  </w14:solidFill>
                </w14:textFill>
              </w:rPr>
              <w:t>排入防渗化粪池预处理后定期拉运至和静县污水处理厂处理。</w:t>
            </w:r>
          </w:p>
          <w:p w14:paraId="2C5C3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和静县</w:t>
            </w:r>
            <w:r>
              <w:rPr>
                <w:rFonts w:hint="default" w:ascii="宋体" w:hAnsi="宋体" w:eastAsia="宋体" w:cs="宋体"/>
                <w:sz w:val="24"/>
                <w:szCs w:val="24"/>
                <w:highlight w:val="none"/>
                <w:lang w:val="en-US" w:eastAsia="zh-CN"/>
              </w:rPr>
              <w:t>污水处理厂位于</w:t>
            </w:r>
            <w:r>
              <w:rPr>
                <w:rFonts w:hint="eastAsia" w:ascii="宋体" w:hAnsi="宋体" w:eastAsia="宋体" w:cs="宋体"/>
                <w:sz w:val="24"/>
                <w:szCs w:val="24"/>
                <w:highlight w:val="none"/>
                <w:lang w:val="en-US" w:eastAsia="zh-CN"/>
              </w:rPr>
              <w:t>和静县城区东南方向</w:t>
            </w:r>
            <w:r>
              <w:rPr>
                <w:rFonts w:hint="default" w:ascii="Times New Roman" w:hAnsi="Times New Roman" w:eastAsia="宋体" w:cs="Times New Roman"/>
                <w:sz w:val="24"/>
                <w:szCs w:val="24"/>
                <w:highlight w:val="none"/>
                <w:lang w:val="en-US" w:eastAsia="zh-CN"/>
              </w:rPr>
              <w:t>2.3</w:t>
            </w:r>
            <w:r>
              <w:rPr>
                <w:rFonts w:hint="default" w:ascii="宋体" w:hAnsi="宋体" w:eastAsia="宋体" w:cs="宋体"/>
                <w:sz w:val="24"/>
                <w:szCs w:val="24"/>
                <w:highlight w:val="none"/>
                <w:lang w:val="en-US" w:eastAsia="zh-CN"/>
              </w:rPr>
              <w:t>km处。污水处理厂处理工艺采用</w:t>
            </w:r>
            <w:r>
              <w:rPr>
                <w:rFonts w:hint="default" w:ascii="Times New Roman" w:hAnsi="Times New Roman" w:eastAsia="宋体" w:cs="宋体"/>
                <w:sz w:val="24"/>
                <w:szCs w:val="24"/>
                <w:highlight w:val="none"/>
                <w:lang w:val="en-US" w:eastAsia="zh-CN"/>
              </w:rPr>
              <w:t>“A</w:t>
            </w:r>
            <w:r>
              <w:rPr>
                <w:rFonts w:hint="default" w:ascii="Times New Roman" w:hAnsi="Times New Roman" w:eastAsia="宋体" w:cs="宋体"/>
                <w:sz w:val="24"/>
                <w:szCs w:val="24"/>
                <w:highlight w:val="none"/>
                <w:vertAlign w:val="superscript"/>
                <w:lang w:val="en-US" w:eastAsia="zh-CN"/>
              </w:rPr>
              <w:t>2</w:t>
            </w:r>
            <w:r>
              <w:rPr>
                <w:rFonts w:hint="default" w:ascii="Times New Roman" w:hAnsi="Times New Roman" w:eastAsia="宋体" w:cs="宋体"/>
                <w:sz w:val="24"/>
                <w:szCs w:val="24"/>
                <w:highlight w:val="none"/>
                <w:lang w:val="en-US" w:eastAsia="zh-CN"/>
              </w:rPr>
              <w:t>/O+MBR</w:t>
            </w:r>
            <w:r>
              <w:rPr>
                <w:rFonts w:hint="default" w:ascii="宋体" w:hAnsi="宋体" w:eastAsia="宋体" w:cs="宋体"/>
                <w:sz w:val="24"/>
                <w:szCs w:val="24"/>
                <w:highlight w:val="none"/>
                <w:lang w:val="en-US" w:eastAsia="zh-CN"/>
              </w:rPr>
              <w:t>池”主体处理工艺，处理后的尾水水质满足《城镇污水处理厂污染物排放标准》（GB18918-2002）一级</w:t>
            </w:r>
            <w:r>
              <w:rPr>
                <w:rFonts w:hint="eastAsia" w:ascii="宋体" w:hAnsi="宋体" w:cs="宋体"/>
                <w:sz w:val="24"/>
                <w:szCs w:val="24"/>
                <w:highlight w:val="none"/>
                <w:lang w:val="en-US" w:eastAsia="zh-CN"/>
              </w:rPr>
              <w:t>A</w:t>
            </w:r>
            <w:r>
              <w:rPr>
                <w:rFonts w:hint="default" w:ascii="宋体" w:hAnsi="宋体" w:eastAsia="宋体" w:cs="宋体"/>
                <w:sz w:val="24"/>
                <w:szCs w:val="24"/>
                <w:highlight w:val="none"/>
                <w:lang w:val="en-US" w:eastAsia="zh-CN"/>
              </w:rPr>
              <w:t>标准要求</w:t>
            </w:r>
            <w:r>
              <w:rPr>
                <w:rFonts w:hint="eastAsia" w:ascii="宋体" w:hAnsi="宋体" w:cs="宋体"/>
                <w:sz w:val="24"/>
                <w:szCs w:val="24"/>
                <w:highlight w:val="none"/>
                <w:lang w:val="en-US" w:eastAsia="zh-CN"/>
              </w:rPr>
              <w:t>后</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进行综合利用于绿化、农作物灌溉，实现污水资源化利用</w:t>
            </w:r>
            <w:r>
              <w:rPr>
                <w:rFonts w:hint="default" w:ascii="宋体" w:hAnsi="宋体" w:eastAsia="宋体" w:cs="宋体"/>
                <w:sz w:val="24"/>
                <w:szCs w:val="24"/>
                <w:highlight w:val="none"/>
                <w:lang w:val="en-US" w:eastAsia="zh-CN"/>
              </w:rPr>
              <w:t>。于201</w:t>
            </w:r>
            <w:r>
              <w:rPr>
                <w:rFonts w:hint="eastAsia" w:ascii="宋体" w:hAnsi="宋体" w:eastAsia="宋体" w:cs="宋体"/>
                <w:sz w:val="24"/>
                <w:szCs w:val="24"/>
                <w:highlight w:val="none"/>
                <w:lang w:val="en-US" w:eastAsia="zh-CN"/>
              </w:rPr>
              <w:t>7</w:t>
            </w:r>
            <w:r>
              <w:rPr>
                <w:rFonts w:hint="default" w:ascii="宋体" w:hAnsi="宋体" w:eastAsia="宋体" w:cs="宋体"/>
                <w:sz w:val="24"/>
                <w:szCs w:val="24"/>
                <w:highlight w:val="none"/>
                <w:lang w:val="en-US" w:eastAsia="zh-CN"/>
              </w:rPr>
              <w:t>年</w:t>
            </w:r>
            <w:r>
              <w:rPr>
                <w:rFonts w:hint="eastAsia" w:ascii="宋体" w:hAnsi="宋体" w:eastAsia="宋体" w:cs="宋体"/>
                <w:sz w:val="24"/>
                <w:szCs w:val="24"/>
                <w:highlight w:val="none"/>
                <w:lang w:val="en-US" w:eastAsia="zh-CN"/>
              </w:rPr>
              <w:t>10</w:t>
            </w:r>
            <w:r>
              <w:rPr>
                <w:rFonts w:hint="default" w:ascii="宋体" w:hAnsi="宋体" w:eastAsia="宋体" w:cs="宋体"/>
                <w:sz w:val="24"/>
                <w:szCs w:val="24"/>
                <w:highlight w:val="none"/>
                <w:lang w:val="en-US" w:eastAsia="zh-CN"/>
              </w:rPr>
              <w:t>月取得环评批复</w:t>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201</w:t>
            </w:r>
            <w:r>
              <w:rPr>
                <w:rFonts w:hint="eastAsia" w:ascii="宋体" w:hAnsi="宋体" w:eastAsia="宋体" w:cs="宋体"/>
                <w:sz w:val="24"/>
                <w:szCs w:val="24"/>
                <w:highlight w:val="none"/>
                <w:lang w:val="en-US" w:eastAsia="zh-CN"/>
              </w:rPr>
              <w:t>8</w:t>
            </w:r>
            <w:r>
              <w:rPr>
                <w:rFonts w:hint="default" w:ascii="宋体" w:hAnsi="宋体" w:eastAsia="宋体" w:cs="宋体"/>
                <w:sz w:val="24"/>
                <w:szCs w:val="24"/>
                <w:highlight w:val="none"/>
                <w:lang w:val="en-US" w:eastAsia="zh-CN"/>
              </w:rPr>
              <w:t>年</w:t>
            </w:r>
            <w:r>
              <w:rPr>
                <w:rFonts w:hint="eastAsia" w:ascii="宋体" w:hAnsi="宋体" w:eastAsia="宋体" w:cs="宋体"/>
                <w:sz w:val="24"/>
                <w:szCs w:val="24"/>
                <w:highlight w:val="none"/>
                <w:lang w:val="en-US" w:eastAsia="zh-CN"/>
              </w:rPr>
              <w:t>10</w:t>
            </w:r>
            <w:r>
              <w:rPr>
                <w:rFonts w:hint="default" w:ascii="宋体" w:hAnsi="宋体" w:eastAsia="宋体" w:cs="宋体"/>
                <w:sz w:val="24"/>
                <w:szCs w:val="24"/>
                <w:highlight w:val="none"/>
                <w:lang w:val="en-US" w:eastAsia="zh-CN"/>
              </w:rPr>
              <w:t>月</w:t>
            </w:r>
            <w:r>
              <w:rPr>
                <w:rFonts w:hint="eastAsia" w:ascii="宋体" w:hAnsi="宋体" w:eastAsia="宋体" w:cs="宋体"/>
                <w:sz w:val="24"/>
                <w:szCs w:val="24"/>
                <w:highlight w:val="none"/>
                <w:lang w:val="en-US" w:eastAsia="zh-CN"/>
              </w:rPr>
              <w:t>竣工验收。</w:t>
            </w:r>
            <w:r>
              <w:rPr>
                <w:rFonts w:hint="default" w:ascii="宋体" w:hAnsi="宋体" w:eastAsia="宋体" w:cs="宋体"/>
                <w:sz w:val="24"/>
                <w:szCs w:val="24"/>
                <w:highlight w:val="none"/>
                <w:lang w:val="en-US" w:eastAsia="zh-CN"/>
              </w:rPr>
              <w:t>污水处理厂设计处理能力为2万m</w:t>
            </w:r>
            <w:r>
              <w:rPr>
                <w:rFonts w:hint="default" w:ascii="宋体" w:hAnsi="宋体" w:eastAsia="宋体" w:cs="宋体"/>
                <w:sz w:val="24"/>
                <w:szCs w:val="24"/>
                <w:highlight w:val="none"/>
                <w:vertAlign w:val="superscript"/>
                <w:lang w:val="en-US" w:eastAsia="zh-CN"/>
              </w:rPr>
              <w:t>3</w:t>
            </w:r>
            <w:r>
              <w:rPr>
                <w:rFonts w:hint="default" w:ascii="宋体" w:hAnsi="宋体" w:eastAsia="宋体" w:cs="宋体"/>
                <w:sz w:val="24"/>
                <w:szCs w:val="24"/>
                <w:highlight w:val="none"/>
                <w:lang w:val="en-US" w:eastAsia="zh-CN"/>
              </w:rPr>
              <w:t>/d，目前实际进水量为</w:t>
            </w:r>
            <w:r>
              <w:rPr>
                <w:rFonts w:hint="eastAsia" w:ascii="宋体" w:hAnsi="宋体" w:cs="宋体"/>
                <w:sz w:val="24"/>
                <w:szCs w:val="24"/>
                <w:highlight w:val="none"/>
                <w:lang w:val="en-US" w:eastAsia="zh-CN"/>
              </w:rPr>
              <w:t>1万</w:t>
            </w:r>
            <w:r>
              <w:rPr>
                <w:rFonts w:hint="default" w:ascii="宋体" w:hAnsi="宋体" w:eastAsia="宋体" w:cs="宋体"/>
                <w:sz w:val="24"/>
                <w:szCs w:val="24"/>
                <w:highlight w:val="none"/>
                <w:lang w:val="en-US" w:eastAsia="zh-CN"/>
              </w:rPr>
              <w:t>m</w:t>
            </w:r>
            <w:r>
              <w:rPr>
                <w:rFonts w:hint="default" w:ascii="宋体" w:hAnsi="宋体" w:eastAsia="宋体" w:cs="宋体"/>
                <w:sz w:val="24"/>
                <w:szCs w:val="24"/>
                <w:highlight w:val="none"/>
                <w:vertAlign w:val="superscript"/>
                <w:lang w:val="en-US" w:eastAsia="zh-CN"/>
              </w:rPr>
              <w:t>3</w:t>
            </w:r>
            <w:r>
              <w:rPr>
                <w:rFonts w:hint="default" w:ascii="宋体" w:hAnsi="宋体" w:eastAsia="宋体" w:cs="宋体"/>
                <w:sz w:val="24"/>
                <w:szCs w:val="24"/>
                <w:highlight w:val="none"/>
                <w:lang w:val="en-US" w:eastAsia="zh-CN"/>
              </w:rPr>
              <w:t>/d，污水处理厂余量充足，污水处理厂运行正常，出水水质稳定可做到达标排放。</w:t>
            </w:r>
          </w:p>
          <w:p w14:paraId="1C67FEF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Cs/>
                <w:color w:val="000000" w:themeColor="text1"/>
                <w:sz w:val="24"/>
                <w14:textFill>
                  <w14:solidFill>
                    <w14:schemeClr w14:val="tx1"/>
                  </w14:solidFill>
                </w14:textFill>
              </w:rPr>
            </w:pPr>
            <w:r>
              <w:rPr>
                <w:rFonts w:hint="default" w:ascii="宋体" w:hAnsi="宋体" w:eastAsia="宋体" w:cs="宋体"/>
                <w:sz w:val="24"/>
                <w:szCs w:val="24"/>
                <w:highlight w:val="none"/>
                <w:lang w:val="en-US" w:eastAsia="zh-CN"/>
              </w:rPr>
              <w:t>本项目</w:t>
            </w:r>
            <w:r>
              <w:rPr>
                <w:rFonts w:hint="eastAsia" w:ascii="宋体" w:hAnsi="宋体" w:eastAsia="宋体" w:cs="宋体"/>
                <w:sz w:val="24"/>
                <w:szCs w:val="24"/>
                <w:highlight w:val="none"/>
                <w:lang w:val="en-US" w:eastAsia="zh-CN"/>
              </w:rPr>
              <w:t>运营期污水</w:t>
            </w:r>
            <w:r>
              <w:rPr>
                <w:rFonts w:hint="default" w:ascii="宋体" w:hAnsi="宋体" w:eastAsia="宋体" w:cs="宋体"/>
                <w:sz w:val="24"/>
                <w:szCs w:val="24"/>
                <w:highlight w:val="none"/>
                <w:lang w:val="en-US" w:eastAsia="zh-CN"/>
              </w:rPr>
              <w:t>排放总量为</w:t>
            </w:r>
            <w:r>
              <w:rPr>
                <w:rFonts w:hint="eastAsia" w:ascii="宋体" w:hAnsi="宋体" w:cs="宋体"/>
                <w:sz w:val="24"/>
                <w:szCs w:val="24"/>
                <w:highlight w:val="none"/>
                <w:lang w:val="en-US" w:eastAsia="zh-CN"/>
              </w:rPr>
              <w:t>1180.8</w:t>
            </w:r>
            <w:r>
              <w:rPr>
                <w:rFonts w:hint="default"/>
                <w:color w:val="auto"/>
                <w:sz w:val="21"/>
                <w:szCs w:val="21"/>
                <w:highlight w:val="none"/>
              </w:rPr>
              <w:t>m</w:t>
            </w:r>
            <w:r>
              <w:rPr>
                <w:rFonts w:hint="default"/>
                <w:color w:val="auto"/>
                <w:sz w:val="21"/>
                <w:szCs w:val="21"/>
                <w:highlight w:val="none"/>
                <w:vertAlign w:val="superscript"/>
              </w:rPr>
              <w:t>3</w:t>
            </w:r>
            <w:r>
              <w:rPr>
                <w:rFonts w:hint="default"/>
                <w:color w:val="auto"/>
                <w:sz w:val="21"/>
                <w:szCs w:val="21"/>
                <w:highlight w:val="none"/>
              </w:rPr>
              <w:t>/a</w:t>
            </w:r>
            <w:r>
              <w:rPr>
                <w:rFonts w:hint="default" w:ascii="宋体" w:hAnsi="宋体" w:eastAsia="宋体" w:cs="宋体"/>
                <w:sz w:val="24"/>
                <w:szCs w:val="24"/>
                <w:highlight w:val="none"/>
                <w:lang w:val="en-US" w:eastAsia="zh-CN"/>
              </w:rPr>
              <w:t>，符合污水处理厂接收生活污水水质要求，水量也远小于污水处理余量，因此本项目废水由</w:t>
            </w:r>
            <w:r>
              <w:rPr>
                <w:rFonts w:hint="eastAsia" w:ascii="宋体" w:hAnsi="宋体" w:eastAsia="宋体" w:cs="宋体"/>
                <w:sz w:val="24"/>
                <w:szCs w:val="24"/>
                <w:highlight w:val="none"/>
                <w:lang w:val="en-US" w:eastAsia="zh-CN"/>
              </w:rPr>
              <w:t>和静县</w:t>
            </w:r>
            <w:r>
              <w:rPr>
                <w:rFonts w:hint="default" w:ascii="宋体" w:hAnsi="宋体" w:eastAsia="宋体" w:cs="宋体"/>
                <w:sz w:val="24"/>
                <w:szCs w:val="24"/>
                <w:highlight w:val="none"/>
                <w:lang w:val="en-US" w:eastAsia="zh-CN"/>
              </w:rPr>
              <w:t>污水处理厂处理可行</w:t>
            </w:r>
          </w:p>
          <w:p w14:paraId="69B7D049">
            <w:pPr>
              <w:pStyle w:val="2"/>
              <w:keepLines w:val="0"/>
              <w:suppressLineNumbers w:val="0"/>
              <w:adjustRightInd w:val="0"/>
              <w:spacing w:before="0" w:beforeAutospacing="0" w:after="0" w:afterAutospacing="0" w:line="520" w:lineRule="exact"/>
              <w:ind w:right="0"/>
              <w:outlineLvl w:val="0"/>
              <w:rPr>
                <w:rFonts w:hint="default"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4</w:t>
            </w:r>
            <w:r>
              <w:rPr>
                <w:rFonts w:hint="default" w:eastAsia="宋体"/>
                <w:color w:val="000000" w:themeColor="text1"/>
                <w:sz w:val="24"/>
                <w:szCs w:val="24"/>
                <w14:textFill>
                  <w14:solidFill>
                    <w14:schemeClr w14:val="tx1"/>
                  </w14:solidFill>
                </w14:textFill>
              </w:rPr>
              <w:t>噪声环境影响分析</w:t>
            </w:r>
          </w:p>
          <w:p w14:paraId="3B7F8129">
            <w:pPr>
              <w:keepNext w:val="0"/>
              <w:keepLines w:val="0"/>
              <w:suppressLineNumbers w:val="0"/>
              <w:spacing w:before="0" w:beforeAutospacing="0" w:after="0" w:afterAutospacing="0" w:line="520" w:lineRule="exact"/>
              <w:ind w:left="0" w:right="0" w:firstLine="482" w:firstLineChars="200"/>
              <w:jc w:val="left"/>
              <w:rPr>
                <w:rFonts w:hint="default"/>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rFonts w:hint="default"/>
                <w:b/>
                <w:bCs/>
                <w:color w:val="000000" w:themeColor="text1"/>
                <w:sz w:val="24"/>
                <w14:textFill>
                  <w14:solidFill>
                    <w14:schemeClr w14:val="tx1"/>
                  </w14:solidFill>
                </w14:textFill>
              </w:rPr>
              <w:t>.1源强分析</w:t>
            </w:r>
          </w:p>
          <w:p w14:paraId="0E4D8344">
            <w:pPr>
              <w:keepNext w:val="0"/>
              <w:keepLines w:val="0"/>
              <w:suppressLineNumbers w:val="0"/>
              <w:spacing w:before="0" w:beforeAutospacing="0" w:after="0" w:afterAutospacing="0" w:line="520" w:lineRule="exact"/>
              <w:ind w:left="0" w:right="0" w:firstLine="480" w:firstLineChars="200"/>
              <w:jc w:val="left"/>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、预测模式的确定</w:t>
            </w:r>
          </w:p>
          <w:p w14:paraId="283DFA84">
            <w:pPr>
              <w:keepNext w:val="0"/>
              <w:keepLines w:val="0"/>
              <w:suppressLineNumbers w:val="0"/>
              <w:spacing w:before="0" w:beforeAutospacing="0" w:after="0" w:afterAutospacing="0" w:line="520" w:lineRule="exact"/>
              <w:ind w:left="0" w:right="0" w:firstLine="480" w:firstLineChars="200"/>
              <w:jc w:val="left"/>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根据项目建设内容及《环境影响评价技术导则—声环境》（HJ2.4-2021）的要求，项目环评采用的模型为《环境影响评价技术导则 声环境》</w:t>
            </w:r>
            <w:r>
              <w:rPr>
                <w:rFonts w:hint="eastAsia"/>
                <w:bCs/>
                <w:color w:val="000000" w:themeColor="text1"/>
                <w:sz w:val="24"/>
                <w14:textFill>
                  <w14:solidFill>
                    <w14:schemeClr w14:val="tx1"/>
                  </w14:solidFill>
                </w14:textFill>
              </w:rPr>
              <w:t>（</w:t>
            </w:r>
            <w:r>
              <w:rPr>
                <w:rFonts w:hint="default"/>
                <w:bCs/>
                <w:color w:val="000000" w:themeColor="text1"/>
                <w:sz w:val="24"/>
                <w14:textFill>
                  <w14:solidFill>
                    <w14:schemeClr w14:val="tx1"/>
                  </w14:solidFill>
                </w14:textFill>
              </w:rPr>
              <w:t>HJ2.4.2021</w:t>
            </w:r>
            <w:r>
              <w:rPr>
                <w:rFonts w:hint="eastAsia"/>
                <w:bCs/>
                <w:color w:val="000000" w:themeColor="text1"/>
                <w:sz w:val="24"/>
                <w14:textFill>
                  <w14:solidFill>
                    <w14:schemeClr w14:val="tx1"/>
                  </w14:solidFill>
                </w14:textFill>
              </w:rPr>
              <w:t>）</w:t>
            </w:r>
            <w:r>
              <w:rPr>
                <w:rFonts w:hint="default"/>
                <w:bCs/>
                <w:color w:val="000000" w:themeColor="text1"/>
                <w:sz w:val="24"/>
                <w14:textFill>
                  <w14:solidFill>
                    <w14:schemeClr w14:val="tx1"/>
                  </w14:solidFill>
                </w14:textFill>
              </w:rPr>
              <w:t>附录A（规范性附录）户外声传播的衰减和附录B（规范性附录）中“B.1工业噪声预测计算模型”。</w:t>
            </w:r>
          </w:p>
          <w:p w14:paraId="7F2E7456">
            <w:pPr>
              <w:keepNext w:val="0"/>
              <w:keepLines w:val="0"/>
              <w:suppressLineNumbers w:val="0"/>
              <w:spacing w:before="0" w:beforeAutospacing="0" w:after="0" w:afterAutospacing="0" w:line="520" w:lineRule="exact"/>
              <w:ind w:left="0" w:right="0" w:firstLine="480" w:firstLineChars="200"/>
              <w:jc w:val="left"/>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2、噪声源参数的确定</w:t>
            </w:r>
          </w:p>
          <w:p w14:paraId="1B84FCBE">
            <w:pPr>
              <w:keepNext w:val="0"/>
              <w:keepLines w:val="0"/>
              <w:suppressLineNumbers w:val="0"/>
              <w:spacing w:before="0" w:beforeAutospacing="0" w:after="0" w:afterAutospacing="0" w:line="520" w:lineRule="exact"/>
              <w:ind w:left="0" w:right="0" w:firstLine="480" w:firstLineChars="200"/>
              <w:rPr>
                <w:rFonts w:hint="default"/>
                <w:color w:val="000000" w:themeColor="text1"/>
                <w14:textFill>
                  <w14:solidFill>
                    <w14:schemeClr w14:val="tx1"/>
                  </w14:solidFill>
                </w14:textFill>
              </w:rPr>
            </w:pPr>
            <w:r>
              <w:rPr>
                <w:rFonts w:hint="default"/>
                <w:bCs/>
                <w:color w:val="000000" w:themeColor="text1"/>
                <w:sz w:val="24"/>
                <w14:textFill>
                  <w14:solidFill>
                    <w14:schemeClr w14:val="tx1"/>
                  </w14:solidFill>
                </w14:textFill>
              </w:rPr>
              <w:t>根据建设单位所提供的参数及类比调查的结果，主要产噪设备参数见下表。</w:t>
            </w:r>
          </w:p>
          <w:p w14:paraId="668E03A3">
            <w:pPr>
              <w:keepNext w:val="0"/>
              <w:keepLines w:val="0"/>
              <w:suppressLineNumbers w:val="0"/>
              <w:spacing w:before="0" w:beforeAutospacing="0" w:after="0" w:afterAutospacing="0"/>
              <w:ind w:left="0" w:right="0"/>
              <w:rPr>
                <w:rFonts w:hint="default"/>
                <w:color w:val="FF0000"/>
              </w:rPr>
            </w:pPr>
          </w:p>
        </w:tc>
      </w:tr>
    </w:tbl>
    <w:p w14:paraId="30DF9EA5">
      <w:pPr>
        <w:rPr>
          <w:color w:val="FF0000"/>
        </w:rPr>
        <w:sectPr>
          <w:pgSz w:w="11906" w:h="16838"/>
          <w:pgMar w:top="1440" w:right="1800" w:bottom="1440" w:left="1800" w:header="851" w:footer="1077" w:gutter="0"/>
          <w:pgNumType w:fmt="decimal"/>
          <w:cols w:space="720" w:num="1"/>
          <w:docGrid w:linePitch="312" w:charSpace="0"/>
        </w:sect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9"/>
        <w:gridCol w:w="13509"/>
      </w:tblGrid>
      <w:tr w14:paraId="6519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80" w:type="dxa"/>
            <w:vAlign w:val="top"/>
          </w:tcPr>
          <w:p w14:paraId="235AF933">
            <w:pPr>
              <w:pStyle w:val="5"/>
              <w:keepNext w:val="0"/>
              <w:keepLines w:val="0"/>
              <w:suppressLineNumbers w:val="0"/>
              <w:spacing w:before="0" w:beforeAutospacing="0" w:after="0" w:afterAutospacing="0"/>
              <w:ind w:left="0" w:right="0" w:firstLine="560"/>
              <w:rPr>
                <w:rFonts w:hint="default"/>
                <w:color w:val="auto"/>
              </w:rPr>
            </w:pPr>
          </w:p>
        </w:tc>
        <w:tc>
          <w:tcPr>
            <w:tcW w:w="13694" w:type="dxa"/>
            <w:shd w:val="clear" w:color="auto" w:fill="auto"/>
            <w:vAlign w:val="top"/>
          </w:tcPr>
          <w:p w14:paraId="3EE1A45F">
            <w:pPr>
              <w:keepNext w:val="0"/>
              <w:keepLines w:val="0"/>
              <w:suppressLineNumbers w:val="0"/>
              <w:adjustRightInd w:val="0"/>
              <w:snapToGrid w:val="0"/>
              <w:spacing w:before="0" w:beforeAutospacing="0" w:after="0" w:afterAutospacing="0" w:line="520" w:lineRule="exact"/>
              <w:ind w:left="0" w:right="0"/>
              <w:jc w:val="center"/>
              <w:rPr>
                <w:rFonts w:hint="default" w:eastAsiaTheme="minorEastAsia"/>
                <w:b/>
                <w:color w:val="auto"/>
                <w:sz w:val="24"/>
              </w:rPr>
            </w:pPr>
            <w:r>
              <w:rPr>
                <w:rFonts w:hint="default" w:eastAsiaTheme="minorEastAsia"/>
                <w:b/>
                <w:color w:val="auto"/>
                <w:sz w:val="24"/>
              </w:rPr>
              <w:t>表</w:t>
            </w:r>
            <w:r>
              <w:rPr>
                <w:rFonts w:hint="eastAsia" w:eastAsiaTheme="minorEastAsia"/>
                <w:b/>
                <w:color w:val="auto"/>
                <w:sz w:val="24"/>
              </w:rPr>
              <w:t>4-</w:t>
            </w:r>
            <w:r>
              <w:rPr>
                <w:rFonts w:hint="eastAsia" w:eastAsiaTheme="minorEastAsia"/>
                <w:b/>
                <w:color w:val="auto"/>
                <w:sz w:val="24"/>
                <w:lang w:val="en-US" w:eastAsia="zh-CN"/>
              </w:rPr>
              <w:t>8</w:t>
            </w:r>
            <w:r>
              <w:rPr>
                <w:rFonts w:hint="default" w:eastAsiaTheme="minorEastAsia"/>
                <w:b/>
                <w:color w:val="auto"/>
                <w:sz w:val="24"/>
              </w:rPr>
              <w:tab/>
            </w:r>
            <w:r>
              <w:rPr>
                <w:rFonts w:hint="default" w:eastAsiaTheme="minorEastAsia"/>
                <w:b/>
                <w:color w:val="auto"/>
                <w:sz w:val="24"/>
              </w:rPr>
              <w:t>工业企业噪声源强调查清单（室外声源）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246"/>
              <w:gridCol w:w="1158"/>
              <w:gridCol w:w="1174"/>
              <w:gridCol w:w="1328"/>
              <w:gridCol w:w="3937"/>
              <w:gridCol w:w="2653"/>
              <w:gridCol w:w="1247"/>
            </w:tblGrid>
            <w:tr w14:paraId="64E3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275" w:type="pct"/>
                  <w:vMerge w:val="restart"/>
                  <w:shd w:val="clear" w:color="auto" w:fill="auto"/>
                  <w:vAlign w:val="center"/>
                </w:tcPr>
                <w:p w14:paraId="531F333E">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color w:val="auto"/>
                      <w:szCs w:val="21"/>
                    </w:rPr>
                    <w:t>序号</w:t>
                  </w:r>
                </w:p>
              </w:tc>
              <w:tc>
                <w:tcPr>
                  <w:tcW w:w="462" w:type="pct"/>
                  <w:vMerge w:val="restart"/>
                  <w:shd w:val="clear" w:color="auto" w:fill="auto"/>
                  <w:vAlign w:val="center"/>
                </w:tcPr>
                <w:p w14:paraId="546F32A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color w:val="auto"/>
                      <w:szCs w:val="21"/>
                    </w:rPr>
                    <w:t>声源名称</w:t>
                  </w:r>
                </w:p>
              </w:tc>
              <w:tc>
                <w:tcPr>
                  <w:tcW w:w="1356" w:type="pct"/>
                  <w:gridSpan w:val="3"/>
                  <w:shd w:val="clear" w:color="auto" w:fill="auto"/>
                  <w:vAlign w:val="center"/>
                </w:tcPr>
                <w:p w14:paraId="6E37ED5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color w:val="auto"/>
                      <w:szCs w:val="21"/>
                    </w:rPr>
                    <w:t>空间相对位置/m</w:t>
                  </w:r>
                </w:p>
              </w:tc>
              <w:tc>
                <w:tcPr>
                  <w:tcW w:w="1459" w:type="pct"/>
                  <w:vMerge w:val="restart"/>
                  <w:shd w:val="clear" w:color="auto" w:fill="auto"/>
                  <w:vAlign w:val="center"/>
                </w:tcPr>
                <w:p w14:paraId="1E5A6A9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color w:val="auto"/>
                      <w:szCs w:val="21"/>
                    </w:rPr>
                    <w:t>声源源强（声功率级/dB</w:t>
                  </w:r>
                  <w:r>
                    <w:rPr>
                      <w:rFonts w:hint="eastAsia" w:ascii="Times New Roman" w:hAnsi="Times New Roman" w:eastAsia="宋体"/>
                      <w:b/>
                      <w:color w:val="auto"/>
                      <w:szCs w:val="21"/>
                    </w:rPr>
                    <w:t>（</w:t>
                  </w:r>
                  <w:r>
                    <w:rPr>
                      <w:rFonts w:hint="default" w:ascii="Times New Roman" w:hAnsi="Times New Roman" w:eastAsia="宋体"/>
                      <w:b/>
                      <w:color w:val="auto"/>
                      <w:szCs w:val="21"/>
                    </w:rPr>
                    <w:t>A）</w:t>
                  </w:r>
                  <w:r>
                    <w:rPr>
                      <w:rFonts w:hint="eastAsia" w:ascii="Times New Roman" w:hAnsi="Times New Roman" w:eastAsia="宋体"/>
                      <w:b/>
                      <w:color w:val="auto"/>
                      <w:szCs w:val="21"/>
                    </w:rPr>
                    <w:t>）</w:t>
                  </w:r>
                </w:p>
              </w:tc>
              <w:tc>
                <w:tcPr>
                  <w:tcW w:w="983" w:type="pct"/>
                  <w:vMerge w:val="restart"/>
                  <w:shd w:val="clear" w:color="auto" w:fill="auto"/>
                  <w:vAlign w:val="center"/>
                </w:tcPr>
                <w:p w14:paraId="285FECA8">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color w:val="auto"/>
                      <w:szCs w:val="21"/>
                    </w:rPr>
                    <w:t>声源控制措施</w:t>
                  </w:r>
                </w:p>
              </w:tc>
              <w:tc>
                <w:tcPr>
                  <w:tcW w:w="462" w:type="pct"/>
                  <w:vMerge w:val="restart"/>
                  <w:shd w:val="clear" w:color="auto" w:fill="auto"/>
                  <w:vAlign w:val="center"/>
                </w:tcPr>
                <w:p w14:paraId="050748C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color w:val="auto"/>
                      <w:szCs w:val="21"/>
                    </w:rPr>
                    <w:t>运行时段</w:t>
                  </w:r>
                </w:p>
              </w:tc>
            </w:tr>
            <w:tr w14:paraId="682F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75" w:type="pct"/>
                  <w:vMerge w:val="continue"/>
                  <w:shd w:val="clear" w:color="auto" w:fill="auto"/>
                  <w:vAlign w:val="center"/>
                </w:tcPr>
                <w:p w14:paraId="5C837A7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c>
                <w:tcPr>
                  <w:tcW w:w="462" w:type="pct"/>
                  <w:vMerge w:val="continue"/>
                  <w:shd w:val="clear" w:color="auto" w:fill="auto"/>
                  <w:vAlign w:val="center"/>
                </w:tcPr>
                <w:p w14:paraId="29B7183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c>
                <w:tcPr>
                  <w:tcW w:w="429" w:type="pct"/>
                  <w:shd w:val="clear" w:color="auto" w:fill="auto"/>
                  <w:vAlign w:val="center"/>
                </w:tcPr>
                <w:p w14:paraId="2A2CD6DA">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X</w:t>
                  </w:r>
                </w:p>
              </w:tc>
              <w:tc>
                <w:tcPr>
                  <w:tcW w:w="435" w:type="pct"/>
                  <w:shd w:val="clear" w:color="auto" w:fill="auto"/>
                  <w:vAlign w:val="center"/>
                </w:tcPr>
                <w:p w14:paraId="3A03054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Y</w:t>
                  </w:r>
                </w:p>
              </w:tc>
              <w:tc>
                <w:tcPr>
                  <w:tcW w:w="491" w:type="pct"/>
                  <w:shd w:val="clear" w:color="auto" w:fill="auto"/>
                  <w:vAlign w:val="center"/>
                </w:tcPr>
                <w:p w14:paraId="612578F8">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Z</w:t>
                  </w:r>
                </w:p>
              </w:tc>
              <w:tc>
                <w:tcPr>
                  <w:tcW w:w="1459" w:type="pct"/>
                  <w:vMerge w:val="continue"/>
                  <w:shd w:val="clear" w:color="auto" w:fill="auto"/>
                  <w:vAlign w:val="center"/>
                </w:tcPr>
                <w:p w14:paraId="431C5C4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c>
                <w:tcPr>
                  <w:tcW w:w="983" w:type="pct"/>
                  <w:vMerge w:val="continue"/>
                  <w:shd w:val="clear" w:color="auto" w:fill="auto"/>
                  <w:vAlign w:val="center"/>
                </w:tcPr>
                <w:p w14:paraId="2F53AFB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c>
                <w:tcPr>
                  <w:tcW w:w="462" w:type="pct"/>
                  <w:vMerge w:val="continue"/>
                  <w:shd w:val="clear" w:color="auto" w:fill="auto"/>
                  <w:vAlign w:val="center"/>
                </w:tcPr>
                <w:p w14:paraId="4A545E5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r>
            <w:tr w14:paraId="108C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2" w:hRule="exact"/>
                <w:jc w:val="center"/>
              </w:trPr>
              <w:tc>
                <w:tcPr>
                  <w:tcW w:w="275" w:type="pct"/>
                  <w:shd w:val="clear" w:color="auto" w:fill="auto"/>
                  <w:vAlign w:val="center"/>
                </w:tcPr>
                <w:p w14:paraId="2C0319DD">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w:t>
                  </w:r>
                </w:p>
              </w:tc>
              <w:tc>
                <w:tcPr>
                  <w:tcW w:w="462" w:type="pct"/>
                  <w:shd w:val="clear" w:color="auto" w:fill="auto"/>
                  <w:vAlign w:val="center"/>
                </w:tcPr>
                <w:p w14:paraId="558E7C9B">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挖掘机</w:t>
                  </w:r>
                </w:p>
              </w:tc>
              <w:tc>
                <w:tcPr>
                  <w:tcW w:w="429" w:type="pct"/>
                  <w:shd w:val="clear" w:color="auto" w:fill="auto"/>
                  <w:vAlign w:val="center"/>
                </w:tcPr>
                <w:p w14:paraId="6FDA095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default" w:ascii="Times New Roman" w:hAnsi="Times New Roman" w:eastAsia="宋体"/>
                      <w:color w:val="auto"/>
                      <w:szCs w:val="21"/>
                    </w:rPr>
                    <w:t>-</w:t>
                  </w:r>
                  <w:r>
                    <w:rPr>
                      <w:rFonts w:hint="eastAsia" w:ascii="Times New Roman" w:hAnsi="Times New Roman" w:eastAsia="宋体"/>
                      <w:color w:val="auto"/>
                      <w:szCs w:val="21"/>
                      <w:lang w:val="en-US" w:eastAsia="zh-CN"/>
                    </w:rPr>
                    <w:t>289.3</w:t>
                  </w:r>
                </w:p>
              </w:tc>
              <w:tc>
                <w:tcPr>
                  <w:tcW w:w="435" w:type="pct"/>
                  <w:shd w:val="clear" w:color="auto" w:fill="auto"/>
                  <w:vAlign w:val="center"/>
                </w:tcPr>
                <w:p w14:paraId="42E3DAD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167.3</w:t>
                  </w:r>
                </w:p>
              </w:tc>
              <w:tc>
                <w:tcPr>
                  <w:tcW w:w="491" w:type="pct"/>
                  <w:shd w:val="clear" w:color="auto" w:fill="auto"/>
                  <w:vAlign w:val="center"/>
                </w:tcPr>
                <w:p w14:paraId="30EAFDED">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1.2</w:t>
                  </w:r>
                </w:p>
              </w:tc>
              <w:tc>
                <w:tcPr>
                  <w:tcW w:w="1459" w:type="pct"/>
                  <w:shd w:val="clear" w:color="auto" w:fill="auto"/>
                  <w:vAlign w:val="center"/>
                </w:tcPr>
                <w:p w14:paraId="1108FE53">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70</w:t>
                  </w:r>
                </w:p>
              </w:tc>
              <w:tc>
                <w:tcPr>
                  <w:tcW w:w="983" w:type="pct"/>
                  <w:vMerge w:val="restart"/>
                  <w:shd w:val="clear" w:color="auto" w:fill="auto"/>
                  <w:vAlign w:val="center"/>
                </w:tcPr>
                <w:p w14:paraId="3E59DA5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rPr>
                    <w:t>选用低噪设备，设备及时保养和维修。车辆进出项目区低速、禁鸣</w:t>
                  </w:r>
                </w:p>
              </w:tc>
              <w:tc>
                <w:tcPr>
                  <w:tcW w:w="462" w:type="pct"/>
                  <w:vMerge w:val="restart"/>
                  <w:shd w:val="clear" w:color="auto" w:fill="auto"/>
                  <w:vAlign w:val="center"/>
                </w:tcPr>
                <w:p w14:paraId="07F3147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eastAsia" w:ascii="Times New Roman" w:hAnsi="Times New Roman" w:eastAsia="宋体"/>
                      <w:color w:val="auto"/>
                      <w:szCs w:val="21"/>
                    </w:rPr>
                    <w:t>昼间</w:t>
                  </w:r>
                </w:p>
              </w:tc>
            </w:tr>
            <w:tr w14:paraId="2FE1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275" w:type="pct"/>
                  <w:shd w:val="clear" w:color="auto" w:fill="auto"/>
                  <w:vAlign w:val="center"/>
                </w:tcPr>
                <w:p w14:paraId="54B2EF7E">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w:t>
                  </w:r>
                </w:p>
              </w:tc>
              <w:tc>
                <w:tcPr>
                  <w:tcW w:w="462" w:type="pct"/>
                  <w:shd w:val="clear" w:color="auto" w:fill="auto"/>
                  <w:vAlign w:val="center"/>
                </w:tcPr>
                <w:p w14:paraId="2E34A82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潜孔钻机</w:t>
                  </w:r>
                </w:p>
              </w:tc>
              <w:tc>
                <w:tcPr>
                  <w:tcW w:w="429" w:type="pct"/>
                  <w:shd w:val="clear" w:color="auto" w:fill="auto"/>
                  <w:vAlign w:val="center"/>
                </w:tcPr>
                <w:p w14:paraId="0C966821">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default" w:ascii="Times New Roman" w:hAnsi="Times New Roman" w:eastAsia="宋体"/>
                      <w:color w:val="auto"/>
                      <w:szCs w:val="21"/>
                    </w:rPr>
                    <w:t>-</w:t>
                  </w:r>
                  <w:r>
                    <w:rPr>
                      <w:rFonts w:hint="eastAsia" w:ascii="Times New Roman" w:hAnsi="Times New Roman" w:eastAsia="宋体"/>
                      <w:color w:val="auto"/>
                      <w:szCs w:val="21"/>
                      <w:lang w:val="en-US" w:eastAsia="zh-CN"/>
                    </w:rPr>
                    <w:t>311.3</w:t>
                  </w:r>
                </w:p>
              </w:tc>
              <w:tc>
                <w:tcPr>
                  <w:tcW w:w="435" w:type="pct"/>
                  <w:shd w:val="clear" w:color="auto" w:fill="auto"/>
                  <w:vAlign w:val="center"/>
                </w:tcPr>
                <w:p w14:paraId="5F462BC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176.6</w:t>
                  </w:r>
                </w:p>
              </w:tc>
              <w:tc>
                <w:tcPr>
                  <w:tcW w:w="491" w:type="pct"/>
                  <w:shd w:val="clear" w:color="auto" w:fill="auto"/>
                  <w:vAlign w:val="center"/>
                </w:tcPr>
                <w:p w14:paraId="56F9A84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1.2</w:t>
                  </w:r>
                </w:p>
              </w:tc>
              <w:tc>
                <w:tcPr>
                  <w:tcW w:w="1459" w:type="pct"/>
                  <w:shd w:val="clear" w:color="auto" w:fill="auto"/>
                  <w:vAlign w:val="center"/>
                </w:tcPr>
                <w:p w14:paraId="0CFD812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80</w:t>
                  </w:r>
                </w:p>
              </w:tc>
              <w:tc>
                <w:tcPr>
                  <w:tcW w:w="983" w:type="pct"/>
                  <w:vMerge w:val="continue"/>
                  <w:shd w:val="clear" w:color="auto" w:fill="auto"/>
                  <w:vAlign w:val="center"/>
                </w:tcPr>
                <w:p w14:paraId="10D23267">
                  <w:pPr>
                    <w:keepNext w:val="0"/>
                    <w:keepLines w:val="0"/>
                    <w:suppressLineNumbers w:val="0"/>
                    <w:spacing w:before="0" w:beforeAutospacing="0" w:after="0" w:afterAutospacing="0"/>
                    <w:ind w:left="0" w:right="0"/>
                    <w:jc w:val="center"/>
                    <w:rPr>
                      <w:rFonts w:hint="default" w:ascii="Times New Roman" w:hAnsi="Times New Roman" w:eastAsia="宋体"/>
                      <w:color w:val="auto"/>
                    </w:rPr>
                  </w:pPr>
                </w:p>
              </w:tc>
              <w:tc>
                <w:tcPr>
                  <w:tcW w:w="462" w:type="pct"/>
                  <w:vMerge w:val="continue"/>
                  <w:shd w:val="clear" w:color="auto" w:fill="auto"/>
                  <w:vAlign w:val="center"/>
                </w:tcPr>
                <w:p w14:paraId="1A20702B">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rPr>
                  </w:pPr>
                </w:p>
              </w:tc>
            </w:tr>
            <w:tr w14:paraId="0A94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275" w:type="pct"/>
                  <w:shd w:val="clear" w:color="auto" w:fill="auto"/>
                  <w:vAlign w:val="center"/>
                </w:tcPr>
                <w:p w14:paraId="5E7AA30E">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3</w:t>
                  </w:r>
                </w:p>
              </w:tc>
              <w:tc>
                <w:tcPr>
                  <w:tcW w:w="462" w:type="pct"/>
                  <w:shd w:val="clear" w:color="auto" w:fill="auto"/>
                  <w:vAlign w:val="center"/>
                </w:tcPr>
                <w:p w14:paraId="3689B29A">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装载机</w:t>
                  </w:r>
                </w:p>
              </w:tc>
              <w:tc>
                <w:tcPr>
                  <w:tcW w:w="429" w:type="pct"/>
                  <w:shd w:val="clear" w:color="auto" w:fill="auto"/>
                  <w:vAlign w:val="center"/>
                </w:tcPr>
                <w:p w14:paraId="7332A10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default" w:ascii="Times New Roman" w:hAnsi="Times New Roman" w:eastAsia="宋体"/>
                      <w:color w:val="auto"/>
                      <w:szCs w:val="21"/>
                    </w:rPr>
                    <w:t>-</w:t>
                  </w:r>
                  <w:r>
                    <w:rPr>
                      <w:rFonts w:hint="eastAsia" w:ascii="Times New Roman" w:hAnsi="Times New Roman" w:eastAsia="宋体"/>
                      <w:color w:val="auto"/>
                      <w:szCs w:val="21"/>
                      <w:lang w:val="en-US" w:eastAsia="zh-CN"/>
                    </w:rPr>
                    <w:t>282.7</w:t>
                  </w:r>
                </w:p>
              </w:tc>
              <w:tc>
                <w:tcPr>
                  <w:tcW w:w="435" w:type="pct"/>
                  <w:shd w:val="clear" w:color="auto" w:fill="auto"/>
                  <w:vAlign w:val="center"/>
                </w:tcPr>
                <w:p w14:paraId="4005EAD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178.6</w:t>
                  </w:r>
                </w:p>
              </w:tc>
              <w:tc>
                <w:tcPr>
                  <w:tcW w:w="491" w:type="pct"/>
                  <w:shd w:val="clear" w:color="auto" w:fill="auto"/>
                  <w:vAlign w:val="center"/>
                </w:tcPr>
                <w:p w14:paraId="065DA6DD">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2</w:t>
                  </w:r>
                </w:p>
              </w:tc>
              <w:tc>
                <w:tcPr>
                  <w:tcW w:w="1459" w:type="pct"/>
                  <w:shd w:val="clear" w:color="auto" w:fill="auto"/>
                  <w:vAlign w:val="center"/>
                </w:tcPr>
                <w:p w14:paraId="12A1DFF2">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70</w:t>
                  </w:r>
                </w:p>
              </w:tc>
              <w:tc>
                <w:tcPr>
                  <w:tcW w:w="983" w:type="pct"/>
                  <w:vMerge w:val="continue"/>
                  <w:shd w:val="clear" w:color="auto" w:fill="auto"/>
                  <w:vAlign w:val="center"/>
                </w:tcPr>
                <w:p w14:paraId="70BA0E58">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c>
                <w:tcPr>
                  <w:tcW w:w="462" w:type="pct"/>
                  <w:vMerge w:val="continue"/>
                  <w:shd w:val="clear" w:color="auto" w:fill="auto"/>
                  <w:vAlign w:val="center"/>
                </w:tcPr>
                <w:p w14:paraId="3F0C5B9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r>
            <w:tr w14:paraId="0A0B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275" w:type="pct"/>
                  <w:shd w:val="clear" w:color="auto" w:fill="auto"/>
                  <w:vAlign w:val="center"/>
                </w:tcPr>
                <w:p w14:paraId="06CC1322">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4</w:t>
                  </w:r>
                </w:p>
              </w:tc>
              <w:tc>
                <w:tcPr>
                  <w:tcW w:w="462" w:type="pct"/>
                  <w:shd w:val="clear" w:color="auto" w:fill="auto"/>
                  <w:vAlign w:val="center"/>
                </w:tcPr>
                <w:p w14:paraId="2FC3918D">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自卸车</w:t>
                  </w:r>
                </w:p>
              </w:tc>
              <w:tc>
                <w:tcPr>
                  <w:tcW w:w="429" w:type="pct"/>
                  <w:shd w:val="clear" w:color="auto" w:fill="auto"/>
                  <w:vAlign w:val="center"/>
                </w:tcPr>
                <w:p w14:paraId="651C6693">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default" w:ascii="Times New Roman" w:hAnsi="Times New Roman" w:eastAsia="宋体"/>
                      <w:color w:val="auto"/>
                      <w:szCs w:val="21"/>
                    </w:rPr>
                    <w:t>-</w:t>
                  </w:r>
                  <w:r>
                    <w:rPr>
                      <w:rFonts w:hint="eastAsia" w:ascii="Times New Roman" w:hAnsi="Times New Roman" w:eastAsia="宋体"/>
                      <w:color w:val="auto"/>
                      <w:szCs w:val="21"/>
                      <w:lang w:val="en-US" w:eastAsia="zh-CN"/>
                    </w:rPr>
                    <w:t>297.7</w:t>
                  </w:r>
                </w:p>
              </w:tc>
              <w:tc>
                <w:tcPr>
                  <w:tcW w:w="435" w:type="pct"/>
                  <w:shd w:val="clear" w:color="auto" w:fill="auto"/>
                  <w:vAlign w:val="center"/>
                </w:tcPr>
                <w:p w14:paraId="44C942D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193.3</w:t>
                  </w:r>
                </w:p>
              </w:tc>
              <w:tc>
                <w:tcPr>
                  <w:tcW w:w="491" w:type="pct"/>
                  <w:shd w:val="clear" w:color="auto" w:fill="auto"/>
                  <w:vAlign w:val="center"/>
                </w:tcPr>
                <w:p w14:paraId="4ED86B7A">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2</w:t>
                  </w:r>
                </w:p>
              </w:tc>
              <w:tc>
                <w:tcPr>
                  <w:tcW w:w="1459" w:type="pct"/>
                  <w:shd w:val="clear" w:color="auto" w:fill="auto"/>
                  <w:vAlign w:val="center"/>
                </w:tcPr>
                <w:p w14:paraId="68B95DD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65</w:t>
                  </w:r>
                </w:p>
              </w:tc>
              <w:tc>
                <w:tcPr>
                  <w:tcW w:w="983" w:type="pct"/>
                  <w:vMerge w:val="continue"/>
                  <w:shd w:val="clear" w:color="auto" w:fill="auto"/>
                  <w:vAlign w:val="center"/>
                </w:tcPr>
                <w:p w14:paraId="4353B6D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c>
                <w:tcPr>
                  <w:tcW w:w="462" w:type="pct"/>
                  <w:vMerge w:val="continue"/>
                  <w:shd w:val="clear" w:color="auto" w:fill="auto"/>
                  <w:vAlign w:val="center"/>
                </w:tcPr>
                <w:p w14:paraId="3EFD23D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r>
          </w:tbl>
          <w:p w14:paraId="2DBFC573">
            <w:pPr>
              <w:keepNext w:val="0"/>
              <w:keepLines w:val="0"/>
              <w:suppressLineNumbers w:val="0"/>
              <w:spacing w:before="0" w:beforeAutospacing="0" w:after="0" w:afterAutospacing="0"/>
              <w:ind w:left="0" w:right="0" w:firstLine="1050" w:firstLineChars="500"/>
              <w:rPr>
                <w:rFonts w:hint="default"/>
                <w:color w:val="auto"/>
              </w:rPr>
            </w:pPr>
            <w:r>
              <w:rPr>
                <w:rFonts w:hint="eastAsia" w:eastAsiaTheme="minorEastAsia"/>
                <w:bCs/>
                <w:color w:val="auto"/>
                <w:szCs w:val="21"/>
              </w:rPr>
              <w:t>注：</w:t>
            </w:r>
            <w:r>
              <w:rPr>
                <w:rFonts w:hint="default" w:eastAsiaTheme="minorEastAsia"/>
                <w:bCs/>
                <w:color w:val="auto"/>
                <w:szCs w:val="21"/>
              </w:rPr>
              <w:t>表中坐标以厂界中心（</w:t>
            </w:r>
            <w:r>
              <w:rPr>
                <w:rFonts w:hint="eastAsia" w:eastAsiaTheme="minorEastAsia"/>
                <w:bCs/>
                <w:color w:val="auto"/>
                <w:szCs w:val="21"/>
              </w:rPr>
              <w:t>86.346388</w:t>
            </w:r>
            <w:r>
              <w:rPr>
                <w:rFonts w:hint="eastAsia" w:eastAsiaTheme="minorEastAsia"/>
                <w:bCs/>
                <w:color w:val="auto"/>
                <w:szCs w:val="21"/>
                <w:lang w:val="en-US" w:eastAsia="zh-CN"/>
              </w:rPr>
              <w:t>9；42.493611</w:t>
            </w:r>
            <w:r>
              <w:rPr>
                <w:rFonts w:hint="default" w:eastAsiaTheme="minorEastAsia"/>
                <w:bCs/>
                <w:color w:val="auto"/>
                <w:szCs w:val="21"/>
              </w:rPr>
              <w:t>）为坐标原点，正东向为X轴正方向，正北向为Y轴正方向</w:t>
            </w:r>
            <w:r>
              <w:rPr>
                <w:rFonts w:hint="eastAsia" w:eastAsiaTheme="minorEastAsia"/>
                <w:bCs/>
                <w:color w:val="auto"/>
                <w:szCs w:val="21"/>
              </w:rPr>
              <w:t>。</w:t>
            </w:r>
          </w:p>
          <w:p w14:paraId="10864B0C">
            <w:pPr>
              <w:keepNext w:val="0"/>
              <w:keepLines w:val="0"/>
              <w:suppressLineNumbers w:val="0"/>
              <w:adjustRightInd w:val="0"/>
              <w:snapToGrid w:val="0"/>
              <w:spacing w:before="0" w:beforeAutospacing="0" w:after="0" w:afterAutospacing="0" w:line="520" w:lineRule="exact"/>
              <w:ind w:left="0" w:right="0"/>
              <w:jc w:val="center"/>
              <w:rPr>
                <w:rFonts w:hint="default" w:eastAsiaTheme="minorEastAsia"/>
                <w:b/>
                <w:color w:val="auto"/>
                <w:sz w:val="24"/>
              </w:rPr>
            </w:pPr>
            <w:r>
              <w:rPr>
                <w:rFonts w:hint="default" w:eastAsiaTheme="minorEastAsia"/>
                <w:b/>
                <w:color w:val="auto"/>
                <w:sz w:val="24"/>
              </w:rPr>
              <w:t>表</w:t>
            </w:r>
            <w:r>
              <w:rPr>
                <w:rFonts w:hint="eastAsia" w:eastAsiaTheme="minorEastAsia"/>
                <w:b/>
                <w:color w:val="auto"/>
                <w:sz w:val="24"/>
              </w:rPr>
              <w:t>4-</w:t>
            </w:r>
            <w:r>
              <w:rPr>
                <w:rFonts w:hint="eastAsia" w:eastAsiaTheme="minorEastAsia"/>
                <w:b/>
                <w:color w:val="auto"/>
                <w:sz w:val="24"/>
                <w:lang w:val="en-US" w:eastAsia="zh-CN"/>
              </w:rPr>
              <w:t>9</w:t>
            </w:r>
            <w:r>
              <w:rPr>
                <w:rFonts w:hint="default" w:eastAsiaTheme="minorEastAsia"/>
                <w:b/>
                <w:color w:val="auto"/>
                <w:sz w:val="24"/>
              </w:rPr>
              <w:t>工业企业噪声源强调查清单（室内声源）</w:t>
            </w:r>
          </w:p>
          <w:tbl>
            <w:tblPr>
              <w:tblStyle w:val="23"/>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1694"/>
              <w:gridCol w:w="992"/>
              <w:gridCol w:w="659"/>
              <w:gridCol w:w="521"/>
              <w:gridCol w:w="527"/>
              <w:gridCol w:w="548"/>
              <w:gridCol w:w="378"/>
              <w:gridCol w:w="484"/>
              <w:gridCol w:w="484"/>
              <w:gridCol w:w="511"/>
              <w:gridCol w:w="431"/>
              <w:gridCol w:w="378"/>
              <w:gridCol w:w="394"/>
              <w:gridCol w:w="479"/>
              <w:gridCol w:w="427"/>
              <w:gridCol w:w="891"/>
              <w:gridCol w:w="447"/>
              <w:gridCol w:w="381"/>
              <w:gridCol w:w="447"/>
              <w:gridCol w:w="479"/>
              <w:gridCol w:w="883"/>
            </w:tblGrid>
            <w:tr w14:paraId="6979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60" w:type="pct"/>
                  <w:vMerge w:val="restart"/>
                  <w:vAlign w:val="center"/>
                </w:tcPr>
                <w:p w14:paraId="04C922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b/>
                      <w:color w:val="auto"/>
                      <w:szCs w:val="21"/>
                    </w:rPr>
                    <w:t>序号</w:t>
                  </w:r>
                </w:p>
              </w:tc>
              <w:tc>
                <w:tcPr>
                  <w:tcW w:w="160" w:type="pct"/>
                  <w:vMerge w:val="restart"/>
                  <w:vAlign w:val="center"/>
                </w:tcPr>
                <w:p w14:paraId="61016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b/>
                      <w:color w:val="auto"/>
                      <w:szCs w:val="21"/>
                    </w:rPr>
                    <w:t>建筑物名称</w:t>
                  </w:r>
                </w:p>
              </w:tc>
              <w:tc>
                <w:tcPr>
                  <w:tcW w:w="637" w:type="pct"/>
                  <w:vMerge w:val="restart"/>
                  <w:vAlign w:val="center"/>
                </w:tcPr>
                <w:p w14:paraId="51478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b/>
                      <w:color w:val="auto"/>
                      <w:szCs w:val="21"/>
                    </w:rPr>
                    <w:t>声源名称</w:t>
                  </w:r>
                </w:p>
              </w:tc>
              <w:tc>
                <w:tcPr>
                  <w:tcW w:w="373" w:type="pct"/>
                  <w:vAlign w:val="center"/>
                </w:tcPr>
                <w:p w14:paraId="4929E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b/>
                      <w:color w:val="auto"/>
                      <w:szCs w:val="21"/>
                    </w:rPr>
                    <w:t>声源源强</w:t>
                  </w:r>
                </w:p>
              </w:tc>
              <w:tc>
                <w:tcPr>
                  <w:tcW w:w="248" w:type="pct"/>
                  <w:vMerge w:val="restart"/>
                  <w:vAlign w:val="center"/>
                </w:tcPr>
                <w:p w14:paraId="44574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b/>
                      <w:color w:val="auto"/>
                      <w:szCs w:val="21"/>
                    </w:rPr>
                    <w:t>声源控制措施</w:t>
                  </w:r>
                </w:p>
              </w:tc>
              <w:tc>
                <w:tcPr>
                  <w:tcW w:w="600" w:type="pct"/>
                  <w:gridSpan w:val="3"/>
                  <w:vAlign w:val="center"/>
                </w:tcPr>
                <w:p w14:paraId="31B2A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b/>
                      <w:color w:val="auto"/>
                      <w:szCs w:val="21"/>
                    </w:rPr>
                    <w:t>空间相对位置/m</w:t>
                  </w:r>
                </w:p>
              </w:tc>
              <w:tc>
                <w:tcPr>
                  <w:tcW w:w="698" w:type="pct"/>
                  <w:gridSpan w:val="4"/>
                  <w:vAlign w:val="center"/>
                </w:tcPr>
                <w:p w14:paraId="3C80B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b/>
                      <w:color w:val="auto"/>
                      <w:szCs w:val="21"/>
                    </w:rPr>
                  </w:pPr>
                  <w:r>
                    <w:rPr>
                      <w:rFonts w:hint="default" w:ascii="Times New Roman" w:hAnsi="Times New Roman" w:eastAsia="宋体"/>
                      <w:b/>
                      <w:color w:val="auto"/>
                      <w:szCs w:val="21"/>
                    </w:rPr>
                    <w:t>距室内边界距离/m</w:t>
                  </w:r>
                </w:p>
              </w:tc>
              <w:tc>
                <w:tcPr>
                  <w:tcW w:w="632" w:type="pct"/>
                  <w:gridSpan w:val="4"/>
                  <w:vAlign w:val="center"/>
                </w:tcPr>
                <w:p w14:paraId="153E1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b/>
                      <w:color w:val="auto"/>
                      <w:szCs w:val="21"/>
                    </w:rPr>
                  </w:pPr>
                  <w:r>
                    <w:rPr>
                      <w:rFonts w:hint="default" w:ascii="Times New Roman" w:hAnsi="Times New Roman" w:eastAsia="宋体"/>
                      <w:b/>
                      <w:color w:val="auto"/>
                      <w:szCs w:val="21"/>
                    </w:rPr>
                    <w:t>室内边界声级/dB</w:t>
                  </w:r>
                  <w:r>
                    <w:rPr>
                      <w:rFonts w:hint="eastAsia" w:ascii="Times New Roman" w:hAnsi="Times New Roman" w:eastAsia="宋体"/>
                      <w:b/>
                      <w:color w:val="auto"/>
                      <w:szCs w:val="21"/>
                    </w:rPr>
                    <w:t>（</w:t>
                  </w:r>
                  <w:r>
                    <w:rPr>
                      <w:rFonts w:hint="default" w:ascii="Times New Roman" w:hAnsi="Times New Roman" w:eastAsia="宋体"/>
                      <w:b/>
                      <w:color w:val="auto"/>
                      <w:szCs w:val="21"/>
                    </w:rPr>
                    <w:t>A</w:t>
                  </w:r>
                  <w:r>
                    <w:rPr>
                      <w:rFonts w:hint="eastAsia" w:ascii="Times New Roman" w:hAnsi="Times New Roman" w:eastAsia="宋体"/>
                      <w:b/>
                      <w:color w:val="auto"/>
                      <w:szCs w:val="21"/>
                    </w:rPr>
                    <w:t>）</w:t>
                  </w:r>
                </w:p>
              </w:tc>
              <w:tc>
                <w:tcPr>
                  <w:tcW w:w="160" w:type="pct"/>
                  <w:vMerge w:val="restart"/>
                  <w:vAlign w:val="center"/>
                </w:tcPr>
                <w:p w14:paraId="33A3C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b/>
                      <w:color w:val="auto"/>
                      <w:szCs w:val="21"/>
                    </w:rPr>
                    <w:t>运行时段</w:t>
                  </w:r>
                </w:p>
              </w:tc>
              <w:tc>
                <w:tcPr>
                  <w:tcW w:w="335" w:type="pct"/>
                  <w:vMerge w:val="restart"/>
                  <w:vAlign w:val="center"/>
                </w:tcPr>
                <w:p w14:paraId="14948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b/>
                      <w:color w:val="auto"/>
                      <w:szCs w:val="21"/>
                    </w:rPr>
                  </w:pPr>
                  <w:r>
                    <w:rPr>
                      <w:rFonts w:hint="default" w:ascii="Times New Roman" w:hAnsi="Times New Roman" w:eastAsia="宋体"/>
                      <w:b/>
                      <w:color w:val="auto"/>
                      <w:szCs w:val="21"/>
                    </w:rPr>
                    <w:t>建筑物插入损失/dB</w:t>
                  </w:r>
                  <w:r>
                    <w:rPr>
                      <w:rFonts w:hint="eastAsia" w:ascii="Times New Roman" w:hAnsi="Times New Roman" w:eastAsia="宋体"/>
                      <w:b/>
                      <w:color w:val="auto"/>
                      <w:szCs w:val="21"/>
                    </w:rPr>
                    <w:t>（</w:t>
                  </w:r>
                  <w:r>
                    <w:rPr>
                      <w:rFonts w:hint="default" w:ascii="Times New Roman" w:hAnsi="Times New Roman" w:eastAsia="宋体"/>
                      <w:b/>
                      <w:color w:val="auto"/>
                      <w:szCs w:val="21"/>
                    </w:rPr>
                    <w:t>A</w:t>
                  </w:r>
                  <w:r>
                    <w:rPr>
                      <w:rFonts w:hint="eastAsia" w:ascii="Times New Roman" w:hAnsi="Times New Roman" w:eastAsia="宋体"/>
                      <w:b/>
                      <w:color w:val="auto"/>
                      <w:szCs w:val="21"/>
                    </w:rPr>
                    <w:t>）</w:t>
                  </w:r>
                </w:p>
              </w:tc>
              <w:tc>
                <w:tcPr>
                  <w:tcW w:w="991" w:type="pct"/>
                  <w:gridSpan w:val="5"/>
                  <w:vAlign w:val="center"/>
                </w:tcPr>
                <w:p w14:paraId="002D8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b/>
                      <w:color w:val="auto"/>
                      <w:szCs w:val="21"/>
                    </w:rPr>
                  </w:pPr>
                  <w:r>
                    <w:rPr>
                      <w:rFonts w:hint="default" w:ascii="Times New Roman" w:hAnsi="Times New Roman" w:eastAsia="宋体"/>
                      <w:b/>
                      <w:color w:val="auto"/>
                      <w:szCs w:val="21"/>
                    </w:rPr>
                    <w:t>建筑物外噪声声压级/dB</w:t>
                  </w:r>
                  <w:r>
                    <w:rPr>
                      <w:rFonts w:hint="eastAsia" w:ascii="Times New Roman" w:hAnsi="Times New Roman" w:eastAsia="宋体"/>
                      <w:b/>
                      <w:color w:val="auto"/>
                      <w:szCs w:val="21"/>
                    </w:rPr>
                    <w:t>（</w:t>
                  </w:r>
                  <w:r>
                    <w:rPr>
                      <w:rFonts w:hint="default" w:ascii="Times New Roman" w:hAnsi="Times New Roman" w:eastAsia="宋体"/>
                      <w:b/>
                      <w:color w:val="auto"/>
                      <w:szCs w:val="21"/>
                    </w:rPr>
                    <w:t>A</w:t>
                  </w:r>
                  <w:r>
                    <w:rPr>
                      <w:rFonts w:hint="eastAsia" w:ascii="Times New Roman" w:hAnsi="Times New Roman" w:eastAsia="宋体"/>
                      <w:b/>
                      <w:color w:val="auto"/>
                      <w:szCs w:val="21"/>
                    </w:rPr>
                    <w:t>）</w:t>
                  </w:r>
                </w:p>
              </w:tc>
            </w:tr>
            <w:tr w14:paraId="704A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60" w:type="pct"/>
                  <w:vMerge w:val="continue"/>
                  <w:shd w:val="clear" w:color="auto" w:fill="FFFFFF"/>
                  <w:tcMar>
                    <w:top w:w="0" w:type="dxa"/>
                    <w:left w:w="0" w:type="dxa"/>
                    <w:bottom w:w="0" w:type="dxa"/>
                    <w:right w:w="0" w:type="dxa"/>
                  </w:tcMar>
                  <w:vAlign w:val="center"/>
                </w:tcPr>
                <w:p w14:paraId="3C313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p>
              </w:tc>
              <w:tc>
                <w:tcPr>
                  <w:tcW w:w="160" w:type="pct"/>
                  <w:vMerge w:val="continue"/>
                  <w:shd w:val="clear" w:color="auto" w:fill="FFFFFF"/>
                  <w:tcMar>
                    <w:top w:w="0" w:type="dxa"/>
                    <w:left w:w="0" w:type="dxa"/>
                    <w:bottom w:w="0" w:type="dxa"/>
                    <w:right w:w="0" w:type="dxa"/>
                  </w:tcMar>
                  <w:vAlign w:val="center"/>
                </w:tcPr>
                <w:p w14:paraId="44B82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p>
              </w:tc>
              <w:tc>
                <w:tcPr>
                  <w:tcW w:w="637" w:type="pct"/>
                  <w:vMerge w:val="continue"/>
                  <w:shd w:val="clear" w:color="auto" w:fill="FFFFFF"/>
                  <w:tcMar>
                    <w:top w:w="0" w:type="dxa"/>
                    <w:left w:w="0" w:type="dxa"/>
                    <w:bottom w:w="0" w:type="dxa"/>
                    <w:right w:w="0" w:type="dxa"/>
                  </w:tcMar>
                  <w:vAlign w:val="center"/>
                </w:tcPr>
                <w:p w14:paraId="597F9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p>
              </w:tc>
              <w:tc>
                <w:tcPr>
                  <w:tcW w:w="373" w:type="pct"/>
                  <w:shd w:val="clear" w:color="auto" w:fill="auto"/>
                  <w:tcMar>
                    <w:top w:w="0" w:type="dxa"/>
                    <w:left w:w="0" w:type="dxa"/>
                    <w:bottom w:w="0" w:type="dxa"/>
                    <w:right w:w="0" w:type="dxa"/>
                  </w:tcMar>
                  <w:vAlign w:val="center"/>
                </w:tcPr>
                <w:p w14:paraId="73D63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声功率级/dB</w:t>
                  </w:r>
                  <w:r>
                    <w:rPr>
                      <w:rFonts w:hint="eastAsia" w:ascii="Times New Roman" w:hAnsi="Times New Roman" w:eastAsia="宋体"/>
                      <w:color w:val="auto"/>
                      <w:szCs w:val="21"/>
                    </w:rPr>
                    <w:t>（</w:t>
                  </w:r>
                  <w:r>
                    <w:rPr>
                      <w:rFonts w:hint="default" w:ascii="Times New Roman" w:hAnsi="Times New Roman" w:eastAsia="宋体"/>
                      <w:color w:val="auto"/>
                      <w:szCs w:val="21"/>
                    </w:rPr>
                    <w:t>A</w:t>
                  </w:r>
                  <w:r>
                    <w:rPr>
                      <w:rFonts w:hint="eastAsia" w:ascii="Times New Roman" w:hAnsi="Times New Roman" w:eastAsia="宋体"/>
                      <w:color w:val="auto"/>
                      <w:szCs w:val="21"/>
                    </w:rPr>
                    <w:t>）</w:t>
                  </w:r>
                </w:p>
              </w:tc>
              <w:tc>
                <w:tcPr>
                  <w:tcW w:w="248" w:type="pct"/>
                  <w:vMerge w:val="continue"/>
                  <w:shd w:val="clear" w:color="auto" w:fill="auto"/>
                  <w:tcMar>
                    <w:top w:w="0" w:type="dxa"/>
                    <w:left w:w="0" w:type="dxa"/>
                    <w:bottom w:w="0" w:type="dxa"/>
                    <w:right w:w="0" w:type="dxa"/>
                  </w:tcMar>
                  <w:vAlign w:val="center"/>
                </w:tcPr>
                <w:p w14:paraId="65FE4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p>
              </w:tc>
              <w:tc>
                <w:tcPr>
                  <w:tcW w:w="196" w:type="pct"/>
                  <w:shd w:val="clear" w:color="auto" w:fill="auto"/>
                  <w:tcMar>
                    <w:top w:w="0" w:type="dxa"/>
                    <w:left w:w="0" w:type="dxa"/>
                    <w:bottom w:w="0" w:type="dxa"/>
                    <w:right w:w="0" w:type="dxa"/>
                  </w:tcMar>
                  <w:vAlign w:val="center"/>
                </w:tcPr>
                <w:p w14:paraId="46B5A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X</w:t>
                  </w:r>
                </w:p>
              </w:tc>
              <w:tc>
                <w:tcPr>
                  <w:tcW w:w="198" w:type="pct"/>
                  <w:shd w:val="clear" w:color="auto" w:fill="auto"/>
                  <w:tcMar>
                    <w:top w:w="0" w:type="dxa"/>
                    <w:left w:w="0" w:type="dxa"/>
                    <w:bottom w:w="0" w:type="dxa"/>
                    <w:right w:w="0" w:type="dxa"/>
                  </w:tcMar>
                  <w:vAlign w:val="center"/>
                </w:tcPr>
                <w:p w14:paraId="21FBD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Y</w:t>
                  </w:r>
                </w:p>
              </w:tc>
              <w:tc>
                <w:tcPr>
                  <w:tcW w:w="204" w:type="pct"/>
                  <w:shd w:val="clear" w:color="auto" w:fill="auto"/>
                  <w:tcMar>
                    <w:top w:w="0" w:type="dxa"/>
                    <w:left w:w="0" w:type="dxa"/>
                    <w:bottom w:w="0" w:type="dxa"/>
                    <w:right w:w="0" w:type="dxa"/>
                  </w:tcMar>
                  <w:vAlign w:val="center"/>
                </w:tcPr>
                <w:p w14:paraId="6F65F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Z</w:t>
                  </w:r>
                </w:p>
              </w:tc>
              <w:tc>
                <w:tcPr>
                  <w:tcW w:w="142" w:type="pct"/>
                  <w:shd w:val="clear" w:color="auto" w:fill="auto"/>
                  <w:tcMar>
                    <w:top w:w="0" w:type="dxa"/>
                    <w:left w:w="0" w:type="dxa"/>
                    <w:bottom w:w="0" w:type="dxa"/>
                    <w:right w:w="0" w:type="dxa"/>
                  </w:tcMar>
                  <w:vAlign w:val="center"/>
                </w:tcPr>
                <w:p w14:paraId="207C1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东</w:t>
                  </w:r>
                </w:p>
              </w:tc>
              <w:tc>
                <w:tcPr>
                  <w:tcW w:w="182" w:type="pct"/>
                  <w:shd w:val="clear" w:color="auto" w:fill="auto"/>
                  <w:tcMar>
                    <w:top w:w="0" w:type="dxa"/>
                    <w:left w:w="0" w:type="dxa"/>
                    <w:bottom w:w="0" w:type="dxa"/>
                    <w:right w:w="0" w:type="dxa"/>
                  </w:tcMar>
                  <w:vAlign w:val="center"/>
                </w:tcPr>
                <w:p w14:paraId="0E1E3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南</w:t>
                  </w:r>
                </w:p>
              </w:tc>
              <w:tc>
                <w:tcPr>
                  <w:tcW w:w="182" w:type="pct"/>
                  <w:shd w:val="clear" w:color="auto" w:fill="auto"/>
                  <w:tcMar>
                    <w:top w:w="0" w:type="dxa"/>
                    <w:left w:w="0" w:type="dxa"/>
                    <w:bottom w:w="0" w:type="dxa"/>
                    <w:right w:w="0" w:type="dxa"/>
                  </w:tcMar>
                  <w:vAlign w:val="center"/>
                </w:tcPr>
                <w:p w14:paraId="211E8A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西</w:t>
                  </w:r>
                </w:p>
              </w:tc>
              <w:tc>
                <w:tcPr>
                  <w:tcW w:w="192" w:type="pct"/>
                  <w:shd w:val="clear" w:color="auto" w:fill="auto"/>
                  <w:tcMar>
                    <w:top w:w="0" w:type="dxa"/>
                    <w:left w:w="0" w:type="dxa"/>
                    <w:bottom w:w="0" w:type="dxa"/>
                    <w:right w:w="0" w:type="dxa"/>
                  </w:tcMar>
                  <w:vAlign w:val="center"/>
                </w:tcPr>
                <w:p w14:paraId="668C3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北</w:t>
                  </w:r>
                </w:p>
              </w:tc>
              <w:tc>
                <w:tcPr>
                  <w:tcW w:w="162" w:type="pct"/>
                  <w:shd w:val="clear" w:color="auto" w:fill="auto"/>
                  <w:tcMar>
                    <w:top w:w="0" w:type="dxa"/>
                    <w:left w:w="0" w:type="dxa"/>
                    <w:bottom w:w="0" w:type="dxa"/>
                    <w:right w:w="0" w:type="dxa"/>
                  </w:tcMar>
                  <w:vAlign w:val="center"/>
                </w:tcPr>
                <w:p w14:paraId="441A5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东</w:t>
                  </w:r>
                </w:p>
              </w:tc>
              <w:tc>
                <w:tcPr>
                  <w:tcW w:w="142" w:type="pct"/>
                  <w:shd w:val="clear" w:color="auto" w:fill="auto"/>
                  <w:tcMar>
                    <w:top w:w="0" w:type="dxa"/>
                    <w:left w:w="0" w:type="dxa"/>
                    <w:bottom w:w="0" w:type="dxa"/>
                    <w:right w:w="0" w:type="dxa"/>
                  </w:tcMar>
                  <w:vAlign w:val="center"/>
                </w:tcPr>
                <w:p w14:paraId="76BB7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南</w:t>
                  </w:r>
                </w:p>
              </w:tc>
              <w:tc>
                <w:tcPr>
                  <w:tcW w:w="148" w:type="pct"/>
                  <w:shd w:val="clear" w:color="auto" w:fill="auto"/>
                  <w:tcMar>
                    <w:top w:w="0" w:type="dxa"/>
                    <w:left w:w="0" w:type="dxa"/>
                    <w:bottom w:w="0" w:type="dxa"/>
                    <w:right w:w="0" w:type="dxa"/>
                  </w:tcMar>
                  <w:vAlign w:val="center"/>
                </w:tcPr>
                <w:p w14:paraId="66D1B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西</w:t>
                  </w:r>
                </w:p>
              </w:tc>
              <w:tc>
                <w:tcPr>
                  <w:tcW w:w="180" w:type="pct"/>
                  <w:shd w:val="clear" w:color="auto" w:fill="auto"/>
                  <w:tcMar>
                    <w:top w:w="0" w:type="dxa"/>
                    <w:left w:w="0" w:type="dxa"/>
                    <w:bottom w:w="0" w:type="dxa"/>
                    <w:right w:w="0" w:type="dxa"/>
                  </w:tcMar>
                  <w:vAlign w:val="center"/>
                </w:tcPr>
                <w:p w14:paraId="67549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北</w:t>
                  </w:r>
                </w:p>
              </w:tc>
              <w:tc>
                <w:tcPr>
                  <w:tcW w:w="160" w:type="pct"/>
                  <w:vMerge w:val="continue"/>
                  <w:shd w:val="clear" w:color="auto" w:fill="auto"/>
                  <w:tcMar>
                    <w:top w:w="0" w:type="dxa"/>
                    <w:left w:w="0" w:type="dxa"/>
                    <w:bottom w:w="0" w:type="dxa"/>
                    <w:right w:w="0" w:type="dxa"/>
                  </w:tcMar>
                  <w:vAlign w:val="center"/>
                </w:tcPr>
                <w:p w14:paraId="349CA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p>
              </w:tc>
              <w:tc>
                <w:tcPr>
                  <w:tcW w:w="335" w:type="pct"/>
                  <w:vMerge w:val="continue"/>
                  <w:shd w:val="clear" w:color="auto" w:fill="auto"/>
                  <w:tcMar>
                    <w:top w:w="0" w:type="dxa"/>
                    <w:left w:w="0" w:type="dxa"/>
                    <w:bottom w:w="0" w:type="dxa"/>
                    <w:right w:w="0" w:type="dxa"/>
                  </w:tcMar>
                  <w:vAlign w:val="center"/>
                </w:tcPr>
                <w:p w14:paraId="5DC66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p>
              </w:tc>
              <w:tc>
                <w:tcPr>
                  <w:tcW w:w="168" w:type="pct"/>
                  <w:shd w:val="clear" w:color="auto" w:fill="auto"/>
                  <w:tcMar>
                    <w:top w:w="0" w:type="dxa"/>
                    <w:left w:w="0" w:type="dxa"/>
                    <w:bottom w:w="0" w:type="dxa"/>
                    <w:right w:w="0" w:type="dxa"/>
                  </w:tcMar>
                  <w:vAlign w:val="center"/>
                </w:tcPr>
                <w:p w14:paraId="45143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东</w:t>
                  </w:r>
                </w:p>
              </w:tc>
              <w:tc>
                <w:tcPr>
                  <w:tcW w:w="143" w:type="pct"/>
                  <w:shd w:val="clear" w:color="auto" w:fill="auto"/>
                  <w:tcMar>
                    <w:top w:w="0" w:type="dxa"/>
                    <w:left w:w="0" w:type="dxa"/>
                    <w:bottom w:w="0" w:type="dxa"/>
                    <w:right w:w="0" w:type="dxa"/>
                  </w:tcMar>
                  <w:vAlign w:val="center"/>
                </w:tcPr>
                <w:p w14:paraId="50E67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南</w:t>
                  </w:r>
                </w:p>
              </w:tc>
              <w:tc>
                <w:tcPr>
                  <w:tcW w:w="168" w:type="pct"/>
                  <w:shd w:val="clear" w:color="auto" w:fill="auto"/>
                  <w:tcMar>
                    <w:top w:w="0" w:type="dxa"/>
                    <w:left w:w="0" w:type="dxa"/>
                    <w:bottom w:w="0" w:type="dxa"/>
                    <w:right w:w="0" w:type="dxa"/>
                  </w:tcMar>
                  <w:vAlign w:val="center"/>
                </w:tcPr>
                <w:p w14:paraId="2D649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西</w:t>
                  </w:r>
                </w:p>
              </w:tc>
              <w:tc>
                <w:tcPr>
                  <w:tcW w:w="180" w:type="pct"/>
                  <w:shd w:val="clear" w:color="auto" w:fill="auto"/>
                  <w:tcMar>
                    <w:top w:w="0" w:type="dxa"/>
                    <w:left w:w="0" w:type="dxa"/>
                    <w:bottom w:w="0" w:type="dxa"/>
                    <w:right w:w="0" w:type="dxa"/>
                  </w:tcMar>
                  <w:vAlign w:val="center"/>
                </w:tcPr>
                <w:p w14:paraId="4499B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北</w:t>
                  </w:r>
                </w:p>
              </w:tc>
              <w:tc>
                <w:tcPr>
                  <w:tcW w:w="332" w:type="pct"/>
                  <w:shd w:val="clear" w:color="auto" w:fill="auto"/>
                  <w:tcMar>
                    <w:top w:w="0" w:type="dxa"/>
                    <w:left w:w="0" w:type="dxa"/>
                    <w:bottom w:w="0" w:type="dxa"/>
                    <w:right w:w="0" w:type="dxa"/>
                  </w:tcMar>
                  <w:vAlign w:val="center"/>
                </w:tcPr>
                <w:p w14:paraId="46F5D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Cs w:val="21"/>
                    </w:rPr>
                  </w:pPr>
                  <w:r>
                    <w:rPr>
                      <w:rFonts w:hint="default" w:ascii="Times New Roman" w:hAnsi="Times New Roman" w:eastAsia="宋体"/>
                      <w:color w:val="auto"/>
                      <w:szCs w:val="21"/>
                    </w:rPr>
                    <w:t>建筑物外距离</w:t>
                  </w:r>
                </w:p>
              </w:tc>
            </w:tr>
            <w:tr w14:paraId="38C6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60" w:type="pct"/>
                  <w:shd w:val="clear" w:color="auto" w:fill="auto"/>
                  <w:tcMar>
                    <w:top w:w="0" w:type="dxa"/>
                    <w:left w:w="0" w:type="dxa"/>
                    <w:bottom w:w="0" w:type="dxa"/>
                    <w:right w:w="0" w:type="dxa"/>
                  </w:tcMar>
                  <w:vAlign w:val="center"/>
                </w:tcPr>
                <w:p w14:paraId="59DC5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1</w:t>
                  </w:r>
                </w:p>
              </w:tc>
              <w:tc>
                <w:tcPr>
                  <w:tcW w:w="160" w:type="pct"/>
                  <w:vMerge w:val="restart"/>
                  <w:shd w:val="clear" w:color="auto" w:fill="auto"/>
                  <w:tcMar>
                    <w:top w:w="0" w:type="dxa"/>
                    <w:left w:w="0" w:type="dxa"/>
                    <w:bottom w:w="0" w:type="dxa"/>
                    <w:right w:w="0" w:type="dxa"/>
                  </w:tcMar>
                  <w:vAlign w:val="center"/>
                </w:tcPr>
                <w:p w14:paraId="36BE95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lang w:val="en-US" w:eastAsia="zh-CN"/>
                    </w:rPr>
                    <w:t>破碎筛分</w:t>
                  </w:r>
                  <w:r>
                    <w:rPr>
                      <w:rFonts w:hint="eastAsia" w:ascii="Times New Roman" w:hAnsi="Times New Roman" w:eastAsia="宋体"/>
                      <w:color w:val="auto"/>
                    </w:rPr>
                    <w:t>车间</w:t>
                  </w:r>
                </w:p>
              </w:tc>
              <w:tc>
                <w:tcPr>
                  <w:tcW w:w="637" w:type="pct"/>
                  <w:shd w:val="clear" w:color="auto" w:fill="auto"/>
                  <w:tcMar>
                    <w:top w:w="0" w:type="dxa"/>
                    <w:left w:w="0" w:type="dxa"/>
                    <w:bottom w:w="0" w:type="dxa"/>
                    <w:right w:w="0" w:type="dxa"/>
                  </w:tcMar>
                  <w:vAlign w:val="center"/>
                </w:tcPr>
                <w:p w14:paraId="651E35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重板</w:t>
                  </w:r>
                  <w:r>
                    <w:rPr>
                      <w:rFonts w:hint="eastAsia" w:ascii="Times New Roman" w:hAnsi="Times New Roman" w:eastAsia="宋体"/>
                      <w:color w:val="auto"/>
                      <w:sz w:val="20"/>
                    </w:rPr>
                    <w:t>给料机，</w:t>
                  </w:r>
                  <w:r>
                    <w:rPr>
                      <w:rFonts w:hint="eastAsia" w:ascii="Times New Roman" w:hAnsi="Times New Roman" w:eastAsia="宋体"/>
                      <w:color w:val="auto"/>
                      <w:sz w:val="20"/>
                      <w:lang w:val="en-US" w:eastAsia="zh-CN"/>
                    </w:rPr>
                    <w:t>1</w:t>
                  </w:r>
                  <w:r>
                    <w:rPr>
                      <w:rFonts w:hint="default" w:ascii="Times New Roman" w:hAnsi="Times New Roman" w:eastAsia="宋体"/>
                      <w:color w:val="auto"/>
                      <w:sz w:val="20"/>
                    </w:rPr>
                    <w:t>台（按点声源组预测）</w:t>
                  </w:r>
                </w:p>
              </w:tc>
              <w:tc>
                <w:tcPr>
                  <w:tcW w:w="373" w:type="pct"/>
                  <w:shd w:val="clear" w:color="auto" w:fill="auto"/>
                  <w:tcMar>
                    <w:top w:w="0" w:type="dxa"/>
                    <w:left w:w="0" w:type="dxa"/>
                    <w:bottom w:w="0" w:type="dxa"/>
                    <w:right w:w="0" w:type="dxa"/>
                  </w:tcMar>
                  <w:vAlign w:val="center"/>
                </w:tcPr>
                <w:p w14:paraId="05EED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70（等效后：74.8</w:t>
                  </w:r>
                  <w:r>
                    <w:rPr>
                      <w:rFonts w:hint="eastAsia" w:ascii="Times New Roman" w:hAnsi="Times New Roman" w:eastAsia="宋体"/>
                      <w:color w:val="auto"/>
                      <w:sz w:val="20"/>
                    </w:rPr>
                    <w:t>）</w:t>
                  </w:r>
                </w:p>
              </w:tc>
              <w:tc>
                <w:tcPr>
                  <w:tcW w:w="248" w:type="pct"/>
                  <w:vMerge w:val="restart"/>
                  <w:shd w:val="clear" w:color="auto" w:fill="auto"/>
                  <w:tcMar>
                    <w:top w:w="0" w:type="dxa"/>
                    <w:left w:w="0" w:type="dxa"/>
                    <w:bottom w:w="0" w:type="dxa"/>
                    <w:right w:w="0" w:type="dxa"/>
                  </w:tcMar>
                  <w:vAlign w:val="center"/>
                </w:tcPr>
                <w:p w14:paraId="0F24B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rPr>
                    <w:t>基础减震、厂房隔声；</w:t>
                  </w:r>
                  <w:r>
                    <w:rPr>
                      <w:rFonts w:hint="default" w:ascii="Times New Roman" w:hAnsi="Times New Roman" w:eastAsia="宋体"/>
                      <w:color w:val="auto"/>
                    </w:rPr>
                    <w:t>车辆进出项目区低速、禁鸣</w:t>
                  </w:r>
                </w:p>
              </w:tc>
              <w:tc>
                <w:tcPr>
                  <w:tcW w:w="196" w:type="pct"/>
                  <w:shd w:val="clear" w:color="auto" w:fill="auto"/>
                  <w:tcMar>
                    <w:top w:w="0" w:type="dxa"/>
                    <w:left w:w="0" w:type="dxa"/>
                    <w:bottom w:w="0" w:type="dxa"/>
                    <w:right w:w="0" w:type="dxa"/>
                  </w:tcMar>
                  <w:vAlign w:val="center"/>
                </w:tcPr>
                <w:p w14:paraId="2F8A4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256.9</w:t>
                  </w:r>
                </w:p>
              </w:tc>
              <w:tc>
                <w:tcPr>
                  <w:tcW w:w="198" w:type="pct"/>
                  <w:shd w:val="clear" w:color="auto" w:fill="auto"/>
                  <w:tcMar>
                    <w:top w:w="0" w:type="dxa"/>
                    <w:left w:w="0" w:type="dxa"/>
                    <w:bottom w:w="0" w:type="dxa"/>
                    <w:right w:w="0" w:type="dxa"/>
                  </w:tcMar>
                  <w:vAlign w:val="center"/>
                </w:tcPr>
                <w:p w14:paraId="40BBB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default" w:ascii="Times New Roman" w:hAnsi="Times New Roman" w:eastAsia="宋体"/>
                      <w:color w:val="auto"/>
                      <w:sz w:val="20"/>
                    </w:rPr>
                    <w:t>-</w:t>
                  </w:r>
                  <w:r>
                    <w:rPr>
                      <w:rFonts w:hint="eastAsia" w:ascii="Times New Roman" w:hAnsi="Times New Roman" w:eastAsia="宋体"/>
                      <w:color w:val="auto"/>
                      <w:sz w:val="20"/>
                      <w:lang w:val="en-US" w:eastAsia="zh-CN"/>
                    </w:rPr>
                    <w:t>147.1</w:t>
                  </w:r>
                </w:p>
              </w:tc>
              <w:tc>
                <w:tcPr>
                  <w:tcW w:w="204" w:type="pct"/>
                  <w:shd w:val="clear" w:color="auto" w:fill="auto"/>
                  <w:tcMar>
                    <w:top w:w="0" w:type="dxa"/>
                    <w:left w:w="0" w:type="dxa"/>
                    <w:bottom w:w="0" w:type="dxa"/>
                    <w:right w:w="0" w:type="dxa"/>
                  </w:tcMar>
                  <w:vAlign w:val="center"/>
                </w:tcPr>
                <w:p w14:paraId="6FAD5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1.2</w:t>
                  </w:r>
                </w:p>
              </w:tc>
              <w:tc>
                <w:tcPr>
                  <w:tcW w:w="142" w:type="pct"/>
                  <w:shd w:val="clear" w:color="auto" w:fill="auto"/>
                  <w:tcMar>
                    <w:top w:w="0" w:type="dxa"/>
                    <w:left w:w="0" w:type="dxa"/>
                    <w:bottom w:w="0" w:type="dxa"/>
                    <w:right w:w="0" w:type="dxa"/>
                  </w:tcMar>
                  <w:vAlign w:val="center"/>
                </w:tcPr>
                <w:p w14:paraId="2D64F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45.5</w:t>
                  </w:r>
                </w:p>
              </w:tc>
              <w:tc>
                <w:tcPr>
                  <w:tcW w:w="182" w:type="pct"/>
                  <w:shd w:val="clear" w:color="auto" w:fill="auto"/>
                  <w:tcMar>
                    <w:top w:w="0" w:type="dxa"/>
                    <w:left w:w="0" w:type="dxa"/>
                    <w:bottom w:w="0" w:type="dxa"/>
                    <w:right w:w="0" w:type="dxa"/>
                  </w:tcMar>
                  <w:vAlign w:val="center"/>
                </w:tcPr>
                <w:p w14:paraId="0D77C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119.7</w:t>
                  </w:r>
                </w:p>
              </w:tc>
              <w:tc>
                <w:tcPr>
                  <w:tcW w:w="182" w:type="pct"/>
                  <w:shd w:val="clear" w:color="auto" w:fill="auto"/>
                  <w:tcMar>
                    <w:top w:w="0" w:type="dxa"/>
                    <w:left w:w="0" w:type="dxa"/>
                    <w:bottom w:w="0" w:type="dxa"/>
                    <w:right w:w="0" w:type="dxa"/>
                  </w:tcMar>
                  <w:vAlign w:val="center"/>
                </w:tcPr>
                <w:p w14:paraId="2A9B9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131.0</w:t>
                  </w:r>
                </w:p>
              </w:tc>
              <w:tc>
                <w:tcPr>
                  <w:tcW w:w="192" w:type="pct"/>
                  <w:shd w:val="clear" w:color="auto" w:fill="auto"/>
                  <w:tcMar>
                    <w:top w:w="0" w:type="dxa"/>
                    <w:left w:w="0" w:type="dxa"/>
                    <w:bottom w:w="0" w:type="dxa"/>
                    <w:right w:w="0" w:type="dxa"/>
                  </w:tcMar>
                  <w:vAlign w:val="center"/>
                </w:tcPr>
                <w:p w14:paraId="72E36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37.5</w:t>
                  </w:r>
                </w:p>
              </w:tc>
              <w:tc>
                <w:tcPr>
                  <w:tcW w:w="162" w:type="pct"/>
                  <w:shd w:val="clear" w:color="auto" w:fill="auto"/>
                  <w:tcMar>
                    <w:top w:w="0" w:type="dxa"/>
                    <w:left w:w="0" w:type="dxa"/>
                    <w:bottom w:w="0" w:type="dxa"/>
                    <w:right w:w="0" w:type="dxa"/>
                  </w:tcMar>
                  <w:vAlign w:val="center"/>
                </w:tcPr>
                <w:p w14:paraId="7B88D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48.9</w:t>
                  </w:r>
                </w:p>
              </w:tc>
              <w:tc>
                <w:tcPr>
                  <w:tcW w:w="142" w:type="pct"/>
                  <w:shd w:val="clear" w:color="auto" w:fill="auto"/>
                  <w:tcMar>
                    <w:top w:w="0" w:type="dxa"/>
                    <w:left w:w="0" w:type="dxa"/>
                    <w:bottom w:w="0" w:type="dxa"/>
                    <w:right w:w="0" w:type="dxa"/>
                  </w:tcMar>
                  <w:vAlign w:val="center"/>
                </w:tcPr>
                <w:p w14:paraId="45FCA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48.9</w:t>
                  </w:r>
                </w:p>
              </w:tc>
              <w:tc>
                <w:tcPr>
                  <w:tcW w:w="148" w:type="pct"/>
                  <w:shd w:val="clear" w:color="auto" w:fill="auto"/>
                  <w:tcMar>
                    <w:top w:w="0" w:type="dxa"/>
                    <w:left w:w="0" w:type="dxa"/>
                    <w:bottom w:w="0" w:type="dxa"/>
                    <w:right w:w="0" w:type="dxa"/>
                  </w:tcMar>
                  <w:vAlign w:val="center"/>
                </w:tcPr>
                <w:p w14:paraId="11774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48.9</w:t>
                  </w:r>
                </w:p>
              </w:tc>
              <w:tc>
                <w:tcPr>
                  <w:tcW w:w="180" w:type="pct"/>
                  <w:shd w:val="clear" w:color="auto" w:fill="auto"/>
                  <w:tcMar>
                    <w:top w:w="0" w:type="dxa"/>
                    <w:left w:w="0" w:type="dxa"/>
                    <w:bottom w:w="0" w:type="dxa"/>
                    <w:right w:w="0" w:type="dxa"/>
                  </w:tcMar>
                  <w:vAlign w:val="center"/>
                </w:tcPr>
                <w:p w14:paraId="65617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49.0</w:t>
                  </w:r>
                </w:p>
              </w:tc>
              <w:tc>
                <w:tcPr>
                  <w:tcW w:w="160" w:type="pct"/>
                  <w:vMerge w:val="restart"/>
                  <w:shd w:val="clear" w:color="auto" w:fill="auto"/>
                  <w:tcMar>
                    <w:top w:w="0" w:type="dxa"/>
                    <w:left w:w="0" w:type="dxa"/>
                    <w:bottom w:w="0" w:type="dxa"/>
                    <w:right w:w="0" w:type="dxa"/>
                  </w:tcMar>
                  <w:vAlign w:val="center"/>
                </w:tcPr>
                <w:p w14:paraId="317D8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rPr>
                    <w:t>昼间</w:t>
                  </w:r>
                </w:p>
              </w:tc>
              <w:tc>
                <w:tcPr>
                  <w:tcW w:w="335" w:type="pct"/>
                  <w:shd w:val="clear" w:color="auto" w:fill="auto"/>
                  <w:tcMar>
                    <w:top w:w="0" w:type="dxa"/>
                    <w:left w:w="0" w:type="dxa"/>
                    <w:bottom w:w="0" w:type="dxa"/>
                    <w:right w:w="0" w:type="dxa"/>
                  </w:tcMar>
                  <w:vAlign w:val="center"/>
                </w:tcPr>
                <w:p w14:paraId="5D090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21</w:t>
                  </w:r>
                </w:p>
              </w:tc>
              <w:tc>
                <w:tcPr>
                  <w:tcW w:w="168" w:type="pct"/>
                  <w:shd w:val="clear" w:color="auto" w:fill="auto"/>
                  <w:tcMar>
                    <w:top w:w="0" w:type="dxa"/>
                    <w:left w:w="0" w:type="dxa"/>
                    <w:bottom w:w="0" w:type="dxa"/>
                    <w:right w:w="0" w:type="dxa"/>
                  </w:tcMar>
                  <w:vAlign w:val="center"/>
                </w:tcPr>
                <w:p w14:paraId="49C8A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27.9</w:t>
                  </w:r>
                </w:p>
              </w:tc>
              <w:tc>
                <w:tcPr>
                  <w:tcW w:w="143" w:type="pct"/>
                  <w:shd w:val="clear" w:color="auto" w:fill="auto"/>
                  <w:tcMar>
                    <w:top w:w="0" w:type="dxa"/>
                    <w:left w:w="0" w:type="dxa"/>
                    <w:bottom w:w="0" w:type="dxa"/>
                    <w:right w:w="0" w:type="dxa"/>
                  </w:tcMar>
                  <w:vAlign w:val="center"/>
                </w:tcPr>
                <w:p w14:paraId="2865D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27.9</w:t>
                  </w:r>
                </w:p>
              </w:tc>
              <w:tc>
                <w:tcPr>
                  <w:tcW w:w="168" w:type="pct"/>
                  <w:shd w:val="clear" w:color="auto" w:fill="auto"/>
                  <w:tcMar>
                    <w:top w:w="0" w:type="dxa"/>
                    <w:left w:w="0" w:type="dxa"/>
                    <w:bottom w:w="0" w:type="dxa"/>
                    <w:right w:w="0" w:type="dxa"/>
                  </w:tcMar>
                  <w:vAlign w:val="center"/>
                </w:tcPr>
                <w:p w14:paraId="5DCD6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27.9</w:t>
                  </w:r>
                </w:p>
              </w:tc>
              <w:tc>
                <w:tcPr>
                  <w:tcW w:w="180" w:type="pct"/>
                  <w:shd w:val="clear" w:color="auto" w:fill="auto"/>
                  <w:tcMar>
                    <w:top w:w="0" w:type="dxa"/>
                    <w:left w:w="0" w:type="dxa"/>
                    <w:bottom w:w="0" w:type="dxa"/>
                    <w:right w:w="0" w:type="dxa"/>
                  </w:tcMar>
                  <w:vAlign w:val="center"/>
                </w:tcPr>
                <w:p w14:paraId="37FB6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rPr>
                  </w:pPr>
                  <w:r>
                    <w:rPr>
                      <w:rFonts w:hint="eastAsia" w:ascii="Times New Roman" w:hAnsi="Times New Roman" w:eastAsia="宋体"/>
                      <w:color w:val="auto"/>
                      <w:sz w:val="20"/>
                      <w:lang w:val="en-US" w:eastAsia="zh-CN"/>
                    </w:rPr>
                    <w:t>28.0</w:t>
                  </w:r>
                </w:p>
              </w:tc>
              <w:tc>
                <w:tcPr>
                  <w:tcW w:w="332" w:type="pct"/>
                  <w:shd w:val="clear" w:color="auto" w:fill="auto"/>
                  <w:tcMar>
                    <w:top w:w="0" w:type="dxa"/>
                    <w:left w:w="0" w:type="dxa"/>
                    <w:bottom w:w="0" w:type="dxa"/>
                    <w:right w:w="0" w:type="dxa"/>
                  </w:tcMar>
                  <w:vAlign w:val="center"/>
                </w:tcPr>
                <w:p w14:paraId="31B5D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1</w:t>
                  </w:r>
                </w:p>
              </w:tc>
            </w:tr>
            <w:tr w14:paraId="1D63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60" w:type="pct"/>
                  <w:shd w:val="clear" w:color="auto" w:fill="auto"/>
                  <w:tcMar>
                    <w:top w:w="0" w:type="dxa"/>
                    <w:left w:w="0" w:type="dxa"/>
                    <w:bottom w:w="0" w:type="dxa"/>
                    <w:right w:w="0" w:type="dxa"/>
                  </w:tcMar>
                  <w:vAlign w:val="center"/>
                </w:tcPr>
                <w:p w14:paraId="6E668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2</w:t>
                  </w:r>
                </w:p>
              </w:tc>
              <w:tc>
                <w:tcPr>
                  <w:tcW w:w="160" w:type="pct"/>
                  <w:vMerge w:val="continue"/>
                  <w:shd w:val="clear" w:color="auto" w:fill="auto"/>
                  <w:tcMar>
                    <w:top w:w="0" w:type="dxa"/>
                    <w:left w:w="0" w:type="dxa"/>
                    <w:bottom w:w="0" w:type="dxa"/>
                    <w:right w:w="0" w:type="dxa"/>
                  </w:tcMar>
                  <w:vAlign w:val="center"/>
                </w:tcPr>
                <w:p w14:paraId="72322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p>
              </w:tc>
              <w:tc>
                <w:tcPr>
                  <w:tcW w:w="637" w:type="pct"/>
                  <w:shd w:val="clear" w:color="auto" w:fill="auto"/>
                  <w:tcMar>
                    <w:top w:w="0" w:type="dxa"/>
                    <w:left w:w="0" w:type="dxa"/>
                    <w:bottom w:w="0" w:type="dxa"/>
                    <w:right w:w="0" w:type="dxa"/>
                  </w:tcMar>
                  <w:vAlign w:val="center"/>
                </w:tcPr>
                <w:p w14:paraId="5D9D8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振动筛</w:t>
                  </w:r>
                  <w:r>
                    <w:rPr>
                      <w:rFonts w:hint="eastAsia" w:ascii="Times New Roman" w:hAnsi="Times New Roman" w:eastAsia="宋体"/>
                      <w:color w:val="auto"/>
                      <w:sz w:val="20"/>
                    </w:rPr>
                    <w:t>，</w:t>
                  </w:r>
                  <w:r>
                    <w:rPr>
                      <w:rFonts w:hint="eastAsia" w:ascii="Times New Roman" w:hAnsi="Times New Roman" w:eastAsia="宋体"/>
                      <w:color w:val="auto"/>
                      <w:sz w:val="20"/>
                      <w:lang w:val="en-US" w:eastAsia="zh-CN"/>
                    </w:rPr>
                    <w:t>2</w:t>
                  </w:r>
                  <w:r>
                    <w:rPr>
                      <w:rFonts w:hint="default" w:ascii="Times New Roman" w:hAnsi="Times New Roman" w:eastAsia="宋体"/>
                      <w:color w:val="auto"/>
                      <w:sz w:val="20"/>
                    </w:rPr>
                    <w:t>台（按点声源组预测）</w:t>
                  </w:r>
                </w:p>
              </w:tc>
              <w:tc>
                <w:tcPr>
                  <w:tcW w:w="373" w:type="pct"/>
                  <w:shd w:val="clear" w:color="auto" w:fill="auto"/>
                  <w:tcMar>
                    <w:top w:w="0" w:type="dxa"/>
                    <w:left w:w="0" w:type="dxa"/>
                    <w:bottom w:w="0" w:type="dxa"/>
                    <w:right w:w="0" w:type="dxa"/>
                  </w:tcMar>
                  <w:vAlign w:val="center"/>
                </w:tcPr>
                <w:p w14:paraId="74B47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75（等效后：79.8</w:t>
                  </w:r>
                  <w:r>
                    <w:rPr>
                      <w:rFonts w:hint="eastAsia" w:ascii="Times New Roman" w:hAnsi="Times New Roman" w:eastAsia="宋体"/>
                      <w:color w:val="auto"/>
                      <w:sz w:val="20"/>
                    </w:rPr>
                    <w:t>）</w:t>
                  </w:r>
                </w:p>
              </w:tc>
              <w:tc>
                <w:tcPr>
                  <w:tcW w:w="248" w:type="pct"/>
                  <w:vMerge w:val="continue"/>
                  <w:shd w:val="clear" w:color="auto" w:fill="auto"/>
                  <w:tcMar>
                    <w:top w:w="0" w:type="dxa"/>
                    <w:left w:w="0" w:type="dxa"/>
                    <w:bottom w:w="0" w:type="dxa"/>
                    <w:right w:w="0" w:type="dxa"/>
                  </w:tcMar>
                  <w:vAlign w:val="center"/>
                </w:tcPr>
                <w:p w14:paraId="249B5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p>
              </w:tc>
              <w:tc>
                <w:tcPr>
                  <w:tcW w:w="196" w:type="pct"/>
                  <w:shd w:val="clear" w:color="auto" w:fill="auto"/>
                  <w:tcMar>
                    <w:top w:w="0" w:type="dxa"/>
                    <w:left w:w="0" w:type="dxa"/>
                    <w:bottom w:w="0" w:type="dxa"/>
                    <w:right w:w="0" w:type="dxa"/>
                  </w:tcMar>
                  <w:vAlign w:val="center"/>
                </w:tcPr>
                <w:p w14:paraId="3446A8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239.3</w:t>
                  </w:r>
                </w:p>
              </w:tc>
              <w:tc>
                <w:tcPr>
                  <w:tcW w:w="198" w:type="pct"/>
                  <w:shd w:val="clear" w:color="auto" w:fill="auto"/>
                  <w:tcMar>
                    <w:top w:w="0" w:type="dxa"/>
                    <w:left w:w="0" w:type="dxa"/>
                    <w:bottom w:w="0" w:type="dxa"/>
                    <w:right w:w="0" w:type="dxa"/>
                  </w:tcMar>
                  <w:vAlign w:val="center"/>
                </w:tcPr>
                <w:p w14:paraId="554BD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default" w:ascii="Times New Roman" w:hAnsi="Times New Roman" w:eastAsia="宋体"/>
                      <w:color w:val="auto"/>
                      <w:sz w:val="20"/>
                    </w:rPr>
                    <w:t>-</w:t>
                  </w:r>
                  <w:r>
                    <w:rPr>
                      <w:rFonts w:hint="eastAsia" w:ascii="Times New Roman" w:hAnsi="Times New Roman" w:eastAsia="宋体"/>
                      <w:color w:val="auto"/>
                      <w:sz w:val="20"/>
                      <w:lang w:val="en-US" w:eastAsia="zh-CN"/>
                    </w:rPr>
                    <w:t>164.7</w:t>
                  </w:r>
                </w:p>
              </w:tc>
              <w:tc>
                <w:tcPr>
                  <w:tcW w:w="204" w:type="pct"/>
                  <w:shd w:val="clear" w:color="auto" w:fill="auto"/>
                  <w:tcMar>
                    <w:top w:w="0" w:type="dxa"/>
                    <w:left w:w="0" w:type="dxa"/>
                    <w:bottom w:w="0" w:type="dxa"/>
                    <w:right w:w="0" w:type="dxa"/>
                  </w:tcMar>
                  <w:vAlign w:val="center"/>
                </w:tcPr>
                <w:p w14:paraId="5721D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1.2</w:t>
                  </w:r>
                </w:p>
              </w:tc>
              <w:tc>
                <w:tcPr>
                  <w:tcW w:w="142" w:type="pct"/>
                  <w:shd w:val="clear" w:color="auto" w:fill="auto"/>
                  <w:tcMar>
                    <w:top w:w="0" w:type="dxa"/>
                    <w:left w:w="0" w:type="dxa"/>
                    <w:bottom w:w="0" w:type="dxa"/>
                    <w:right w:w="0" w:type="dxa"/>
                  </w:tcMar>
                  <w:vAlign w:val="center"/>
                </w:tcPr>
                <w:p w14:paraId="3E544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63.5</w:t>
                  </w:r>
                </w:p>
              </w:tc>
              <w:tc>
                <w:tcPr>
                  <w:tcW w:w="182" w:type="pct"/>
                  <w:shd w:val="clear" w:color="auto" w:fill="auto"/>
                  <w:tcMar>
                    <w:top w:w="0" w:type="dxa"/>
                    <w:left w:w="0" w:type="dxa"/>
                    <w:bottom w:w="0" w:type="dxa"/>
                    <w:right w:w="0" w:type="dxa"/>
                  </w:tcMar>
                  <w:vAlign w:val="center"/>
                </w:tcPr>
                <w:p w14:paraId="397C6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102.1</w:t>
                  </w:r>
                </w:p>
              </w:tc>
              <w:tc>
                <w:tcPr>
                  <w:tcW w:w="182" w:type="pct"/>
                  <w:shd w:val="clear" w:color="auto" w:fill="auto"/>
                  <w:tcMar>
                    <w:top w:w="0" w:type="dxa"/>
                    <w:left w:w="0" w:type="dxa"/>
                    <w:bottom w:w="0" w:type="dxa"/>
                    <w:right w:w="0" w:type="dxa"/>
                  </w:tcMar>
                  <w:vAlign w:val="center"/>
                </w:tcPr>
                <w:p w14:paraId="6C07B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113.2</w:t>
                  </w:r>
                </w:p>
              </w:tc>
              <w:tc>
                <w:tcPr>
                  <w:tcW w:w="192" w:type="pct"/>
                  <w:shd w:val="clear" w:color="auto" w:fill="auto"/>
                  <w:tcMar>
                    <w:top w:w="0" w:type="dxa"/>
                    <w:left w:w="0" w:type="dxa"/>
                    <w:bottom w:w="0" w:type="dxa"/>
                    <w:right w:w="0" w:type="dxa"/>
                  </w:tcMar>
                  <w:vAlign w:val="center"/>
                </w:tcPr>
                <w:p w14:paraId="3164ED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55.2</w:t>
                  </w:r>
                </w:p>
              </w:tc>
              <w:tc>
                <w:tcPr>
                  <w:tcW w:w="162" w:type="pct"/>
                  <w:shd w:val="clear" w:color="auto" w:fill="auto"/>
                  <w:tcMar>
                    <w:top w:w="0" w:type="dxa"/>
                    <w:left w:w="0" w:type="dxa"/>
                    <w:bottom w:w="0" w:type="dxa"/>
                    <w:right w:w="0" w:type="dxa"/>
                  </w:tcMar>
                  <w:vAlign w:val="center"/>
                </w:tcPr>
                <w:p w14:paraId="776B4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53.9</w:t>
                  </w:r>
                </w:p>
              </w:tc>
              <w:tc>
                <w:tcPr>
                  <w:tcW w:w="142" w:type="pct"/>
                  <w:shd w:val="clear" w:color="auto" w:fill="auto"/>
                  <w:tcMar>
                    <w:top w:w="0" w:type="dxa"/>
                    <w:left w:w="0" w:type="dxa"/>
                    <w:bottom w:w="0" w:type="dxa"/>
                    <w:right w:w="0" w:type="dxa"/>
                  </w:tcMar>
                  <w:vAlign w:val="center"/>
                </w:tcPr>
                <w:p w14:paraId="5FA06B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53.9</w:t>
                  </w:r>
                </w:p>
              </w:tc>
              <w:tc>
                <w:tcPr>
                  <w:tcW w:w="148" w:type="pct"/>
                  <w:shd w:val="clear" w:color="auto" w:fill="auto"/>
                  <w:tcMar>
                    <w:top w:w="0" w:type="dxa"/>
                    <w:left w:w="0" w:type="dxa"/>
                    <w:bottom w:w="0" w:type="dxa"/>
                    <w:right w:w="0" w:type="dxa"/>
                  </w:tcMar>
                  <w:vAlign w:val="center"/>
                </w:tcPr>
                <w:p w14:paraId="5B2C57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53.9</w:t>
                  </w:r>
                </w:p>
              </w:tc>
              <w:tc>
                <w:tcPr>
                  <w:tcW w:w="180" w:type="pct"/>
                  <w:shd w:val="clear" w:color="auto" w:fill="auto"/>
                  <w:tcMar>
                    <w:top w:w="0" w:type="dxa"/>
                    <w:left w:w="0" w:type="dxa"/>
                    <w:bottom w:w="0" w:type="dxa"/>
                    <w:right w:w="0" w:type="dxa"/>
                  </w:tcMar>
                  <w:vAlign w:val="center"/>
                </w:tcPr>
                <w:p w14:paraId="3BCAE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53.9</w:t>
                  </w:r>
                </w:p>
              </w:tc>
              <w:tc>
                <w:tcPr>
                  <w:tcW w:w="160" w:type="pct"/>
                  <w:vMerge w:val="continue"/>
                  <w:shd w:val="clear" w:color="auto" w:fill="auto"/>
                  <w:tcMar>
                    <w:top w:w="0" w:type="dxa"/>
                    <w:left w:w="0" w:type="dxa"/>
                    <w:bottom w:w="0" w:type="dxa"/>
                    <w:right w:w="0" w:type="dxa"/>
                  </w:tcMar>
                  <w:vAlign w:val="center"/>
                </w:tcPr>
                <w:p w14:paraId="1203B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p>
              </w:tc>
              <w:tc>
                <w:tcPr>
                  <w:tcW w:w="335" w:type="pct"/>
                  <w:shd w:val="clear" w:color="auto" w:fill="auto"/>
                  <w:tcMar>
                    <w:top w:w="0" w:type="dxa"/>
                    <w:left w:w="0" w:type="dxa"/>
                    <w:bottom w:w="0" w:type="dxa"/>
                    <w:right w:w="0" w:type="dxa"/>
                  </w:tcMar>
                  <w:vAlign w:val="center"/>
                </w:tcPr>
                <w:p w14:paraId="7289C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21</w:t>
                  </w:r>
                </w:p>
              </w:tc>
              <w:tc>
                <w:tcPr>
                  <w:tcW w:w="168" w:type="pct"/>
                  <w:shd w:val="clear" w:color="auto" w:fill="auto"/>
                  <w:tcMar>
                    <w:top w:w="0" w:type="dxa"/>
                    <w:left w:w="0" w:type="dxa"/>
                    <w:bottom w:w="0" w:type="dxa"/>
                    <w:right w:w="0" w:type="dxa"/>
                  </w:tcMar>
                  <w:vAlign w:val="center"/>
                </w:tcPr>
                <w:p w14:paraId="5F6E8C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rPr>
                  </w:pPr>
                  <w:r>
                    <w:rPr>
                      <w:rFonts w:hint="eastAsia" w:ascii="Times New Roman" w:hAnsi="Times New Roman" w:eastAsia="宋体"/>
                      <w:color w:val="auto"/>
                      <w:sz w:val="20"/>
                      <w:lang w:val="en-US" w:eastAsia="zh-CN"/>
                    </w:rPr>
                    <w:t>32.9</w:t>
                  </w:r>
                </w:p>
              </w:tc>
              <w:tc>
                <w:tcPr>
                  <w:tcW w:w="143" w:type="pct"/>
                  <w:shd w:val="clear" w:color="auto" w:fill="auto"/>
                  <w:tcMar>
                    <w:top w:w="0" w:type="dxa"/>
                    <w:left w:w="0" w:type="dxa"/>
                    <w:bottom w:w="0" w:type="dxa"/>
                    <w:right w:w="0" w:type="dxa"/>
                  </w:tcMar>
                  <w:vAlign w:val="center"/>
                </w:tcPr>
                <w:p w14:paraId="16696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32.9</w:t>
                  </w:r>
                </w:p>
              </w:tc>
              <w:tc>
                <w:tcPr>
                  <w:tcW w:w="168" w:type="pct"/>
                  <w:shd w:val="clear" w:color="auto" w:fill="auto"/>
                  <w:tcMar>
                    <w:top w:w="0" w:type="dxa"/>
                    <w:left w:w="0" w:type="dxa"/>
                    <w:bottom w:w="0" w:type="dxa"/>
                    <w:right w:w="0" w:type="dxa"/>
                  </w:tcMar>
                  <w:vAlign w:val="center"/>
                </w:tcPr>
                <w:p w14:paraId="4A9DA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32.9</w:t>
                  </w:r>
                </w:p>
              </w:tc>
              <w:tc>
                <w:tcPr>
                  <w:tcW w:w="180" w:type="pct"/>
                  <w:shd w:val="clear" w:color="auto" w:fill="auto"/>
                  <w:tcMar>
                    <w:top w:w="0" w:type="dxa"/>
                    <w:left w:w="0" w:type="dxa"/>
                    <w:bottom w:w="0" w:type="dxa"/>
                    <w:right w:w="0" w:type="dxa"/>
                  </w:tcMar>
                  <w:vAlign w:val="center"/>
                </w:tcPr>
                <w:p w14:paraId="0DCBC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rPr>
                  </w:pPr>
                  <w:r>
                    <w:rPr>
                      <w:rFonts w:hint="eastAsia" w:ascii="Times New Roman" w:hAnsi="Times New Roman" w:eastAsia="宋体"/>
                      <w:color w:val="auto"/>
                      <w:sz w:val="20"/>
                      <w:lang w:val="en-US" w:eastAsia="zh-CN"/>
                    </w:rPr>
                    <w:t>32.9</w:t>
                  </w:r>
                </w:p>
              </w:tc>
              <w:tc>
                <w:tcPr>
                  <w:tcW w:w="332" w:type="pct"/>
                  <w:shd w:val="clear" w:color="auto" w:fill="auto"/>
                  <w:tcMar>
                    <w:top w:w="0" w:type="dxa"/>
                    <w:left w:w="0" w:type="dxa"/>
                    <w:bottom w:w="0" w:type="dxa"/>
                    <w:right w:w="0" w:type="dxa"/>
                  </w:tcMar>
                  <w:vAlign w:val="center"/>
                </w:tcPr>
                <w:p w14:paraId="18402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1</w:t>
                  </w:r>
                </w:p>
              </w:tc>
            </w:tr>
            <w:tr w14:paraId="06FE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60" w:type="pct"/>
                  <w:shd w:val="clear" w:color="auto" w:fill="auto"/>
                  <w:tcMar>
                    <w:top w:w="0" w:type="dxa"/>
                    <w:left w:w="0" w:type="dxa"/>
                    <w:bottom w:w="0" w:type="dxa"/>
                    <w:right w:w="0" w:type="dxa"/>
                  </w:tcMar>
                  <w:vAlign w:val="center"/>
                </w:tcPr>
                <w:p w14:paraId="5FF15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3</w:t>
                  </w:r>
                </w:p>
              </w:tc>
              <w:tc>
                <w:tcPr>
                  <w:tcW w:w="160" w:type="pct"/>
                  <w:vMerge w:val="continue"/>
                  <w:shd w:val="clear" w:color="auto" w:fill="auto"/>
                  <w:tcMar>
                    <w:top w:w="0" w:type="dxa"/>
                    <w:left w:w="0" w:type="dxa"/>
                    <w:bottom w:w="0" w:type="dxa"/>
                    <w:right w:w="0" w:type="dxa"/>
                  </w:tcMar>
                  <w:vAlign w:val="center"/>
                </w:tcPr>
                <w:p w14:paraId="41BA8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p>
              </w:tc>
              <w:tc>
                <w:tcPr>
                  <w:tcW w:w="637" w:type="pct"/>
                  <w:shd w:val="clear" w:color="auto" w:fill="auto"/>
                  <w:tcMar>
                    <w:top w:w="0" w:type="dxa"/>
                    <w:left w:w="0" w:type="dxa"/>
                    <w:bottom w:w="0" w:type="dxa"/>
                    <w:right w:w="0" w:type="dxa"/>
                  </w:tcMar>
                  <w:vAlign w:val="center"/>
                </w:tcPr>
                <w:p w14:paraId="3799C4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胶带输送机</w:t>
                  </w:r>
                  <w:r>
                    <w:rPr>
                      <w:rFonts w:hint="eastAsia" w:ascii="Times New Roman" w:hAnsi="Times New Roman" w:eastAsia="宋体"/>
                      <w:color w:val="auto"/>
                      <w:sz w:val="20"/>
                    </w:rPr>
                    <w:t>，</w:t>
                  </w:r>
                  <w:r>
                    <w:rPr>
                      <w:rFonts w:hint="eastAsia" w:ascii="Times New Roman" w:hAnsi="Times New Roman" w:eastAsia="宋体"/>
                      <w:color w:val="auto"/>
                      <w:sz w:val="20"/>
                      <w:lang w:val="en-US" w:eastAsia="zh-CN"/>
                    </w:rPr>
                    <w:t>4</w:t>
                  </w:r>
                  <w:r>
                    <w:rPr>
                      <w:rFonts w:hint="default" w:ascii="Times New Roman" w:hAnsi="Times New Roman" w:eastAsia="宋体"/>
                      <w:color w:val="auto"/>
                      <w:sz w:val="20"/>
                    </w:rPr>
                    <w:t>台（按点声源组预测）</w:t>
                  </w:r>
                </w:p>
              </w:tc>
              <w:tc>
                <w:tcPr>
                  <w:tcW w:w="373" w:type="pct"/>
                  <w:shd w:val="clear" w:color="auto" w:fill="auto"/>
                  <w:tcMar>
                    <w:top w:w="0" w:type="dxa"/>
                    <w:left w:w="0" w:type="dxa"/>
                    <w:bottom w:w="0" w:type="dxa"/>
                    <w:right w:w="0" w:type="dxa"/>
                  </w:tcMar>
                  <w:vAlign w:val="center"/>
                </w:tcPr>
                <w:p w14:paraId="11B8B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60（等效后：71.8</w:t>
                  </w:r>
                  <w:r>
                    <w:rPr>
                      <w:rFonts w:hint="eastAsia" w:ascii="Times New Roman" w:hAnsi="Times New Roman" w:eastAsia="宋体"/>
                      <w:color w:val="auto"/>
                      <w:sz w:val="20"/>
                    </w:rPr>
                    <w:t>）</w:t>
                  </w:r>
                </w:p>
              </w:tc>
              <w:tc>
                <w:tcPr>
                  <w:tcW w:w="248" w:type="pct"/>
                  <w:vMerge w:val="continue"/>
                  <w:shd w:val="clear" w:color="auto" w:fill="auto"/>
                  <w:tcMar>
                    <w:top w:w="0" w:type="dxa"/>
                    <w:left w:w="0" w:type="dxa"/>
                    <w:bottom w:w="0" w:type="dxa"/>
                    <w:right w:w="0" w:type="dxa"/>
                  </w:tcMar>
                  <w:vAlign w:val="center"/>
                </w:tcPr>
                <w:p w14:paraId="7103C9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p>
              </w:tc>
              <w:tc>
                <w:tcPr>
                  <w:tcW w:w="196" w:type="pct"/>
                  <w:shd w:val="clear" w:color="auto" w:fill="auto"/>
                  <w:tcMar>
                    <w:top w:w="0" w:type="dxa"/>
                    <w:left w:w="0" w:type="dxa"/>
                    <w:bottom w:w="0" w:type="dxa"/>
                    <w:right w:w="0" w:type="dxa"/>
                  </w:tcMar>
                  <w:vAlign w:val="center"/>
                </w:tcPr>
                <w:p w14:paraId="2F45D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230.7</w:t>
                  </w:r>
                </w:p>
              </w:tc>
              <w:tc>
                <w:tcPr>
                  <w:tcW w:w="198" w:type="pct"/>
                  <w:shd w:val="clear" w:color="auto" w:fill="auto"/>
                  <w:tcMar>
                    <w:top w:w="0" w:type="dxa"/>
                    <w:left w:w="0" w:type="dxa"/>
                    <w:bottom w:w="0" w:type="dxa"/>
                    <w:right w:w="0" w:type="dxa"/>
                  </w:tcMar>
                  <w:vAlign w:val="center"/>
                </w:tcPr>
                <w:p w14:paraId="4B9FF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default" w:ascii="Times New Roman" w:hAnsi="Times New Roman" w:eastAsia="宋体"/>
                      <w:color w:val="auto"/>
                      <w:sz w:val="20"/>
                    </w:rPr>
                    <w:t>-</w:t>
                  </w:r>
                  <w:r>
                    <w:rPr>
                      <w:rFonts w:hint="eastAsia" w:ascii="Times New Roman" w:hAnsi="Times New Roman" w:eastAsia="宋体"/>
                      <w:color w:val="auto"/>
                      <w:sz w:val="20"/>
                      <w:lang w:val="en-US" w:eastAsia="zh-CN"/>
                    </w:rPr>
                    <w:t>174.4</w:t>
                  </w:r>
                </w:p>
              </w:tc>
              <w:tc>
                <w:tcPr>
                  <w:tcW w:w="204" w:type="pct"/>
                  <w:shd w:val="clear" w:color="auto" w:fill="auto"/>
                  <w:tcMar>
                    <w:top w:w="0" w:type="dxa"/>
                    <w:left w:w="0" w:type="dxa"/>
                    <w:bottom w:w="0" w:type="dxa"/>
                    <w:right w:w="0" w:type="dxa"/>
                  </w:tcMar>
                  <w:vAlign w:val="center"/>
                </w:tcPr>
                <w:p w14:paraId="3A8536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1.2</w:t>
                  </w:r>
                </w:p>
              </w:tc>
              <w:tc>
                <w:tcPr>
                  <w:tcW w:w="142" w:type="pct"/>
                  <w:shd w:val="clear" w:color="auto" w:fill="auto"/>
                  <w:tcMar>
                    <w:top w:w="0" w:type="dxa"/>
                    <w:left w:w="0" w:type="dxa"/>
                    <w:bottom w:w="0" w:type="dxa"/>
                    <w:right w:w="0" w:type="dxa"/>
                  </w:tcMar>
                  <w:vAlign w:val="center"/>
                </w:tcPr>
                <w:p w14:paraId="2F97D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72.3</w:t>
                  </w:r>
                </w:p>
              </w:tc>
              <w:tc>
                <w:tcPr>
                  <w:tcW w:w="182" w:type="pct"/>
                  <w:shd w:val="clear" w:color="auto" w:fill="auto"/>
                  <w:tcMar>
                    <w:top w:w="0" w:type="dxa"/>
                    <w:left w:w="0" w:type="dxa"/>
                    <w:bottom w:w="0" w:type="dxa"/>
                    <w:right w:w="0" w:type="dxa"/>
                  </w:tcMar>
                  <w:vAlign w:val="center"/>
                </w:tcPr>
                <w:p w14:paraId="5F781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92.4</w:t>
                  </w:r>
                </w:p>
              </w:tc>
              <w:tc>
                <w:tcPr>
                  <w:tcW w:w="182" w:type="pct"/>
                  <w:shd w:val="clear" w:color="auto" w:fill="auto"/>
                  <w:tcMar>
                    <w:top w:w="0" w:type="dxa"/>
                    <w:left w:w="0" w:type="dxa"/>
                    <w:bottom w:w="0" w:type="dxa"/>
                    <w:right w:w="0" w:type="dxa"/>
                  </w:tcMar>
                  <w:vAlign w:val="center"/>
                </w:tcPr>
                <w:p w14:paraId="034A2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104.4</w:t>
                  </w:r>
                </w:p>
              </w:tc>
              <w:tc>
                <w:tcPr>
                  <w:tcW w:w="192" w:type="pct"/>
                  <w:shd w:val="clear" w:color="auto" w:fill="auto"/>
                  <w:tcMar>
                    <w:top w:w="0" w:type="dxa"/>
                    <w:left w:w="0" w:type="dxa"/>
                    <w:bottom w:w="0" w:type="dxa"/>
                    <w:right w:w="0" w:type="dxa"/>
                  </w:tcMar>
                  <w:vAlign w:val="center"/>
                </w:tcPr>
                <w:p w14:paraId="59226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65.0</w:t>
                  </w:r>
                </w:p>
              </w:tc>
              <w:tc>
                <w:tcPr>
                  <w:tcW w:w="162" w:type="pct"/>
                  <w:shd w:val="clear" w:color="auto" w:fill="auto"/>
                  <w:tcMar>
                    <w:top w:w="0" w:type="dxa"/>
                    <w:left w:w="0" w:type="dxa"/>
                    <w:bottom w:w="0" w:type="dxa"/>
                    <w:right w:w="0" w:type="dxa"/>
                  </w:tcMar>
                  <w:vAlign w:val="center"/>
                </w:tcPr>
                <w:p w14:paraId="6EBEA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z w:val="20"/>
                      <w:lang w:val="en-US" w:eastAsia="zh-CN"/>
                    </w:rPr>
                    <w:t>38.9</w:t>
                  </w:r>
                </w:p>
              </w:tc>
              <w:tc>
                <w:tcPr>
                  <w:tcW w:w="142" w:type="pct"/>
                  <w:shd w:val="clear" w:color="auto" w:fill="auto"/>
                  <w:tcMar>
                    <w:top w:w="0" w:type="dxa"/>
                    <w:left w:w="0" w:type="dxa"/>
                    <w:bottom w:w="0" w:type="dxa"/>
                    <w:right w:w="0" w:type="dxa"/>
                  </w:tcMar>
                  <w:vAlign w:val="center"/>
                </w:tcPr>
                <w:p w14:paraId="1E4CA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38.9</w:t>
                  </w:r>
                </w:p>
              </w:tc>
              <w:tc>
                <w:tcPr>
                  <w:tcW w:w="148" w:type="pct"/>
                  <w:shd w:val="clear" w:color="auto" w:fill="auto"/>
                  <w:tcMar>
                    <w:top w:w="0" w:type="dxa"/>
                    <w:left w:w="0" w:type="dxa"/>
                    <w:bottom w:w="0" w:type="dxa"/>
                    <w:right w:w="0" w:type="dxa"/>
                  </w:tcMar>
                  <w:vAlign w:val="center"/>
                </w:tcPr>
                <w:p w14:paraId="38EDD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38.9</w:t>
                  </w:r>
                </w:p>
              </w:tc>
              <w:tc>
                <w:tcPr>
                  <w:tcW w:w="180" w:type="pct"/>
                  <w:shd w:val="clear" w:color="auto" w:fill="auto"/>
                  <w:tcMar>
                    <w:top w:w="0" w:type="dxa"/>
                    <w:left w:w="0" w:type="dxa"/>
                    <w:bottom w:w="0" w:type="dxa"/>
                    <w:right w:w="0" w:type="dxa"/>
                  </w:tcMar>
                  <w:vAlign w:val="center"/>
                </w:tcPr>
                <w:p w14:paraId="17C8C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38.9</w:t>
                  </w:r>
                </w:p>
              </w:tc>
              <w:tc>
                <w:tcPr>
                  <w:tcW w:w="160" w:type="pct"/>
                  <w:vMerge w:val="continue"/>
                  <w:shd w:val="clear" w:color="auto" w:fill="auto"/>
                  <w:tcMar>
                    <w:top w:w="0" w:type="dxa"/>
                    <w:left w:w="0" w:type="dxa"/>
                    <w:bottom w:w="0" w:type="dxa"/>
                    <w:right w:w="0" w:type="dxa"/>
                  </w:tcMar>
                  <w:vAlign w:val="center"/>
                </w:tcPr>
                <w:p w14:paraId="22E3A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p>
              </w:tc>
              <w:tc>
                <w:tcPr>
                  <w:tcW w:w="335" w:type="pct"/>
                  <w:shd w:val="clear" w:color="auto" w:fill="auto"/>
                  <w:tcMar>
                    <w:top w:w="0" w:type="dxa"/>
                    <w:left w:w="0" w:type="dxa"/>
                    <w:bottom w:w="0" w:type="dxa"/>
                    <w:right w:w="0" w:type="dxa"/>
                  </w:tcMar>
                  <w:vAlign w:val="center"/>
                </w:tcPr>
                <w:p w14:paraId="667E7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21</w:t>
                  </w:r>
                </w:p>
              </w:tc>
              <w:tc>
                <w:tcPr>
                  <w:tcW w:w="168" w:type="pct"/>
                  <w:shd w:val="clear" w:color="auto" w:fill="auto"/>
                  <w:tcMar>
                    <w:top w:w="0" w:type="dxa"/>
                    <w:left w:w="0" w:type="dxa"/>
                    <w:bottom w:w="0" w:type="dxa"/>
                    <w:right w:w="0" w:type="dxa"/>
                  </w:tcMar>
                  <w:vAlign w:val="center"/>
                </w:tcPr>
                <w:p w14:paraId="4CBF4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lang w:val="en-US"/>
                    </w:rPr>
                  </w:pPr>
                  <w:r>
                    <w:rPr>
                      <w:rFonts w:hint="eastAsia" w:ascii="Times New Roman" w:hAnsi="Times New Roman" w:eastAsia="宋体"/>
                      <w:color w:val="auto"/>
                      <w:sz w:val="20"/>
                      <w:lang w:val="en-US" w:eastAsia="zh-CN"/>
                    </w:rPr>
                    <w:t>17.9</w:t>
                  </w:r>
                </w:p>
              </w:tc>
              <w:tc>
                <w:tcPr>
                  <w:tcW w:w="143" w:type="pct"/>
                  <w:shd w:val="clear" w:color="auto" w:fill="auto"/>
                  <w:tcMar>
                    <w:top w:w="0" w:type="dxa"/>
                    <w:left w:w="0" w:type="dxa"/>
                    <w:bottom w:w="0" w:type="dxa"/>
                    <w:right w:w="0" w:type="dxa"/>
                  </w:tcMar>
                  <w:vAlign w:val="center"/>
                </w:tcPr>
                <w:p w14:paraId="24767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17.9</w:t>
                  </w:r>
                </w:p>
              </w:tc>
              <w:tc>
                <w:tcPr>
                  <w:tcW w:w="168" w:type="pct"/>
                  <w:shd w:val="clear" w:color="auto" w:fill="auto"/>
                  <w:tcMar>
                    <w:top w:w="0" w:type="dxa"/>
                    <w:left w:w="0" w:type="dxa"/>
                    <w:bottom w:w="0" w:type="dxa"/>
                    <w:right w:w="0" w:type="dxa"/>
                  </w:tcMar>
                  <w:vAlign w:val="center"/>
                </w:tcPr>
                <w:p w14:paraId="6EC87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17.9</w:t>
                  </w:r>
                </w:p>
              </w:tc>
              <w:tc>
                <w:tcPr>
                  <w:tcW w:w="180" w:type="pct"/>
                  <w:shd w:val="clear" w:color="auto" w:fill="auto"/>
                  <w:tcMar>
                    <w:top w:w="0" w:type="dxa"/>
                    <w:left w:w="0" w:type="dxa"/>
                    <w:bottom w:w="0" w:type="dxa"/>
                    <w:right w:w="0" w:type="dxa"/>
                  </w:tcMar>
                  <w:vAlign w:val="center"/>
                </w:tcPr>
                <w:p w14:paraId="504ED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eastAsia" w:ascii="Times New Roman" w:hAnsi="Times New Roman" w:eastAsia="宋体"/>
                      <w:color w:val="auto"/>
                      <w:sz w:val="20"/>
                      <w:lang w:val="en-US" w:eastAsia="zh-CN"/>
                    </w:rPr>
                    <w:t>17.9</w:t>
                  </w:r>
                </w:p>
              </w:tc>
              <w:tc>
                <w:tcPr>
                  <w:tcW w:w="332" w:type="pct"/>
                  <w:shd w:val="clear" w:color="auto" w:fill="auto"/>
                  <w:tcMar>
                    <w:top w:w="0" w:type="dxa"/>
                    <w:left w:w="0" w:type="dxa"/>
                    <w:bottom w:w="0" w:type="dxa"/>
                    <w:right w:w="0" w:type="dxa"/>
                  </w:tcMar>
                  <w:vAlign w:val="center"/>
                </w:tcPr>
                <w:p w14:paraId="77D970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r>
                    <w:rPr>
                      <w:rFonts w:hint="default" w:ascii="Times New Roman" w:hAnsi="Times New Roman" w:eastAsia="宋体"/>
                      <w:color w:val="auto"/>
                      <w:sz w:val="20"/>
                    </w:rPr>
                    <w:t>1</w:t>
                  </w:r>
                </w:p>
              </w:tc>
            </w:tr>
            <w:tr w14:paraId="1126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60" w:type="pct"/>
                  <w:shd w:val="clear" w:color="auto" w:fill="auto"/>
                  <w:tcMar>
                    <w:top w:w="0" w:type="dxa"/>
                    <w:left w:w="0" w:type="dxa"/>
                    <w:bottom w:w="0" w:type="dxa"/>
                    <w:right w:w="0" w:type="dxa"/>
                  </w:tcMar>
                  <w:vAlign w:val="center"/>
                </w:tcPr>
                <w:p w14:paraId="47ECB9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4</w:t>
                  </w:r>
                </w:p>
              </w:tc>
              <w:tc>
                <w:tcPr>
                  <w:tcW w:w="160" w:type="pct"/>
                  <w:vMerge w:val="continue"/>
                  <w:shd w:val="clear" w:color="auto" w:fill="auto"/>
                  <w:tcMar>
                    <w:top w:w="0" w:type="dxa"/>
                    <w:left w:w="0" w:type="dxa"/>
                    <w:bottom w:w="0" w:type="dxa"/>
                    <w:right w:w="0" w:type="dxa"/>
                  </w:tcMar>
                  <w:vAlign w:val="center"/>
                </w:tcPr>
                <w:p w14:paraId="71C73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p>
              </w:tc>
              <w:tc>
                <w:tcPr>
                  <w:tcW w:w="637" w:type="pct"/>
                  <w:shd w:val="clear" w:color="auto" w:fill="auto"/>
                  <w:tcMar>
                    <w:top w:w="0" w:type="dxa"/>
                    <w:left w:w="0" w:type="dxa"/>
                    <w:bottom w:w="0" w:type="dxa"/>
                    <w:right w:w="0" w:type="dxa"/>
                  </w:tcMar>
                  <w:vAlign w:val="center"/>
                </w:tcPr>
                <w:p w14:paraId="79BFD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破碎机，4台（按点声源组预测）</w:t>
                  </w:r>
                </w:p>
              </w:tc>
              <w:tc>
                <w:tcPr>
                  <w:tcW w:w="373" w:type="pct"/>
                  <w:shd w:val="clear" w:color="auto" w:fill="auto"/>
                  <w:tcMar>
                    <w:top w:w="0" w:type="dxa"/>
                    <w:left w:w="0" w:type="dxa"/>
                    <w:bottom w:w="0" w:type="dxa"/>
                    <w:right w:w="0" w:type="dxa"/>
                  </w:tcMar>
                  <w:vAlign w:val="center"/>
                </w:tcPr>
                <w:p w14:paraId="040C49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85</w:t>
                  </w:r>
                  <w:r>
                    <w:rPr>
                      <w:rFonts w:hint="default" w:ascii="Times New Roman" w:hAnsi="Times New Roman" w:eastAsia="宋体"/>
                      <w:color w:val="auto"/>
                      <w:sz w:val="20"/>
                    </w:rPr>
                    <w:t>（等效后：</w:t>
                  </w:r>
                  <w:r>
                    <w:rPr>
                      <w:rFonts w:hint="eastAsia" w:ascii="Times New Roman" w:hAnsi="Times New Roman" w:eastAsia="宋体"/>
                      <w:color w:val="auto"/>
                      <w:sz w:val="20"/>
                      <w:lang w:val="en-US" w:eastAsia="zh-CN"/>
                    </w:rPr>
                    <w:t>91.0</w:t>
                  </w:r>
                  <w:r>
                    <w:rPr>
                      <w:rFonts w:hint="eastAsia" w:ascii="Times New Roman" w:hAnsi="Times New Roman" w:eastAsia="宋体"/>
                      <w:color w:val="auto"/>
                      <w:sz w:val="20"/>
                    </w:rPr>
                    <w:t>）</w:t>
                  </w:r>
                </w:p>
              </w:tc>
              <w:tc>
                <w:tcPr>
                  <w:tcW w:w="248" w:type="pct"/>
                  <w:vMerge w:val="continue"/>
                  <w:shd w:val="clear" w:color="auto" w:fill="auto"/>
                  <w:tcMar>
                    <w:top w:w="0" w:type="dxa"/>
                    <w:left w:w="0" w:type="dxa"/>
                    <w:bottom w:w="0" w:type="dxa"/>
                    <w:right w:w="0" w:type="dxa"/>
                  </w:tcMar>
                  <w:vAlign w:val="center"/>
                </w:tcPr>
                <w:p w14:paraId="7B2F7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p>
              </w:tc>
              <w:tc>
                <w:tcPr>
                  <w:tcW w:w="196" w:type="pct"/>
                  <w:shd w:val="clear" w:color="auto" w:fill="auto"/>
                  <w:tcMar>
                    <w:top w:w="0" w:type="dxa"/>
                    <w:left w:w="0" w:type="dxa"/>
                    <w:bottom w:w="0" w:type="dxa"/>
                    <w:right w:w="0" w:type="dxa"/>
                  </w:tcMar>
                  <w:vAlign w:val="center"/>
                </w:tcPr>
                <w:p w14:paraId="06DA5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222.4</w:t>
                  </w:r>
                </w:p>
              </w:tc>
              <w:tc>
                <w:tcPr>
                  <w:tcW w:w="198" w:type="pct"/>
                  <w:shd w:val="clear" w:color="auto" w:fill="auto"/>
                  <w:tcMar>
                    <w:top w:w="0" w:type="dxa"/>
                    <w:left w:w="0" w:type="dxa"/>
                    <w:bottom w:w="0" w:type="dxa"/>
                    <w:right w:w="0" w:type="dxa"/>
                  </w:tcMar>
                  <w:vAlign w:val="center"/>
                </w:tcPr>
                <w:p w14:paraId="1ABA0C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-184.9</w:t>
                  </w:r>
                </w:p>
              </w:tc>
              <w:tc>
                <w:tcPr>
                  <w:tcW w:w="204" w:type="pct"/>
                  <w:shd w:val="clear" w:color="auto" w:fill="auto"/>
                  <w:tcMar>
                    <w:top w:w="0" w:type="dxa"/>
                    <w:left w:w="0" w:type="dxa"/>
                    <w:bottom w:w="0" w:type="dxa"/>
                    <w:right w:w="0" w:type="dxa"/>
                  </w:tcMar>
                  <w:vAlign w:val="center"/>
                </w:tcPr>
                <w:p w14:paraId="137AD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1.2</w:t>
                  </w:r>
                </w:p>
              </w:tc>
              <w:tc>
                <w:tcPr>
                  <w:tcW w:w="142" w:type="pct"/>
                  <w:shd w:val="clear" w:color="auto" w:fill="auto"/>
                  <w:tcMar>
                    <w:top w:w="0" w:type="dxa"/>
                    <w:left w:w="0" w:type="dxa"/>
                    <w:bottom w:w="0" w:type="dxa"/>
                    <w:right w:w="0" w:type="dxa"/>
                  </w:tcMar>
                  <w:vAlign w:val="center"/>
                </w:tcPr>
                <w:p w14:paraId="45CB8A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80.9</w:t>
                  </w:r>
                </w:p>
              </w:tc>
              <w:tc>
                <w:tcPr>
                  <w:tcW w:w="182" w:type="pct"/>
                  <w:shd w:val="clear" w:color="auto" w:fill="auto"/>
                  <w:tcMar>
                    <w:top w:w="0" w:type="dxa"/>
                    <w:left w:w="0" w:type="dxa"/>
                    <w:bottom w:w="0" w:type="dxa"/>
                    <w:right w:w="0" w:type="dxa"/>
                  </w:tcMar>
                  <w:vAlign w:val="center"/>
                </w:tcPr>
                <w:p w14:paraId="2420D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81.9</w:t>
                  </w:r>
                </w:p>
              </w:tc>
              <w:tc>
                <w:tcPr>
                  <w:tcW w:w="182" w:type="pct"/>
                  <w:shd w:val="clear" w:color="auto" w:fill="auto"/>
                  <w:tcMar>
                    <w:top w:w="0" w:type="dxa"/>
                    <w:left w:w="0" w:type="dxa"/>
                    <w:bottom w:w="0" w:type="dxa"/>
                    <w:right w:w="0" w:type="dxa"/>
                  </w:tcMar>
                  <w:vAlign w:val="center"/>
                </w:tcPr>
                <w:p w14:paraId="0C09A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96.0</w:t>
                  </w:r>
                </w:p>
              </w:tc>
              <w:tc>
                <w:tcPr>
                  <w:tcW w:w="192" w:type="pct"/>
                  <w:shd w:val="clear" w:color="auto" w:fill="auto"/>
                  <w:tcMar>
                    <w:top w:w="0" w:type="dxa"/>
                    <w:left w:w="0" w:type="dxa"/>
                    <w:bottom w:w="0" w:type="dxa"/>
                    <w:right w:w="0" w:type="dxa"/>
                  </w:tcMar>
                  <w:vAlign w:val="center"/>
                </w:tcPr>
                <w:p w14:paraId="275E3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75.6</w:t>
                  </w:r>
                </w:p>
              </w:tc>
              <w:tc>
                <w:tcPr>
                  <w:tcW w:w="162" w:type="pct"/>
                  <w:shd w:val="clear" w:color="auto" w:fill="auto"/>
                  <w:tcMar>
                    <w:top w:w="0" w:type="dxa"/>
                    <w:left w:w="0" w:type="dxa"/>
                    <w:bottom w:w="0" w:type="dxa"/>
                    <w:right w:w="0" w:type="dxa"/>
                  </w:tcMar>
                  <w:vAlign w:val="center"/>
                </w:tcPr>
                <w:p w14:paraId="19058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63.9</w:t>
                  </w:r>
                </w:p>
              </w:tc>
              <w:tc>
                <w:tcPr>
                  <w:tcW w:w="142" w:type="pct"/>
                  <w:shd w:val="clear" w:color="auto" w:fill="auto"/>
                  <w:tcMar>
                    <w:top w:w="0" w:type="dxa"/>
                    <w:left w:w="0" w:type="dxa"/>
                    <w:bottom w:w="0" w:type="dxa"/>
                    <w:right w:w="0" w:type="dxa"/>
                  </w:tcMar>
                  <w:vAlign w:val="center"/>
                </w:tcPr>
                <w:p w14:paraId="733710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63.9</w:t>
                  </w:r>
                </w:p>
              </w:tc>
              <w:tc>
                <w:tcPr>
                  <w:tcW w:w="148" w:type="pct"/>
                  <w:shd w:val="clear" w:color="auto" w:fill="auto"/>
                  <w:tcMar>
                    <w:top w:w="0" w:type="dxa"/>
                    <w:left w:w="0" w:type="dxa"/>
                    <w:bottom w:w="0" w:type="dxa"/>
                    <w:right w:w="0" w:type="dxa"/>
                  </w:tcMar>
                  <w:vAlign w:val="center"/>
                </w:tcPr>
                <w:p w14:paraId="40E19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63.9</w:t>
                  </w:r>
                </w:p>
              </w:tc>
              <w:tc>
                <w:tcPr>
                  <w:tcW w:w="180" w:type="pct"/>
                  <w:shd w:val="clear" w:color="auto" w:fill="auto"/>
                  <w:tcMar>
                    <w:top w:w="0" w:type="dxa"/>
                    <w:left w:w="0" w:type="dxa"/>
                    <w:bottom w:w="0" w:type="dxa"/>
                    <w:right w:w="0" w:type="dxa"/>
                  </w:tcMar>
                  <w:vAlign w:val="center"/>
                </w:tcPr>
                <w:p w14:paraId="098AE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63.9</w:t>
                  </w:r>
                </w:p>
              </w:tc>
              <w:tc>
                <w:tcPr>
                  <w:tcW w:w="160" w:type="pct"/>
                  <w:vMerge w:val="continue"/>
                  <w:shd w:val="clear" w:color="auto" w:fill="auto"/>
                  <w:tcMar>
                    <w:top w:w="0" w:type="dxa"/>
                    <w:left w:w="0" w:type="dxa"/>
                    <w:bottom w:w="0" w:type="dxa"/>
                    <w:right w:w="0" w:type="dxa"/>
                  </w:tcMar>
                  <w:vAlign w:val="center"/>
                </w:tcPr>
                <w:p w14:paraId="30D7D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rPr>
                  </w:pPr>
                </w:p>
              </w:tc>
              <w:tc>
                <w:tcPr>
                  <w:tcW w:w="335" w:type="pct"/>
                  <w:shd w:val="clear" w:color="auto" w:fill="auto"/>
                  <w:tcMar>
                    <w:top w:w="0" w:type="dxa"/>
                    <w:left w:w="0" w:type="dxa"/>
                    <w:bottom w:w="0" w:type="dxa"/>
                    <w:right w:w="0" w:type="dxa"/>
                  </w:tcMar>
                  <w:vAlign w:val="center"/>
                </w:tcPr>
                <w:p w14:paraId="2222A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21</w:t>
                  </w:r>
                </w:p>
              </w:tc>
              <w:tc>
                <w:tcPr>
                  <w:tcW w:w="168" w:type="pct"/>
                  <w:shd w:val="clear" w:color="auto" w:fill="auto"/>
                  <w:tcMar>
                    <w:top w:w="0" w:type="dxa"/>
                    <w:left w:w="0" w:type="dxa"/>
                    <w:bottom w:w="0" w:type="dxa"/>
                    <w:right w:w="0" w:type="dxa"/>
                  </w:tcMar>
                  <w:vAlign w:val="center"/>
                </w:tcPr>
                <w:p w14:paraId="6B966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42.9</w:t>
                  </w:r>
                </w:p>
              </w:tc>
              <w:tc>
                <w:tcPr>
                  <w:tcW w:w="143" w:type="pct"/>
                  <w:shd w:val="clear" w:color="auto" w:fill="auto"/>
                  <w:tcMar>
                    <w:top w:w="0" w:type="dxa"/>
                    <w:left w:w="0" w:type="dxa"/>
                    <w:bottom w:w="0" w:type="dxa"/>
                    <w:right w:w="0" w:type="dxa"/>
                  </w:tcMar>
                  <w:vAlign w:val="center"/>
                </w:tcPr>
                <w:p w14:paraId="72BB3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42.9</w:t>
                  </w:r>
                </w:p>
              </w:tc>
              <w:tc>
                <w:tcPr>
                  <w:tcW w:w="168" w:type="pct"/>
                  <w:shd w:val="clear" w:color="auto" w:fill="auto"/>
                  <w:tcMar>
                    <w:top w:w="0" w:type="dxa"/>
                    <w:left w:w="0" w:type="dxa"/>
                    <w:bottom w:w="0" w:type="dxa"/>
                    <w:right w:w="0" w:type="dxa"/>
                  </w:tcMar>
                  <w:vAlign w:val="center"/>
                </w:tcPr>
                <w:p w14:paraId="2A59D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42.9</w:t>
                  </w:r>
                </w:p>
              </w:tc>
              <w:tc>
                <w:tcPr>
                  <w:tcW w:w="180" w:type="pct"/>
                  <w:shd w:val="clear" w:color="auto" w:fill="auto"/>
                  <w:tcMar>
                    <w:top w:w="0" w:type="dxa"/>
                    <w:left w:w="0" w:type="dxa"/>
                    <w:bottom w:w="0" w:type="dxa"/>
                    <w:right w:w="0" w:type="dxa"/>
                  </w:tcMar>
                  <w:vAlign w:val="center"/>
                </w:tcPr>
                <w:p w14:paraId="2EBF0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42.9</w:t>
                  </w:r>
                </w:p>
              </w:tc>
              <w:tc>
                <w:tcPr>
                  <w:tcW w:w="332" w:type="pct"/>
                  <w:shd w:val="clear" w:color="auto" w:fill="auto"/>
                  <w:tcMar>
                    <w:top w:w="0" w:type="dxa"/>
                    <w:left w:w="0" w:type="dxa"/>
                    <w:bottom w:w="0" w:type="dxa"/>
                    <w:right w:w="0" w:type="dxa"/>
                  </w:tcMar>
                  <w:vAlign w:val="center"/>
                </w:tcPr>
                <w:p w14:paraId="0B78E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olor w:val="auto"/>
                      <w:sz w:val="20"/>
                      <w:lang w:val="en-US" w:eastAsia="zh-CN"/>
                    </w:rPr>
                  </w:pPr>
                  <w:r>
                    <w:rPr>
                      <w:rFonts w:hint="eastAsia" w:ascii="Times New Roman" w:hAnsi="Times New Roman" w:eastAsia="宋体"/>
                      <w:color w:val="auto"/>
                      <w:sz w:val="20"/>
                      <w:lang w:val="en-US" w:eastAsia="zh-CN"/>
                    </w:rPr>
                    <w:t>1</w:t>
                  </w:r>
                </w:p>
              </w:tc>
            </w:tr>
          </w:tbl>
          <w:p w14:paraId="3EAA8E73">
            <w:pPr>
              <w:keepNext w:val="0"/>
              <w:keepLines w:val="0"/>
              <w:suppressLineNumbers w:val="0"/>
              <w:spacing w:before="0" w:beforeAutospacing="0" w:after="0" w:afterAutospacing="0"/>
              <w:ind w:left="0" w:right="0"/>
              <w:rPr>
                <w:rFonts w:hint="default"/>
                <w:color w:val="auto"/>
              </w:rPr>
            </w:pPr>
            <w:r>
              <w:rPr>
                <w:rFonts w:hint="eastAsia" w:eastAsiaTheme="minorEastAsia"/>
                <w:bCs/>
                <w:color w:val="auto"/>
                <w:szCs w:val="21"/>
              </w:rPr>
              <w:t>注：</w:t>
            </w:r>
            <w:r>
              <w:rPr>
                <w:rFonts w:hint="default" w:eastAsiaTheme="minorEastAsia"/>
                <w:bCs/>
                <w:color w:val="auto"/>
                <w:szCs w:val="21"/>
              </w:rPr>
              <w:t>表中坐标以厂界中心（</w:t>
            </w:r>
            <w:r>
              <w:rPr>
                <w:rFonts w:hint="eastAsia" w:eastAsiaTheme="minorEastAsia"/>
                <w:bCs/>
                <w:color w:val="auto"/>
                <w:szCs w:val="21"/>
              </w:rPr>
              <w:t>86.346388</w:t>
            </w:r>
            <w:r>
              <w:rPr>
                <w:rFonts w:hint="eastAsia" w:eastAsiaTheme="minorEastAsia"/>
                <w:bCs/>
                <w:color w:val="auto"/>
                <w:szCs w:val="21"/>
                <w:lang w:val="en-US" w:eastAsia="zh-CN"/>
              </w:rPr>
              <w:t>9；42.493611</w:t>
            </w:r>
            <w:r>
              <w:rPr>
                <w:rFonts w:hint="default" w:eastAsiaTheme="minorEastAsia"/>
                <w:bCs/>
                <w:color w:val="auto"/>
                <w:szCs w:val="21"/>
              </w:rPr>
              <w:t>）为坐标原点，正东向为X轴正方向，正北向为Y轴正方向</w:t>
            </w:r>
            <w:r>
              <w:rPr>
                <w:rFonts w:hint="eastAsia" w:eastAsiaTheme="minorEastAsia"/>
                <w:bCs/>
                <w:color w:val="auto"/>
                <w:szCs w:val="21"/>
              </w:rPr>
              <w:t>。</w:t>
            </w:r>
          </w:p>
        </w:tc>
      </w:tr>
    </w:tbl>
    <w:p w14:paraId="6BE20911">
      <w:pPr>
        <w:pStyle w:val="5"/>
        <w:ind w:firstLine="560"/>
        <w:rPr>
          <w:color w:val="auto"/>
        </w:rPr>
        <w:sectPr>
          <w:pgSz w:w="16838" w:h="11906" w:orient="landscape"/>
          <w:pgMar w:top="1800" w:right="1440" w:bottom="1800" w:left="1440" w:header="851" w:footer="1077" w:gutter="0"/>
          <w:pgNumType w:fmt="decimal"/>
          <w:cols w:space="720" w:num="1"/>
          <w:docGrid w:linePitch="312" w:charSpace="0"/>
        </w:sect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0"/>
        <w:gridCol w:w="7696"/>
      </w:tblGrid>
      <w:tr w14:paraId="421E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4" w:type="dxa"/>
          </w:tcPr>
          <w:p w14:paraId="1620F864">
            <w:pPr>
              <w:pStyle w:val="6"/>
              <w:keepNext w:val="0"/>
              <w:keepLines w:val="0"/>
              <w:suppressLineNumbers w:val="0"/>
              <w:spacing w:before="0" w:beforeAutospacing="0" w:after="0" w:afterAutospacing="0"/>
              <w:ind w:left="0" w:right="0" w:firstLine="500"/>
              <w:rPr>
                <w:rFonts w:hint="default"/>
                <w:color w:val="auto"/>
              </w:rPr>
            </w:pPr>
          </w:p>
        </w:tc>
        <w:tc>
          <w:tcPr>
            <w:tcW w:w="7868" w:type="dxa"/>
          </w:tcPr>
          <w:p w14:paraId="4146CF6D">
            <w:pPr>
              <w:keepNext w:val="0"/>
              <w:keepLines w:val="0"/>
              <w:suppressLineNumbers w:val="0"/>
              <w:spacing w:before="0" w:beforeAutospacing="0" w:after="0" w:afterAutospacing="0" w:line="520" w:lineRule="exact"/>
              <w:ind w:left="0" w:right="0" w:firstLine="480" w:firstLineChars="200"/>
              <w:jc w:val="left"/>
              <w:rPr>
                <w:rFonts w:hint="default"/>
                <w:bCs/>
                <w:color w:val="auto"/>
                <w:sz w:val="24"/>
              </w:rPr>
            </w:pPr>
            <w:r>
              <w:rPr>
                <w:rFonts w:hint="default"/>
                <w:bCs/>
                <w:color w:val="auto"/>
                <w:sz w:val="24"/>
              </w:rPr>
              <w:t>3、预测结果分析</w:t>
            </w:r>
          </w:p>
          <w:p w14:paraId="0DD7D6FD">
            <w:pPr>
              <w:keepNext w:val="0"/>
              <w:keepLines w:val="0"/>
              <w:suppressLineNumbers w:val="0"/>
              <w:snapToGrid w:val="0"/>
              <w:spacing w:before="0" w:beforeAutospacing="0" w:after="0" w:afterAutospacing="0" w:line="520" w:lineRule="exact"/>
              <w:ind w:left="0" w:right="0" w:firstLine="480" w:firstLineChars="200"/>
              <w:rPr>
                <w:rFonts w:hint="default" w:eastAsiaTheme="minorEastAsia"/>
                <w:color w:val="auto"/>
                <w:sz w:val="24"/>
              </w:rPr>
            </w:pPr>
            <w:r>
              <w:rPr>
                <w:rFonts w:hint="default" w:eastAsiaTheme="minorEastAsia"/>
                <w:color w:val="auto"/>
                <w:sz w:val="24"/>
              </w:rPr>
              <w:t>通过预测模型计算，项目厂界噪声预测结果与达标分析见</w:t>
            </w:r>
            <w:r>
              <w:rPr>
                <w:rFonts w:hint="eastAsia" w:eastAsiaTheme="minorEastAsia"/>
                <w:color w:val="auto"/>
                <w:sz w:val="24"/>
                <w:lang w:val="en-US" w:eastAsia="zh-CN"/>
              </w:rPr>
              <w:t>下</w:t>
            </w:r>
            <w:r>
              <w:rPr>
                <w:rFonts w:hint="default" w:eastAsiaTheme="minorEastAsia"/>
                <w:color w:val="auto"/>
                <w:sz w:val="24"/>
              </w:rPr>
              <w:t>表。</w:t>
            </w:r>
          </w:p>
          <w:p w14:paraId="5147CAE5">
            <w:pPr>
              <w:keepNext w:val="0"/>
              <w:keepLines w:val="0"/>
              <w:suppressLineNumbers w:val="0"/>
              <w:adjustRightInd w:val="0"/>
              <w:snapToGrid w:val="0"/>
              <w:spacing w:before="0" w:beforeAutospacing="0" w:after="0" w:afterAutospacing="0" w:line="520" w:lineRule="exact"/>
              <w:ind w:left="0" w:right="0"/>
              <w:jc w:val="center"/>
              <w:rPr>
                <w:rFonts w:hint="default"/>
                <w:b/>
                <w:color w:val="auto"/>
              </w:rPr>
            </w:pPr>
            <w:r>
              <w:rPr>
                <w:rFonts w:hint="default" w:asciiTheme="minorEastAsia" w:hAnsiTheme="minorEastAsia" w:eastAsiaTheme="minorEastAsia"/>
                <w:b/>
                <w:color w:val="auto"/>
                <w:sz w:val="24"/>
              </w:rPr>
              <w:t>表</w:t>
            </w:r>
            <w:r>
              <w:rPr>
                <w:rFonts w:hint="eastAsia" w:eastAsiaTheme="minorEastAsia"/>
                <w:b/>
                <w:color w:val="auto"/>
                <w:sz w:val="24"/>
              </w:rPr>
              <w:t>4-</w:t>
            </w:r>
            <w:r>
              <w:rPr>
                <w:rFonts w:hint="eastAsia" w:eastAsiaTheme="minorEastAsia"/>
                <w:b/>
                <w:color w:val="auto"/>
                <w:sz w:val="24"/>
                <w:lang w:val="en-US" w:eastAsia="zh-CN"/>
              </w:rPr>
              <w:t>10</w:t>
            </w:r>
            <w:r>
              <w:rPr>
                <w:rFonts w:hint="default" w:eastAsiaTheme="minorEastAsia"/>
                <w:b/>
                <w:color w:val="auto"/>
                <w:sz w:val="24"/>
              </w:rPr>
              <w:t xml:space="preserve"> </w:t>
            </w:r>
            <w:r>
              <w:rPr>
                <w:rFonts w:hint="default" w:asciiTheme="minorEastAsia" w:hAnsiTheme="minorEastAsia" w:eastAsiaTheme="minorEastAsia"/>
                <w:b/>
                <w:color w:val="auto"/>
                <w:sz w:val="24"/>
              </w:rPr>
              <w:t xml:space="preserve"> 厂界噪声预测结果与达标分析表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94"/>
              <w:gridCol w:w="789"/>
              <w:gridCol w:w="789"/>
              <w:gridCol w:w="703"/>
              <w:gridCol w:w="819"/>
              <w:gridCol w:w="1346"/>
              <w:gridCol w:w="1347"/>
              <w:gridCol w:w="955"/>
            </w:tblGrid>
            <w:tr w14:paraId="46EE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exact"/>
                <w:jc w:val="center"/>
              </w:trPr>
              <w:tc>
                <w:tcPr>
                  <w:tcW w:w="894" w:type="dxa"/>
                  <w:vMerge w:val="restart"/>
                  <w:shd w:val="clear" w:color="auto" w:fill="auto"/>
                  <w:vAlign w:val="center"/>
                </w:tcPr>
                <w:p w14:paraId="3AE89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预测方位</w:t>
                  </w:r>
                </w:p>
              </w:tc>
              <w:tc>
                <w:tcPr>
                  <w:tcW w:w="2281" w:type="dxa"/>
                  <w:gridSpan w:val="3"/>
                  <w:shd w:val="clear" w:color="auto" w:fill="auto"/>
                  <w:vAlign w:val="center"/>
                </w:tcPr>
                <w:p w14:paraId="4A0CB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lang w:val="en-US" w:eastAsia="zh-CN"/>
                    </w:rPr>
                    <w:t>最大值点</w:t>
                  </w:r>
                  <w:r>
                    <w:rPr>
                      <w:rFonts w:hint="default" w:ascii="Times New Roman" w:hAnsi="Times New Roman" w:eastAsia="宋体" w:cs="Times New Roman"/>
                      <w:b/>
                      <w:color w:val="auto"/>
                      <w:sz w:val="21"/>
                      <w:szCs w:val="21"/>
                    </w:rPr>
                    <w:t>空间相对位置/m</w:t>
                  </w:r>
                </w:p>
              </w:tc>
              <w:tc>
                <w:tcPr>
                  <w:tcW w:w="819" w:type="dxa"/>
                  <w:vMerge w:val="restart"/>
                  <w:shd w:val="clear" w:color="auto" w:fill="auto"/>
                  <w:vAlign w:val="center"/>
                </w:tcPr>
                <w:p w14:paraId="289D59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时段</w:t>
                  </w:r>
                </w:p>
              </w:tc>
              <w:tc>
                <w:tcPr>
                  <w:tcW w:w="1346" w:type="dxa"/>
                  <w:vMerge w:val="restart"/>
                  <w:shd w:val="clear" w:color="auto" w:fill="auto"/>
                  <w:vAlign w:val="center"/>
                </w:tcPr>
                <w:p w14:paraId="2B4C8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color w:val="auto"/>
                      <w:sz w:val="21"/>
                      <w:szCs w:val="21"/>
                    </w:rPr>
                    <w:t>贡献值</w:t>
                  </w:r>
                  <w:r>
                    <w:rPr>
                      <w:rFonts w:hint="default" w:ascii="Times New Roman" w:hAnsi="Times New Roman" w:eastAsia="宋体" w:cs="Times New Roman"/>
                      <w:b/>
                      <w:color w:val="auto"/>
                      <w:sz w:val="21"/>
                      <w:szCs w:val="21"/>
                    </w:rPr>
                    <w:t>（dB(A)）</w:t>
                  </w:r>
                </w:p>
              </w:tc>
              <w:tc>
                <w:tcPr>
                  <w:tcW w:w="1347" w:type="dxa"/>
                  <w:vMerge w:val="restart"/>
                  <w:shd w:val="clear" w:color="auto" w:fill="auto"/>
                  <w:vAlign w:val="center"/>
                </w:tcPr>
                <w:p w14:paraId="4B245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标准限值（dB(A)）</w:t>
                  </w:r>
                </w:p>
              </w:tc>
              <w:tc>
                <w:tcPr>
                  <w:tcW w:w="955" w:type="dxa"/>
                  <w:vMerge w:val="restart"/>
                  <w:shd w:val="clear" w:color="auto" w:fill="auto"/>
                  <w:vAlign w:val="center"/>
                </w:tcPr>
                <w:p w14:paraId="222D4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达标情况</w:t>
                  </w:r>
                </w:p>
              </w:tc>
            </w:tr>
            <w:tr w14:paraId="2DD3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4" w:type="dxa"/>
                  <w:vMerge w:val="continue"/>
                  <w:shd w:val="clear" w:color="auto" w:fill="auto"/>
                  <w:vAlign w:val="center"/>
                </w:tcPr>
                <w:p w14:paraId="45AD2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789" w:type="dxa"/>
                  <w:shd w:val="clear" w:color="auto" w:fill="auto"/>
                  <w:vAlign w:val="center"/>
                </w:tcPr>
                <w:p w14:paraId="0F23FD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789" w:type="dxa"/>
                  <w:shd w:val="clear" w:color="auto" w:fill="auto"/>
                  <w:vAlign w:val="center"/>
                </w:tcPr>
                <w:p w14:paraId="415CC8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703" w:type="dxa"/>
                  <w:shd w:val="clear" w:color="auto" w:fill="auto"/>
                  <w:vAlign w:val="center"/>
                </w:tcPr>
                <w:p w14:paraId="2C6F0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819" w:type="dxa"/>
                  <w:vMerge w:val="continue"/>
                  <w:shd w:val="clear" w:color="auto" w:fill="auto"/>
                  <w:vAlign w:val="center"/>
                </w:tcPr>
                <w:p w14:paraId="41B23C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1346" w:type="dxa"/>
                  <w:vMerge w:val="continue"/>
                  <w:shd w:val="clear" w:color="auto" w:fill="auto"/>
                  <w:vAlign w:val="center"/>
                </w:tcPr>
                <w:p w14:paraId="49EAB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1347" w:type="dxa"/>
                  <w:vMerge w:val="continue"/>
                  <w:shd w:val="clear" w:color="auto" w:fill="auto"/>
                  <w:vAlign w:val="center"/>
                </w:tcPr>
                <w:p w14:paraId="015E5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955" w:type="dxa"/>
                  <w:vMerge w:val="continue"/>
                  <w:shd w:val="clear" w:color="auto" w:fill="auto"/>
                  <w:vAlign w:val="center"/>
                </w:tcPr>
                <w:p w14:paraId="4F1CD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r>
            <w:tr w14:paraId="02C3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894" w:type="dxa"/>
                  <w:shd w:val="clear" w:color="auto" w:fill="auto"/>
                  <w:vAlign w:val="center"/>
                </w:tcPr>
                <w:p w14:paraId="3143C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东侧</w:t>
                  </w:r>
                </w:p>
              </w:tc>
              <w:tc>
                <w:tcPr>
                  <w:tcW w:w="789" w:type="dxa"/>
                  <w:shd w:val="clear" w:color="auto" w:fill="auto"/>
                  <w:vAlign w:val="center"/>
                </w:tcPr>
                <w:p w14:paraId="382BF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654.8</w:t>
                  </w:r>
                </w:p>
              </w:tc>
              <w:tc>
                <w:tcPr>
                  <w:tcW w:w="789" w:type="dxa"/>
                  <w:shd w:val="clear" w:color="auto" w:fill="auto"/>
                  <w:vAlign w:val="center"/>
                </w:tcPr>
                <w:p w14:paraId="16517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-187.4</w:t>
                  </w:r>
                </w:p>
              </w:tc>
              <w:tc>
                <w:tcPr>
                  <w:tcW w:w="703" w:type="dxa"/>
                  <w:shd w:val="clear" w:color="auto" w:fill="auto"/>
                  <w:vAlign w:val="center"/>
                </w:tcPr>
                <w:p w14:paraId="0BCBC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1.2</w:t>
                  </w:r>
                </w:p>
              </w:tc>
              <w:tc>
                <w:tcPr>
                  <w:tcW w:w="819" w:type="dxa"/>
                  <w:shd w:val="clear" w:color="auto" w:fill="auto"/>
                  <w:vAlign w:val="center"/>
                </w:tcPr>
                <w:p w14:paraId="7B8652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昼间</w:t>
                  </w:r>
                </w:p>
              </w:tc>
              <w:tc>
                <w:tcPr>
                  <w:tcW w:w="1346" w:type="dxa"/>
                  <w:shd w:val="clear" w:color="auto" w:fill="auto"/>
                  <w:vAlign w:val="center"/>
                </w:tcPr>
                <w:p w14:paraId="74A5A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7.2</w:t>
                  </w:r>
                </w:p>
              </w:tc>
              <w:tc>
                <w:tcPr>
                  <w:tcW w:w="1347" w:type="dxa"/>
                  <w:shd w:val="clear" w:color="auto" w:fill="auto"/>
                  <w:vAlign w:val="center"/>
                </w:tcPr>
                <w:p w14:paraId="0C4B7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60</w:t>
                  </w:r>
                </w:p>
              </w:tc>
              <w:tc>
                <w:tcPr>
                  <w:tcW w:w="955" w:type="dxa"/>
                  <w:shd w:val="clear" w:color="auto" w:fill="auto"/>
                  <w:vAlign w:val="center"/>
                </w:tcPr>
                <w:p w14:paraId="5E9F4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达标</w:t>
                  </w:r>
                </w:p>
              </w:tc>
            </w:tr>
            <w:tr w14:paraId="7886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894" w:type="dxa"/>
                  <w:shd w:val="clear" w:color="auto" w:fill="auto"/>
                  <w:vAlign w:val="center"/>
                </w:tcPr>
                <w:p w14:paraId="31C1F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南侧</w:t>
                  </w:r>
                </w:p>
              </w:tc>
              <w:tc>
                <w:tcPr>
                  <w:tcW w:w="789" w:type="dxa"/>
                  <w:shd w:val="clear" w:color="auto" w:fill="auto"/>
                  <w:vAlign w:val="center"/>
                </w:tcPr>
                <w:p w14:paraId="6CA90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213.9</w:t>
                  </w:r>
                </w:p>
              </w:tc>
              <w:tc>
                <w:tcPr>
                  <w:tcW w:w="789" w:type="dxa"/>
                  <w:shd w:val="clear" w:color="auto" w:fill="auto"/>
                  <w:vAlign w:val="center"/>
                </w:tcPr>
                <w:p w14:paraId="00E1D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-413.3</w:t>
                  </w:r>
                </w:p>
              </w:tc>
              <w:tc>
                <w:tcPr>
                  <w:tcW w:w="703" w:type="dxa"/>
                  <w:shd w:val="clear" w:color="auto" w:fill="auto"/>
                  <w:vAlign w:val="center"/>
                </w:tcPr>
                <w:p w14:paraId="79C80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1.2</w:t>
                  </w:r>
                </w:p>
              </w:tc>
              <w:tc>
                <w:tcPr>
                  <w:tcW w:w="819" w:type="dxa"/>
                  <w:shd w:val="clear" w:color="auto" w:fill="auto"/>
                  <w:vAlign w:val="center"/>
                </w:tcPr>
                <w:p w14:paraId="1EB57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昼间</w:t>
                  </w:r>
                </w:p>
              </w:tc>
              <w:tc>
                <w:tcPr>
                  <w:tcW w:w="1346" w:type="dxa"/>
                  <w:shd w:val="clear" w:color="auto" w:fill="auto"/>
                  <w:vAlign w:val="center"/>
                </w:tcPr>
                <w:p w14:paraId="0ED6F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25.2</w:t>
                  </w:r>
                </w:p>
              </w:tc>
              <w:tc>
                <w:tcPr>
                  <w:tcW w:w="1347" w:type="dxa"/>
                  <w:shd w:val="clear" w:color="auto" w:fill="auto"/>
                  <w:vAlign w:val="center"/>
                </w:tcPr>
                <w:p w14:paraId="6A063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60</w:t>
                  </w:r>
                </w:p>
              </w:tc>
              <w:tc>
                <w:tcPr>
                  <w:tcW w:w="955" w:type="dxa"/>
                  <w:shd w:val="clear" w:color="auto" w:fill="auto"/>
                  <w:vAlign w:val="center"/>
                </w:tcPr>
                <w:p w14:paraId="515A9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达标</w:t>
                  </w:r>
                </w:p>
              </w:tc>
            </w:tr>
            <w:tr w14:paraId="1608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894" w:type="dxa"/>
                  <w:shd w:val="clear" w:color="auto" w:fill="auto"/>
                  <w:vAlign w:val="center"/>
                </w:tcPr>
                <w:p w14:paraId="111AC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西侧</w:t>
                  </w:r>
                </w:p>
              </w:tc>
              <w:tc>
                <w:tcPr>
                  <w:tcW w:w="789" w:type="dxa"/>
                  <w:shd w:val="clear" w:color="auto" w:fill="auto"/>
                  <w:vAlign w:val="center"/>
                </w:tcPr>
                <w:p w14:paraId="4F2A2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-643.9</w:t>
                  </w:r>
                </w:p>
              </w:tc>
              <w:tc>
                <w:tcPr>
                  <w:tcW w:w="789" w:type="dxa"/>
                  <w:shd w:val="clear" w:color="auto" w:fill="auto"/>
                  <w:vAlign w:val="center"/>
                </w:tcPr>
                <w:p w14:paraId="48330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-424.8</w:t>
                  </w:r>
                </w:p>
              </w:tc>
              <w:tc>
                <w:tcPr>
                  <w:tcW w:w="703" w:type="dxa"/>
                  <w:shd w:val="clear" w:color="auto" w:fill="auto"/>
                  <w:vAlign w:val="center"/>
                </w:tcPr>
                <w:p w14:paraId="36FF2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1.2</w:t>
                  </w:r>
                </w:p>
              </w:tc>
              <w:tc>
                <w:tcPr>
                  <w:tcW w:w="819" w:type="dxa"/>
                  <w:shd w:val="clear" w:color="auto" w:fill="auto"/>
                  <w:vAlign w:val="center"/>
                </w:tcPr>
                <w:p w14:paraId="30F42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昼间</w:t>
                  </w:r>
                </w:p>
              </w:tc>
              <w:tc>
                <w:tcPr>
                  <w:tcW w:w="1346" w:type="dxa"/>
                  <w:shd w:val="clear" w:color="auto" w:fill="auto"/>
                  <w:vAlign w:val="center"/>
                </w:tcPr>
                <w:p w14:paraId="7D25B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6</w:t>
                  </w:r>
                </w:p>
              </w:tc>
              <w:tc>
                <w:tcPr>
                  <w:tcW w:w="1347" w:type="dxa"/>
                  <w:shd w:val="clear" w:color="auto" w:fill="auto"/>
                  <w:vAlign w:val="center"/>
                </w:tcPr>
                <w:p w14:paraId="3F3EA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60</w:t>
                  </w:r>
                </w:p>
              </w:tc>
              <w:tc>
                <w:tcPr>
                  <w:tcW w:w="955" w:type="dxa"/>
                  <w:shd w:val="clear" w:color="auto" w:fill="auto"/>
                  <w:vAlign w:val="center"/>
                </w:tcPr>
                <w:p w14:paraId="543FF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达标</w:t>
                  </w:r>
                </w:p>
              </w:tc>
            </w:tr>
            <w:tr w14:paraId="1090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894" w:type="dxa"/>
                  <w:shd w:val="clear" w:color="auto" w:fill="auto"/>
                  <w:vAlign w:val="center"/>
                </w:tcPr>
                <w:p w14:paraId="761B7C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北侧</w:t>
                  </w:r>
                </w:p>
              </w:tc>
              <w:tc>
                <w:tcPr>
                  <w:tcW w:w="789" w:type="dxa"/>
                  <w:shd w:val="clear" w:color="auto" w:fill="auto"/>
                  <w:vAlign w:val="center"/>
                </w:tcPr>
                <w:p w14:paraId="73577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-333.6</w:t>
                  </w:r>
                </w:p>
              </w:tc>
              <w:tc>
                <w:tcPr>
                  <w:tcW w:w="789" w:type="dxa"/>
                  <w:shd w:val="clear" w:color="auto" w:fill="auto"/>
                  <w:vAlign w:val="center"/>
                </w:tcPr>
                <w:p w14:paraId="4818C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417.2</w:t>
                  </w:r>
                </w:p>
              </w:tc>
              <w:tc>
                <w:tcPr>
                  <w:tcW w:w="703" w:type="dxa"/>
                  <w:shd w:val="clear" w:color="auto" w:fill="auto"/>
                  <w:vAlign w:val="center"/>
                </w:tcPr>
                <w:p w14:paraId="5C935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1.2</w:t>
                  </w:r>
                </w:p>
              </w:tc>
              <w:tc>
                <w:tcPr>
                  <w:tcW w:w="819" w:type="dxa"/>
                  <w:shd w:val="clear" w:color="auto" w:fill="auto"/>
                  <w:vAlign w:val="center"/>
                </w:tcPr>
                <w:p w14:paraId="251F7F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昼间</w:t>
                  </w:r>
                </w:p>
              </w:tc>
              <w:tc>
                <w:tcPr>
                  <w:tcW w:w="1346" w:type="dxa"/>
                  <w:shd w:val="clear" w:color="auto" w:fill="auto"/>
                  <w:vAlign w:val="center"/>
                </w:tcPr>
                <w:p w14:paraId="5934D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7.2</w:t>
                  </w:r>
                </w:p>
              </w:tc>
              <w:tc>
                <w:tcPr>
                  <w:tcW w:w="1347" w:type="dxa"/>
                  <w:shd w:val="clear" w:color="auto" w:fill="auto"/>
                  <w:vAlign w:val="center"/>
                </w:tcPr>
                <w:p w14:paraId="29A32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60</w:t>
                  </w:r>
                </w:p>
              </w:tc>
              <w:tc>
                <w:tcPr>
                  <w:tcW w:w="955" w:type="dxa"/>
                  <w:shd w:val="clear" w:color="auto" w:fill="auto"/>
                  <w:vAlign w:val="center"/>
                </w:tcPr>
                <w:p w14:paraId="02FB01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s="Arial"/>
                      <w:color w:val="auto"/>
                      <w:sz w:val="21"/>
                      <w:szCs w:val="21"/>
                    </w:rPr>
                    <w:t>达标</w:t>
                  </w:r>
                </w:p>
              </w:tc>
            </w:tr>
          </w:tbl>
          <w:p w14:paraId="6271F84E">
            <w:pPr>
              <w:keepNext w:val="0"/>
              <w:keepLines w:val="0"/>
              <w:suppressLineNumbers w:val="0"/>
              <w:spacing w:before="0" w:beforeAutospacing="0" w:after="0" w:afterAutospacing="0"/>
              <w:ind w:left="0" w:right="0" w:firstLine="420" w:firstLineChars="200"/>
              <w:rPr>
                <w:rFonts w:hint="default"/>
                <w:color w:val="auto"/>
              </w:rPr>
            </w:pPr>
            <w:r>
              <w:rPr>
                <w:rFonts w:hint="eastAsia" w:eastAsiaTheme="minorEastAsia"/>
                <w:bCs/>
                <w:color w:val="auto"/>
                <w:szCs w:val="21"/>
              </w:rPr>
              <w:t>注：</w:t>
            </w:r>
            <w:r>
              <w:rPr>
                <w:rFonts w:hint="default" w:eastAsiaTheme="minorEastAsia"/>
                <w:bCs/>
                <w:color w:val="auto"/>
                <w:szCs w:val="21"/>
              </w:rPr>
              <w:t>表中坐标以厂界中心（</w:t>
            </w:r>
            <w:r>
              <w:rPr>
                <w:rFonts w:hint="eastAsia" w:eastAsiaTheme="minorEastAsia"/>
                <w:bCs/>
                <w:color w:val="auto"/>
                <w:szCs w:val="21"/>
              </w:rPr>
              <w:t>86.346388</w:t>
            </w:r>
            <w:r>
              <w:rPr>
                <w:rFonts w:hint="eastAsia" w:eastAsiaTheme="minorEastAsia"/>
                <w:bCs/>
                <w:color w:val="auto"/>
                <w:szCs w:val="21"/>
                <w:lang w:val="en-US" w:eastAsia="zh-CN"/>
              </w:rPr>
              <w:t>9；42.493611</w:t>
            </w:r>
            <w:r>
              <w:rPr>
                <w:rFonts w:hint="default" w:eastAsiaTheme="minorEastAsia"/>
                <w:bCs/>
                <w:color w:val="auto"/>
                <w:szCs w:val="21"/>
              </w:rPr>
              <w:t>）为坐标原点，正东向为X轴正方向，正北向为Y轴正方向</w:t>
            </w:r>
          </w:p>
          <w:p w14:paraId="6A9A2306">
            <w:pPr>
              <w:keepNext w:val="0"/>
              <w:keepLines w:val="0"/>
              <w:suppressLineNumbers w:val="0"/>
              <w:snapToGrid w:val="0"/>
              <w:spacing w:before="0" w:beforeAutospacing="0" w:after="0" w:afterAutospacing="0" w:line="520" w:lineRule="exact"/>
              <w:ind w:left="0" w:right="0" w:firstLine="480" w:firstLineChars="200"/>
              <w:rPr>
                <w:rFonts w:hint="default" w:eastAsiaTheme="minorEastAsia"/>
                <w:color w:val="auto"/>
                <w:sz w:val="24"/>
              </w:rPr>
            </w:pPr>
            <w:r>
              <w:rPr>
                <w:rFonts w:hint="default" w:eastAsiaTheme="minorEastAsia"/>
                <w:color w:val="auto"/>
                <w:sz w:val="24"/>
              </w:rPr>
              <w:t>由上表可知，正常工况下，项目厂界噪声满足《工业企业厂界环境噪声排放标准》</w:t>
            </w:r>
            <w:r>
              <w:rPr>
                <w:rFonts w:hint="eastAsia" w:eastAsiaTheme="minorEastAsia"/>
                <w:color w:val="auto"/>
                <w:sz w:val="24"/>
              </w:rPr>
              <w:t>（</w:t>
            </w:r>
            <w:r>
              <w:rPr>
                <w:rFonts w:hint="default" w:eastAsiaTheme="minorEastAsia"/>
                <w:color w:val="auto"/>
                <w:sz w:val="24"/>
              </w:rPr>
              <w:t>GB12348</w:t>
            </w:r>
            <w:r>
              <w:rPr>
                <w:rFonts w:hint="eastAsia" w:eastAsiaTheme="minorEastAsia"/>
                <w:color w:val="auto"/>
                <w:sz w:val="24"/>
              </w:rPr>
              <w:t>—</w:t>
            </w:r>
            <w:r>
              <w:rPr>
                <w:rFonts w:hint="default" w:eastAsiaTheme="minorEastAsia"/>
                <w:color w:val="auto"/>
                <w:sz w:val="24"/>
              </w:rPr>
              <w:t>2008</w:t>
            </w:r>
            <w:r>
              <w:rPr>
                <w:rFonts w:hint="eastAsia" w:eastAsiaTheme="minorEastAsia"/>
                <w:color w:val="auto"/>
                <w:sz w:val="24"/>
              </w:rPr>
              <w:t>）2</w:t>
            </w:r>
            <w:r>
              <w:rPr>
                <w:rFonts w:hint="default" w:eastAsiaTheme="minorEastAsia"/>
                <w:color w:val="auto"/>
                <w:sz w:val="24"/>
              </w:rPr>
              <w:t>类标准。</w:t>
            </w:r>
          </w:p>
          <w:p w14:paraId="2A3D67F7">
            <w:pPr>
              <w:keepNext w:val="0"/>
              <w:keepLines w:val="0"/>
              <w:suppressLineNumbers w:val="0"/>
              <w:wordWrap w:val="0"/>
              <w:spacing w:before="0" w:beforeAutospacing="0" w:after="0" w:afterAutospacing="0" w:line="520" w:lineRule="exact"/>
              <w:ind w:left="0" w:right="0" w:firstLine="480" w:firstLineChars="200"/>
              <w:rPr>
                <w:rFonts w:hint="default"/>
                <w:color w:val="auto"/>
                <w:sz w:val="24"/>
              </w:rPr>
            </w:pPr>
            <w:r>
              <w:rPr>
                <w:rFonts w:hint="eastAsia"/>
                <w:color w:val="auto"/>
                <w:sz w:val="24"/>
              </w:rPr>
              <w:t>本环评要求采取以下措施：</w:t>
            </w:r>
          </w:p>
          <w:p w14:paraId="306A4572">
            <w:pPr>
              <w:keepNext w:val="0"/>
              <w:keepLines w:val="0"/>
              <w:suppressLineNumbers w:val="0"/>
              <w:wordWrap w:val="0"/>
              <w:spacing w:before="0" w:beforeAutospacing="0" w:after="0" w:afterAutospacing="0" w:line="520" w:lineRule="exact"/>
              <w:ind w:left="0" w:right="0" w:firstLine="480" w:firstLineChars="200"/>
              <w:rPr>
                <w:rFonts w:hint="default"/>
                <w:color w:val="auto"/>
                <w:sz w:val="24"/>
              </w:rPr>
            </w:pPr>
            <w:r>
              <w:rPr>
                <w:rFonts w:hint="eastAsia"/>
                <w:color w:val="auto"/>
                <w:sz w:val="24"/>
              </w:rPr>
              <w:t>（1）在设备的选型中要注意选用低噪声的设备，以降低声源噪声。</w:t>
            </w:r>
          </w:p>
          <w:p w14:paraId="2067C078">
            <w:pPr>
              <w:keepNext w:val="0"/>
              <w:keepLines w:val="0"/>
              <w:suppressLineNumbers w:val="0"/>
              <w:wordWrap w:val="0"/>
              <w:spacing w:before="0" w:beforeAutospacing="0" w:after="0" w:afterAutospacing="0" w:line="520" w:lineRule="exact"/>
              <w:ind w:left="0" w:right="0" w:firstLine="480" w:firstLineChars="200"/>
              <w:rPr>
                <w:rFonts w:hint="default"/>
                <w:color w:val="auto"/>
                <w:sz w:val="24"/>
              </w:rPr>
            </w:pPr>
            <w:r>
              <w:rPr>
                <w:rFonts w:hint="eastAsia"/>
                <w:color w:val="auto"/>
                <w:sz w:val="24"/>
              </w:rPr>
              <w:t>（2）在总图布局上根据工艺流程要求，尽可能将高噪设备集中，还应根据高噪声设备所在位置，充分利用噪声的指向性，利用建筑物的阻隔效应，科学布置以保证厂界噪声达标。</w:t>
            </w:r>
          </w:p>
          <w:p w14:paraId="3A2BFF18">
            <w:pPr>
              <w:keepNext w:val="0"/>
              <w:keepLines w:val="0"/>
              <w:suppressLineNumbers w:val="0"/>
              <w:wordWrap w:val="0"/>
              <w:spacing w:before="0" w:beforeAutospacing="0" w:after="0" w:afterAutospacing="0" w:line="520" w:lineRule="exact"/>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（3）</w:t>
            </w:r>
            <w:r>
              <w:rPr>
                <w:rFonts w:hint="eastAsia" w:ascii="Times New Roman" w:hAnsi="Times New Roman" w:eastAsia="宋体" w:cs="Times New Roman"/>
                <w:color w:val="auto"/>
                <w:sz w:val="24"/>
                <w:lang w:val="en-US" w:eastAsia="zh-CN"/>
              </w:rPr>
              <w:t>本项目高噪声设备主要包括挖掘机、潜孔钻机、破碎机以及</w:t>
            </w:r>
            <w:r>
              <w:rPr>
                <w:rFonts w:hint="default" w:ascii="Times New Roman" w:hAnsi="Times New Roman" w:eastAsia="宋体" w:cs="Times New Roman"/>
                <w:color w:val="auto"/>
                <w:sz w:val="24"/>
                <w:lang w:val="en-US" w:eastAsia="zh-CN"/>
              </w:rPr>
              <w:t>装载机</w:t>
            </w:r>
            <w:r>
              <w:rPr>
                <w:rFonts w:hint="eastAsia" w:ascii="Times New Roman" w:hAnsi="Times New Roman" w:eastAsia="宋体" w:cs="Times New Roman"/>
                <w:color w:val="auto"/>
                <w:sz w:val="24"/>
                <w:lang w:val="en-US" w:eastAsia="zh-CN"/>
              </w:rPr>
              <w:t>，为有效降低噪声污染，针对不同设备需采取相应的降噪措施：</w:t>
            </w:r>
          </w:p>
          <w:p w14:paraId="0551124B">
            <w:pPr>
              <w:keepNext w:val="0"/>
              <w:keepLines w:val="0"/>
              <w:suppressLineNumbers w:val="0"/>
              <w:wordWrap w:val="0"/>
              <w:spacing w:before="0" w:beforeAutospacing="0" w:after="0" w:afterAutospacing="0" w:line="520" w:lineRule="exact"/>
              <w:ind w:left="0" w:right="0" w:firstLine="480" w:firstLineChars="200"/>
              <w:rPr>
                <w:rFonts w:hint="eastAsia"/>
                <w:color w:val="auto"/>
                <w:sz w:val="24"/>
              </w:rPr>
            </w:pPr>
            <w:r>
              <w:rPr>
                <w:rFonts w:hint="eastAsia"/>
                <w:color w:val="auto"/>
                <w:sz w:val="24"/>
                <w:lang w:val="en-US" w:eastAsia="zh-CN"/>
              </w:rPr>
              <w:t>1.</w:t>
            </w:r>
            <w:r>
              <w:rPr>
                <w:rFonts w:hint="eastAsia"/>
                <w:color w:val="auto"/>
                <w:sz w:val="24"/>
              </w:rPr>
              <w:t>挖掘机：于发动机排气系统处装配抗性或阻性消声器，借助声学滤波原理削减排气噪声的声压级；同时，对发动机舱内部进行优化设计，在舱壁粘贴阻尼材料与吸音棉，以阻隔和吸收发动机运作时产生的噪声；此外，选用低噪声的液压泵及控制阀，并对管路布局加以优化，减少液压冲击，进而降低整体噪声水平。</w:t>
            </w:r>
          </w:p>
          <w:p w14:paraId="7B0E63D8">
            <w:pPr>
              <w:keepNext w:val="0"/>
              <w:keepLines w:val="0"/>
              <w:suppressLineNumbers w:val="0"/>
              <w:wordWrap w:val="0"/>
              <w:spacing w:before="0" w:beforeAutospacing="0" w:after="0" w:afterAutospacing="0" w:line="520" w:lineRule="exact"/>
              <w:ind w:left="0" w:right="0" w:firstLine="480" w:firstLineChars="200"/>
              <w:rPr>
                <w:rFonts w:hint="eastAsia"/>
                <w:color w:val="auto"/>
                <w:sz w:val="24"/>
              </w:rPr>
            </w:pPr>
            <w:r>
              <w:rPr>
                <w:rFonts w:hint="eastAsia"/>
                <w:color w:val="auto"/>
                <w:sz w:val="24"/>
                <w:lang w:val="en-US" w:eastAsia="zh-CN"/>
              </w:rPr>
              <w:t>2.</w:t>
            </w:r>
            <w:r>
              <w:rPr>
                <w:rFonts w:hint="eastAsia"/>
                <w:color w:val="auto"/>
                <w:sz w:val="24"/>
              </w:rPr>
              <w:t>潜孔钻机：在空压机排气口安装小孔消声器，以降低高速气流排放引发的噪声；围绕设备设计全封闭隔声罩，采用吸声材料并配备通风散热结构，有效阻隔钻机噪声的传播；通过使用橡胶减震垫与弹簧减震器，构建减震基础，减少钻机工作时振动向地面的传递。</w:t>
            </w:r>
          </w:p>
          <w:p w14:paraId="20581A72">
            <w:pPr>
              <w:keepNext w:val="0"/>
              <w:keepLines w:val="0"/>
              <w:suppressLineNumbers w:val="0"/>
              <w:wordWrap w:val="0"/>
              <w:spacing w:before="0" w:beforeAutospacing="0" w:after="0" w:afterAutospacing="0" w:line="520" w:lineRule="exact"/>
              <w:ind w:left="0" w:right="0" w:firstLine="480" w:firstLineChars="200"/>
              <w:rPr>
                <w:rFonts w:hint="eastAsia"/>
                <w:color w:val="auto"/>
                <w:sz w:val="24"/>
              </w:rPr>
            </w:pPr>
            <w:r>
              <w:rPr>
                <w:rFonts w:hint="eastAsia"/>
                <w:color w:val="auto"/>
                <w:sz w:val="24"/>
                <w:lang w:val="en-US" w:eastAsia="zh-CN"/>
              </w:rPr>
              <w:t>3.</w:t>
            </w:r>
            <w:r>
              <w:rPr>
                <w:rFonts w:hint="eastAsia"/>
                <w:color w:val="auto"/>
                <w:sz w:val="24"/>
              </w:rPr>
              <w:t>装载机：针对发动机采取与挖掘机发动机降噪一致的措施，即安装消声器并优化发动机舱隔音，降低发动机产生的噪声。</w:t>
            </w:r>
          </w:p>
          <w:p w14:paraId="539ED992">
            <w:pPr>
              <w:keepNext w:val="0"/>
              <w:keepLines w:val="0"/>
              <w:suppressLineNumbers w:val="0"/>
              <w:wordWrap w:val="0"/>
              <w:spacing w:before="0" w:beforeAutospacing="0" w:after="0" w:afterAutospacing="0" w:line="520" w:lineRule="exact"/>
              <w:ind w:left="0" w:right="0" w:firstLine="480" w:firstLineChars="200"/>
              <w:rPr>
                <w:rFonts w:hint="default"/>
                <w:color w:val="auto"/>
                <w:sz w:val="24"/>
                <w:lang w:val="en-US"/>
              </w:rPr>
            </w:pPr>
            <w:r>
              <w:rPr>
                <w:rFonts w:hint="eastAsia"/>
                <w:color w:val="auto"/>
                <w:sz w:val="24"/>
                <w:lang w:val="en-US" w:eastAsia="zh-CN"/>
              </w:rPr>
              <w:t>4.</w:t>
            </w:r>
            <w:r>
              <w:rPr>
                <w:rFonts w:hint="eastAsia"/>
                <w:color w:val="auto"/>
                <w:sz w:val="24"/>
              </w:rPr>
              <w:t>破碎机：采用钢筋混凝土基础搭配减震垫，打造减震基础，减少振动传播；对破碎腔结构进行优化设计，选用具备耐磨与降噪特性的材料；设计全封闭隔声罩，内部采用吸音材料并设置通风散热系统，全方位降低破碎机作业噪声。</w:t>
            </w:r>
          </w:p>
          <w:p w14:paraId="78022EEC">
            <w:pPr>
              <w:keepNext w:val="0"/>
              <w:keepLines w:val="0"/>
              <w:suppressLineNumbers w:val="0"/>
              <w:wordWrap w:val="0"/>
              <w:spacing w:before="0" w:beforeAutospacing="0" w:after="0" w:afterAutospacing="0" w:line="520" w:lineRule="exact"/>
              <w:ind w:left="0" w:right="0" w:firstLine="480" w:firstLineChars="200"/>
              <w:rPr>
                <w:rFonts w:hint="default"/>
                <w:color w:val="auto"/>
                <w:sz w:val="24"/>
              </w:rPr>
            </w:pPr>
            <w:r>
              <w:rPr>
                <w:rFonts w:hint="eastAsia"/>
                <w:color w:val="auto"/>
                <w:sz w:val="24"/>
              </w:rPr>
              <w:t>（</w:t>
            </w:r>
            <w:r>
              <w:rPr>
                <w:rFonts w:hint="eastAsia"/>
                <w:color w:val="auto"/>
                <w:sz w:val="24"/>
                <w:lang w:val="en-US" w:eastAsia="zh-CN"/>
              </w:rPr>
              <w:t>4</w:t>
            </w:r>
            <w:r>
              <w:rPr>
                <w:rFonts w:hint="eastAsia"/>
                <w:color w:val="auto"/>
                <w:sz w:val="24"/>
              </w:rPr>
              <w:t>）加强管理，经常对产噪设备的性能进行检查，保持设备平衡，以减少振动的产生，平时要对防噪设施经常维护，确保其发挥正常功能。</w:t>
            </w:r>
          </w:p>
          <w:p w14:paraId="1A355A11">
            <w:pPr>
              <w:pStyle w:val="2"/>
              <w:keepLines w:val="0"/>
              <w:suppressLineNumbers w:val="0"/>
              <w:adjustRightInd w:val="0"/>
              <w:spacing w:before="0" w:beforeAutospacing="0" w:after="0" w:afterAutospacing="0" w:line="520" w:lineRule="exact"/>
              <w:ind w:right="0"/>
              <w:outlineLvl w:val="0"/>
              <w:rPr>
                <w:rFonts w:hint="default" w:eastAsia="宋体"/>
                <w:color w:val="auto"/>
                <w:sz w:val="24"/>
                <w:szCs w:val="24"/>
              </w:rPr>
            </w:pPr>
            <w:r>
              <w:rPr>
                <w:rFonts w:hint="eastAsia" w:eastAsia="宋体"/>
                <w:color w:val="auto"/>
                <w:sz w:val="24"/>
                <w:szCs w:val="24"/>
              </w:rPr>
              <w:t>5</w:t>
            </w:r>
            <w:r>
              <w:rPr>
                <w:rFonts w:hint="default" w:eastAsia="宋体"/>
                <w:color w:val="auto"/>
                <w:sz w:val="24"/>
                <w:szCs w:val="24"/>
              </w:rPr>
              <w:t>固体废</w:t>
            </w:r>
            <w:r>
              <w:rPr>
                <w:rFonts w:hint="eastAsia" w:eastAsia="宋体"/>
                <w:color w:val="auto"/>
                <w:sz w:val="24"/>
                <w:szCs w:val="24"/>
              </w:rPr>
              <w:t>物环</w:t>
            </w:r>
            <w:r>
              <w:rPr>
                <w:rFonts w:hint="default" w:eastAsia="宋体"/>
                <w:color w:val="auto"/>
                <w:sz w:val="24"/>
                <w:szCs w:val="24"/>
              </w:rPr>
              <w:t>境影响分析</w:t>
            </w:r>
          </w:p>
          <w:p w14:paraId="1479B069">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auto"/>
                <w:sz w:val="24"/>
              </w:rPr>
            </w:pPr>
            <w:r>
              <w:rPr>
                <w:rFonts w:hint="default"/>
                <w:color w:val="auto"/>
                <w:sz w:val="24"/>
              </w:rPr>
              <w:t>本项目产生的固体废弃物主要为机械设备使用过程中产生的废</w:t>
            </w:r>
            <w:r>
              <w:rPr>
                <w:rFonts w:hint="eastAsia"/>
                <w:color w:val="auto"/>
                <w:sz w:val="24"/>
                <w:lang w:val="en-US" w:eastAsia="zh-CN"/>
              </w:rPr>
              <w:t>机</w:t>
            </w:r>
            <w:r>
              <w:rPr>
                <w:rFonts w:hint="default"/>
                <w:color w:val="auto"/>
                <w:sz w:val="24"/>
              </w:rPr>
              <w:t>油</w:t>
            </w:r>
            <w:r>
              <w:rPr>
                <w:rFonts w:hint="eastAsia"/>
                <w:color w:val="auto"/>
                <w:sz w:val="24"/>
              </w:rPr>
              <w:t>、开采、加工产生的废石</w:t>
            </w:r>
            <w:r>
              <w:rPr>
                <w:rFonts w:hint="default"/>
                <w:color w:val="auto"/>
                <w:sz w:val="24"/>
              </w:rPr>
              <w:t>及员工日常生活产生的生活垃圾。</w:t>
            </w:r>
          </w:p>
          <w:p w14:paraId="5647B8C2">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auto"/>
                <w:sz w:val="24"/>
              </w:rPr>
            </w:pPr>
            <w:r>
              <w:rPr>
                <w:rFonts w:hint="eastAsia"/>
                <w:color w:val="auto"/>
                <w:sz w:val="24"/>
              </w:rPr>
              <w:t>（1）</w:t>
            </w:r>
            <w:r>
              <w:rPr>
                <w:rFonts w:hint="eastAsia"/>
                <w:color w:val="auto"/>
                <w:sz w:val="24"/>
                <w:lang w:val="en-US" w:eastAsia="zh-CN"/>
              </w:rPr>
              <w:t>废土、</w:t>
            </w:r>
            <w:r>
              <w:rPr>
                <w:rFonts w:hint="eastAsia"/>
                <w:color w:val="auto"/>
                <w:sz w:val="24"/>
              </w:rPr>
              <w:t>废石</w:t>
            </w:r>
          </w:p>
          <w:p w14:paraId="33CF3323">
            <w:pPr>
              <w:keepNext w:val="0"/>
              <w:keepLines w:val="0"/>
              <w:suppressLineNumbers w:val="0"/>
              <w:adjustRightInd w:val="0"/>
              <w:snapToGrid w:val="0"/>
              <w:spacing w:before="0" w:beforeAutospacing="0" w:after="0" w:afterAutospacing="0" w:line="520" w:lineRule="exact"/>
              <w:ind w:left="0" w:right="0" w:firstLine="480" w:firstLineChars="200"/>
              <w:rPr>
                <w:rFonts w:hint="eastAsia"/>
                <w:color w:val="auto"/>
                <w:sz w:val="24"/>
              </w:rPr>
            </w:pPr>
            <w:r>
              <w:rPr>
                <w:rFonts w:hint="eastAsia"/>
                <w:color w:val="auto"/>
                <w:sz w:val="24"/>
              </w:rPr>
              <w:t>矿山设</w:t>
            </w:r>
            <w:r>
              <w:rPr>
                <w:rFonts w:hint="eastAsia"/>
                <w:color w:val="auto"/>
                <w:sz w:val="24"/>
                <w:lang w:val="en-US" w:eastAsia="zh-CN"/>
              </w:rPr>
              <w:t>排土</w:t>
            </w:r>
            <w:r>
              <w:rPr>
                <w:rFonts w:hint="eastAsia"/>
                <w:color w:val="auto"/>
                <w:sz w:val="24"/>
              </w:rPr>
              <w:t>场，占地面积为</w:t>
            </w:r>
            <w:r>
              <w:rPr>
                <w:rFonts w:hint="eastAsia"/>
                <w:sz w:val="24"/>
                <w:szCs w:val="32"/>
                <w:lang w:val="en-US" w:eastAsia="zh-CN"/>
              </w:rPr>
              <w:t>0.3419</w:t>
            </w:r>
            <w:r>
              <w:rPr>
                <w:rFonts w:hint="eastAsia"/>
                <w:color w:val="auto"/>
                <w:sz w:val="24"/>
                <w:lang w:val="en-US" w:eastAsia="zh-CN"/>
              </w:rPr>
              <w:t>hm</w:t>
            </w:r>
            <w:r>
              <w:rPr>
                <w:rFonts w:hint="eastAsia"/>
                <w:color w:val="auto"/>
                <w:sz w:val="24"/>
                <w:vertAlign w:val="superscript"/>
                <w:lang w:val="en-US" w:eastAsia="zh-CN"/>
              </w:rPr>
              <w:t>2</w:t>
            </w:r>
            <w:r>
              <w:rPr>
                <w:rFonts w:hint="eastAsia"/>
                <w:color w:val="auto"/>
                <w:sz w:val="24"/>
              </w:rPr>
              <w:t>，</w:t>
            </w:r>
            <w:r>
              <w:rPr>
                <w:rFonts w:hint="default"/>
                <w:color w:val="auto"/>
                <w:sz w:val="24"/>
              </w:rPr>
              <w:t>布置在规划露天采矿场外东</w:t>
            </w:r>
            <w:r>
              <w:rPr>
                <w:rFonts w:hint="eastAsia"/>
                <w:color w:val="auto"/>
                <w:sz w:val="24"/>
              </w:rPr>
              <w:t>侧，</w:t>
            </w:r>
            <w:r>
              <w:rPr>
                <w:rFonts w:hint="eastAsia"/>
                <w:color w:val="auto"/>
                <w:sz w:val="24"/>
                <w:lang w:val="en-US" w:eastAsia="zh-CN"/>
              </w:rPr>
              <w:t>将开采及表土剥离产生</w:t>
            </w:r>
            <w:r>
              <w:rPr>
                <w:rFonts w:hint="eastAsia"/>
                <w:color w:val="auto"/>
                <w:sz w:val="24"/>
              </w:rPr>
              <w:t>的</w:t>
            </w:r>
            <w:r>
              <w:rPr>
                <w:rFonts w:hint="eastAsia"/>
                <w:color w:val="auto"/>
                <w:sz w:val="24"/>
                <w:lang w:val="en-US" w:eastAsia="zh-CN"/>
              </w:rPr>
              <w:t>废土、</w:t>
            </w:r>
            <w:r>
              <w:rPr>
                <w:rFonts w:hint="eastAsia"/>
                <w:color w:val="auto"/>
                <w:sz w:val="24"/>
              </w:rPr>
              <w:t>废石</w:t>
            </w:r>
            <w:r>
              <w:rPr>
                <w:rFonts w:hint="eastAsia"/>
                <w:color w:val="auto"/>
                <w:sz w:val="24"/>
                <w:lang w:val="en-US" w:eastAsia="zh-CN"/>
              </w:rPr>
              <w:t>暂时</w:t>
            </w:r>
            <w:r>
              <w:rPr>
                <w:rFonts w:hint="eastAsia"/>
                <w:color w:val="auto"/>
                <w:sz w:val="24"/>
              </w:rPr>
              <w:t>堆放在</w:t>
            </w:r>
            <w:r>
              <w:rPr>
                <w:rFonts w:hint="eastAsia"/>
                <w:color w:val="auto"/>
                <w:sz w:val="24"/>
                <w:lang w:eastAsia="zh-CN"/>
              </w:rPr>
              <w:t>排土场</w:t>
            </w:r>
            <w:r>
              <w:rPr>
                <w:rFonts w:hint="eastAsia"/>
                <w:color w:val="auto"/>
                <w:sz w:val="24"/>
              </w:rPr>
              <w:t>，</w:t>
            </w:r>
            <w:r>
              <w:rPr>
                <w:rFonts w:hint="eastAsia"/>
                <w:color w:val="auto"/>
                <w:sz w:val="24"/>
                <w:lang w:val="en-US" w:eastAsia="zh-CN"/>
              </w:rPr>
              <w:t>按照</w:t>
            </w:r>
            <w:r>
              <w:rPr>
                <w:rFonts w:hint="eastAsia"/>
                <w:color w:val="auto"/>
                <w:sz w:val="24"/>
              </w:rPr>
              <w:t>边生产边</w:t>
            </w:r>
            <w:r>
              <w:rPr>
                <w:rFonts w:hint="eastAsia"/>
                <w:color w:val="auto"/>
                <w:sz w:val="24"/>
                <w:lang w:val="en-US" w:eastAsia="zh-CN"/>
              </w:rPr>
              <w:t>复垦的要求</w:t>
            </w:r>
            <w:r>
              <w:rPr>
                <w:rFonts w:hint="eastAsia"/>
                <w:color w:val="auto"/>
                <w:sz w:val="24"/>
              </w:rPr>
              <w:t>，投产后陆续将废石运至采坑进行回填，根据《固体废物分类与代码目录》，废石废物类别为SW59其他工业固体废物，废物代码：900-099-S59。</w:t>
            </w:r>
          </w:p>
          <w:p w14:paraId="59CB22B1">
            <w:pPr>
              <w:keepNext w:val="0"/>
              <w:keepLines w:val="0"/>
              <w:suppressLineNumbers w:val="0"/>
              <w:adjustRightInd w:val="0"/>
              <w:snapToGrid w:val="0"/>
              <w:spacing w:before="0" w:beforeAutospacing="0" w:after="0" w:afterAutospacing="0" w:line="520" w:lineRule="exact"/>
              <w:ind w:left="0" w:right="0" w:firstLine="480" w:firstLineChars="200"/>
              <w:rPr>
                <w:rFonts w:hint="eastAsia"/>
                <w:color w:val="auto"/>
                <w:sz w:val="24"/>
              </w:rPr>
            </w:pPr>
            <w:r>
              <w:rPr>
                <w:rFonts w:hint="eastAsia"/>
                <w:color w:val="auto"/>
                <w:sz w:val="24"/>
              </w:rPr>
              <w:t>（</w:t>
            </w:r>
            <w:r>
              <w:rPr>
                <w:rFonts w:hint="eastAsia"/>
                <w:color w:val="auto"/>
                <w:sz w:val="24"/>
                <w:lang w:val="en-US" w:eastAsia="zh-CN"/>
              </w:rPr>
              <w:t>2</w:t>
            </w:r>
            <w:r>
              <w:rPr>
                <w:rFonts w:hint="eastAsia"/>
                <w:color w:val="auto"/>
                <w:sz w:val="24"/>
              </w:rPr>
              <w:t>）废</w:t>
            </w:r>
            <w:r>
              <w:rPr>
                <w:rFonts w:hint="eastAsia"/>
                <w:color w:val="auto"/>
                <w:sz w:val="24"/>
                <w:lang w:val="en-US" w:eastAsia="zh-CN"/>
              </w:rPr>
              <w:t>润滑</w:t>
            </w:r>
            <w:r>
              <w:rPr>
                <w:rFonts w:hint="eastAsia"/>
                <w:color w:val="auto"/>
                <w:sz w:val="24"/>
              </w:rPr>
              <w:t>油</w:t>
            </w:r>
          </w:p>
          <w:p w14:paraId="01465021">
            <w:pPr>
              <w:keepNext w:val="0"/>
              <w:keepLines w:val="0"/>
              <w:suppressLineNumbers w:val="0"/>
              <w:adjustRightInd w:val="0"/>
              <w:snapToGrid w:val="0"/>
              <w:spacing w:before="0" w:beforeAutospacing="0" w:after="0" w:afterAutospacing="0" w:line="520" w:lineRule="exact"/>
              <w:ind w:left="0" w:right="0" w:firstLine="480" w:firstLineChars="200"/>
              <w:rPr>
                <w:rFonts w:hint="eastAsia"/>
                <w:color w:val="auto"/>
                <w:sz w:val="24"/>
              </w:rPr>
            </w:pPr>
            <w:r>
              <w:rPr>
                <w:rFonts w:hint="eastAsia"/>
                <w:color w:val="auto"/>
                <w:sz w:val="24"/>
              </w:rPr>
              <w:t>本项目机械设备使用过程中将产生的废</w:t>
            </w:r>
            <w:r>
              <w:rPr>
                <w:rFonts w:hint="eastAsia"/>
                <w:color w:val="auto"/>
                <w:sz w:val="24"/>
                <w:lang w:val="en-US" w:eastAsia="zh-CN"/>
              </w:rPr>
              <w:t>润滑油</w:t>
            </w:r>
            <w:r>
              <w:rPr>
                <w:rFonts w:hint="eastAsia"/>
                <w:color w:val="auto"/>
                <w:sz w:val="24"/>
              </w:rPr>
              <w:t>，根据业主提供资料，本项目开采机械设备定期更换</w:t>
            </w:r>
            <w:r>
              <w:rPr>
                <w:rFonts w:hint="eastAsia"/>
                <w:color w:val="auto"/>
                <w:sz w:val="24"/>
                <w:lang w:val="en-US" w:eastAsia="zh-CN"/>
              </w:rPr>
              <w:t>机油，润滑油年耗约1t</w:t>
            </w:r>
            <w:r>
              <w:rPr>
                <w:rFonts w:hint="eastAsia"/>
                <w:color w:val="auto"/>
                <w:sz w:val="24"/>
              </w:rPr>
              <w:t>。对照《国家危险废物名录》（202</w:t>
            </w:r>
            <w:r>
              <w:rPr>
                <w:rFonts w:hint="eastAsia"/>
                <w:color w:val="auto"/>
                <w:sz w:val="24"/>
                <w:lang w:val="en-US" w:eastAsia="zh-CN"/>
              </w:rPr>
              <w:t>5</w:t>
            </w:r>
            <w:r>
              <w:rPr>
                <w:rFonts w:hint="eastAsia"/>
                <w:color w:val="auto"/>
                <w:sz w:val="24"/>
              </w:rPr>
              <w:t>年），废</w:t>
            </w:r>
            <w:r>
              <w:rPr>
                <w:rFonts w:hint="eastAsia"/>
                <w:color w:val="auto"/>
                <w:sz w:val="24"/>
                <w:lang w:val="en-US" w:eastAsia="zh-CN"/>
              </w:rPr>
              <w:t>机</w:t>
            </w:r>
            <w:r>
              <w:rPr>
                <w:rFonts w:hint="eastAsia"/>
                <w:color w:val="auto"/>
                <w:sz w:val="24"/>
              </w:rPr>
              <w:t>油属于危险废物，废物类别为HW08废矿物油与含矿物油废物，危废代码：900-214-08（车辆、轮船及其他机械维修过程中产生的废发动机油、制动器油、自动变速器油、齿轮油等废润滑油）；检修过程中设备废机油收集存放在</w:t>
            </w:r>
            <w:r>
              <w:rPr>
                <w:rFonts w:hint="eastAsia"/>
                <w:color w:val="auto"/>
                <w:sz w:val="24"/>
                <w:lang w:eastAsia="zh-CN"/>
              </w:rPr>
              <w:t>危废贮存间</w:t>
            </w:r>
            <w:r>
              <w:rPr>
                <w:rFonts w:hint="eastAsia"/>
                <w:color w:val="auto"/>
                <w:sz w:val="24"/>
              </w:rPr>
              <w:t>，定期交由有资质单位处理。</w:t>
            </w:r>
          </w:p>
          <w:p w14:paraId="116A0711">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auto"/>
                <w:sz w:val="24"/>
              </w:rPr>
            </w:pPr>
            <w:r>
              <w:rPr>
                <w:rFonts w:hint="eastAsia"/>
                <w:color w:val="auto"/>
                <w:sz w:val="24"/>
              </w:rPr>
              <w:t>（</w:t>
            </w:r>
            <w:r>
              <w:rPr>
                <w:rFonts w:hint="eastAsia"/>
                <w:color w:val="auto"/>
                <w:sz w:val="24"/>
                <w:lang w:val="en-US" w:eastAsia="zh-CN"/>
              </w:rPr>
              <w:t>3</w:t>
            </w:r>
            <w:r>
              <w:rPr>
                <w:rFonts w:hint="eastAsia"/>
                <w:color w:val="auto"/>
                <w:sz w:val="24"/>
              </w:rPr>
              <w:t>）</w:t>
            </w:r>
            <w:r>
              <w:rPr>
                <w:rFonts w:hint="default"/>
                <w:color w:val="auto"/>
                <w:sz w:val="24"/>
              </w:rPr>
              <w:t>生活垃圾</w:t>
            </w:r>
          </w:p>
          <w:p w14:paraId="69B94B5B">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auto"/>
                <w:sz w:val="24"/>
              </w:rPr>
            </w:pPr>
            <w:r>
              <w:rPr>
                <w:rFonts w:hint="eastAsia"/>
                <w:color w:val="auto"/>
                <w:sz w:val="24"/>
              </w:rPr>
              <w:t>矿区设置生活区，职工</w:t>
            </w:r>
            <w:r>
              <w:rPr>
                <w:rFonts w:hint="eastAsia"/>
                <w:color w:val="auto"/>
                <w:sz w:val="24"/>
                <w:lang w:val="en-US" w:eastAsia="zh-CN"/>
              </w:rPr>
              <w:t>41</w:t>
            </w:r>
            <w:r>
              <w:rPr>
                <w:rFonts w:hint="eastAsia"/>
                <w:color w:val="auto"/>
                <w:sz w:val="24"/>
              </w:rPr>
              <w:t>名，人均垃圾产生量以</w:t>
            </w:r>
            <w:r>
              <w:rPr>
                <w:rFonts w:hint="eastAsia"/>
                <w:color w:val="auto"/>
                <w:sz w:val="24"/>
                <w:lang w:val="en-US" w:eastAsia="zh-CN"/>
              </w:rPr>
              <w:t>1</w:t>
            </w:r>
            <w:r>
              <w:rPr>
                <w:rFonts w:hint="eastAsia"/>
                <w:color w:val="auto"/>
                <w:sz w:val="24"/>
              </w:rPr>
              <w:t>kg/d计，年工作</w:t>
            </w:r>
            <w:r>
              <w:rPr>
                <w:rFonts w:hint="eastAsia"/>
                <w:color w:val="auto"/>
                <w:sz w:val="24"/>
                <w:lang w:val="en-US" w:eastAsia="zh-CN"/>
              </w:rPr>
              <w:t>300</w:t>
            </w:r>
            <w:r>
              <w:rPr>
                <w:rFonts w:hint="eastAsia"/>
                <w:color w:val="auto"/>
                <w:sz w:val="24"/>
              </w:rPr>
              <w:t>d，则可知本项目生活垃圾产生量为</w:t>
            </w:r>
            <w:r>
              <w:rPr>
                <w:rFonts w:hint="eastAsia"/>
                <w:color w:val="auto"/>
                <w:sz w:val="24"/>
                <w:lang w:val="en-US" w:eastAsia="zh-CN"/>
              </w:rPr>
              <w:t>12.3</w:t>
            </w:r>
            <w:r>
              <w:rPr>
                <w:rFonts w:hint="eastAsia"/>
                <w:color w:val="auto"/>
                <w:sz w:val="24"/>
              </w:rPr>
              <w:t>t/a。</w:t>
            </w:r>
          </w:p>
          <w:p w14:paraId="507E3553">
            <w:pPr>
              <w:pStyle w:val="22"/>
              <w:keepNext w:val="0"/>
              <w:keepLines w:val="0"/>
              <w:suppressLineNumbers w:val="0"/>
              <w:spacing w:before="0" w:beforeAutospacing="0" w:afterAutospacing="0" w:line="520" w:lineRule="exact"/>
              <w:ind w:left="0" w:leftChars="0" w:right="0" w:firstLine="480"/>
              <w:rPr>
                <w:rFonts w:hint="default"/>
                <w:color w:val="auto"/>
              </w:rPr>
            </w:pPr>
            <w:r>
              <w:rPr>
                <w:rFonts w:hint="default"/>
                <w:color w:val="auto"/>
                <w:sz w:val="24"/>
              </w:rPr>
              <w:t>采取了上述措施后，</w:t>
            </w:r>
            <w:r>
              <w:rPr>
                <w:rFonts w:hint="eastAsia"/>
                <w:color w:val="auto"/>
                <w:sz w:val="24"/>
              </w:rPr>
              <w:t>本项目产生的固体废物均得到了合理处置，</w:t>
            </w:r>
            <w:r>
              <w:rPr>
                <w:rFonts w:hint="default"/>
                <w:color w:val="auto"/>
                <w:sz w:val="24"/>
              </w:rPr>
              <w:t>固体废弃物对环境影响较小。</w:t>
            </w:r>
          </w:p>
        </w:tc>
      </w:tr>
      <w:tr w14:paraId="0E33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54" w:type="dxa"/>
            <w:vAlign w:val="center"/>
          </w:tcPr>
          <w:p w14:paraId="5216868D">
            <w:pPr>
              <w:keepNext w:val="0"/>
              <w:keepLines w:val="0"/>
              <w:suppressLineNumbers w:val="0"/>
              <w:adjustRightInd w:val="0"/>
              <w:snapToGrid w:val="0"/>
              <w:spacing w:before="0" w:beforeAutospacing="0" w:after="0" w:afterAutospacing="0"/>
              <w:ind w:left="0" w:right="0"/>
              <w:jc w:val="center"/>
              <w:rPr>
                <w:rFonts w:hint="default"/>
                <w:color w:val="FF0000"/>
              </w:rPr>
            </w:pPr>
            <w:r>
              <w:rPr>
                <w:rFonts w:hint="eastAsia" w:cs="宋体"/>
                <w:bCs/>
                <w:color w:val="000000" w:themeColor="text1"/>
                <w:szCs w:val="21"/>
                <w14:textFill>
                  <w14:solidFill>
                    <w14:schemeClr w14:val="tx1"/>
                  </w14:solidFill>
                </w14:textFill>
              </w:rPr>
              <w:t>选址选线环境合理性分析</w:t>
            </w:r>
          </w:p>
        </w:tc>
        <w:tc>
          <w:tcPr>
            <w:tcW w:w="7868" w:type="dxa"/>
          </w:tcPr>
          <w:p w14:paraId="0C9E2FA5">
            <w:pPr>
              <w:keepNext w:val="0"/>
              <w:keepLines w:val="0"/>
              <w:suppressLineNumbers w:val="0"/>
              <w:adjustRightInd w:val="0"/>
              <w:snapToGrid w:val="0"/>
              <w:spacing w:before="0" w:beforeAutospacing="0" w:after="0" w:afterAutospacing="0" w:line="520" w:lineRule="exact"/>
              <w:ind w:left="0" w:right="0"/>
              <w:jc w:val="left"/>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1项目区选址合理性</w:t>
            </w:r>
          </w:p>
          <w:p w14:paraId="4A4A6E91">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项目区位于新疆维吾尔自治区</w:t>
            </w:r>
            <w:r>
              <w:rPr>
                <w:rFonts w:hint="eastAsia"/>
                <w:color w:val="000000" w:themeColor="text1"/>
                <w:sz w:val="24"/>
                <w14:textFill>
                  <w14:solidFill>
                    <w14:schemeClr w14:val="tx1"/>
                  </w14:solidFill>
                </w14:textFill>
              </w:rPr>
              <w:t>和静县北西352°方位、直距约19.1km处，</w:t>
            </w:r>
            <w:r>
              <w:rPr>
                <w:rFonts w:hint="default"/>
                <w:color w:val="000000" w:themeColor="text1"/>
                <w:sz w:val="24"/>
                <w14:textFill>
                  <w14:solidFill>
                    <w14:schemeClr w14:val="tx1"/>
                  </w14:solidFill>
                </w14:textFill>
              </w:rPr>
              <w:t>隶属新疆</w:t>
            </w:r>
            <w:r>
              <w:rPr>
                <w:rFonts w:hint="eastAsia"/>
                <w:color w:val="000000" w:themeColor="text1"/>
                <w:sz w:val="24"/>
                <w14:textFill>
                  <w14:solidFill>
                    <w14:schemeClr w14:val="tx1"/>
                  </w14:solidFill>
                </w14:textFill>
              </w:rPr>
              <w:t>巴音郭楞</w:t>
            </w:r>
            <w:r>
              <w:rPr>
                <w:rFonts w:hint="default"/>
                <w:color w:val="000000" w:themeColor="text1"/>
                <w:sz w:val="24"/>
                <w14:textFill>
                  <w14:solidFill>
                    <w14:schemeClr w14:val="tx1"/>
                  </w14:solidFill>
                </w14:textFill>
              </w:rPr>
              <w:t>蒙古自治州</w:t>
            </w:r>
            <w:r>
              <w:rPr>
                <w:rFonts w:hint="eastAsia"/>
                <w:color w:val="000000" w:themeColor="text1"/>
                <w:sz w:val="24"/>
                <w14:textFill>
                  <w14:solidFill>
                    <w14:schemeClr w14:val="tx1"/>
                  </w14:solidFill>
                </w14:textFill>
              </w:rPr>
              <w:t>和静</w:t>
            </w:r>
            <w:r>
              <w:rPr>
                <w:rFonts w:hint="default"/>
                <w:color w:val="000000" w:themeColor="text1"/>
                <w:sz w:val="24"/>
                <w14:textFill>
                  <w14:solidFill>
                    <w14:schemeClr w14:val="tx1"/>
                  </w14:solidFill>
                </w14:textFill>
              </w:rPr>
              <w:t>县管辖。</w:t>
            </w:r>
            <w:r>
              <w:rPr>
                <w:rFonts w:hint="eastAsia"/>
                <w:color w:val="000000" w:themeColor="text1"/>
                <w:sz w:val="24"/>
                <w14:textFill>
                  <w14:solidFill>
                    <w14:schemeClr w14:val="tx1"/>
                  </w14:solidFill>
                </w14:textFill>
              </w:rPr>
              <w:t>矿区中心地理坐标</w:t>
            </w: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东经86°20′47″；北纬42°29′37″</w:t>
            </w: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采矿权</w:t>
            </w:r>
            <w:r>
              <w:rPr>
                <w:rFonts w:hint="default"/>
                <w:color w:val="000000" w:themeColor="text1"/>
                <w:sz w:val="24"/>
                <w14:textFill>
                  <w14:solidFill>
                    <w14:schemeClr w14:val="tx1"/>
                  </w14:solidFill>
                </w14:textFill>
              </w:rPr>
              <w:t>范围由</w:t>
            </w:r>
            <w:r>
              <w:rPr>
                <w:rFonts w:hint="eastAsia"/>
                <w:color w:val="000000" w:themeColor="text1"/>
                <w:sz w:val="24"/>
                <w:lang w:val="en-US" w:eastAsia="zh-CN"/>
                <w14:textFill>
                  <w14:solidFill>
                    <w14:schemeClr w14:val="tx1"/>
                  </w14:solidFill>
                </w14:textFill>
              </w:rPr>
              <w:t>8</w:t>
            </w:r>
            <w:r>
              <w:rPr>
                <w:rFonts w:hint="default"/>
                <w:color w:val="000000" w:themeColor="text1"/>
                <w:sz w:val="24"/>
                <w14:textFill>
                  <w14:solidFill>
                    <w14:schemeClr w14:val="tx1"/>
                  </w14:solidFill>
                </w14:textFill>
              </w:rPr>
              <w:t>个拐点圈闭，面积</w:t>
            </w:r>
            <w:r>
              <w:rPr>
                <w:rFonts w:hint="eastAsia"/>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km</w:t>
            </w:r>
            <w:r>
              <w:rPr>
                <w:rFonts w:hint="eastAsia"/>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w:t>
            </w:r>
            <w:r>
              <w:rPr>
                <w:rFonts w:hint="default"/>
                <w:color w:val="000000" w:themeColor="text1"/>
                <w:sz w:val="24"/>
                <w:lang w:val="zh-CN"/>
                <w14:textFill>
                  <w14:solidFill>
                    <w14:schemeClr w14:val="tx1"/>
                  </w14:solidFill>
                </w14:textFill>
              </w:rPr>
              <w:t>采矿权范围内无自然保护区、饮用水源地保护区、风景名胜区等，不在重要交通干线两侧200米范围以内，</w:t>
            </w:r>
            <w:r>
              <w:rPr>
                <w:rFonts w:hint="default"/>
                <w:color w:val="000000" w:themeColor="text1"/>
                <w:sz w:val="24"/>
                <w14:textFill>
                  <w14:solidFill>
                    <w14:schemeClr w14:val="tx1"/>
                  </w14:solidFill>
                </w14:textFill>
              </w:rPr>
              <w:t>1km以内无</w:t>
            </w:r>
            <w:r>
              <w:rPr>
                <w:rFonts w:hint="default"/>
                <w:color w:val="000000" w:themeColor="text1"/>
                <w:sz w:val="24"/>
                <w:lang w:val="zh-CN"/>
                <w14:textFill>
                  <w14:solidFill>
                    <w14:schemeClr w14:val="tx1"/>
                  </w14:solidFill>
                </w14:textFill>
              </w:rPr>
              <w:t>居民区，不涉及军事管理区、机场、国防工程等所列的禁止开发区域。</w:t>
            </w:r>
            <w:r>
              <w:rPr>
                <w:rFonts w:hint="default"/>
                <w:color w:val="000000" w:themeColor="text1"/>
                <w:sz w:val="24"/>
                <w14:textFill>
                  <w14:solidFill>
                    <w14:schemeClr w14:val="tx1"/>
                  </w14:solidFill>
                </w14:textFill>
              </w:rPr>
              <w:t>占地类型为裸地，矿区开采方式为露天开采。项目区及周边无重要保护文物、风景名胜区、水源保护地、生态敏感点等其他明显的环境制约因子，在项目运营过程中会对环境产生一定的影响，通过采取相应的污染治理措施，可使其对环境的不利影响降低至可接受水平。因此，从环</w:t>
            </w:r>
            <w:r>
              <w:rPr>
                <w:rFonts w:hint="eastAsia"/>
                <w:color w:val="000000" w:themeColor="text1"/>
                <w:sz w:val="24"/>
                <w:lang w:val="en-US" w:eastAsia="zh-CN"/>
                <w14:textFill>
                  <w14:solidFill>
                    <w14:schemeClr w14:val="tx1"/>
                  </w14:solidFill>
                </w14:textFill>
              </w:rPr>
              <w:t>保</w:t>
            </w:r>
            <w:r>
              <w:rPr>
                <w:rFonts w:hint="default"/>
                <w:color w:val="000000" w:themeColor="text1"/>
                <w:sz w:val="24"/>
                <w14:textFill>
                  <w14:solidFill>
                    <w14:schemeClr w14:val="tx1"/>
                  </w14:solidFill>
                </w14:textFill>
              </w:rPr>
              <w:t>角度分析，项目建设符合环境保护相关政策。</w:t>
            </w:r>
          </w:p>
          <w:p w14:paraId="30A03C33">
            <w:pPr>
              <w:keepNext w:val="0"/>
              <w:keepLines w:val="0"/>
              <w:suppressLineNumbers w:val="0"/>
              <w:spacing w:before="0" w:beforeAutospacing="0" w:after="0" w:afterAutospacing="0" w:line="520" w:lineRule="exact"/>
              <w:ind w:left="0" w:right="0" w:firstLine="560"/>
              <w:outlineLvl w:val="0"/>
              <w:rPr>
                <w:rFonts w:hint="default"/>
                <w:color w:val="000000" w:themeColor="text1"/>
                <w14:textFill>
                  <w14:solidFill>
                    <w14:schemeClr w14:val="tx1"/>
                  </w14:solidFill>
                </w14:textFill>
              </w:rPr>
            </w:pPr>
            <w:r>
              <w:rPr>
                <w:rFonts w:hint="default"/>
                <w:color w:val="000000" w:themeColor="text1"/>
                <w:sz w:val="24"/>
                <w14:textFill>
                  <w14:solidFill>
                    <w14:schemeClr w14:val="tx1"/>
                  </w14:solidFill>
                </w14:textFill>
              </w:rPr>
              <w:t>根据《矿山环境生态环境保护与恢复治理技术规范（试行）》（HJ651-2013）中的要求“</w:t>
            </w:r>
            <w:r>
              <w:rPr>
                <w:rFonts w:hint="default"/>
                <w:color w:val="000000" w:themeColor="text1"/>
                <w:sz w:val="24"/>
                <w:lang w:val="zh-CN"/>
                <w14:textFill>
                  <w14:solidFill>
                    <w14:schemeClr w14:val="tx1"/>
                  </w14:solidFill>
                </w14:textFill>
              </w:rPr>
              <w:t>禁止在依法划定的自然保护区</w:t>
            </w:r>
            <w:r>
              <w:rPr>
                <w:rFonts w:hint="eastAsia"/>
                <w:color w:val="000000" w:themeColor="text1"/>
                <w:sz w:val="24"/>
                <w:lang w:val="zh-CN"/>
                <w14:textFill>
                  <w14:solidFill>
                    <w14:schemeClr w14:val="tx1"/>
                  </w14:solidFill>
                </w14:textFill>
              </w:rPr>
              <w:t>（</w:t>
            </w:r>
            <w:r>
              <w:rPr>
                <w:rFonts w:hint="default"/>
                <w:color w:val="000000" w:themeColor="text1"/>
                <w:sz w:val="24"/>
                <w:lang w:val="zh-CN"/>
                <w14:textFill>
                  <w14:solidFill>
                    <w14:schemeClr w14:val="tx1"/>
                  </w14:solidFill>
                </w14:textFill>
              </w:rPr>
              <w:t>核心区、缓冲区</w:t>
            </w:r>
            <w:r>
              <w:rPr>
                <w:rFonts w:hint="eastAsia"/>
                <w:color w:val="000000" w:themeColor="text1"/>
                <w:sz w:val="24"/>
                <w:lang w:val="zh-CN"/>
                <w14:textFill>
                  <w14:solidFill>
                    <w14:schemeClr w14:val="tx1"/>
                  </w14:solidFill>
                </w14:textFill>
              </w:rPr>
              <w:t>）</w:t>
            </w:r>
            <w:r>
              <w:rPr>
                <w:rFonts w:hint="default"/>
                <w:color w:val="000000" w:themeColor="text1"/>
                <w:sz w:val="24"/>
                <w:lang w:val="zh-CN"/>
                <w14:textFill>
                  <w14:solidFill>
                    <w14:schemeClr w14:val="tx1"/>
                  </w14:solidFill>
                </w14:textFill>
              </w:rPr>
              <w:t>、风景名胜区、森林公园、饮用水水源保护区、重要湖泊周边、文物古迹所在地、地质遗迹保护区、基本农田保护区等区域内采矿。禁止在铁路、国道、省道两侧的直观可视范围内进行露天开采</w:t>
            </w:r>
            <w:r>
              <w:rPr>
                <w:rFonts w:hint="default"/>
                <w:color w:val="000000" w:themeColor="text1"/>
                <w:sz w:val="24"/>
                <w14:textFill>
                  <w14:solidFill>
                    <w14:schemeClr w14:val="tx1"/>
                  </w14:solidFill>
                </w14:textFill>
              </w:rPr>
              <w:t>”。本项目不处于</w:t>
            </w:r>
            <w:r>
              <w:rPr>
                <w:rFonts w:hint="default"/>
                <w:color w:val="000000" w:themeColor="text1"/>
                <w:sz w:val="24"/>
                <w:lang w:val="zh-CN"/>
                <w14:textFill>
                  <w14:solidFill>
                    <w14:schemeClr w14:val="tx1"/>
                  </w14:solidFill>
                </w14:textFill>
              </w:rPr>
              <w:t>《新疆维吾尔自治区矿产资源总体规划（20</w:t>
            </w:r>
            <w:r>
              <w:rPr>
                <w:rFonts w:hint="eastAsia"/>
                <w:color w:val="000000" w:themeColor="text1"/>
                <w:sz w:val="24"/>
                <w14:textFill>
                  <w14:solidFill>
                    <w14:schemeClr w14:val="tx1"/>
                  </w14:solidFill>
                </w14:textFill>
              </w:rPr>
              <w:t>21</w:t>
            </w:r>
            <w:r>
              <w:rPr>
                <w:rFonts w:hint="eastAsia"/>
                <w:color w:val="000000" w:themeColor="text1"/>
                <w:sz w:val="24"/>
                <w:lang w:eastAsia="zh-CN"/>
                <w14:textFill>
                  <w14:solidFill>
                    <w14:schemeClr w14:val="tx1"/>
                  </w14:solidFill>
                </w14:textFill>
              </w:rPr>
              <w:t>—</w:t>
            </w:r>
            <w:r>
              <w:rPr>
                <w:rFonts w:hint="default"/>
                <w:color w:val="000000" w:themeColor="text1"/>
                <w:sz w:val="24"/>
                <w:lang w:val="zh-CN"/>
                <w14:textFill>
                  <w14:solidFill>
                    <w14:schemeClr w14:val="tx1"/>
                  </w14:solidFill>
                </w14:textFill>
              </w:rPr>
              <w:t>202</w:t>
            </w:r>
            <w:r>
              <w:rPr>
                <w:rFonts w:hint="eastAsia"/>
                <w:color w:val="000000" w:themeColor="text1"/>
                <w:sz w:val="24"/>
                <w14:textFill>
                  <w14:solidFill>
                    <w14:schemeClr w14:val="tx1"/>
                  </w14:solidFill>
                </w14:textFill>
              </w:rPr>
              <w:t>5</w:t>
            </w:r>
            <w:r>
              <w:rPr>
                <w:rFonts w:hint="default"/>
                <w:color w:val="000000" w:themeColor="text1"/>
                <w:sz w:val="24"/>
                <w:lang w:val="zh-CN"/>
                <w14:textFill>
                  <w14:solidFill>
                    <w14:schemeClr w14:val="tx1"/>
                  </w14:solidFill>
                </w14:textFill>
              </w:rPr>
              <w:t>年）》</w:t>
            </w:r>
            <w:r>
              <w:rPr>
                <w:rFonts w:hint="default"/>
                <w:color w:val="000000" w:themeColor="text1"/>
                <w:sz w:val="24"/>
                <w14:textFill>
                  <w14:solidFill>
                    <w14:schemeClr w14:val="tx1"/>
                  </w14:solidFill>
                </w14:textFill>
              </w:rPr>
              <w:t>中的限制和禁止开采区范围内，不占用</w:t>
            </w:r>
            <w:r>
              <w:rPr>
                <w:rFonts w:hint="default"/>
                <w:color w:val="000000" w:themeColor="text1"/>
                <w:sz w:val="24"/>
                <w:lang w:val="zh-CN"/>
                <w14:textFill>
                  <w14:solidFill>
                    <w14:schemeClr w14:val="tx1"/>
                  </w14:solidFill>
                </w14:textFill>
              </w:rPr>
              <w:t>自然保护区</w:t>
            </w:r>
            <w:r>
              <w:rPr>
                <w:rFonts w:hint="eastAsia"/>
                <w:color w:val="000000" w:themeColor="text1"/>
                <w:sz w:val="24"/>
                <w:lang w:val="zh-CN"/>
                <w14:textFill>
                  <w14:solidFill>
                    <w14:schemeClr w14:val="tx1"/>
                  </w14:solidFill>
                </w14:textFill>
              </w:rPr>
              <w:t>（</w:t>
            </w:r>
            <w:r>
              <w:rPr>
                <w:rFonts w:hint="default"/>
                <w:color w:val="000000" w:themeColor="text1"/>
                <w:sz w:val="24"/>
                <w:lang w:val="zh-CN"/>
                <w14:textFill>
                  <w14:solidFill>
                    <w14:schemeClr w14:val="tx1"/>
                  </w14:solidFill>
                </w14:textFill>
              </w:rPr>
              <w:t>核心区、缓冲区</w:t>
            </w:r>
            <w:r>
              <w:rPr>
                <w:rFonts w:hint="eastAsia"/>
                <w:color w:val="000000" w:themeColor="text1"/>
                <w:sz w:val="24"/>
                <w:lang w:val="zh-CN"/>
                <w14:textFill>
                  <w14:solidFill>
                    <w14:schemeClr w14:val="tx1"/>
                  </w14:solidFill>
                </w14:textFill>
              </w:rPr>
              <w:t>）</w:t>
            </w:r>
            <w:r>
              <w:rPr>
                <w:rFonts w:hint="default"/>
                <w:color w:val="000000" w:themeColor="text1"/>
                <w:sz w:val="24"/>
                <w:lang w:val="zh-CN"/>
                <w14:textFill>
                  <w14:solidFill>
                    <w14:schemeClr w14:val="tx1"/>
                  </w14:solidFill>
                </w14:textFill>
              </w:rPr>
              <w:t>、风景名胜区、森林公园、饮用水水源保护区、重要湖泊周边、文物古迹所在地、地质遗迹保护区、基本农田保护区</w:t>
            </w:r>
            <w:r>
              <w:rPr>
                <w:rFonts w:hint="default"/>
                <w:color w:val="000000" w:themeColor="text1"/>
                <w:sz w:val="24"/>
                <w14:textFill>
                  <w14:solidFill>
                    <w14:schemeClr w14:val="tx1"/>
                  </w14:solidFill>
                </w14:textFill>
              </w:rPr>
              <w:t>等区域。选址符合《矿山环境生态环境保护与恢复治理技术规范（试行）》与</w:t>
            </w:r>
            <w:r>
              <w:rPr>
                <w:rFonts w:hint="default"/>
                <w:color w:val="000000" w:themeColor="text1"/>
                <w:sz w:val="24"/>
                <w:lang w:val="zh-CN"/>
                <w14:textFill>
                  <w14:solidFill>
                    <w14:schemeClr w14:val="tx1"/>
                  </w14:solidFill>
                </w14:textFill>
              </w:rPr>
              <w:t>《新疆维吾尔自治区矿产资源总体规划（20</w:t>
            </w:r>
            <w:r>
              <w:rPr>
                <w:rFonts w:hint="eastAsia"/>
                <w:color w:val="000000" w:themeColor="text1"/>
                <w:sz w:val="24"/>
                <w14:textFill>
                  <w14:solidFill>
                    <w14:schemeClr w14:val="tx1"/>
                  </w14:solidFill>
                </w14:textFill>
              </w:rPr>
              <w:t>21</w:t>
            </w:r>
            <w:r>
              <w:rPr>
                <w:rFonts w:hint="eastAsia"/>
                <w:color w:val="000000" w:themeColor="text1"/>
                <w:sz w:val="24"/>
                <w:lang w:eastAsia="zh-CN"/>
                <w14:textFill>
                  <w14:solidFill>
                    <w14:schemeClr w14:val="tx1"/>
                  </w14:solidFill>
                </w14:textFill>
              </w:rPr>
              <w:t>—</w:t>
            </w:r>
            <w:r>
              <w:rPr>
                <w:rFonts w:hint="default"/>
                <w:color w:val="000000" w:themeColor="text1"/>
                <w:sz w:val="24"/>
                <w:lang w:val="zh-CN"/>
                <w14:textFill>
                  <w14:solidFill>
                    <w14:schemeClr w14:val="tx1"/>
                  </w14:solidFill>
                </w14:textFill>
              </w:rPr>
              <w:t>202</w:t>
            </w:r>
            <w:r>
              <w:rPr>
                <w:rFonts w:hint="eastAsia"/>
                <w:color w:val="000000" w:themeColor="text1"/>
                <w:sz w:val="24"/>
                <w14:textFill>
                  <w14:solidFill>
                    <w14:schemeClr w14:val="tx1"/>
                  </w14:solidFill>
                </w14:textFill>
              </w:rPr>
              <w:t>5</w:t>
            </w:r>
            <w:r>
              <w:rPr>
                <w:rFonts w:hint="default"/>
                <w:color w:val="000000" w:themeColor="text1"/>
                <w:sz w:val="24"/>
                <w:lang w:val="zh-CN"/>
                <w14:textFill>
                  <w14:solidFill>
                    <w14:schemeClr w14:val="tx1"/>
                  </w14:solidFill>
                </w14:textFill>
              </w:rPr>
              <w:t>年）》。</w:t>
            </w:r>
          </w:p>
          <w:p w14:paraId="2A6D368E">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根据《新疆维吾尔自治区重点行业</w:t>
            </w:r>
            <w:r>
              <w:rPr>
                <w:rFonts w:hint="eastAsia"/>
                <w:color w:val="000000" w:themeColor="text1"/>
                <w:sz w:val="24"/>
                <w:lang w:val="en-US" w:eastAsia="zh-CN"/>
                <w14:textFill>
                  <w14:solidFill>
                    <w14:schemeClr w14:val="tx1"/>
                  </w14:solidFill>
                </w14:textFill>
              </w:rPr>
              <w:t>生态</w:t>
            </w:r>
            <w:r>
              <w:rPr>
                <w:rFonts w:hint="default"/>
                <w:color w:val="000000" w:themeColor="text1"/>
                <w:sz w:val="24"/>
                <w14:textFill>
                  <w14:solidFill>
                    <w14:schemeClr w14:val="tx1"/>
                  </w14:solidFill>
                </w14:textFill>
              </w:rPr>
              <w:t>环境准入条件</w:t>
            </w:r>
            <w:r>
              <w:rPr>
                <w:rFonts w:hint="eastAsia"/>
                <w:color w:val="000000" w:themeColor="text1"/>
                <w:sz w:val="24"/>
                <w:lang w:eastAsia="zh-CN"/>
                <w14:textFill>
                  <w14:solidFill>
                    <w14:schemeClr w14:val="tx1"/>
                  </w14:solidFill>
                </w14:textFill>
              </w:rPr>
              <w:t>〔2024〕</w:t>
            </w:r>
            <w:r>
              <w:rPr>
                <w:rFonts w:hint="default"/>
                <w:color w:val="000000" w:themeColor="text1"/>
                <w:sz w:val="24"/>
                <w14:textFill>
                  <w14:solidFill>
                    <w14:schemeClr w14:val="tx1"/>
                  </w14:solidFill>
                </w14:textFill>
              </w:rPr>
              <w:t>》的规定，选址与空间布局的要求为：</w:t>
            </w:r>
            <w:r>
              <w:rPr>
                <w:rFonts w:hint="default"/>
                <w:color w:val="000000" w:themeColor="text1"/>
                <w:sz w:val="24"/>
                <w:lang w:val="zh-CN"/>
                <w14:textFill>
                  <w14:solidFill>
                    <w14:schemeClr w14:val="tx1"/>
                  </w14:solidFill>
                </w14:textFill>
              </w:rPr>
              <w:t>禁止在重要工业区、大型水利工程设施、城镇市政工程设施所在区域，军事管理区、机场、国防工程设施圈定的区域，高速公路、国道、省道等重要交通干线两侧用地外缘200米范围内（确有必要可根据实际情况论证），铁路线路两侧路堤坡脚、路堑坡顶、铁路桥梁外侧起各1000米范围内及在铁路隧道上方中心线两侧各1000米范围内建设非金属矿采矿项目。居民聚集区1千米以内禁止石灰石开采。</w:t>
            </w:r>
          </w:p>
          <w:p w14:paraId="2B172383">
            <w:pPr>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lang w:val="zh-CN"/>
                <w14:textFill>
                  <w14:solidFill>
                    <w14:schemeClr w14:val="tx1"/>
                  </w14:solidFill>
                </w14:textFill>
              </w:rPr>
              <w:t>本项目位于</w:t>
            </w:r>
            <w:r>
              <w:rPr>
                <w:rFonts w:hint="default"/>
                <w:color w:val="000000" w:themeColor="text1"/>
                <w:sz w:val="24"/>
                <w14:textFill>
                  <w14:solidFill>
                    <w14:schemeClr w14:val="tx1"/>
                  </w14:solidFill>
                </w14:textFill>
              </w:rPr>
              <w:t>新疆维吾尔自治区巴音郭楞蒙古自治州和静县城北西352°方位、直距约19.1km处，矿区</w:t>
            </w:r>
            <w:r>
              <w:rPr>
                <w:rFonts w:hint="default"/>
                <w:color w:val="000000" w:themeColor="text1"/>
                <w:sz w:val="24"/>
                <w:lang w:val="zh-CN"/>
                <w14:textFill>
                  <w14:solidFill>
                    <w14:schemeClr w14:val="tx1"/>
                  </w14:solidFill>
                </w14:textFill>
              </w:rPr>
              <w:t>不在重要交通干线两侧200米范围以内，</w:t>
            </w:r>
            <w:r>
              <w:rPr>
                <w:rFonts w:hint="default"/>
                <w:color w:val="000000" w:themeColor="text1"/>
                <w:sz w:val="24"/>
                <w14:textFill>
                  <w14:solidFill>
                    <w14:schemeClr w14:val="tx1"/>
                  </w14:solidFill>
                </w14:textFill>
              </w:rPr>
              <w:t>距离最近</w:t>
            </w:r>
            <w:r>
              <w:rPr>
                <w:rFonts w:hint="default"/>
                <w:color w:val="000000" w:themeColor="text1"/>
                <w:sz w:val="24"/>
                <w:lang w:val="zh-CN"/>
                <w14:textFill>
                  <w14:solidFill>
                    <w14:schemeClr w14:val="tx1"/>
                  </w14:solidFill>
                </w14:textFill>
              </w:rPr>
              <w:t>高速公路（</w:t>
            </w:r>
            <w:r>
              <w:rPr>
                <w:rFonts w:hint="default"/>
                <w:color w:val="000000" w:themeColor="text1"/>
                <w:sz w:val="24"/>
                <w:lang w:val="en-US" w:eastAsia="zh-CN"/>
                <w14:textFill>
                  <w14:solidFill>
                    <w14:schemeClr w14:val="tx1"/>
                  </w14:solidFill>
                </w14:textFill>
              </w:rPr>
              <w:t>乌若高速</w:t>
            </w:r>
            <w:r>
              <w:rPr>
                <w:rFonts w:hint="default"/>
                <w:color w:val="000000" w:themeColor="text1"/>
                <w:sz w:val="24"/>
                <w:lang w:val="zh-CN"/>
                <w14:textFill>
                  <w14:solidFill>
                    <w14:schemeClr w14:val="tx1"/>
                  </w14:solidFill>
                </w14:textFill>
              </w:rPr>
              <w:t>）、</w:t>
            </w:r>
            <w:r>
              <w:rPr>
                <w:rFonts w:hint="default"/>
                <w:color w:val="000000" w:themeColor="text1"/>
                <w:sz w:val="24"/>
                <w14:textFill>
                  <w14:solidFill>
                    <w14:schemeClr w14:val="tx1"/>
                  </w14:solidFill>
                </w14:textFill>
              </w:rPr>
              <w:t>国道（G218）</w:t>
            </w:r>
            <w:r>
              <w:rPr>
                <w:rFonts w:hint="default"/>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铁路（南疆线）</w:t>
            </w:r>
            <w:r>
              <w:rPr>
                <w:rFonts w:hint="default"/>
                <w:color w:val="000000" w:themeColor="text1"/>
                <w:sz w:val="24"/>
                <w:lang w:val="en-US" w:eastAsia="zh-CN"/>
                <w14:textFill>
                  <w14:solidFill>
                    <w14:schemeClr w14:val="tx1"/>
                  </w14:solidFill>
                </w14:textFill>
              </w:rPr>
              <w:t>超过2</w:t>
            </w:r>
            <w:r>
              <w:rPr>
                <w:rFonts w:hint="default"/>
                <w:color w:val="000000" w:themeColor="text1"/>
                <w:sz w:val="24"/>
                <w14:textFill>
                  <w14:solidFill>
                    <w14:schemeClr w14:val="tx1"/>
                  </w14:solidFill>
                </w14:textFill>
              </w:rPr>
              <w:t>00</w:t>
            </w:r>
            <w:r>
              <w:rPr>
                <w:rFonts w:hint="default"/>
                <w:color w:val="000000" w:themeColor="text1"/>
                <w:sz w:val="24"/>
                <w:lang w:val="en-US" w:eastAsia="zh-CN"/>
                <w14:textFill>
                  <w14:solidFill>
                    <w14:schemeClr w14:val="tx1"/>
                  </w14:solidFill>
                </w14:textFill>
              </w:rPr>
              <w:t>m</w:t>
            </w:r>
            <w:r>
              <w:rPr>
                <w:rFonts w:hint="default"/>
                <w:color w:val="000000" w:themeColor="text1"/>
                <w:sz w:val="24"/>
                <w14:textFill>
                  <w14:solidFill>
                    <w14:schemeClr w14:val="tx1"/>
                  </w14:solidFill>
                </w14:textFill>
              </w:rPr>
              <w:t>，不在重要工业区、大型水利工程设施、城镇市政工程设施所在区域</w:t>
            </w:r>
            <w:r>
              <w:rPr>
                <w:rFonts w:hint="default"/>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军事管理区、机场、国防工程设施圈定的区域</w:t>
            </w:r>
            <w:r>
              <w:rPr>
                <w:rFonts w:hint="default"/>
                <w:color w:val="000000" w:themeColor="text1"/>
                <w:sz w:val="24"/>
                <w:lang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距离</w:t>
            </w:r>
            <w:r>
              <w:rPr>
                <w:rFonts w:hint="default"/>
                <w:color w:val="000000" w:themeColor="text1"/>
                <w:sz w:val="24"/>
                <w:lang w:val="zh-CN" w:eastAsia="zh-CN"/>
                <w14:textFill>
                  <w14:solidFill>
                    <w14:schemeClr w14:val="tx1"/>
                  </w14:solidFill>
                </w14:textFill>
              </w:rPr>
              <w:t>铁路线路两侧路堤坡脚、路堑坡顶、铁路桥梁外侧、铁路隧道上方中心线两侧1</w:t>
            </w:r>
            <w:r>
              <w:rPr>
                <w:rFonts w:hint="default"/>
                <w:color w:val="000000" w:themeColor="text1"/>
                <w:sz w:val="24"/>
                <w:lang w:val="en-US" w:eastAsia="zh-CN"/>
                <w14:textFill>
                  <w14:solidFill>
                    <w14:schemeClr w14:val="tx1"/>
                  </w14:solidFill>
                </w14:textFill>
              </w:rPr>
              <w:t>km</w:t>
            </w:r>
            <w:r>
              <w:rPr>
                <w:rFonts w:hint="default"/>
                <w:color w:val="000000" w:themeColor="text1"/>
                <w:sz w:val="24"/>
                <w:lang w:val="zh-CN" w:eastAsia="zh-CN"/>
                <w14:textFill>
                  <w14:solidFill>
                    <w14:schemeClr w14:val="tx1"/>
                  </w14:solidFill>
                </w14:textFill>
              </w:rPr>
              <w:t>范围</w:t>
            </w:r>
            <w:r>
              <w:rPr>
                <w:rFonts w:hint="default"/>
                <w:color w:val="000000" w:themeColor="text1"/>
                <w:sz w:val="24"/>
                <w:lang w:val="en-US" w:eastAsia="zh-CN"/>
                <w14:textFill>
                  <w14:solidFill>
                    <w14:schemeClr w14:val="tx1"/>
                  </w14:solidFill>
                </w14:textFill>
              </w:rPr>
              <w:t>外</w:t>
            </w:r>
            <w:r>
              <w:rPr>
                <w:rFonts w:hint="default"/>
                <w:color w:val="000000" w:themeColor="text1"/>
                <w:sz w:val="24"/>
                <w:lang w:val="zh-CN" w:eastAsia="zh-CN"/>
                <w14:textFill>
                  <w14:solidFill>
                    <w14:schemeClr w14:val="tx1"/>
                  </w14:solidFill>
                </w14:textFill>
              </w:rPr>
              <w:t>；</w:t>
            </w:r>
            <w:r>
              <w:rPr>
                <w:rFonts w:hint="default"/>
                <w:color w:val="000000" w:themeColor="text1"/>
                <w:sz w:val="24"/>
                <w14:textFill>
                  <w14:solidFill>
                    <w14:schemeClr w14:val="tx1"/>
                  </w14:solidFill>
                </w14:textFill>
              </w:rPr>
              <w:t>1</w:t>
            </w:r>
            <w:r>
              <w:rPr>
                <w:rFonts w:hint="default"/>
                <w:color w:val="000000" w:themeColor="text1"/>
                <w:sz w:val="24"/>
                <w:lang w:val="en-US" w:eastAsia="zh-CN"/>
                <w14:textFill>
                  <w14:solidFill>
                    <w14:schemeClr w14:val="tx1"/>
                  </w14:solidFill>
                </w14:textFill>
              </w:rPr>
              <w:t>km</w:t>
            </w:r>
            <w:r>
              <w:rPr>
                <w:rFonts w:hint="default"/>
                <w:color w:val="000000" w:themeColor="text1"/>
                <w:sz w:val="24"/>
                <w14:textFill>
                  <w14:solidFill>
                    <w14:schemeClr w14:val="tx1"/>
                  </w14:solidFill>
                </w14:textFill>
              </w:rPr>
              <w:t>以内无</w:t>
            </w:r>
            <w:r>
              <w:rPr>
                <w:rFonts w:hint="default"/>
                <w:color w:val="000000" w:themeColor="text1"/>
                <w:sz w:val="24"/>
                <w:lang w:val="zh-CN"/>
                <w14:textFill>
                  <w14:solidFill>
                    <w14:schemeClr w14:val="tx1"/>
                  </w14:solidFill>
                </w14:textFill>
              </w:rPr>
              <w:t>居民区，</w:t>
            </w:r>
            <w:r>
              <w:rPr>
                <w:rFonts w:hint="default"/>
                <w:color w:val="000000" w:themeColor="text1"/>
                <w:sz w:val="24"/>
                <w14:textFill>
                  <w14:solidFill>
                    <w14:schemeClr w14:val="tx1"/>
                  </w14:solidFill>
                </w14:textFill>
              </w:rPr>
              <w:t>位置关系示意图详见附图</w:t>
            </w:r>
            <w:r>
              <w:rPr>
                <w:rFonts w:hint="eastAsia"/>
                <w:color w:val="000000" w:themeColor="text1"/>
                <w:sz w:val="24"/>
                <w:lang w:val="en-US" w:eastAsia="zh-CN"/>
                <w14:textFill>
                  <w14:solidFill>
                    <w14:schemeClr w14:val="tx1"/>
                  </w14:solidFill>
                </w14:textFill>
              </w:rPr>
              <w:t>1</w:t>
            </w:r>
            <w:r>
              <w:rPr>
                <w:rFonts w:hint="default"/>
                <w:color w:val="000000" w:themeColor="text1"/>
                <w:sz w:val="24"/>
                <w:lang w:val="zh-CN"/>
                <w14:textFill>
                  <w14:solidFill>
                    <w14:schemeClr w14:val="tx1"/>
                  </w14:solidFill>
                </w14:textFill>
              </w:rPr>
              <w:t>。</w:t>
            </w:r>
            <w:r>
              <w:rPr>
                <w:rFonts w:hint="default"/>
                <w:color w:val="000000" w:themeColor="text1"/>
                <w:sz w:val="24"/>
                <w14:textFill>
                  <w14:solidFill>
                    <w14:schemeClr w14:val="tx1"/>
                  </w14:solidFill>
                </w14:textFill>
              </w:rPr>
              <w:t>在建设单位严格落实本报告提出的各项环保措施和对策的前提下，本工程的建设符合</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新疆维吾尔自治区重点行业生态环境准入条件〔2024〕</w:t>
            </w:r>
            <w:r>
              <w:rPr>
                <w:rFonts w:hint="default"/>
                <w:color w:val="000000" w:themeColor="text1"/>
                <w:sz w:val="24"/>
                <w:lang w:val="en-US" w:eastAsia="zh-CN"/>
                <w14:textFill>
                  <w14:solidFill>
                    <w14:schemeClr w14:val="tx1"/>
                  </w14:solidFill>
                </w14:textFill>
              </w:rPr>
              <w:t>》</w:t>
            </w:r>
            <w:r>
              <w:rPr>
                <w:rFonts w:hint="default"/>
                <w:color w:val="000000" w:themeColor="text1"/>
                <w:sz w:val="24"/>
                <w14:textFill>
                  <w14:solidFill>
                    <w14:schemeClr w14:val="tx1"/>
                  </w14:solidFill>
                </w14:textFill>
              </w:rPr>
              <w:t>中的相关要求。</w:t>
            </w:r>
          </w:p>
          <w:p w14:paraId="69205DEF">
            <w:pPr>
              <w:keepNext w:val="0"/>
              <w:keepLines w:val="0"/>
              <w:suppressLineNumbers w:val="0"/>
              <w:adjustRightInd w:val="0"/>
              <w:snapToGrid w:val="0"/>
              <w:spacing w:before="0" w:beforeAutospacing="0" w:after="0" w:afterAutospacing="0" w:line="520" w:lineRule="exact"/>
              <w:ind w:left="0" w:right="0"/>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2排土场选址合理性</w:t>
            </w:r>
          </w:p>
          <w:p w14:paraId="0354264D">
            <w:pPr>
              <w:keepNext w:val="0"/>
              <w:keepLines w:val="0"/>
              <w:suppressLineNumbers w:val="0"/>
              <w:adjustRightInd w:val="0"/>
              <w:snapToGrid w:val="0"/>
              <w:spacing w:before="0" w:beforeAutospacing="0" w:after="0" w:afterAutospacing="0" w:line="520" w:lineRule="exact"/>
              <w:ind w:left="0" w:right="0"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（一）工程（水文）地质条件</w:t>
            </w:r>
          </w:p>
          <w:p w14:paraId="07CD5193">
            <w:pPr>
              <w:keepNext w:val="0"/>
              <w:keepLines w:val="0"/>
              <w:suppressLineNumbers w:val="0"/>
              <w:adjustRightInd w:val="0"/>
              <w:snapToGrid w:val="0"/>
              <w:spacing w:before="0" w:beforeAutospacing="0" w:after="0" w:afterAutospacing="0" w:line="520" w:lineRule="exact"/>
              <w:ind w:left="0" w:right="0" w:firstLine="480" w:firstLineChars="200"/>
              <w:rPr>
                <w:rFonts w:hint="eastAsia" w:ascii="Times New Roman" w:hAnsi="Times New Roman" w:eastAsia="宋体" w:cs="宋体"/>
                <w:color w:val="000000"/>
                <w:sz w:val="24"/>
                <w:szCs w:val="24"/>
                <w:lang w:val="en-US" w:eastAsia="zh-CN"/>
              </w:rPr>
            </w:pPr>
            <w:r>
              <w:rPr>
                <w:rFonts w:hint="eastAsia" w:ascii="Times New Roman" w:hAnsi="Times New Roman" w:cs="宋体"/>
                <w:color w:val="000000"/>
                <w:sz w:val="24"/>
                <w:szCs w:val="24"/>
                <w:lang w:val="en-US" w:eastAsia="zh-CN"/>
              </w:rPr>
              <w:t>稳定性考量：</w:t>
            </w:r>
            <w:r>
              <w:rPr>
                <w:rFonts w:hint="eastAsia" w:ascii="Times New Roman" w:hAnsi="Times New Roman" w:eastAsia="宋体" w:cs="宋体"/>
                <w:color w:val="000000"/>
                <w:sz w:val="24"/>
                <w:szCs w:val="24"/>
                <w:lang w:val="en-US" w:eastAsia="zh-CN"/>
              </w:rPr>
              <w:t>根据《金属非金属矿山排土场安全生产规则》，</w:t>
            </w:r>
            <w:r>
              <w:rPr>
                <w:rFonts w:hint="eastAsia" w:ascii="Times New Roman" w:hAnsi="Times New Roman" w:cs="宋体"/>
                <w:color w:val="000000"/>
                <w:sz w:val="24"/>
                <w:szCs w:val="24"/>
                <w:lang w:val="en-US" w:eastAsia="zh-CN"/>
              </w:rPr>
              <w:t>排土</w:t>
            </w:r>
            <w:r>
              <w:rPr>
                <w:rFonts w:hint="eastAsia" w:ascii="Times New Roman" w:hAnsi="Times New Roman" w:eastAsia="宋体" w:cs="宋体"/>
                <w:color w:val="000000"/>
                <w:sz w:val="24"/>
                <w:szCs w:val="24"/>
                <w:lang w:val="en-US" w:eastAsia="zh-CN"/>
              </w:rPr>
              <w:t>场应</w:t>
            </w:r>
            <w:r>
              <w:rPr>
                <w:rFonts w:hint="eastAsia" w:cs="宋体"/>
                <w:color w:val="000000"/>
                <w:sz w:val="24"/>
                <w:szCs w:val="24"/>
                <w:lang w:val="en-US" w:eastAsia="zh-CN"/>
              </w:rPr>
              <w:t>选择</w:t>
            </w:r>
            <w:r>
              <w:rPr>
                <w:rFonts w:hint="eastAsia" w:ascii="Times New Roman" w:hAnsi="Times New Roman" w:eastAsia="宋体" w:cs="宋体"/>
                <w:color w:val="000000"/>
                <w:sz w:val="24"/>
                <w:szCs w:val="24"/>
                <w:lang w:val="en-US" w:eastAsia="zh-CN"/>
              </w:rPr>
              <w:t>工程地质条件稳定区域。经勘查，所选场址岩土体结构较为完整，无断裂、滑坡等不良地质现象。地基承载力满足要求，能有效承载废石和排土的重量，避免因地基沉降或失稳导致堆放场垮塌等安全事故。</w:t>
            </w:r>
          </w:p>
          <w:p w14:paraId="14C05CE0">
            <w:pPr>
              <w:keepNext w:val="0"/>
              <w:keepLines w:val="0"/>
              <w:suppressLineNumbers w:val="0"/>
              <w:adjustRightInd w:val="0"/>
              <w:snapToGrid w:val="0"/>
              <w:spacing w:before="0" w:beforeAutospacing="0" w:after="0" w:afterAutospacing="0" w:line="520" w:lineRule="exact"/>
              <w:ind w:left="0" w:right="0" w:firstLine="480" w:firstLineChars="200"/>
              <w:rPr>
                <w:rFonts w:hint="eastAsia" w:ascii="Times New Roman" w:hAnsi="Times New Roman" w:eastAsia="宋体" w:cs="宋体"/>
                <w:color w:val="000000"/>
                <w:sz w:val="24"/>
                <w:szCs w:val="24"/>
                <w:lang w:val="en-US" w:eastAsia="zh-CN"/>
              </w:rPr>
            </w:pPr>
            <w:r>
              <w:rPr>
                <w:rFonts w:hint="eastAsia" w:ascii="Times New Roman" w:hAnsi="Times New Roman" w:eastAsia="宋体" w:cs="宋体"/>
                <w:color w:val="000000"/>
                <w:sz w:val="24"/>
                <w:szCs w:val="24"/>
                <w:lang w:val="en-US" w:eastAsia="zh-CN"/>
              </w:rPr>
              <w:t>水文地质条件：根据《一般工业固体废物贮存和填埋污染控制标准》 （GB18599-2020），场址应避开地下水主要补给区和饮用水源含水层。该选址地下水位较深，且与周边地表水体及饮用水源地保持安全距离，可有效防止废石和排土淋溶水对地下水和地表水的污染。</w:t>
            </w:r>
          </w:p>
          <w:p w14:paraId="694218D5">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eastAsia="宋体" w:cs="宋体"/>
                <w:color w:val="000000"/>
                <w:sz w:val="24"/>
                <w:szCs w:val="24"/>
                <w:lang w:val="en-US" w:eastAsia="zh-CN"/>
              </w:rPr>
            </w:pPr>
            <w:r>
              <w:rPr>
                <w:rFonts w:hint="eastAsia" w:ascii="Times New Roman" w:hAnsi="Times New Roman" w:cs="宋体"/>
                <w:color w:val="000000"/>
                <w:sz w:val="24"/>
                <w:szCs w:val="24"/>
                <w:lang w:val="en-US" w:eastAsia="zh-CN"/>
              </w:rPr>
              <w:t>（二）地形地貌</w:t>
            </w:r>
          </w:p>
          <w:p w14:paraId="7AF0A1F2">
            <w:pPr>
              <w:keepNext w:val="0"/>
              <w:keepLines w:val="0"/>
              <w:suppressLineNumbers w:val="0"/>
              <w:adjustRightInd w:val="0"/>
              <w:snapToGrid w:val="0"/>
              <w:spacing w:before="0" w:beforeAutospacing="0" w:after="0" w:afterAutospacing="0" w:line="520" w:lineRule="exact"/>
              <w:ind w:left="0" w:right="0" w:firstLine="480" w:firstLineChars="200"/>
              <w:rPr>
                <w:rFonts w:hint="eastAsia" w:ascii="Times New Roman" w:hAnsi="Times New Roman" w:eastAsia="宋体" w:cs="宋体"/>
                <w:color w:val="000000"/>
                <w:sz w:val="24"/>
                <w:szCs w:val="24"/>
                <w:lang w:val="en-US" w:eastAsia="zh-CN"/>
              </w:rPr>
            </w:pPr>
            <w:r>
              <w:rPr>
                <w:rFonts w:hint="eastAsia" w:ascii="Times New Roman" w:hAnsi="Times New Roman" w:eastAsia="宋体" w:cs="宋体"/>
                <w:color w:val="000000"/>
                <w:sz w:val="24"/>
                <w:szCs w:val="24"/>
                <w:lang w:val="en-US" w:eastAsia="zh-CN"/>
              </w:rPr>
              <w:t>地形坡度适宜：选址区域地形较为平缓，坡度在</w:t>
            </w:r>
            <w:r>
              <w:rPr>
                <w:rFonts w:hint="eastAsia" w:ascii="Times New Roman" w:hAnsi="Times New Roman" w:cs="宋体"/>
                <w:color w:val="000000"/>
                <w:sz w:val="24"/>
                <w:szCs w:val="24"/>
                <w:lang w:val="en-US" w:eastAsia="zh-CN"/>
              </w:rPr>
              <w:t>9-18°</w:t>
            </w:r>
            <w:r>
              <w:rPr>
                <w:rFonts w:hint="eastAsia" w:ascii="Times New Roman" w:hAnsi="Times New Roman" w:eastAsia="宋体" w:cs="宋体"/>
                <w:color w:val="000000"/>
                <w:sz w:val="24"/>
                <w:szCs w:val="24"/>
                <w:lang w:val="en-US" w:eastAsia="zh-CN"/>
              </w:rPr>
              <w:t>以内，符合排土场建设对地形坡度的要求。这有利于排土作业的开展，减少因地形陡峭导致的物料滚落风险，同时也便于堆放场的边坡防护和排水系统建设。</w:t>
            </w:r>
          </w:p>
          <w:p w14:paraId="753CE3BE">
            <w:pPr>
              <w:keepNext w:val="0"/>
              <w:keepLines w:val="0"/>
              <w:suppressLineNumbers w:val="0"/>
              <w:adjustRightInd w:val="0"/>
              <w:snapToGrid w:val="0"/>
              <w:spacing w:before="0" w:beforeAutospacing="0" w:after="0" w:afterAutospacing="0" w:line="520" w:lineRule="exact"/>
              <w:ind w:left="0" w:right="0" w:firstLine="480" w:firstLineChars="200"/>
              <w:rPr>
                <w:rFonts w:hint="eastAsia" w:ascii="Times New Roman" w:hAnsi="Times New Roman" w:eastAsia="宋体" w:cs="宋体"/>
                <w:color w:val="000000"/>
                <w:sz w:val="24"/>
                <w:szCs w:val="24"/>
                <w:lang w:val="en-US" w:eastAsia="zh-CN"/>
              </w:rPr>
            </w:pPr>
            <w:r>
              <w:rPr>
                <w:rFonts w:hint="eastAsia" w:ascii="Times New Roman" w:hAnsi="Times New Roman" w:eastAsia="宋体" w:cs="宋体"/>
                <w:color w:val="000000"/>
                <w:sz w:val="24"/>
                <w:szCs w:val="24"/>
                <w:lang w:val="en-US" w:eastAsia="zh-CN"/>
              </w:rPr>
              <w:t>汇水面积小：该区域汇水面积较小，可有效减少降雨形成的地表径流对堆放场的冲刷，降低水土流失和泥石流等地质灾害的发生概率。</w:t>
            </w:r>
          </w:p>
          <w:p w14:paraId="4A00E70A">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eastAsia="宋体" w:cs="宋体"/>
                <w:color w:val="000000"/>
                <w:sz w:val="24"/>
                <w:szCs w:val="24"/>
                <w:lang w:val="en-US" w:eastAsia="zh-CN"/>
              </w:rPr>
            </w:pPr>
            <w:r>
              <w:rPr>
                <w:rFonts w:hint="eastAsia" w:ascii="Times New Roman" w:hAnsi="Times New Roman" w:cs="宋体"/>
                <w:color w:val="000000"/>
                <w:sz w:val="24"/>
                <w:szCs w:val="24"/>
                <w:lang w:val="en-US" w:eastAsia="zh-CN"/>
              </w:rPr>
              <w:t>（三）周围环境特点</w:t>
            </w:r>
          </w:p>
          <w:p w14:paraId="45A89DF3">
            <w:pPr>
              <w:keepNext w:val="0"/>
              <w:keepLines w:val="0"/>
              <w:suppressLineNumbers w:val="0"/>
              <w:adjustRightInd w:val="0"/>
              <w:snapToGrid w:val="0"/>
              <w:spacing w:before="0" w:beforeAutospacing="0" w:after="0" w:afterAutospacing="0" w:line="520" w:lineRule="exact"/>
              <w:ind w:left="0" w:right="0" w:firstLine="480" w:firstLineChars="200"/>
              <w:rPr>
                <w:rFonts w:hint="eastAsia" w:ascii="Times New Roman" w:hAnsi="Times New Roman" w:cs="宋体"/>
                <w:color w:val="000000"/>
                <w:sz w:val="24"/>
                <w:szCs w:val="24"/>
                <w:lang w:val="en-US" w:eastAsia="zh-CN"/>
              </w:rPr>
            </w:pPr>
            <w:r>
              <w:rPr>
                <w:rFonts w:hint="eastAsia" w:ascii="Times New Roman" w:hAnsi="Times New Roman" w:eastAsia="宋体" w:cs="宋体"/>
                <w:color w:val="000000"/>
                <w:sz w:val="24"/>
                <w:szCs w:val="24"/>
                <w:lang w:val="en-US" w:eastAsia="zh-CN"/>
              </w:rPr>
              <w:t>远离居民区和敏感目标：所选场址距离周边</w:t>
            </w:r>
            <w:r>
              <w:rPr>
                <w:rFonts w:hint="eastAsia" w:ascii="Times New Roman" w:hAnsi="Times New Roman" w:cs="宋体"/>
                <w:color w:val="000000"/>
                <w:sz w:val="24"/>
                <w:szCs w:val="24"/>
                <w:lang w:val="en-US" w:eastAsia="zh-CN"/>
              </w:rPr>
              <w:t>无</w:t>
            </w:r>
            <w:r>
              <w:rPr>
                <w:rFonts w:hint="eastAsia" w:ascii="Times New Roman" w:hAnsi="Times New Roman" w:eastAsia="宋体" w:cs="宋体"/>
                <w:color w:val="000000"/>
                <w:sz w:val="24"/>
                <w:szCs w:val="24"/>
                <w:lang w:val="en-US" w:eastAsia="zh-CN"/>
              </w:rPr>
              <w:t>居民区、学校、医院等敏感目标，满足相关标准对卫生防护距离的要求，可避免废石和排土堆放产生的扬尘、噪声等污染物对居民生活和生态环境造成影响</w:t>
            </w:r>
            <w:r>
              <w:rPr>
                <w:rFonts w:hint="eastAsia" w:ascii="Times New Roman" w:hAnsi="Times New Roman" w:cs="宋体"/>
                <w:color w:val="000000"/>
                <w:sz w:val="24"/>
                <w:szCs w:val="24"/>
                <w:lang w:val="en-US" w:eastAsia="zh-CN"/>
              </w:rPr>
              <w:t>。</w:t>
            </w:r>
          </w:p>
          <w:p w14:paraId="319D1A83">
            <w:pPr>
              <w:keepNext w:val="0"/>
              <w:keepLines w:val="0"/>
              <w:suppressLineNumbers w:val="0"/>
              <w:adjustRightInd w:val="0"/>
              <w:snapToGrid w:val="0"/>
              <w:spacing w:before="0" w:beforeAutospacing="0" w:after="0" w:afterAutospacing="0" w:line="520" w:lineRule="exact"/>
              <w:ind w:left="0" w:right="0" w:firstLine="480" w:firstLineChars="200"/>
              <w:rPr>
                <w:rFonts w:hint="eastAsia" w:ascii="Times New Roman" w:hAnsi="Times New Roman" w:cs="宋体"/>
                <w:color w:val="000000"/>
                <w:sz w:val="24"/>
                <w:szCs w:val="24"/>
                <w:lang w:val="en-US" w:eastAsia="zh-CN"/>
              </w:rPr>
            </w:pPr>
            <w:r>
              <w:rPr>
                <w:rFonts w:hint="eastAsia" w:ascii="Times New Roman" w:hAnsi="Times New Roman" w:cs="宋体"/>
                <w:color w:val="000000"/>
                <w:sz w:val="24"/>
                <w:szCs w:val="24"/>
                <w:lang w:val="en-US" w:eastAsia="zh-CN"/>
              </w:rPr>
              <w:t>交通便利：场址附近有矿山公路或其他交通干线，便于废石和排土的运输，降低运输成本和对周边交通的影响。</w:t>
            </w:r>
          </w:p>
          <w:p w14:paraId="45327B30">
            <w:pPr>
              <w:keepNext w:val="0"/>
              <w:keepLines w:val="0"/>
              <w:suppressLineNumbers w:val="0"/>
              <w:adjustRightInd w:val="0"/>
              <w:snapToGrid w:val="0"/>
              <w:spacing w:before="0" w:beforeAutospacing="0" w:after="0" w:afterAutospacing="0" w:line="520" w:lineRule="exact"/>
              <w:ind w:left="0" w:right="0"/>
              <w:rPr>
                <w:rFonts w:hint="eastAsia" w:ascii="Times New Roman" w:hAnsi="Times New Roman" w:cs="宋体"/>
                <w:color w:val="000000"/>
                <w:sz w:val="24"/>
                <w:szCs w:val="24"/>
                <w:lang w:val="en-US" w:eastAsia="zh-CN"/>
              </w:rPr>
            </w:pPr>
            <w:r>
              <w:rPr>
                <w:rFonts w:hint="eastAsia" w:ascii="Times New Roman" w:hAnsi="Times New Roman"/>
                <w:b/>
                <w:bCs/>
                <w:color w:val="000000" w:themeColor="text1"/>
                <w:sz w:val="24"/>
                <w:lang w:val="en-US" w:eastAsia="zh-CN"/>
                <w14:textFill>
                  <w14:solidFill>
                    <w14:schemeClr w14:val="tx1"/>
                  </w14:solidFill>
                </w14:textFill>
              </w:rPr>
              <w:t>2排土场容积合理性</w:t>
            </w:r>
          </w:p>
          <w:p w14:paraId="31C8AC23">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olor w:val="000000" w:themeColor="text1"/>
                <w:sz w:val="24"/>
                <w14:textFill>
                  <w14:solidFill>
                    <w14:schemeClr w14:val="tx1"/>
                  </w14:solidFill>
                </w14:textFill>
              </w:rPr>
            </w:pPr>
            <w:r>
              <w:rPr>
                <w:rFonts w:hint="eastAsia" w:ascii="Times New Roman" w:hAnsi="Times New Roman" w:cs="宋体"/>
                <w:color w:val="000000"/>
                <w:sz w:val="24"/>
                <w:szCs w:val="24"/>
                <w:lang w:val="en-US" w:eastAsia="zh-CN"/>
              </w:rPr>
              <w:t>本项目表土剥离的表土方量约为</w:t>
            </w:r>
            <w:r>
              <w:rPr>
                <w:rFonts w:hint="eastAsia" w:cs="宋体"/>
                <w:color w:val="000000"/>
                <w:sz w:val="24"/>
                <w:szCs w:val="24"/>
                <w:lang w:val="en-US" w:eastAsia="zh-CN"/>
              </w:rPr>
              <w:t>5300</w:t>
            </w:r>
            <w:r>
              <w:rPr>
                <w:rFonts w:hint="eastAsia" w:ascii="Times New Roman" w:hAnsi="Times New Roman" w:cs="Times New Roman"/>
                <w:color w:val="auto"/>
                <w:sz w:val="24"/>
                <w:szCs w:val="24"/>
                <w:lang w:val="en-US" w:eastAsia="zh-CN"/>
              </w:rPr>
              <w:t>立方米，矿区露天采场剥离废石为75.92万吨（28.43万立方米），平均年产生废石3.84万吨（1.44万立方米），</w:t>
            </w:r>
            <w:r>
              <w:rPr>
                <w:rFonts w:hint="eastAsia" w:ascii="Times New Roman" w:hAnsi="Times New Roman" w:eastAsia="宋体" w:cs="宋体"/>
                <w:color w:val="000000"/>
                <w:sz w:val="24"/>
                <w:szCs w:val="24"/>
                <w:lang w:val="en-US" w:eastAsia="zh-CN"/>
              </w:rPr>
              <w:t>排土场最大容积为35.31万立方米，满足废石及表剥离土的堆放。</w:t>
            </w:r>
          </w:p>
          <w:p w14:paraId="46435B93">
            <w:pPr>
              <w:keepNext w:val="0"/>
              <w:keepLines w:val="0"/>
              <w:suppressLineNumbers w:val="0"/>
              <w:adjustRightInd w:val="0"/>
              <w:snapToGrid w:val="0"/>
              <w:spacing w:before="0" w:beforeAutospacing="0" w:after="0" w:afterAutospacing="0" w:line="520" w:lineRule="exact"/>
              <w:ind w:left="0" w:right="0" w:firstLine="480" w:firstLineChars="200"/>
              <w:rPr>
                <w:rFonts w:hint="default" w:eastAsia="宋体"/>
                <w:color w:val="000000" w:themeColor="text1"/>
                <w:lang w:val="en-US" w:eastAsia="zh-CN"/>
                <w14:textFill>
                  <w14:solidFill>
                    <w14:schemeClr w14:val="tx1"/>
                  </w14:solidFill>
                </w14:textFill>
              </w:rPr>
            </w:pPr>
            <w:r>
              <w:rPr>
                <w:rFonts w:hint="default" w:ascii="Times New Roman" w:hAnsi="Times New Roman"/>
                <w:color w:val="000000" w:themeColor="text1"/>
                <w:sz w:val="24"/>
                <w14:textFill>
                  <w14:solidFill>
                    <w14:schemeClr w14:val="tx1"/>
                  </w14:solidFill>
                </w14:textFill>
              </w:rPr>
              <w:t>本次评价认为，在建设单位严格落实本报告提出的各项环保措施和对策的前提下，本项目建设选址是可行的。</w:t>
            </w:r>
            <w:bookmarkStart w:id="9" w:name="_GoBack"/>
            <w:bookmarkEnd w:id="9"/>
          </w:p>
        </w:tc>
      </w:tr>
    </w:tbl>
    <w:p w14:paraId="0BE0EE0B">
      <w:pPr>
        <w:pStyle w:val="6"/>
        <w:ind w:firstLine="500"/>
        <w:rPr>
          <w:color w:val="FF0000"/>
        </w:rPr>
        <w:sectPr>
          <w:pgSz w:w="11906" w:h="16838"/>
          <w:pgMar w:top="1440" w:right="1800" w:bottom="1440" w:left="1800" w:header="851" w:footer="1077" w:gutter="0"/>
          <w:pgNumType w:fmt="decimal"/>
          <w:cols w:space="720" w:num="1"/>
          <w:docGrid w:linePitch="312" w:charSpace="0"/>
        </w:sectPr>
      </w:pPr>
    </w:p>
    <w:p w14:paraId="7479191D">
      <w:pPr>
        <w:pStyle w:val="20"/>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86"/>
        <w:gridCol w:w="7758"/>
      </w:tblGrid>
      <w:tr w14:paraId="48205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6" w:hRule="atLeast"/>
          <w:jc w:val="center"/>
        </w:trPr>
        <w:tc>
          <w:tcPr>
            <w:tcW w:w="351" w:type="pct"/>
            <w:tcBorders>
              <w:top w:val="single" w:color="auto" w:sz="4" w:space="0"/>
              <w:left w:val="single" w:color="auto" w:sz="4" w:space="0"/>
              <w:bottom w:val="single" w:color="auto" w:sz="4" w:space="0"/>
            </w:tcBorders>
            <w:tcMar>
              <w:left w:w="28" w:type="dxa"/>
              <w:right w:w="28" w:type="dxa"/>
            </w:tcMar>
            <w:vAlign w:val="center"/>
          </w:tcPr>
          <w:p w14:paraId="68F32545">
            <w:pPr>
              <w:keepNext w:val="0"/>
              <w:keepLines w:val="0"/>
              <w:suppressLineNumbers w:val="0"/>
              <w:adjustRightInd w:val="0"/>
              <w:snapToGrid w:val="0"/>
              <w:spacing w:before="0" w:beforeAutospacing="0" w:after="0" w:afterAutospacing="0"/>
              <w:ind w:left="0" w:right="0"/>
              <w:jc w:val="center"/>
              <w:rPr>
                <w:rFonts w:hint="default" w:ascii="宋体" w:hAnsi="宋体"/>
                <w:bCs/>
                <w:szCs w:val="21"/>
              </w:rPr>
            </w:pPr>
            <w:r>
              <w:rPr>
                <w:rFonts w:hint="eastAsia" w:ascii="宋体" w:hAnsi="宋体" w:cs="宋体"/>
                <w:bCs/>
                <w:spacing w:val="10"/>
                <w:szCs w:val="21"/>
              </w:rPr>
              <w:t>施工期生态环境保护措施</w:t>
            </w:r>
          </w:p>
        </w:tc>
        <w:tc>
          <w:tcPr>
            <w:tcW w:w="4648" w:type="pct"/>
            <w:tcBorders>
              <w:top w:val="single" w:color="auto" w:sz="4" w:space="0"/>
              <w:bottom w:val="single" w:color="auto" w:sz="4" w:space="0"/>
              <w:right w:val="single" w:color="auto" w:sz="4" w:space="0"/>
            </w:tcBorders>
          </w:tcPr>
          <w:p w14:paraId="4D439A79">
            <w:pPr>
              <w:pStyle w:val="2"/>
              <w:keepLines w:val="0"/>
              <w:suppressLineNumbers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1生态保护措施</w:t>
            </w:r>
          </w:p>
          <w:p w14:paraId="16EB34D5">
            <w:pPr>
              <w:keepNext w:val="0"/>
              <w:keepLines w:val="0"/>
              <w:pageBreakBefore w:val="0"/>
              <w:suppressLineNumbers w:val="0"/>
              <w:kinsoku/>
              <w:wordWrap/>
              <w:topLinePunct w:val="0"/>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本项目施工期对生态环境的影响主要是对区域景观的影响，可能产生的水土流失影响</w:t>
            </w:r>
            <w:r>
              <w:rPr>
                <w:rFonts w:hint="eastAsia"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rPr>
              <w:t>对土壤、动植物的影响等。</w:t>
            </w:r>
            <w:r>
              <w:rPr>
                <w:rFonts w:hint="eastAsia" w:cs="Times New Roman"/>
                <w:color w:val="auto"/>
                <w:sz w:val="24"/>
                <w:szCs w:val="24"/>
                <w:highlight w:val="none"/>
                <w:lang w:val="en-US" w:eastAsia="zh-CN"/>
              </w:rPr>
              <w:t>为防止矿山在建设过程中造成水土流失和保护项目区生态环境，要求建设单位采取以下措施：</w:t>
            </w:r>
          </w:p>
          <w:p w14:paraId="1E5346AA">
            <w:pPr>
              <w:keepNext w:val="0"/>
              <w:keepLines w:val="0"/>
              <w:pageBreakBefore w:val="0"/>
              <w:suppressLineNumbers w:val="0"/>
              <w:kinsoku/>
              <w:wordWrap/>
              <w:topLinePunct w:val="0"/>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（1）施工过程中尽量利用建设用地范围之内土地。临时占地结束后，进行土地平整和植被恢复等工作。</w:t>
            </w:r>
          </w:p>
          <w:p w14:paraId="68C80BBC">
            <w:pPr>
              <w:keepNext w:val="0"/>
              <w:keepLines w:val="0"/>
              <w:pageBreakBefore w:val="0"/>
              <w:suppressLineNumbers w:val="0"/>
              <w:kinsoku/>
              <w:wordWrap/>
              <w:topLinePunct w:val="0"/>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（2）施工过程中，严格限定施工作业带范围，严格行车路线，运输车辆禁止随意驶离道路或施工便道。优化施工组织，尽量减少施工过程中动用的土石方数量，减少植被破坏量。</w:t>
            </w:r>
          </w:p>
          <w:p w14:paraId="3F12E1A6">
            <w:pPr>
              <w:keepNext w:val="0"/>
              <w:keepLines w:val="0"/>
              <w:pageBreakBefore w:val="0"/>
              <w:suppressLineNumbers w:val="0"/>
              <w:kinsoku/>
              <w:wordWrap/>
              <w:topLinePunct w:val="0"/>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）工程建设过程中，严格控制施工范围，施工时，不使用大型挖掘设备，尽量使用小型挖掘机械或人工作业，缩短工期，减少因施工造成对植被的影响。</w:t>
            </w:r>
          </w:p>
          <w:p w14:paraId="0940AD39">
            <w:pPr>
              <w:keepNext w:val="0"/>
              <w:keepLines w:val="0"/>
              <w:pageBreakBefore w:val="0"/>
              <w:suppressLineNumbers w:val="0"/>
              <w:kinsoku/>
              <w:wordWrap/>
              <w:topLinePunct w:val="0"/>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）动土作业应尽</w:t>
            </w:r>
            <w:r>
              <w:rPr>
                <w:rFonts w:hint="default" w:ascii="Times New Roman" w:hAnsi="Times New Roman" w:eastAsia="宋体" w:cs="Times New Roman"/>
                <w:color w:val="auto"/>
                <w:sz w:val="24"/>
                <w:szCs w:val="24"/>
                <w:highlight w:val="none"/>
                <w:lang w:val="en-US" w:eastAsia="zh-CN"/>
              </w:rPr>
              <w:t>量</w:t>
            </w:r>
            <w:r>
              <w:rPr>
                <w:rFonts w:hint="default" w:ascii="Times New Roman" w:hAnsi="Times New Roman" w:eastAsia="宋体" w:cs="Times New Roman"/>
                <w:color w:val="auto"/>
                <w:sz w:val="24"/>
                <w:szCs w:val="24"/>
                <w:highlight w:val="none"/>
              </w:rPr>
              <w:t>避免大风天和雨天</w:t>
            </w:r>
            <w:r>
              <w:rPr>
                <w:rFonts w:hint="default" w:ascii="Times New Roman" w:hAnsi="Times New Roman" w:eastAsia="宋体" w:cs="Times New Roman"/>
                <w:color w:val="auto"/>
                <w:sz w:val="24"/>
                <w:szCs w:val="24"/>
                <w:highlight w:val="none"/>
                <w:lang w:val="en-US" w:eastAsia="zh-CN"/>
              </w:rPr>
              <w:t>开展</w:t>
            </w:r>
            <w:r>
              <w:rPr>
                <w:rFonts w:hint="default" w:ascii="Times New Roman" w:hAnsi="Times New Roman" w:eastAsia="宋体" w:cs="Times New Roman"/>
                <w:color w:val="auto"/>
                <w:sz w:val="24"/>
                <w:szCs w:val="24"/>
                <w:highlight w:val="none"/>
              </w:rPr>
              <w:t>，以免造成大量水土流失，施工前应在施工场地内布设临时简易排水沟，以便于施工期能及时导出地面径流；对各项动土项目，在分</w:t>
            </w:r>
            <w:r>
              <w:rPr>
                <w:rFonts w:hint="eastAsia" w:cs="Times New Roman"/>
                <w:color w:val="auto"/>
                <w:sz w:val="24"/>
                <w:szCs w:val="24"/>
                <w:highlight w:val="none"/>
                <w:lang w:eastAsia="zh-CN"/>
              </w:rPr>
              <w:t>项</w:t>
            </w:r>
            <w:r>
              <w:rPr>
                <w:rFonts w:hint="default" w:ascii="Times New Roman" w:hAnsi="Times New Roman" w:eastAsia="宋体" w:cs="Times New Roman"/>
                <w:color w:val="auto"/>
                <w:sz w:val="24"/>
                <w:szCs w:val="24"/>
                <w:highlight w:val="none"/>
              </w:rPr>
              <w:t>目结束后，及时进入下一道工序或建立防护措施，减少土壤侵蚀源的暴露时间，有效控制水土流失。尽量采取清洁和高效的生产技术及减少生态环境破坏的施工方式，并且优化施工布局，精心组织管理，尽量减少对区域内植被的破坏。</w:t>
            </w:r>
          </w:p>
          <w:p w14:paraId="5E9A71E7">
            <w:pPr>
              <w:keepNext w:val="0"/>
              <w:keepLines w:val="0"/>
              <w:pageBreakBefore w:val="0"/>
              <w:suppressLineNumbers w:val="0"/>
              <w:kinsoku/>
              <w:wordWrap/>
              <w:topLinePunct w:val="0"/>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5</w:t>
            </w:r>
            <w:r>
              <w:rPr>
                <w:rFonts w:hint="eastAsia" w:cs="Times New Roman"/>
                <w:color w:val="auto"/>
                <w:sz w:val="24"/>
                <w:szCs w:val="24"/>
                <w:highlight w:val="none"/>
                <w:lang w:eastAsia="zh-CN"/>
              </w:rPr>
              <w:t>）</w:t>
            </w:r>
            <w:r>
              <w:rPr>
                <w:rFonts w:hint="default"/>
                <w:sz w:val="24"/>
              </w:rPr>
              <w:t>施工结束后，</w:t>
            </w:r>
            <w:r>
              <w:rPr>
                <w:rFonts w:hint="eastAsia"/>
                <w:sz w:val="24"/>
              </w:rPr>
              <w:t>已</w:t>
            </w:r>
            <w:r>
              <w:rPr>
                <w:rFonts w:hint="default"/>
                <w:sz w:val="24"/>
              </w:rPr>
              <w:t>及时拆除、清理临时生产设施，各类施工迹地、料场应进行清理，平整场地，使扰动过的地表与周围的景观相协调</w:t>
            </w:r>
          </w:p>
          <w:p w14:paraId="7F3008B4">
            <w:pPr>
              <w:keepNext w:val="0"/>
              <w:keepLines w:val="0"/>
              <w:pageBreakBefore w:val="0"/>
              <w:suppressLineNumbers w:val="0"/>
              <w:kinsoku/>
              <w:wordWrap/>
              <w:topLinePunct w:val="0"/>
              <w:bidi w:val="0"/>
              <w:adjustRightInd w:val="0"/>
              <w:snapToGrid w:val="0"/>
              <w:spacing w:before="0" w:beforeAutospacing="0" w:after="0" w:afterAutospacing="0" w:line="520" w:lineRule="exact"/>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6</w:t>
            </w:r>
            <w:r>
              <w:rPr>
                <w:rFonts w:hint="eastAsia" w:cs="Times New Roman"/>
                <w:color w:val="auto"/>
                <w:sz w:val="24"/>
                <w:szCs w:val="24"/>
                <w:highlight w:val="none"/>
                <w:lang w:eastAsia="zh-CN"/>
              </w:rPr>
              <w:t>）加强对施工人员的生态保护教育，树立野生动物保护意识，禁止狩猎；尽量不扰动施工区域外的动物栖息环境。</w:t>
            </w:r>
          </w:p>
          <w:p w14:paraId="06D440A5">
            <w:pPr>
              <w:keepNext w:val="0"/>
              <w:keepLines w:val="0"/>
              <w:pageBreakBefore w:val="0"/>
              <w:suppressLineNumbers w:val="0"/>
              <w:kinsoku/>
              <w:wordWrap/>
              <w:topLinePunct w:val="0"/>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通过采取以上措施，可有效控制施工期对项目区周围生态环境的扰动。</w:t>
            </w:r>
          </w:p>
          <w:p w14:paraId="26A83597">
            <w:pPr>
              <w:pStyle w:val="2"/>
              <w:keepLines w:val="0"/>
              <w:suppressLineNumbers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2大气环境保护措施</w:t>
            </w:r>
          </w:p>
          <w:p w14:paraId="13729585">
            <w:pPr>
              <w:keepNext w:val="0"/>
              <w:keepLines w:val="0"/>
              <w:numPr>
                <w:ilvl w:val="0"/>
                <w:numId w:val="0"/>
              </w:numPr>
              <w:suppressLineNumbers w:val="0"/>
              <w:adjustRightInd w:val="0"/>
              <w:snapToGrid w:val="0"/>
              <w:spacing w:before="0" w:beforeAutospacing="0" w:after="0" w:afterAutospacing="0" w:line="520" w:lineRule="exact"/>
              <w:ind w:left="0" w:leftChars="0" w:right="0" w:rightChars="0" w:firstLine="482" w:firstLineChars="200"/>
              <w:rPr>
                <w:rFonts w:hint="default"/>
                <w:b/>
                <w:bCs/>
                <w:sz w:val="24"/>
              </w:rPr>
            </w:pPr>
            <w:r>
              <w:rPr>
                <w:rFonts w:hint="eastAsia" w:cs="Times New Roman"/>
                <w:b/>
                <w:bCs/>
                <w:kern w:val="2"/>
                <w:sz w:val="24"/>
                <w:szCs w:val="24"/>
                <w:lang w:val="en-US" w:eastAsia="zh-CN" w:bidi="ar-SA"/>
              </w:rPr>
              <w:t>2.1</w:t>
            </w:r>
            <w:r>
              <w:rPr>
                <w:rFonts w:hint="eastAsia"/>
                <w:b/>
                <w:bCs/>
                <w:sz w:val="24"/>
                <w:lang w:val="en-US" w:eastAsia="zh-CN"/>
              </w:rPr>
              <w:t>运输要求</w:t>
            </w:r>
          </w:p>
          <w:p w14:paraId="259C605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rightChars="0" w:firstLine="480" w:firstLineChars="200"/>
              <w:textAlignment w:val="auto"/>
              <w:rPr>
                <w:rFonts w:hint="default" w:eastAsia="宋体"/>
                <w:sz w:val="24"/>
                <w:lang w:val="en-US" w:eastAsia="zh-CN"/>
              </w:rPr>
            </w:pPr>
            <w:r>
              <w:rPr>
                <w:rFonts w:hint="eastAsia"/>
                <w:sz w:val="24"/>
                <w:lang w:val="en-US" w:eastAsia="zh-CN"/>
              </w:rPr>
              <w:t>（1）本项目物料运输量较大但运输距离较短，根据《国务院关于印发〈空气质量持续改善行动计划〉的通知》及《新疆维吾尔自治区打赢蓝天保卫战三年行动计划（2023—2025年）》及《新疆重点行业清洁运输实施方案》的要求，</w:t>
            </w:r>
            <w:r>
              <w:rPr>
                <w:rFonts w:hint="eastAsia"/>
                <w:sz w:val="24"/>
              </w:rPr>
              <w:t>禁止</w:t>
            </w:r>
            <w:r>
              <w:rPr>
                <w:rFonts w:hint="default"/>
                <w:sz w:val="24"/>
              </w:rPr>
              <w:t>运输车辆装载过满，并采取遮盖、密闭措施，苫布边缘至少要遮住槽帮上沿以下15cm，减少其沿途遗洒，及时清扫散落在路面的泥土和灰尘定时洒水压尘，减少运输过程中的扬尘，防止因速度过快导致的汽车扬尘</w:t>
            </w:r>
            <w:r>
              <w:rPr>
                <w:rFonts w:hint="eastAsia"/>
                <w:sz w:val="24"/>
                <w:lang w:eastAsia="zh-CN"/>
              </w:rPr>
              <w:t>；</w:t>
            </w:r>
            <w:r>
              <w:rPr>
                <w:rFonts w:hint="eastAsia"/>
                <w:sz w:val="24"/>
                <w:lang w:val="en-US" w:eastAsia="zh-CN"/>
              </w:rPr>
              <w:t>对于运输车辆，优先选用耐低温电池的电动重卡或氢燃料电池货车。</w:t>
            </w:r>
          </w:p>
          <w:p w14:paraId="0F2725E6">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（2）</w:t>
            </w:r>
            <w:r>
              <w:rPr>
                <w:rFonts w:hint="eastAsia"/>
                <w:sz w:val="24"/>
                <w:lang w:val="en-US" w:eastAsia="zh-CN"/>
              </w:rPr>
              <w:t>在施工期及闭矿期</w:t>
            </w:r>
            <w:r>
              <w:rPr>
                <w:rFonts w:hint="default"/>
                <w:sz w:val="24"/>
              </w:rPr>
              <w:t>运输、处置建筑垃圾</w:t>
            </w:r>
            <w:r>
              <w:rPr>
                <w:rFonts w:hint="eastAsia"/>
                <w:sz w:val="24"/>
                <w:lang w:val="en-US" w:eastAsia="zh-CN"/>
              </w:rPr>
              <w:t>时</w:t>
            </w:r>
            <w:r>
              <w:rPr>
                <w:rFonts w:hint="default"/>
                <w:sz w:val="24"/>
              </w:rPr>
              <w:t>，应当经工程所在地的人民政府确定的监督管理部门同意，按照规定的运输时间、路线和要求清运到指定的场所处理；在场地内堆存的，应当有效覆盖。</w:t>
            </w:r>
          </w:p>
          <w:p w14:paraId="67FA5574">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（3）施工工地道路积尘清理措施，定期对场区洒水，保持下垫面和空气湿润，减少起尘量，洒水频率视天气情况调整。</w:t>
            </w:r>
          </w:p>
          <w:p w14:paraId="4D4FDEC3">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（4）挖掘施工过程中，及时覆盖破损路面，并采取洒水等措施防治扬尘污染；道路挖掘施工完成后及时修复路面；临时便道定时洒水。</w:t>
            </w:r>
          </w:p>
          <w:p w14:paraId="0D99A59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（5）施工期间场地平整过程中，对暂时开挖的土方进行防护，使用防雨、防尘的苫盖遮挡，减少风力起尘。</w:t>
            </w:r>
          </w:p>
          <w:p w14:paraId="18800DDB">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w:t>
            </w:r>
            <w:r>
              <w:rPr>
                <w:rFonts w:hint="eastAsia"/>
                <w:sz w:val="24"/>
                <w:lang w:val="en-US" w:eastAsia="zh-CN"/>
              </w:rPr>
              <w:t>6</w:t>
            </w:r>
            <w:r>
              <w:rPr>
                <w:rFonts w:hint="default"/>
                <w:sz w:val="24"/>
              </w:rPr>
              <w:t>）及时对施工现场进行清理和平整，不得从高处向下倾倒或者抛洒各类物料和建筑垃圾。</w:t>
            </w:r>
          </w:p>
          <w:p w14:paraId="473926B9">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w:t>
            </w:r>
            <w:r>
              <w:rPr>
                <w:rFonts w:hint="eastAsia"/>
                <w:sz w:val="24"/>
                <w:lang w:val="en-US" w:eastAsia="zh-CN"/>
              </w:rPr>
              <w:t>7</w:t>
            </w:r>
            <w:r>
              <w:rPr>
                <w:rFonts w:hint="default"/>
                <w:sz w:val="24"/>
              </w:rPr>
              <w:t>）直接购买商砼，</w:t>
            </w:r>
            <w:r>
              <w:rPr>
                <w:rFonts w:hint="eastAsia"/>
                <w:sz w:val="24"/>
              </w:rPr>
              <w:t>不在</w:t>
            </w:r>
            <w:r>
              <w:rPr>
                <w:rFonts w:hint="default"/>
                <w:sz w:val="24"/>
              </w:rPr>
              <w:t>现场搅拌混凝土。</w:t>
            </w:r>
          </w:p>
          <w:p w14:paraId="69AF8827">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w:t>
            </w:r>
            <w:r>
              <w:rPr>
                <w:rFonts w:hint="eastAsia"/>
                <w:sz w:val="24"/>
                <w:lang w:val="en-US" w:eastAsia="zh-CN"/>
              </w:rPr>
              <w:t>8</w:t>
            </w:r>
            <w:r>
              <w:rPr>
                <w:rFonts w:hint="default"/>
                <w:sz w:val="24"/>
              </w:rPr>
              <w:t>）</w:t>
            </w:r>
            <w:r>
              <w:rPr>
                <w:rFonts w:hint="eastAsia"/>
                <w:sz w:val="24"/>
              </w:rPr>
              <w:t>加强</w:t>
            </w:r>
            <w:r>
              <w:rPr>
                <w:rFonts w:hint="default"/>
                <w:sz w:val="24"/>
              </w:rPr>
              <w:t>施工人员进行环保方面的教育，提高设备原料利用率，不用设备时及时关闭，减少废气排放；在装卸进程中，禁止野蛮作业，减少作业扬尘，并为施工人员配备防尘口罩等防尘用品。</w:t>
            </w:r>
          </w:p>
          <w:p w14:paraId="2F57AA4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w:t>
            </w:r>
            <w:r>
              <w:rPr>
                <w:rFonts w:hint="eastAsia"/>
                <w:sz w:val="24"/>
                <w:lang w:val="en-US" w:eastAsia="zh-CN"/>
              </w:rPr>
              <w:t>9</w:t>
            </w:r>
            <w:r>
              <w:rPr>
                <w:rFonts w:hint="default"/>
                <w:sz w:val="24"/>
              </w:rPr>
              <w:t>）用低能耗、低污染排放的施工机械、车辆，加强对本项目施工期所使用的机械设备的维护及保养，尽量减少因机械、车辆状况不佳造成的空气污染，降低尾气中有害成分的浓度。</w:t>
            </w:r>
          </w:p>
          <w:p w14:paraId="311FDB0E">
            <w:pPr>
              <w:keepNext w:val="0"/>
              <w:keepLines w:val="0"/>
              <w:suppressLineNumbers w:val="0"/>
              <w:spacing w:before="0" w:beforeAutospacing="0" w:after="0" w:afterAutospacing="0" w:line="480" w:lineRule="exact"/>
              <w:ind w:left="0" w:right="0" w:firstLine="480" w:firstLineChars="200"/>
              <w:rPr>
                <w:rFonts w:hint="default"/>
              </w:rPr>
            </w:pPr>
            <w:r>
              <w:rPr>
                <w:rFonts w:hint="default"/>
                <w:kern w:val="0"/>
                <w:sz w:val="24"/>
              </w:rPr>
              <w:t>通过采取设置围挡、洒水降尘、加强物料防尘管理、及时清运施工垃圾、做好运输车辆管理等措施，施工场地扬尘对环境的影响大大降低，对周围环境空气质量影响程度小、范围局限于施工场地范围内。</w:t>
            </w:r>
          </w:p>
          <w:p w14:paraId="2FC6D0C8">
            <w:pPr>
              <w:pStyle w:val="2"/>
              <w:keepLines w:val="0"/>
              <w:suppressLineNumbers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3水环境保护措施</w:t>
            </w:r>
          </w:p>
          <w:p w14:paraId="1D932F85">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（1）禁止在施工现场冲洗机械设备。</w:t>
            </w:r>
          </w:p>
          <w:p w14:paraId="3BE96921">
            <w:pPr>
              <w:keepNext w:val="0"/>
              <w:keepLines w:val="0"/>
              <w:suppressLineNumbers w:val="0"/>
              <w:adjustRightInd w:val="0"/>
              <w:snapToGrid w:val="0"/>
              <w:spacing w:before="0" w:beforeAutospacing="0" w:after="0" w:afterAutospacing="0" w:line="520" w:lineRule="exact"/>
              <w:ind w:left="0" w:right="0" w:firstLine="480" w:firstLineChars="200"/>
              <w:rPr>
                <w:rFonts w:hint="default"/>
              </w:rPr>
            </w:pPr>
            <w:r>
              <w:rPr>
                <w:rFonts w:hint="default"/>
                <w:sz w:val="24"/>
              </w:rPr>
              <w:t>（2）</w:t>
            </w:r>
            <w:r>
              <w:rPr>
                <w:rFonts w:hint="default"/>
                <w:color w:val="000000" w:themeColor="text1"/>
                <w:sz w:val="24"/>
                <w14:textFill>
                  <w14:solidFill>
                    <w14:schemeClr w14:val="tx1"/>
                  </w14:solidFill>
                </w14:textFill>
              </w:rPr>
              <w:t>施工区域建设</w:t>
            </w:r>
            <w:r>
              <w:rPr>
                <w:rFonts w:hint="eastAsia"/>
                <w:color w:val="000000" w:themeColor="text1"/>
                <w:sz w:val="24"/>
                <w14:textFill>
                  <w14:solidFill>
                    <w14:schemeClr w14:val="tx1"/>
                  </w14:solidFill>
                </w14:textFill>
              </w:rPr>
              <w:t>一座临时化粪池</w:t>
            </w:r>
            <w:r>
              <w:rPr>
                <w:rFonts w:hint="default"/>
                <w:color w:val="000000" w:themeColor="text1"/>
                <w:sz w:val="24"/>
                <w14:textFill>
                  <w14:solidFill>
                    <w14:schemeClr w14:val="tx1"/>
                  </w14:solidFill>
                </w14:textFill>
              </w:rPr>
              <w:t>，用于收集施工过程中产生的</w:t>
            </w:r>
            <w:r>
              <w:rPr>
                <w:rFonts w:hint="eastAsia"/>
                <w:color w:val="000000" w:themeColor="text1"/>
                <w:sz w:val="24"/>
                <w14:textFill>
                  <w14:solidFill>
                    <w14:schemeClr w14:val="tx1"/>
                  </w14:solidFill>
                </w14:textFill>
              </w:rPr>
              <w:t>生活污水</w:t>
            </w: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产生量较小，</w:t>
            </w:r>
            <w:r>
              <w:rPr>
                <w:rFonts w:hint="default"/>
                <w:color w:val="000000" w:themeColor="text1"/>
                <w:sz w:val="24"/>
                <w14:textFill>
                  <w14:solidFill>
                    <w14:schemeClr w14:val="tx1"/>
                  </w14:solidFill>
                </w14:textFill>
              </w:rPr>
              <w:t>经</w:t>
            </w:r>
            <w:r>
              <w:rPr>
                <w:rFonts w:hint="eastAsia"/>
                <w:color w:val="000000" w:themeColor="text1"/>
                <w:sz w:val="24"/>
                <w14:textFill>
                  <w14:solidFill>
                    <w14:schemeClr w14:val="tx1"/>
                  </w14:solidFill>
                </w14:textFill>
              </w:rPr>
              <w:t>处理</w:t>
            </w:r>
            <w:r>
              <w:rPr>
                <w:rFonts w:hint="default"/>
                <w:color w:val="000000" w:themeColor="text1"/>
                <w:sz w:val="24"/>
                <w14:textFill>
                  <w14:solidFill>
                    <w14:schemeClr w14:val="tx1"/>
                  </w14:solidFill>
                </w14:textFill>
              </w:rPr>
              <w:t>后用于项目区的洒水降尘，不得排入地表水体。</w:t>
            </w:r>
          </w:p>
          <w:p w14:paraId="44906022">
            <w:pPr>
              <w:pStyle w:val="2"/>
              <w:keepLines w:val="0"/>
              <w:suppressLineNumbers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4声环境保护措施</w:t>
            </w:r>
          </w:p>
          <w:p w14:paraId="631B1DBA">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（1）制定施工计划，避免大量噪声设备同时使用，合理安排施工作业时间，夜间禁止施工。</w:t>
            </w:r>
          </w:p>
          <w:p w14:paraId="5A6EF959">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（2）避免在同一地点安排大量动力机械设备，以免局部声级过高。</w:t>
            </w:r>
          </w:p>
          <w:p w14:paraId="4CE6E17D">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（3）施工前设置施工场地围栏。在施工设备的选型上采用低噪声设备；对设备可采用隔声屏障进行局部遮挡。</w:t>
            </w:r>
          </w:p>
          <w:p w14:paraId="34C911EB">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（4）加强对设备的维护、养护，闲置设备立即关闭。采用外加工材料，减少现场加工的工作量。</w:t>
            </w:r>
          </w:p>
          <w:p w14:paraId="7FE82788">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（5）按操作规范操作机械设备</w:t>
            </w:r>
            <w:r>
              <w:rPr>
                <w:rFonts w:hint="eastAsia"/>
                <w:sz w:val="24"/>
              </w:rPr>
              <w:t>，</w:t>
            </w:r>
            <w:r>
              <w:rPr>
                <w:rFonts w:hint="default"/>
                <w:sz w:val="24"/>
              </w:rPr>
              <w:t>减少碰撞噪声，并对工人进行环保方面的教育。在装卸进程中，禁止野蛮作业，减少作业噪声。</w:t>
            </w:r>
          </w:p>
          <w:p w14:paraId="4A4AC87B">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（6）场外运输作业尽量安排在白天进行，施工车辆进入施工场区时</w:t>
            </w:r>
            <w:r>
              <w:rPr>
                <w:rFonts w:hint="eastAsia"/>
                <w:sz w:val="24"/>
              </w:rPr>
              <w:t>应</w:t>
            </w:r>
            <w:r>
              <w:rPr>
                <w:rFonts w:hint="default"/>
                <w:sz w:val="24"/>
              </w:rPr>
              <w:t>采取减速、禁鸣等措施。</w:t>
            </w:r>
          </w:p>
          <w:p w14:paraId="5FB5454E">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在施工过程中，通过使用低噪声机械设备，增加消声减噪装置及加强对施工人员的监督和管理等措施控制施工噪声。因项目区距离周边居民点较远，</w:t>
            </w:r>
            <w:r>
              <w:rPr>
                <w:rFonts w:hint="eastAsia"/>
                <w:sz w:val="24"/>
              </w:rPr>
              <w:t>周边50m</w:t>
            </w:r>
            <w:r>
              <w:rPr>
                <w:rFonts w:hint="default"/>
                <w:sz w:val="24"/>
              </w:rPr>
              <w:t>范围内无环境敏感点，对周边环境影响较小。</w:t>
            </w:r>
          </w:p>
          <w:p w14:paraId="760668CF">
            <w:pPr>
              <w:pStyle w:val="2"/>
              <w:keepLines w:val="0"/>
              <w:suppressLineNumbers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5固体废物保护措施</w:t>
            </w:r>
          </w:p>
          <w:p w14:paraId="7835E313">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（1）及时清运工程施工过程中产生的建筑垃圾，并按照环卫部门的规定处置，防止污染环境。</w:t>
            </w:r>
          </w:p>
          <w:p w14:paraId="561CF2D2">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（2）不随意倾倒、抛撒或者堆放建筑垃圾。</w:t>
            </w:r>
          </w:p>
          <w:p w14:paraId="60179252">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（3）处置建筑垃圾的单位在运输建筑垃圾时，按照城市人民政府有关部门规定的运输路线、时间运行，不得丢弃、遗撒建筑垃圾，不得超出核准范围承运建筑垃圾。</w:t>
            </w:r>
          </w:p>
          <w:p w14:paraId="598B2B3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（4）建筑垃圾外运采取篷布遮盖措施，避免建筑垃圾沿途掉落。</w:t>
            </w:r>
          </w:p>
          <w:p w14:paraId="774F1206">
            <w:pPr>
              <w:keepNext w:val="0"/>
              <w:keepLines w:val="0"/>
              <w:suppressLineNumbers w:val="0"/>
              <w:adjustRightInd w:val="0"/>
              <w:snapToGrid w:val="0"/>
              <w:spacing w:before="0" w:beforeAutospacing="0" w:after="0" w:afterAutospacing="0" w:line="520" w:lineRule="exact"/>
              <w:ind w:left="0" w:right="0" w:firstLine="480" w:firstLineChars="200"/>
              <w:rPr>
                <w:rFonts w:hint="default"/>
                <w:kern w:val="0"/>
                <w:sz w:val="24"/>
              </w:rPr>
            </w:pPr>
            <w:r>
              <w:rPr>
                <w:rFonts w:hint="default"/>
                <w:kern w:val="0"/>
                <w:sz w:val="24"/>
              </w:rPr>
              <w:t>（5）渣土在场内周转就地平衡，建筑废料运至</w:t>
            </w:r>
            <w:r>
              <w:rPr>
                <w:rFonts w:hint="eastAsia"/>
                <w:kern w:val="0"/>
                <w:sz w:val="24"/>
              </w:rPr>
              <w:t>主管部门</w:t>
            </w:r>
            <w:r>
              <w:rPr>
                <w:rFonts w:hint="default"/>
                <w:snapToGrid w:val="0"/>
                <w:kern w:val="0"/>
                <w:sz w:val="24"/>
              </w:rPr>
              <w:t>指定地点统一处理</w:t>
            </w:r>
            <w:r>
              <w:rPr>
                <w:rFonts w:hint="default"/>
                <w:kern w:val="0"/>
                <w:sz w:val="24"/>
              </w:rPr>
              <w:t>；生活垃圾分类收集处理后交由环卫部门清运统一处置；</w:t>
            </w:r>
          </w:p>
          <w:p w14:paraId="48C0002D">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（6）在工程竣工以后，拆除各种临时施工设施，并将工地的剩余建筑垃圾、工程渣土处理干净，做到“工完、料尽、场地清”。</w:t>
            </w:r>
          </w:p>
        </w:tc>
      </w:tr>
      <w:tr w14:paraId="59A12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351" w:type="pct"/>
            <w:tcBorders>
              <w:top w:val="single" w:color="auto" w:sz="4" w:space="0"/>
            </w:tcBorders>
            <w:tcMar>
              <w:left w:w="28" w:type="dxa"/>
              <w:right w:w="28" w:type="dxa"/>
            </w:tcMar>
            <w:vAlign w:val="center"/>
          </w:tcPr>
          <w:p w14:paraId="37BDD5DA">
            <w:pPr>
              <w:keepNext w:val="0"/>
              <w:keepLines w:val="0"/>
              <w:suppressLineNumbers w:val="0"/>
              <w:adjustRightInd w:val="0"/>
              <w:snapToGrid w:val="0"/>
              <w:spacing w:before="0" w:beforeAutospacing="0" w:after="0" w:afterAutospacing="0"/>
              <w:ind w:left="0" w:right="0"/>
              <w:jc w:val="center"/>
              <w:rPr>
                <w:rFonts w:hint="default" w:ascii="宋体" w:hAnsi="宋体" w:cs="宋体"/>
                <w:bCs/>
                <w:spacing w:val="10"/>
                <w:szCs w:val="21"/>
              </w:rPr>
            </w:pPr>
            <w:r>
              <w:rPr>
                <w:rFonts w:hint="eastAsia" w:ascii="宋体" w:hAnsi="宋体" w:cs="宋体"/>
                <w:bCs/>
                <w:spacing w:val="10"/>
                <w:szCs w:val="21"/>
              </w:rPr>
              <w:t>运营期生态环境保护措施</w:t>
            </w:r>
          </w:p>
        </w:tc>
        <w:tc>
          <w:tcPr>
            <w:tcW w:w="4648" w:type="pct"/>
            <w:tcBorders>
              <w:top w:val="single" w:color="auto" w:sz="4" w:space="0"/>
            </w:tcBorders>
          </w:tcPr>
          <w:p w14:paraId="60D813C3">
            <w:pPr>
              <w:pStyle w:val="2"/>
              <w:keepLines w:val="0"/>
              <w:suppressLineNumbers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1生态环境保护措施</w:t>
            </w:r>
          </w:p>
          <w:p w14:paraId="6DC0A3C8">
            <w:pPr>
              <w:keepNext w:val="0"/>
              <w:keepLines w:val="0"/>
              <w:suppressLineNumbers w:val="0"/>
              <w:adjustRightInd w:val="0"/>
              <w:snapToGrid w:val="0"/>
              <w:spacing w:before="0" w:beforeAutospacing="0" w:after="0" w:afterAutospacing="0" w:line="520" w:lineRule="exact"/>
              <w:ind w:left="0" w:right="0" w:firstLine="480" w:firstLineChars="200"/>
              <w:rPr>
                <w:rFonts w:hint="default"/>
                <w:b/>
                <w:bCs/>
                <w:sz w:val="24"/>
              </w:rPr>
            </w:pPr>
            <w:r>
              <w:rPr>
                <w:rFonts w:hint="default"/>
                <w:sz w:val="24"/>
              </w:rPr>
              <w:t>按照“谁破坏、谁恢复治理</w:t>
            </w:r>
            <w:r>
              <w:rPr>
                <w:rFonts w:hint="eastAsia"/>
                <w:sz w:val="24"/>
              </w:rPr>
              <w:t>”“</w:t>
            </w:r>
            <w:r>
              <w:rPr>
                <w:rFonts w:hint="default"/>
                <w:sz w:val="24"/>
              </w:rPr>
              <w:t>预防为主，防治结合</w:t>
            </w:r>
            <w:r>
              <w:rPr>
                <w:rFonts w:hint="eastAsia"/>
                <w:sz w:val="24"/>
              </w:rPr>
              <w:t>”“</w:t>
            </w:r>
            <w:r>
              <w:rPr>
                <w:rFonts w:hint="default"/>
                <w:sz w:val="24"/>
              </w:rPr>
              <w:t>在保护中开发，在开发中保护</w:t>
            </w:r>
            <w:r>
              <w:rPr>
                <w:rFonts w:hint="eastAsia"/>
                <w:sz w:val="24"/>
              </w:rPr>
              <w:t>”“</w:t>
            </w:r>
            <w:r>
              <w:rPr>
                <w:rFonts w:hint="default"/>
                <w:sz w:val="24"/>
              </w:rPr>
              <w:t>依靠科技进步，发展循环经济，建设绿色矿山</w:t>
            </w:r>
            <w:r>
              <w:rPr>
                <w:rFonts w:hint="eastAsia"/>
                <w:sz w:val="24"/>
              </w:rPr>
              <w:t>”</w:t>
            </w:r>
            <w:r>
              <w:rPr>
                <w:rFonts w:hint="default"/>
                <w:sz w:val="24"/>
              </w:rPr>
              <w:t>的原则将项目区周围环境影响至最低，采取以下措施。</w:t>
            </w:r>
          </w:p>
          <w:p w14:paraId="59AE2FCE">
            <w:pPr>
              <w:keepNext w:val="0"/>
              <w:keepLines w:val="0"/>
              <w:suppressLineNumbers w:val="0"/>
              <w:adjustRightInd w:val="0"/>
              <w:snapToGrid w:val="0"/>
              <w:spacing w:before="0" w:beforeAutospacing="0" w:after="0" w:afterAutospacing="0" w:line="520" w:lineRule="exact"/>
              <w:ind w:left="0" w:right="0" w:firstLine="482" w:firstLineChars="200"/>
              <w:rPr>
                <w:rFonts w:hint="default"/>
                <w:b/>
                <w:sz w:val="24"/>
              </w:rPr>
            </w:pPr>
            <w:r>
              <w:rPr>
                <w:rFonts w:hint="default"/>
                <w:b/>
                <w:sz w:val="24"/>
              </w:rPr>
              <w:t>1.1对</w:t>
            </w:r>
            <w:r>
              <w:rPr>
                <w:rFonts w:hint="default"/>
                <w:b/>
                <w:bCs/>
                <w:color w:val="000000"/>
                <w:kern w:val="44"/>
                <w:sz w:val="24"/>
              </w:rPr>
              <w:t>占地影响保护措施</w:t>
            </w:r>
          </w:p>
          <w:p w14:paraId="117C0FFA">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b/>
                <w:bCs/>
                <w:sz w:val="24"/>
              </w:rPr>
            </w:pPr>
            <w:r>
              <w:rPr>
                <w:rFonts w:hint="default"/>
                <w:sz w:val="24"/>
              </w:rPr>
              <w:t>本项目运营期占地主要是设备区、生活区、采矿场与</w:t>
            </w:r>
            <w:r>
              <w:rPr>
                <w:rFonts w:hint="eastAsia"/>
                <w:sz w:val="24"/>
                <w:lang w:val="en-US" w:eastAsia="zh-CN"/>
              </w:rPr>
              <w:t>排土</w:t>
            </w:r>
            <w:r>
              <w:rPr>
                <w:rFonts w:hint="default"/>
                <w:sz w:val="24"/>
              </w:rPr>
              <w:t>场及其附属设施等，本环评要求建设单位在开采时减少不必要的开采，项目边开采边复垦，减少</w:t>
            </w:r>
            <w:r>
              <w:rPr>
                <w:rFonts w:hint="eastAsia"/>
                <w:sz w:val="24"/>
                <w:lang w:val="en-US" w:eastAsia="zh-CN"/>
              </w:rPr>
              <w:t>排土</w:t>
            </w:r>
            <w:r>
              <w:rPr>
                <w:rFonts w:hint="default"/>
                <w:sz w:val="24"/>
              </w:rPr>
              <w:t>场的占地，禁止破坏项目区外的植被。</w:t>
            </w:r>
          </w:p>
          <w:p w14:paraId="4D27731B">
            <w:pPr>
              <w:pStyle w:val="2"/>
              <w:keepLines w:val="0"/>
              <w:suppressLineNumbers w:val="0"/>
              <w:adjustRightInd w:val="0"/>
              <w:spacing w:before="0" w:beforeAutospacing="0" w:after="0" w:afterAutospacing="0" w:line="520" w:lineRule="exact"/>
              <w:ind w:left="0" w:right="0" w:firstLine="482" w:firstLineChars="200"/>
              <w:rPr>
                <w:rFonts w:hint="default" w:eastAsia="宋体"/>
                <w:sz w:val="24"/>
                <w:szCs w:val="24"/>
              </w:rPr>
            </w:pPr>
            <w:r>
              <w:rPr>
                <w:rFonts w:hint="default" w:eastAsia="宋体"/>
                <w:sz w:val="24"/>
                <w:szCs w:val="24"/>
              </w:rPr>
              <w:t>1.2对植物的保护措施</w:t>
            </w:r>
          </w:p>
          <w:p w14:paraId="36479A53">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根据现场调查了解，矿区基岩裸露，矿区内自然植物类型单一，种类、数量均较少，以嗜碱类草本植物为主，每年5～7月在该区域生长。评价区内未发现国家重点保护野生植物。由于</w:t>
            </w:r>
            <w:r>
              <w:rPr>
                <w:rFonts w:hint="eastAsia"/>
                <w:sz w:val="24"/>
                <w:lang w:val="en-US" w:eastAsia="zh-CN"/>
              </w:rPr>
              <w:t>对石灰岩矿</w:t>
            </w:r>
            <w:r>
              <w:rPr>
                <w:rFonts w:hint="default"/>
                <w:sz w:val="24"/>
              </w:rPr>
              <w:t>的开采，破坏了原有的植被和地貌景观，不可避免地要对地表植被造成破坏，另外，</w:t>
            </w:r>
            <w:r>
              <w:rPr>
                <w:rFonts w:hint="eastAsia"/>
                <w:sz w:val="24"/>
                <w:lang w:val="en-US" w:eastAsia="zh-CN"/>
              </w:rPr>
              <w:t>排土</w:t>
            </w:r>
            <w:r>
              <w:rPr>
                <w:rFonts w:hint="default"/>
                <w:sz w:val="24"/>
              </w:rPr>
              <w:t>场也会对植被占压和覆盖，造成局部植被覆盖率下降。本评价要求对建设单位在矿石开采的同时，进行矿坑的回填；要求项目边开采边复垦，尽早对裸露地表进行复垦。在及时实施复垦方案的前提下，项目营运过程中形成的裸露地表经过一段时间后可逐渐恢复原有的生态环境，区域内生态环境能够得到改善。</w:t>
            </w:r>
          </w:p>
          <w:p w14:paraId="135007E1">
            <w:pPr>
              <w:pStyle w:val="2"/>
              <w:keepLines w:val="0"/>
              <w:suppressLineNumbers w:val="0"/>
              <w:adjustRightInd w:val="0"/>
              <w:spacing w:before="0" w:beforeAutospacing="0" w:after="0" w:afterAutospacing="0" w:line="520" w:lineRule="exact"/>
              <w:ind w:left="0" w:right="0" w:firstLine="482" w:firstLineChars="200"/>
              <w:rPr>
                <w:rFonts w:hint="default" w:eastAsia="宋体"/>
                <w:sz w:val="24"/>
                <w:szCs w:val="24"/>
              </w:rPr>
            </w:pPr>
            <w:r>
              <w:rPr>
                <w:rFonts w:hint="default" w:eastAsia="宋体"/>
                <w:sz w:val="24"/>
                <w:szCs w:val="24"/>
              </w:rPr>
              <w:t>1.3对动物的保护措施</w:t>
            </w:r>
          </w:p>
          <w:p w14:paraId="2CAAC8A2">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采矿区开采及加工作业对植被破坏的同时，也破坏了原有生态环</w:t>
            </w:r>
            <w:r>
              <w:rPr>
                <w:rFonts w:hint="eastAsia"/>
                <w:sz w:val="24"/>
                <w:lang w:eastAsia="zh-CN"/>
              </w:rPr>
              <w:t>境和</w:t>
            </w:r>
            <w:r>
              <w:rPr>
                <w:rFonts w:hint="default"/>
                <w:sz w:val="24"/>
              </w:rPr>
              <w:t>小型野生动物的栖息环境，加上开采机械噪声及人员活动产生的影响，对周围动物的生活造成干扰，使它们的生活受到威胁而迁徙，远离开采地周围。在直接影响区，动物将不会出现。根据调查，大部分野生动物都是夜间出没，因此建设单位</w:t>
            </w:r>
            <w:r>
              <w:rPr>
                <w:rFonts w:hint="eastAsia"/>
                <w:sz w:val="24"/>
                <w:lang w:val="en-US" w:eastAsia="zh-CN"/>
              </w:rPr>
              <w:t>采取</w:t>
            </w:r>
            <w:r>
              <w:rPr>
                <w:rFonts w:hint="default"/>
                <w:sz w:val="24"/>
              </w:rPr>
              <w:t>加强开采管理，在开采过程中应尽量将开采作业安排在白天，避免夜间开采对野生动物的影响。加强开采员工对野生动物的保护意识，禁止捕捉野生动物，减少作业人员在矿区作业区以外活动区域，避免惊吓野生动物。且项目</w:t>
            </w:r>
            <w:r>
              <w:rPr>
                <w:rFonts w:hint="default"/>
                <w:sz w:val="24"/>
                <w:lang w:val="en-US" w:eastAsia="zh-CN"/>
              </w:rPr>
              <w:t>区附近有保护动物出没，但不涉及保护动物栖息地</w:t>
            </w:r>
            <w:r>
              <w:rPr>
                <w:rFonts w:hint="default"/>
                <w:sz w:val="24"/>
              </w:rPr>
              <w:t>，由于当地人为活动、车辆行驶频繁，这些动物已经对人为活动有一定的适应能力，因此，项目开采不会造成该区域某一物种消失，对这些动物的生存影响较小。</w:t>
            </w:r>
          </w:p>
          <w:p w14:paraId="39C0C41E">
            <w:pPr>
              <w:pStyle w:val="2"/>
              <w:keepLines w:val="0"/>
              <w:suppressLineNumbers w:val="0"/>
              <w:adjustRightInd w:val="0"/>
              <w:spacing w:before="0" w:beforeAutospacing="0" w:after="0" w:afterAutospacing="0" w:line="520" w:lineRule="exact"/>
              <w:ind w:left="0" w:right="0" w:firstLine="482" w:firstLineChars="200"/>
              <w:rPr>
                <w:rFonts w:hint="default" w:eastAsia="宋体"/>
                <w:sz w:val="24"/>
                <w:szCs w:val="24"/>
              </w:rPr>
            </w:pPr>
            <w:r>
              <w:rPr>
                <w:rFonts w:hint="default" w:eastAsia="宋体"/>
                <w:sz w:val="24"/>
                <w:szCs w:val="24"/>
              </w:rPr>
              <w:t>1.4对景观环境保护措施</w:t>
            </w:r>
          </w:p>
          <w:p w14:paraId="31E09D4A">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项目评价区范围内无自然风景区、名胜古迹、珍稀植物及古树名木特殊保护单位等敏感点。因此对于较大范围的生态景观，以及景区风貌来说，影响面很小。但</w:t>
            </w:r>
            <w:r>
              <w:rPr>
                <w:rFonts w:hint="eastAsia"/>
                <w:sz w:val="24"/>
                <w:lang w:val="en-US" w:eastAsia="zh-CN"/>
              </w:rPr>
              <w:t>水泥用石灰岩</w:t>
            </w:r>
            <w:r>
              <w:rPr>
                <w:rFonts w:hint="default"/>
                <w:sz w:val="24"/>
              </w:rPr>
              <w:t>矿的开采必会使当地的自然条件遭到破坏，直接影响原有景观。在雨天，随着砂石、泥土流失入山涧，也会造成视觉污染。</w:t>
            </w:r>
            <w:r>
              <w:rPr>
                <w:rFonts w:hint="eastAsia"/>
                <w:sz w:val="24"/>
                <w:lang w:val="en-US" w:eastAsia="zh-CN"/>
              </w:rPr>
              <w:t>采取边开采边土地复垦的方式</w:t>
            </w:r>
            <w:r>
              <w:rPr>
                <w:rFonts w:hint="default"/>
                <w:sz w:val="24"/>
              </w:rPr>
              <w:t>对采场进行复垦。总体而言对景观影响很小。项目已制定具体的复垦方案，预留了复垦保障资金，采取边开采边恢复开采迹地植被的方法，通过采取有计划、有步骤</w:t>
            </w:r>
            <w:r>
              <w:rPr>
                <w:rFonts w:hint="eastAsia"/>
                <w:sz w:val="24"/>
                <w:lang w:eastAsia="zh-CN"/>
              </w:rPr>
              <w:t>地</w:t>
            </w:r>
            <w:r>
              <w:rPr>
                <w:rFonts w:hint="default"/>
                <w:sz w:val="24"/>
              </w:rPr>
              <w:t>恢复植被措施，</w:t>
            </w:r>
            <w:r>
              <w:rPr>
                <w:rFonts w:hint="eastAsia"/>
                <w:sz w:val="24"/>
                <w:lang w:eastAsia="zh-CN"/>
              </w:rPr>
              <w:t>合理地</w:t>
            </w:r>
            <w:r>
              <w:rPr>
                <w:rFonts w:hint="default"/>
                <w:sz w:val="24"/>
              </w:rPr>
              <w:t>搭配不同种类的植物，进行恢复植被，对生态的影响可以得到减缓。</w:t>
            </w:r>
          </w:p>
          <w:p w14:paraId="68FE9D53">
            <w:pPr>
              <w:pStyle w:val="2"/>
              <w:keepLines w:val="0"/>
              <w:suppressLineNumbers w:val="0"/>
              <w:adjustRightInd w:val="0"/>
              <w:spacing w:before="0" w:beforeAutospacing="0" w:after="0" w:afterAutospacing="0" w:line="520" w:lineRule="exact"/>
              <w:ind w:left="0" w:right="0" w:firstLine="482" w:firstLineChars="200"/>
              <w:rPr>
                <w:rFonts w:hint="default" w:eastAsia="宋体"/>
                <w:sz w:val="24"/>
                <w:szCs w:val="24"/>
              </w:rPr>
            </w:pPr>
            <w:r>
              <w:rPr>
                <w:rFonts w:hint="default" w:eastAsia="宋体"/>
                <w:sz w:val="24"/>
                <w:szCs w:val="24"/>
              </w:rPr>
              <w:t>1.5水土流失保护措施</w:t>
            </w:r>
          </w:p>
          <w:p w14:paraId="22848354">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项目开采过程中由于原有的地表植被、土体的剥离和扰动，土壤可蚀性相应增加，抗侵蚀能力降低，易造成水土流失，破坏山地景观。土山开掘或地表剥离会破坏岩石应力平衡状态，在一定条件下有可能会引起滑坡和边坡失稳，造成严重的水土流失。因此，项目应采取有效的水土流失的防治措施</w:t>
            </w:r>
            <w:r>
              <w:rPr>
                <w:rFonts w:hint="eastAsia"/>
                <w:sz w:val="24"/>
              </w:rPr>
              <w:t>：</w:t>
            </w:r>
          </w:p>
          <w:p w14:paraId="79887016">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①当暴雨来临时应使用一些防护物遮盖已开采的裸露地表，如使用防雨布等进行覆盖，由于本项目呈中间高四周低的地形，因此同时在矿区底部四周修建排水沟，避免雨水径流，影响生态平衡。</w:t>
            </w:r>
          </w:p>
          <w:p w14:paraId="4C8A3B2C">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②</w:t>
            </w:r>
            <w:r>
              <w:rPr>
                <w:rFonts w:hint="eastAsia"/>
                <w:sz w:val="24"/>
                <w:lang w:val="en-US" w:eastAsia="zh-CN"/>
              </w:rPr>
              <w:t>排土</w:t>
            </w:r>
            <w:r>
              <w:rPr>
                <w:rFonts w:hint="default"/>
                <w:sz w:val="24"/>
              </w:rPr>
              <w:t>场用篷布覆盖，且堆场边缘用装土编织袋修筑临时挡墙防止废石堆场边坡的垮塌，以减少土壤随雨水流失，造成环境影响。同时要求项目边开采边复垦，减少废石的暂存。同时在废石堆场四周修建排水沟，减少水土流失。</w:t>
            </w:r>
          </w:p>
          <w:p w14:paraId="3F180715">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③对沟槽开挖形成的裸露边坡、平整形成的边坡和堆土采取薄膜覆盖。</w:t>
            </w:r>
          </w:p>
          <w:p w14:paraId="60EDDA6F">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④同时在开采过程中，采用合理的开采方式及开采时序，及时采取预防和保护措施，防止因人为损毁而导致的水土流失。另一方面，随着开采工作的推进，及时采取预防和治理措施，恢复植被，防止水土流失、土地沙化。经过采取措施后，能</w:t>
            </w:r>
            <w:r>
              <w:rPr>
                <w:rFonts w:hint="eastAsia"/>
                <w:sz w:val="24"/>
                <w:lang w:eastAsia="zh-CN"/>
              </w:rPr>
              <w:t>最大限度地减少</w:t>
            </w:r>
            <w:r>
              <w:rPr>
                <w:rFonts w:hint="default"/>
                <w:sz w:val="24"/>
              </w:rPr>
              <w:t>水土流失量，并</w:t>
            </w:r>
            <w:r>
              <w:rPr>
                <w:rFonts w:hint="eastAsia"/>
                <w:sz w:val="24"/>
                <w:lang w:eastAsia="zh-CN"/>
              </w:rPr>
              <w:t>尽可能地减少</w:t>
            </w:r>
            <w:r>
              <w:rPr>
                <w:rFonts w:hint="default"/>
                <w:sz w:val="24"/>
              </w:rPr>
              <w:t>原地貌的水土流失。</w:t>
            </w:r>
          </w:p>
          <w:p w14:paraId="3CF2D99D">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⑤在矿区开采前应首先划定开采边界，在划定的开采范围进行稳定边坡开采，但在开采过程中不可避免会形成陡坡，陡坡易造成小范围的坍塌和水土流失，建设单位应对开采区形成的陡坡采取削坡的工程措施，以形成稳定边坡，避免水土流失。对高边坡采用削坡处理，整个坡面削坡至坡底，对坡面表层进行平整。</w:t>
            </w:r>
          </w:p>
          <w:p w14:paraId="50B04D2F">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sz w:val="24"/>
              </w:rPr>
            </w:pPr>
            <w:r>
              <w:rPr>
                <w:rFonts w:hint="eastAsia"/>
                <w:b/>
                <w:bCs/>
                <w:sz w:val="24"/>
              </w:rPr>
              <w:t>1.6防沙治沙措施</w:t>
            </w:r>
          </w:p>
          <w:p w14:paraId="750A9E57">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废渣遇大风天气易产生严重的扬尘，形成沙尘天气。</w:t>
            </w:r>
            <w:r>
              <w:rPr>
                <w:rFonts w:hint="eastAsia"/>
                <w:sz w:val="24"/>
              </w:rPr>
              <w:t>开采</w:t>
            </w:r>
            <w:r>
              <w:rPr>
                <w:rFonts w:hint="default"/>
                <w:sz w:val="24"/>
              </w:rPr>
              <w:t>期间应划定施工活动范围，严格控制和管理运输车辆及重型机械的运行线路和范围，不得离开运输道路及随意行驶，由专人负责，以防破坏土壤和植被，加剧土地荒漠化。</w:t>
            </w:r>
          </w:p>
          <w:p w14:paraId="6FEDC042">
            <w:pPr>
              <w:keepNext w:val="0"/>
              <w:keepLines w:val="0"/>
              <w:suppressLineNumbers w:val="0"/>
              <w:adjustRightInd w:val="0"/>
              <w:snapToGrid w:val="0"/>
              <w:spacing w:before="0" w:beforeAutospacing="0" w:after="0" w:afterAutospacing="0" w:line="520" w:lineRule="exact"/>
              <w:ind w:left="0" w:right="0" w:firstLine="480" w:firstLineChars="200"/>
              <w:rPr>
                <w:rFonts w:hint="default"/>
                <w:b/>
                <w:bCs/>
                <w:sz w:val="24"/>
              </w:rPr>
            </w:pPr>
            <w:r>
              <w:rPr>
                <w:rFonts w:hint="default"/>
                <w:sz w:val="24"/>
              </w:rPr>
              <w:t>本项目防沙治沙措施实施后，可降低项目实施对区域沙化影响，总体影响较小。</w:t>
            </w:r>
          </w:p>
          <w:p w14:paraId="35676762">
            <w:pPr>
              <w:pStyle w:val="2"/>
              <w:keepLines w:val="0"/>
              <w:suppressLineNumbers w:val="0"/>
              <w:adjustRightInd w:val="0"/>
              <w:spacing w:before="0" w:beforeAutospacing="0" w:after="0" w:afterAutospacing="0" w:line="520" w:lineRule="exact"/>
              <w:ind w:right="0"/>
              <w:rPr>
                <w:rFonts w:hint="default" w:ascii="Times New Roman" w:hAnsi="Times New Roman"/>
                <w:spacing w:val="-6"/>
                <w:sz w:val="24"/>
              </w:rPr>
            </w:pPr>
            <w:r>
              <w:rPr>
                <w:rFonts w:hint="default" w:eastAsia="宋体"/>
                <w:sz w:val="24"/>
                <w:szCs w:val="24"/>
              </w:rPr>
              <w:t>2大</w:t>
            </w:r>
            <w:r>
              <w:rPr>
                <w:rFonts w:hint="default" w:eastAsia="宋体"/>
                <w:color w:val="auto"/>
                <w:sz w:val="24"/>
                <w:szCs w:val="24"/>
              </w:rPr>
              <w:t>气</w:t>
            </w:r>
            <w:r>
              <w:rPr>
                <w:rFonts w:hint="default" w:eastAsia="宋体"/>
                <w:sz w:val="24"/>
                <w:szCs w:val="24"/>
              </w:rPr>
              <w:t>环境保护措施</w:t>
            </w:r>
          </w:p>
          <w:p w14:paraId="64A7FEF1">
            <w:pPr>
              <w:pStyle w:val="49"/>
              <w:keepNext w:val="0"/>
              <w:keepLines w:val="0"/>
              <w:suppressLineNumbers w:val="0"/>
              <w:spacing w:before="0" w:beforeAutospacing="0" w:after="0" w:afterAutospacing="0" w:line="520" w:lineRule="exact"/>
              <w:ind w:left="0" w:right="0" w:firstLine="473"/>
              <w:rPr>
                <w:rFonts w:hint="default" w:ascii="Times New Roman" w:hAnsi="Times New Roman"/>
                <w:spacing w:val="-6"/>
                <w:sz w:val="24"/>
                <w:lang w:val="en-US" w:eastAsia="zh-CN"/>
              </w:rPr>
            </w:pPr>
            <w:r>
              <w:rPr>
                <w:rFonts w:hint="eastAsia" w:ascii="Times New Roman" w:hAnsi="Times New Roman"/>
                <w:spacing w:val="-6"/>
                <w:sz w:val="24"/>
                <w:lang w:val="en-US" w:eastAsia="zh-CN"/>
              </w:rPr>
              <w:t>（1）洒水抑尘</w:t>
            </w:r>
          </w:p>
          <w:p w14:paraId="4DF8B23B">
            <w:pPr>
              <w:pStyle w:val="49"/>
              <w:keepNext w:val="0"/>
              <w:keepLines w:val="0"/>
              <w:suppressLineNumbers w:val="0"/>
              <w:spacing w:before="0" w:beforeAutospacing="0" w:after="0" w:afterAutospacing="0" w:line="520" w:lineRule="exact"/>
              <w:ind w:left="0" w:right="0" w:firstLine="473"/>
              <w:rPr>
                <w:rFonts w:hint="eastAsia" w:ascii="Times New Roman" w:hAnsi="Times New Roman"/>
                <w:spacing w:val="-6"/>
                <w:sz w:val="24"/>
                <w:lang w:val="en-US" w:eastAsia="zh-CN"/>
              </w:rPr>
            </w:pPr>
            <w:r>
              <w:rPr>
                <w:rFonts w:hint="eastAsia" w:ascii="Times New Roman" w:hAnsi="Times New Roman"/>
                <w:spacing w:val="-6"/>
                <w:sz w:val="24"/>
                <w:lang w:val="en-US" w:eastAsia="zh-CN"/>
              </w:rPr>
              <w:t>1.实施范围</w:t>
            </w:r>
          </w:p>
          <w:p w14:paraId="5CECCC68">
            <w:pPr>
              <w:pStyle w:val="49"/>
              <w:keepNext w:val="0"/>
              <w:keepLines w:val="0"/>
              <w:suppressLineNumbers w:val="0"/>
              <w:spacing w:before="0" w:beforeAutospacing="0" w:after="0" w:afterAutospacing="0" w:line="520" w:lineRule="exact"/>
              <w:ind w:left="0" w:right="0" w:firstLine="473"/>
              <w:rPr>
                <w:rFonts w:hint="eastAsia" w:ascii="Times New Roman" w:hAnsi="Times New Roman"/>
                <w:spacing w:val="-6"/>
                <w:sz w:val="24"/>
                <w:lang w:val="en-US" w:eastAsia="zh-CN"/>
              </w:rPr>
            </w:pPr>
            <w:r>
              <w:rPr>
                <w:rFonts w:hint="eastAsia" w:ascii="Times New Roman" w:hAnsi="Times New Roman"/>
                <w:spacing w:val="-6"/>
                <w:sz w:val="24"/>
                <w:lang w:val="en-US" w:eastAsia="zh-CN"/>
              </w:rPr>
              <w:t>开采过程中对工作面采取水力喷雾降尘措施、对开采后液压破碎机破碎采取洒水降尘、矿山道</w:t>
            </w:r>
            <w:r>
              <w:rPr>
                <w:rFonts w:hint="eastAsia" w:ascii="Times New Roman" w:hAnsi="Times New Roman"/>
                <w:spacing w:val="-6"/>
                <w:sz w:val="24"/>
              </w:rPr>
              <w:t>路进行洒水抑尘</w:t>
            </w:r>
            <w:r>
              <w:rPr>
                <w:rFonts w:hint="eastAsia" w:ascii="Times New Roman" w:hAnsi="Times New Roman"/>
                <w:spacing w:val="-6"/>
                <w:sz w:val="24"/>
                <w:lang w:val="en-US" w:eastAsia="zh-CN"/>
              </w:rPr>
              <w:t>措施</w:t>
            </w:r>
            <w:r>
              <w:rPr>
                <w:rFonts w:hint="eastAsia" w:ascii="Times New Roman" w:hAnsi="Times New Roman"/>
                <w:spacing w:val="-6"/>
                <w:sz w:val="24"/>
                <w:lang w:eastAsia="zh-CN"/>
              </w:rPr>
              <w:t>、</w:t>
            </w:r>
            <w:r>
              <w:rPr>
                <w:rFonts w:hint="eastAsia" w:ascii="Times New Roman" w:hAnsi="Times New Roman"/>
                <w:spacing w:val="-6"/>
                <w:sz w:val="24"/>
                <w:lang w:val="en-US" w:eastAsia="zh-CN"/>
              </w:rPr>
              <w:t>排土场及临时堆料场中扬尘时进行洒水降尘措施。</w:t>
            </w:r>
          </w:p>
          <w:p w14:paraId="48C971BE">
            <w:pPr>
              <w:pStyle w:val="49"/>
              <w:keepNext w:val="0"/>
              <w:keepLines w:val="0"/>
              <w:numPr>
                <w:ilvl w:val="0"/>
                <w:numId w:val="0"/>
              </w:numPr>
              <w:suppressLineNumbers w:val="0"/>
              <w:spacing w:before="0" w:beforeAutospacing="0" w:after="0" w:afterAutospacing="0" w:line="520" w:lineRule="exact"/>
              <w:ind w:left="0" w:leftChars="0" w:right="0" w:rightChars="0" w:firstLine="473" w:firstLineChars="0"/>
              <w:rPr>
                <w:rFonts w:hint="eastAsia" w:ascii="Times New Roman" w:hAnsi="Times New Roman"/>
                <w:spacing w:val="-6"/>
                <w:sz w:val="24"/>
                <w:lang w:val="en-US" w:eastAsia="zh-CN"/>
              </w:rPr>
            </w:pPr>
            <w:r>
              <w:rPr>
                <w:rFonts w:hint="eastAsia" w:ascii="Times New Roman" w:hAnsi="Times New Roman" w:eastAsia="宋体" w:cs="宋体"/>
                <w:spacing w:val="-6"/>
                <w:kern w:val="2"/>
                <w:sz w:val="24"/>
                <w:szCs w:val="24"/>
                <w:lang w:val="en-US" w:eastAsia="zh-CN" w:bidi="ar-SA"/>
              </w:rPr>
              <w:t>2.</w:t>
            </w:r>
            <w:r>
              <w:rPr>
                <w:rFonts w:hint="eastAsia" w:ascii="Times New Roman" w:hAnsi="Times New Roman"/>
                <w:spacing w:val="-6"/>
                <w:sz w:val="24"/>
                <w:lang w:val="en-US" w:eastAsia="zh-CN"/>
              </w:rPr>
              <w:t>工程量及要求</w:t>
            </w:r>
          </w:p>
          <w:p w14:paraId="1CA8B79D">
            <w:pPr>
              <w:pStyle w:val="49"/>
              <w:keepNext w:val="0"/>
              <w:keepLines w:val="0"/>
              <w:numPr>
                <w:ilvl w:val="0"/>
                <w:numId w:val="0"/>
              </w:numPr>
              <w:suppressLineNumbers w:val="0"/>
              <w:spacing w:before="0" w:beforeAutospacing="0" w:after="0" w:afterAutospacing="0" w:line="520" w:lineRule="exact"/>
              <w:ind w:left="473" w:leftChars="0" w:right="0" w:rightChars="0"/>
              <w:rPr>
                <w:rFonts w:hint="default" w:ascii="Times New Roman" w:hAnsi="Times New Roman"/>
                <w:spacing w:val="-6"/>
                <w:sz w:val="24"/>
                <w:lang w:val="en-US" w:eastAsia="zh-CN"/>
              </w:rPr>
            </w:pPr>
            <w:r>
              <w:rPr>
                <w:rFonts w:hint="eastAsia" w:ascii="Times New Roman" w:hAnsi="Times New Roman"/>
                <w:spacing w:val="-6"/>
                <w:sz w:val="24"/>
                <w:lang w:val="en-US" w:eastAsia="zh-CN"/>
              </w:rPr>
              <w:t>洒水设备：配置1台洒水车；</w:t>
            </w:r>
          </w:p>
          <w:p w14:paraId="43E95B48">
            <w:pPr>
              <w:pStyle w:val="49"/>
              <w:keepNext w:val="0"/>
              <w:keepLines w:val="0"/>
              <w:suppressLineNumbers w:val="0"/>
              <w:spacing w:before="0" w:beforeAutospacing="0" w:after="0" w:afterAutospacing="0" w:line="520" w:lineRule="exact"/>
              <w:ind w:left="0" w:right="0" w:firstLine="473"/>
              <w:rPr>
                <w:rFonts w:hint="eastAsia" w:ascii="Times New Roman" w:hAnsi="Times New Roman"/>
                <w:spacing w:val="-6"/>
                <w:sz w:val="24"/>
              </w:rPr>
            </w:pPr>
            <w:r>
              <w:rPr>
                <w:rFonts w:hint="eastAsia" w:ascii="Times New Roman" w:hAnsi="Times New Roman"/>
                <w:spacing w:val="-6"/>
                <w:sz w:val="24"/>
                <w:lang w:val="en-US" w:eastAsia="zh-CN"/>
              </w:rPr>
              <w:t>用水量：本项目每日洒水抑尘用水量为10立方米</w:t>
            </w:r>
            <w:r>
              <w:rPr>
                <w:rFonts w:hint="eastAsia" w:ascii="Times New Roman" w:hAnsi="Times New Roman"/>
                <w:spacing w:val="-6"/>
                <w:sz w:val="24"/>
              </w:rPr>
              <w:t>。</w:t>
            </w:r>
          </w:p>
          <w:p w14:paraId="2CE6429E">
            <w:pPr>
              <w:pStyle w:val="49"/>
              <w:keepNext w:val="0"/>
              <w:keepLines w:val="0"/>
              <w:numPr>
                <w:ilvl w:val="0"/>
                <w:numId w:val="0"/>
              </w:numPr>
              <w:suppressLineNumbers w:val="0"/>
              <w:spacing w:before="0" w:beforeAutospacing="0" w:after="0" w:afterAutospacing="0" w:line="520" w:lineRule="exact"/>
              <w:ind w:left="0" w:leftChars="0" w:right="0" w:rightChars="0" w:firstLine="456" w:firstLineChars="200"/>
              <w:rPr>
                <w:rFonts w:hint="eastAsia" w:ascii="Times New Roman" w:hAnsi="Times New Roman"/>
                <w:spacing w:val="-6"/>
                <w:sz w:val="24"/>
                <w:lang w:val="en-US" w:eastAsia="zh-CN"/>
              </w:rPr>
            </w:pPr>
            <w:r>
              <w:rPr>
                <w:rFonts w:hint="eastAsia" w:ascii="Times New Roman" w:hAnsi="Times New Roman" w:eastAsia="宋体" w:cs="宋体"/>
                <w:spacing w:val="-6"/>
                <w:kern w:val="2"/>
                <w:sz w:val="24"/>
                <w:szCs w:val="24"/>
                <w:lang w:val="en-US" w:eastAsia="zh-CN" w:bidi="ar-SA"/>
              </w:rPr>
              <w:t>（2）</w:t>
            </w:r>
            <w:r>
              <w:rPr>
                <w:rFonts w:hint="eastAsia" w:ascii="Times New Roman" w:hAnsi="Times New Roman"/>
                <w:spacing w:val="-6"/>
                <w:sz w:val="24"/>
                <w:lang w:val="en-US" w:eastAsia="zh-CN"/>
              </w:rPr>
              <w:t>防风抑尘网（墙）苫盖及围挡</w:t>
            </w:r>
          </w:p>
          <w:p w14:paraId="36E390D3">
            <w:pPr>
              <w:pStyle w:val="49"/>
              <w:keepNext w:val="0"/>
              <w:keepLines w:val="0"/>
              <w:numPr>
                <w:ilvl w:val="0"/>
                <w:numId w:val="0"/>
              </w:numPr>
              <w:suppressLineNumbers w:val="0"/>
              <w:spacing w:before="0" w:beforeAutospacing="0" w:after="0" w:afterAutospacing="0" w:line="520" w:lineRule="exact"/>
              <w:ind w:left="420" w:leftChars="200" w:right="0" w:rightChars="0"/>
              <w:rPr>
                <w:rFonts w:hint="eastAsia" w:ascii="Times New Roman" w:hAnsi="Times New Roman"/>
                <w:spacing w:val="-6"/>
                <w:sz w:val="24"/>
                <w:lang w:val="en-US" w:eastAsia="zh-CN"/>
              </w:rPr>
            </w:pPr>
            <w:r>
              <w:rPr>
                <w:rFonts w:hint="eastAsia" w:ascii="Times New Roman" w:hAnsi="Times New Roman"/>
                <w:spacing w:val="-6"/>
                <w:sz w:val="24"/>
                <w:lang w:val="en-US" w:eastAsia="zh-CN"/>
              </w:rPr>
              <w:t>1.实施位置：</w:t>
            </w:r>
          </w:p>
          <w:p w14:paraId="7A2E3B33">
            <w:pPr>
              <w:pStyle w:val="49"/>
              <w:keepNext w:val="0"/>
              <w:keepLines w:val="0"/>
              <w:suppressLineNumbers w:val="0"/>
              <w:spacing w:before="0" w:beforeAutospacing="0" w:after="0" w:afterAutospacing="0" w:line="520" w:lineRule="exact"/>
              <w:ind w:left="0" w:right="0" w:firstLine="473"/>
              <w:rPr>
                <w:rFonts w:hint="default" w:ascii="Times New Roman" w:hAnsi="Times New Roman" w:eastAsia="宋体"/>
                <w:spacing w:val="-6"/>
                <w:sz w:val="24"/>
                <w:lang w:val="en-US" w:eastAsia="zh-CN"/>
              </w:rPr>
            </w:pPr>
            <w:r>
              <w:rPr>
                <w:rFonts w:hint="eastAsia" w:ascii="Times New Roman" w:hAnsi="Times New Roman" w:eastAsia="宋体"/>
                <w:spacing w:val="-6"/>
                <w:sz w:val="24"/>
                <w:lang w:val="en-US" w:eastAsia="zh-CN"/>
              </w:rPr>
              <w:t>排土场：为</w:t>
            </w:r>
            <w:r>
              <w:rPr>
                <w:rFonts w:hint="eastAsia" w:ascii="Times New Roman" w:hAnsi="Times New Roman" w:eastAsia="宋体" w:cs="微软雅黑"/>
                <w:spacing w:val="-6"/>
                <w:sz w:val="24"/>
                <w:lang w:val="en-US" w:eastAsia="zh-CN"/>
              </w:rPr>
              <w:t>Ⅱ</w:t>
            </w:r>
            <w:r>
              <w:rPr>
                <w:rFonts w:hint="eastAsia" w:ascii="Times New Roman" w:hAnsi="Times New Roman" w:eastAsia="宋体"/>
                <w:spacing w:val="-6"/>
                <w:sz w:val="24"/>
                <w:lang w:val="en-US" w:eastAsia="zh-CN"/>
              </w:rPr>
              <w:t>类料堆场，</w:t>
            </w:r>
            <w:r>
              <w:rPr>
                <w:rFonts w:hint="eastAsia" w:ascii="Times New Roman" w:hAnsi="Times New Roman"/>
                <w:spacing w:val="-6"/>
                <w:sz w:val="24"/>
                <w:lang w:val="en-US" w:eastAsia="zh-CN"/>
              </w:rPr>
              <w:t>位于</w:t>
            </w:r>
            <w:r>
              <w:rPr>
                <w:rFonts w:hint="eastAsia" w:ascii="Times New Roman" w:hAnsi="Times New Roman" w:eastAsia="宋体"/>
                <w:spacing w:val="-6"/>
                <w:sz w:val="24"/>
                <w:lang w:val="en-US" w:eastAsia="zh-CN"/>
              </w:rPr>
              <w:t>矿区西南部100m处，面积为</w:t>
            </w:r>
            <w:r>
              <w:rPr>
                <w:rFonts w:hint="eastAsia" w:ascii="Times New Roman" w:hAnsi="Times New Roman"/>
                <w:spacing w:val="-6"/>
                <w:sz w:val="24"/>
                <w:lang w:val="en-US" w:eastAsia="zh-CN"/>
              </w:rPr>
              <w:t>0.3419</w:t>
            </w:r>
            <w:r>
              <w:rPr>
                <w:rFonts w:hint="eastAsia" w:ascii="Times New Roman" w:hAnsi="Times New Roman" w:eastAsia="宋体"/>
                <w:spacing w:val="-6"/>
                <w:sz w:val="24"/>
                <w:lang w:val="en-US" w:eastAsia="zh-CN"/>
              </w:rPr>
              <w:t>公顷；</w:t>
            </w:r>
          </w:p>
          <w:p w14:paraId="4F4102DA">
            <w:pPr>
              <w:pStyle w:val="49"/>
              <w:keepNext w:val="0"/>
              <w:keepLines w:val="0"/>
              <w:suppressLineNumbers w:val="0"/>
              <w:spacing w:before="0" w:beforeAutospacing="0" w:after="0" w:afterAutospacing="0" w:line="520" w:lineRule="exact"/>
              <w:ind w:left="0" w:right="0" w:firstLine="473"/>
              <w:rPr>
                <w:rFonts w:hint="eastAsia" w:ascii="Times New Roman" w:hAnsi="Times New Roman" w:eastAsia="宋体"/>
                <w:spacing w:val="-6"/>
                <w:sz w:val="24"/>
                <w:lang w:val="en-US" w:eastAsia="zh-CN"/>
              </w:rPr>
            </w:pPr>
            <w:r>
              <w:rPr>
                <w:rFonts w:hint="eastAsia" w:ascii="Times New Roman" w:hAnsi="Times New Roman" w:eastAsia="宋体"/>
                <w:spacing w:val="-6"/>
                <w:sz w:val="24"/>
                <w:lang w:val="en-US" w:eastAsia="zh-CN"/>
              </w:rPr>
              <w:t>临时堆料场：为</w:t>
            </w:r>
            <w:r>
              <w:rPr>
                <w:rFonts w:hint="eastAsia" w:ascii="Times New Roman" w:hAnsi="Times New Roman" w:eastAsia="宋体" w:cs="微软雅黑"/>
                <w:spacing w:val="-6"/>
                <w:sz w:val="24"/>
                <w:lang w:val="en-US" w:eastAsia="zh-CN"/>
              </w:rPr>
              <w:t>Ⅱ</w:t>
            </w:r>
            <w:r>
              <w:rPr>
                <w:rFonts w:hint="eastAsia" w:ascii="Times New Roman" w:hAnsi="Times New Roman" w:eastAsia="宋体"/>
                <w:spacing w:val="-6"/>
                <w:sz w:val="24"/>
                <w:lang w:val="en-US" w:eastAsia="zh-CN"/>
              </w:rPr>
              <w:t>类料堆场，位于生活区东侧80m处，破碎筛分场地旁边，面积为0.7公顷；</w:t>
            </w:r>
          </w:p>
          <w:p w14:paraId="4458E0AE">
            <w:pPr>
              <w:pStyle w:val="49"/>
              <w:keepNext w:val="0"/>
              <w:keepLines w:val="0"/>
              <w:suppressLineNumbers w:val="0"/>
              <w:spacing w:before="0" w:beforeAutospacing="0" w:after="0" w:afterAutospacing="0" w:line="520" w:lineRule="exact"/>
              <w:ind w:left="0" w:right="0" w:firstLine="473"/>
              <w:rPr>
                <w:rFonts w:hint="default" w:ascii="Times New Roman" w:hAnsi="Times New Roman" w:eastAsia="宋体"/>
                <w:spacing w:val="-6"/>
                <w:sz w:val="24"/>
                <w:lang w:val="en-US" w:eastAsia="zh-CN"/>
              </w:rPr>
            </w:pPr>
            <w:r>
              <w:rPr>
                <w:rFonts w:hint="eastAsia" w:ascii="Times New Roman" w:hAnsi="Times New Roman" w:eastAsia="宋体"/>
                <w:spacing w:val="-6"/>
                <w:sz w:val="24"/>
                <w:lang w:val="en-US" w:eastAsia="zh-CN"/>
              </w:rPr>
              <w:t>上料口。</w:t>
            </w:r>
          </w:p>
          <w:p w14:paraId="0F5ECD75">
            <w:pPr>
              <w:pStyle w:val="49"/>
              <w:keepNext w:val="0"/>
              <w:keepLines w:val="0"/>
              <w:numPr>
                <w:ilvl w:val="0"/>
                <w:numId w:val="9"/>
              </w:numPr>
              <w:suppressLineNumbers w:val="0"/>
              <w:tabs>
                <w:tab w:val="clear" w:pos="312"/>
              </w:tabs>
              <w:spacing w:before="0" w:beforeAutospacing="0" w:after="0" w:afterAutospacing="0" w:line="520" w:lineRule="exact"/>
              <w:ind w:left="0" w:leftChars="0" w:right="0" w:rightChars="0" w:firstLine="473" w:firstLineChars="0"/>
              <w:rPr>
                <w:rFonts w:hint="eastAsia" w:ascii="Times New Roman" w:hAnsi="Times New Roman"/>
                <w:spacing w:val="-6"/>
                <w:sz w:val="24"/>
                <w:lang w:val="en-US" w:eastAsia="zh-CN"/>
              </w:rPr>
            </w:pPr>
            <w:r>
              <w:rPr>
                <w:rFonts w:hint="eastAsia" w:ascii="Times New Roman" w:hAnsi="Times New Roman"/>
                <w:spacing w:val="-6"/>
                <w:sz w:val="24"/>
                <w:lang w:val="en-US" w:eastAsia="zh-CN"/>
              </w:rPr>
              <w:t>工程量及要求：</w:t>
            </w:r>
          </w:p>
          <w:p w14:paraId="26DB3302">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56" w:firstLineChars="200"/>
              <w:textAlignment w:val="auto"/>
              <w:rPr>
                <w:rFonts w:hint="default" w:ascii="Times New Roman" w:hAnsi="Times New Roman"/>
                <w:spacing w:val="-6"/>
                <w:sz w:val="24"/>
                <w:lang w:val="en-US" w:eastAsia="zh-CN"/>
              </w:rPr>
            </w:pPr>
            <w:r>
              <w:rPr>
                <w:rFonts w:hint="eastAsia" w:ascii="Times New Roman" w:hAnsi="Times New Roman"/>
                <w:spacing w:val="-6"/>
                <w:sz w:val="24"/>
                <w:lang w:val="en-US" w:eastAsia="zh-CN"/>
              </w:rPr>
              <w:t>防风抑尘网（墙）规格：材料一般选用有机非金属复合材料板或金属板，开孔率为30%～50%。挡风板的形状一般为蝶形，其夹角可选择30°或45°；</w:t>
            </w:r>
          </w:p>
          <w:p w14:paraId="65E9C530">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56" w:firstLineChars="200"/>
              <w:textAlignment w:val="auto"/>
              <w:rPr>
                <w:rFonts w:hint="default" w:ascii="Times New Roman" w:hAnsi="Times New Roman"/>
                <w:spacing w:val="-6"/>
                <w:sz w:val="24"/>
                <w:lang w:val="en-US" w:eastAsia="zh-CN"/>
              </w:rPr>
            </w:pPr>
            <w:r>
              <w:rPr>
                <w:rFonts w:hint="eastAsia" w:ascii="Times New Roman" w:hAnsi="Times New Roman"/>
                <w:spacing w:val="-6"/>
                <w:sz w:val="24"/>
                <w:lang w:val="en-US" w:eastAsia="zh-CN"/>
              </w:rPr>
              <w:t>工程量：排土场、临时堆料场采取防风抑尘网（墙）措施；</w:t>
            </w:r>
            <w:r>
              <w:rPr>
                <w:rFonts w:hint="eastAsia" w:ascii="Times New Roman" w:hAnsi="Times New Roman" w:eastAsia="宋体"/>
                <w:spacing w:val="-6"/>
                <w:sz w:val="24"/>
                <w:lang w:val="en-US" w:eastAsia="zh-CN"/>
              </w:rPr>
              <w:t>上料口采取</w:t>
            </w:r>
            <w:r>
              <w:rPr>
                <w:rFonts w:hint="eastAsia"/>
                <w:sz w:val="24"/>
                <w:lang w:eastAsia="zh-CN"/>
              </w:rPr>
              <w:t>三面围挡</w:t>
            </w:r>
            <w:r>
              <w:rPr>
                <w:rFonts w:hint="eastAsia"/>
                <w:sz w:val="24"/>
                <w:lang w:val="en-US" w:eastAsia="zh-CN"/>
              </w:rPr>
              <w:t>措施。</w:t>
            </w:r>
          </w:p>
          <w:p w14:paraId="0B6C04A3">
            <w:pPr>
              <w:pStyle w:val="49"/>
              <w:keepNext w:val="0"/>
              <w:keepLines w:val="0"/>
              <w:suppressLineNumbers w:val="0"/>
              <w:spacing w:before="0" w:beforeAutospacing="0" w:after="0" w:afterAutospacing="0" w:line="520" w:lineRule="exact"/>
              <w:ind w:left="0" w:right="0" w:firstLine="473"/>
              <w:rPr>
                <w:rFonts w:hint="default" w:ascii="Times New Roman" w:hAnsi="Times New Roman" w:eastAsia="宋体"/>
                <w:spacing w:val="-6"/>
                <w:sz w:val="24"/>
                <w:lang w:val="en-US" w:eastAsia="zh-CN"/>
              </w:rPr>
            </w:pPr>
            <w:r>
              <w:rPr>
                <w:rFonts w:hint="eastAsia" w:ascii="Times New Roman" w:hAnsi="Times New Roman"/>
                <w:spacing w:val="-6"/>
                <w:sz w:val="24"/>
                <w:lang w:eastAsia="zh-CN"/>
              </w:rPr>
              <w:t>（</w:t>
            </w:r>
            <w:r>
              <w:rPr>
                <w:rFonts w:hint="eastAsia" w:ascii="Times New Roman" w:hAnsi="Times New Roman"/>
                <w:spacing w:val="-6"/>
                <w:sz w:val="24"/>
                <w:lang w:val="en-US" w:eastAsia="zh-CN"/>
              </w:rPr>
              <w:t>3</w:t>
            </w:r>
            <w:r>
              <w:rPr>
                <w:rFonts w:hint="eastAsia" w:ascii="Times New Roman" w:hAnsi="Times New Roman"/>
                <w:spacing w:val="-6"/>
                <w:sz w:val="24"/>
                <w:lang w:eastAsia="zh-CN"/>
              </w:rPr>
              <w:t>）</w:t>
            </w:r>
            <w:r>
              <w:rPr>
                <w:rFonts w:hint="eastAsia" w:ascii="Times New Roman" w:hAnsi="Times New Roman"/>
                <w:spacing w:val="-6"/>
                <w:sz w:val="24"/>
                <w:lang w:val="en-US" w:eastAsia="zh-CN"/>
              </w:rPr>
              <w:t>袋式除尘器</w:t>
            </w:r>
          </w:p>
          <w:p w14:paraId="59176E1D">
            <w:pPr>
              <w:pStyle w:val="49"/>
              <w:keepNext w:val="0"/>
              <w:keepLines w:val="0"/>
              <w:suppressLineNumbers w:val="0"/>
              <w:spacing w:before="0" w:beforeAutospacing="0" w:after="0" w:afterAutospacing="0" w:line="520" w:lineRule="exact"/>
              <w:ind w:left="0" w:right="0" w:firstLine="473"/>
              <w:rPr>
                <w:rFonts w:hint="default" w:ascii="Times New Roman" w:hAnsi="Times New Roman"/>
                <w:spacing w:val="-6"/>
                <w:sz w:val="24"/>
              </w:rPr>
            </w:pPr>
            <w:r>
              <w:rPr>
                <w:rFonts w:hint="eastAsia" w:ascii="Times New Roman" w:hAnsi="Times New Roman"/>
                <w:spacing w:val="-6"/>
                <w:sz w:val="24"/>
                <w:lang w:val="en-US" w:eastAsia="zh-CN"/>
              </w:rPr>
              <w:t>1.实施位置：</w:t>
            </w:r>
            <w:r>
              <w:rPr>
                <w:rFonts w:hint="default" w:ascii="Times New Roman" w:hAnsi="Times New Roman"/>
                <w:spacing w:val="-6"/>
                <w:sz w:val="24"/>
                <w:lang w:val="en-US" w:eastAsia="zh-CN"/>
              </w:rPr>
              <w:t>破碎、筛分工序</w:t>
            </w:r>
            <w:r>
              <w:rPr>
                <w:rFonts w:hint="eastAsia" w:ascii="Times New Roman" w:hAnsi="Times New Roman"/>
                <w:spacing w:val="-6"/>
                <w:sz w:val="24"/>
                <w:lang w:val="en-US" w:eastAsia="zh-CN"/>
              </w:rPr>
              <w:t>；</w:t>
            </w:r>
          </w:p>
          <w:p w14:paraId="1EB4D89B">
            <w:pPr>
              <w:pStyle w:val="49"/>
              <w:keepNext w:val="0"/>
              <w:keepLines w:val="0"/>
              <w:numPr>
                <w:ilvl w:val="0"/>
                <w:numId w:val="10"/>
              </w:numPr>
              <w:suppressLineNumbers w:val="0"/>
              <w:tabs>
                <w:tab w:val="clear" w:pos="312"/>
              </w:tabs>
              <w:spacing w:before="0" w:beforeAutospacing="0" w:after="0" w:afterAutospacing="0" w:line="520" w:lineRule="exact"/>
              <w:ind w:left="0" w:leftChars="0" w:right="0" w:rightChars="0" w:firstLine="473" w:firstLineChars="0"/>
              <w:rPr>
                <w:rFonts w:hint="default" w:ascii="Times New Roman" w:hAnsi="Times New Roman"/>
                <w:spacing w:val="-6"/>
                <w:sz w:val="24"/>
              </w:rPr>
            </w:pPr>
            <w:r>
              <w:rPr>
                <w:rFonts w:hint="eastAsia" w:ascii="Times New Roman" w:hAnsi="Times New Roman"/>
                <w:spacing w:val="-6"/>
                <w:sz w:val="24"/>
                <w:lang w:val="en-US" w:eastAsia="zh-CN"/>
              </w:rPr>
              <w:t>工程量及要求：</w:t>
            </w:r>
            <w:r>
              <w:rPr>
                <w:rFonts w:hint="default" w:ascii="Times New Roman" w:hAnsi="Times New Roman"/>
                <w:spacing w:val="-6"/>
                <w:sz w:val="24"/>
                <w:lang w:val="en-US" w:eastAsia="zh-CN"/>
              </w:rPr>
              <w:t>破碎、筛分工序产生废气</w:t>
            </w:r>
            <w:r>
              <w:rPr>
                <w:rFonts w:hint="eastAsia" w:ascii="Times New Roman" w:hAnsi="Times New Roman"/>
                <w:spacing w:val="-6"/>
                <w:sz w:val="24"/>
                <w:lang w:val="en-US" w:eastAsia="zh-CN"/>
              </w:rPr>
              <w:t>由集气罩收集后</w:t>
            </w:r>
            <w:r>
              <w:rPr>
                <w:rFonts w:hint="default" w:ascii="Times New Roman" w:hAnsi="Times New Roman"/>
                <w:spacing w:val="-6"/>
                <w:sz w:val="24"/>
                <w:lang w:val="en-US" w:eastAsia="zh-CN"/>
              </w:rPr>
              <w:t>使用袋式除尘器除尘处理</w:t>
            </w:r>
            <w:r>
              <w:rPr>
                <w:rFonts w:hint="eastAsia" w:ascii="Times New Roman" w:hAnsi="Times New Roman"/>
                <w:spacing w:val="-6"/>
                <w:sz w:val="24"/>
                <w:lang w:val="en-US" w:eastAsia="zh-CN"/>
              </w:rPr>
              <w:t>，</w:t>
            </w:r>
            <w:r>
              <w:rPr>
                <w:rFonts w:hint="default" w:ascii="Times New Roman" w:hAnsi="Times New Roman"/>
                <w:spacing w:val="-6"/>
                <w:sz w:val="24"/>
                <w:lang w:val="en-US" w:eastAsia="zh-CN"/>
              </w:rPr>
              <w:t>处理</w:t>
            </w:r>
            <w:r>
              <w:rPr>
                <w:rFonts w:hint="eastAsia" w:ascii="Times New Roman" w:hAnsi="Times New Roman"/>
                <w:spacing w:val="-6"/>
                <w:sz w:val="24"/>
                <w:lang w:val="en-US" w:eastAsia="zh-CN"/>
              </w:rPr>
              <w:t>后经过15m</w:t>
            </w:r>
            <w:r>
              <w:rPr>
                <w:rFonts w:hint="default" w:ascii="Times New Roman" w:hAnsi="Times New Roman"/>
                <w:spacing w:val="-6"/>
                <w:sz w:val="24"/>
                <w:lang w:val="en-US" w:eastAsia="zh-CN"/>
              </w:rPr>
              <w:t>排气筒</w:t>
            </w:r>
            <w:r>
              <w:rPr>
                <w:rFonts w:hint="eastAsia" w:ascii="Times New Roman" w:hAnsi="Times New Roman"/>
                <w:spacing w:val="-6"/>
                <w:sz w:val="24"/>
                <w:lang w:val="en-US" w:eastAsia="zh-CN"/>
              </w:rPr>
              <w:t>（</w:t>
            </w:r>
            <w:r>
              <w:rPr>
                <w:rFonts w:hint="default" w:ascii="Times New Roman" w:hAnsi="Times New Roman"/>
                <w:spacing w:val="-6"/>
                <w:sz w:val="24"/>
                <w:lang w:val="en-US" w:eastAsia="zh-CN"/>
              </w:rPr>
              <w:t>DA001</w:t>
            </w:r>
            <w:r>
              <w:rPr>
                <w:rFonts w:hint="eastAsia" w:ascii="Times New Roman" w:hAnsi="Times New Roman"/>
                <w:spacing w:val="-6"/>
                <w:sz w:val="24"/>
                <w:lang w:val="en-US" w:eastAsia="zh-CN"/>
              </w:rPr>
              <w:t>）</w:t>
            </w:r>
            <w:r>
              <w:rPr>
                <w:rFonts w:hint="default" w:ascii="Times New Roman" w:hAnsi="Times New Roman"/>
                <w:spacing w:val="-6"/>
                <w:sz w:val="24"/>
                <w:lang w:val="en-US" w:eastAsia="zh-CN"/>
              </w:rPr>
              <w:t>排放</w:t>
            </w:r>
            <w:r>
              <w:rPr>
                <w:rFonts w:hint="eastAsia" w:ascii="Times New Roman" w:hAnsi="Times New Roman"/>
                <w:spacing w:val="-6"/>
                <w:sz w:val="24"/>
                <w:lang w:val="en-US" w:eastAsia="zh-CN"/>
              </w:rPr>
              <w:t>。</w:t>
            </w:r>
          </w:p>
          <w:p w14:paraId="18C3203C">
            <w:pPr>
              <w:pStyle w:val="2"/>
              <w:keepLines w:val="0"/>
              <w:suppressLineNumbers w:val="0"/>
              <w:adjustRightInd w:val="0"/>
              <w:spacing w:before="0" w:beforeAutospacing="0" w:after="0" w:afterAutospacing="0" w:line="520" w:lineRule="exact"/>
              <w:ind w:right="0"/>
              <w:rPr>
                <w:rFonts w:hint="default" w:eastAsia="宋体"/>
                <w:color w:val="auto"/>
                <w:sz w:val="24"/>
                <w:szCs w:val="24"/>
              </w:rPr>
            </w:pPr>
            <w:r>
              <w:rPr>
                <w:rFonts w:hint="default" w:eastAsia="宋体"/>
                <w:sz w:val="24"/>
                <w:szCs w:val="24"/>
              </w:rPr>
              <w:t>3</w:t>
            </w:r>
            <w:r>
              <w:rPr>
                <w:rFonts w:hint="eastAsia" w:eastAsia="宋体"/>
                <w:sz w:val="24"/>
                <w:szCs w:val="24"/>
              </w:rPr>
              <w:t>地表水、地下水环境</w:t>
            </w:r>
            <w:r>
              <w:rPr>
                <w:rFonts w:hint="default" w:eastAsia="宋体"/>
                <w:sz w:val="24"/>
                <w:szCs w:val="24"/>
              </w:rPr>
              <w:t>保护措施</w:t>
            </w:r>
          </w:p>
          <w:p w14:paraId="58D68FCC">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sz w:val="24"/>
              </w:rPr>
            </w:pPr>
            <w:r>
              <w:rPr>
                <w:rFonts w:hint="eastAsia"/>
                <w:b/>
                <w:bCs/>
                <w:sz w:val="24"/>
              </w:rPr>
              <w:t>3.1污染治理措施</w:t>
            </w:r>
          </w:p>
          <w:p w14:paraId="66744826">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b/>
                <w:sz w:val="24"/>
              </w:rPr>
            </w:pPr>
            <w:r>
              <w:rPr>
                <w:rFonts w:hint="eastAsia"/>
                <w:bCs/>
                <w:sz w:val="24"/>
              </w:rPr>
              <w:t>（1）生活污水</w:t>
            </w:r>
          </w:p>
          <w:p w14:paraId="1632E030">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生活污水排入防渗化粪池预处理后定期拉运处理</w:t>
            </w:r>
            <w:r>
              <w:rPr>
                <w:rFonts w:hint="default"/>
                <w:color w:val="000000" w:themeColor="text1"/>
                <w:sz w:val="24"/>
                <w14:textFill>
                  <w14:solidFill>
                    <w14:schemeClr w14:val="tx1"/>
                  </w14:solidFill>
                </w14:textFill>
              </w:rPr>
              <w:t>，处理后的污水满足</w:t>
            </w:r>
            <w:r>
              <w:rPr>
                <w:rFonts w:hint="eastAsia"/>
                <w:color w:val="000000" w:themeColor="text1"/>
                <w:sz w:val="24"/>
                <w14:textFill>
                  <w14:solidFill>
                    <w14:schemeClr w14:val="tx1"/>
                  </w14:solidFill>
                </w14:textFill>
              </w:rPr>
              <w:t>《污水综合排放标准》（GB8978-1996）中的</w:t>
            </w:r>
            <w:r>
              <w:rPr>
                <w:rFonts w:hint="eastAsia"/>
                <w:color w:val="000000" w:themeColor="text1"/>
                <w:sz w:val="24"/>
                <w:lang w:val="en-US" w:eastAsia="zh-CN"/>
                <w14:textFill>
                  <w14:solidFill>
                    <w14:schemeClr w14:val="tx1"/>
                  </w14:solidFill>
                </w14:textFill>
              </w:rPr>
              <w:t>三</w:t>
            </w:r>
            <w:r>
              <w:rPr>
                <w:rFonts w:hint="eastAsia"/>
                <w:color w:val="000000" w:themeColor="text1"/>
                <w:sz w:val="24"/>
                <w14:textFill>
                  <w14:solidFill>
                    <w14:schemeClr w14:val="tx1"/>
                  </w14:solidFill>
                </w14:textFill>
              </w:rPr>
              <w:t>级标准</w:t>
            </w:r>
            <w:r>
              <w:rPr>
                <w:rFonts w:hint="default"/>
                <w:color w:val="000000" w:themeColor="text1"/>
                <w:sz w:val="24"/>
                <w14:textFill>
                  <w14:solidFill>
                    <w14:schemeClr w14:val="tx1"/>
                  </w14:solidFill>
                </w14:textFill>
              </w:rPr>
              <w:t>。</w:t>
            </w:r>
          </w:p>
          <w:p w14:paraId="644A5A5B">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bCs/>
                <w:sz w:val="24"/>
              </w:rPr>
            </w:pPr>
            <w:r>
              <w:rPr>
                <w:rFonts w:hint="eastAsia"/>
                <w:bCs/>
                <w:sz w:val="24"/>
              </w:rPr>
              <w:t>（2）</w:t>
            </w:r>
            <w:r>
              <w:rPr>
                <w:rFonts w:hint="default"/>
                <w:bCs/>
                <w:sz w:val="24"/>
              </w:rPr>
              <w:t>生产废水</w:t>
            </w:r>
          </w:p>
          <w:p w14:paraId="0A207D40">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sz w:val="24"/>
              </w:rPr>
            </w:pPr>
            <w:r>
              <w:rPr>
                <w:rFonts w:hint="default"/>
                <w:bCs/>
                <w:sz w:val="24"/>
              </w:rPr>
              <w:t>本项目生产废水主要喷雾降尘废水、洒水降尘废水</w:t>
            </w:r>
            <w:r>
              <w:rPr>
                <w:rFonts w:hint="eastAsia"/>
                <w:bCs/>
                <w:sz w:val="24"/>
              </w:rPr>
              <w:t>。</w:t>
            </w:r>
            <w:r>
              <w:rPr>
                <w:rFonts w:hint="default"/>
                <w:bCs/>
                <w:sz w:val="24"/>
              </w:rPr>
              <w:t>喷雾降尘产生废水自然蒸发，不外排。矿区露天采场、场内</w:t>
            </w:r>
            <w:r>
              <w:rPr>
                <w:rFonts w:hint="eastAsia"/>
                <w:bCs/>
                <w:sz w:val="24"/>
              </w:rPr>
              <w:t>抑尘用水</w:t>
            </w:r>
            <w:r>
              <w:rPr>
                <w:rFonts w:hint="default"/>
                <w:bCs/>
                <w:sz w:val="24"/>
              </w:rPr>
              <w:t>自然蒸发，不外排。</w:t>
            </w:r>
          </w:p>
          <w:p w14:paraId="750D7003">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本项目采取以上措施后，无废水外排，对周围水环境影响很小。</w:t>
            </w:r>
          </w:p>
          <w:p w14:paraId="689F47B8">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sz w:val="24"/>
              </w:rPr>
            </w:pPr>
            <w:r>
              <w:rPr>
                <w:rFonts w:hint="eastAsia"/>
                <w:b/>
                <w:bCs/>
                <w:sz w:val="24"/>
              </w:rPr>
              <w:t>3.2污染防护设施</w:t>
            </w:r>
          </w:p>
          <w:p w14:paraId="6DB207A3">
            <w:pPr>
              <w:keepNext w:val="0"/>
              <w:keepLines w:val="0"/>
              <w:widowControl/>
              <w:suppressLineNumbers w:val="0"/>
              <w:adjustRightInd w:val="0"/>
              <w:snapToGrid w:val="0"/>
              <w:spacing w:before="0" w:beforeAutospacing="0" w:after="0" w:afterAutospacing="0" w:line="520" w:lineRule="exact"/>
              <w:ind w:left="0" w:right="0" w:firstLine="480" w:firstLineChars="200"/>
              <w:rPr>
                <w:rFonts w:hint="default"/>
                <w:sz w:val="24"/>
              </w:rPr>
            </w:pPr>
            <w:r>
              <w:rPr>
                <w:rFonts w:hint="eastAsia"/>
                <w:sz w:val="24"/>
              </w:rPr>
              <w:t>为确保</w:t>
            </w:r>
            <w:r>
              <w:rPr>
                <w:rFonts w:hint="default"/>
                <w:sz w:val="24"/>
              </w:rPr>
              <w:t>不会对区域地下水造成污染</w:t>
            </w:r>
            <w:r>
              <w:rPr>
                <w:rFonts w:hint="eastAsia"/>
                <w:sz w:val="24"/>
              </w:rPr>
              <w:t>，设计对沉淀池进行防渗处理，设计</w:t>
            </w:r>
            <w:r>
              <w:rPr>
                <w:rFonts w:hint="default"/>
                <w:sz w:val="24"/>
              </w:rPr>
              <w:t>等效黏土防渗层Mb≥1.5m</w:t>
            </w:r>
            <w:r>
              <w:rPr>
                <w:rFonts w:hint="eastAsia"/>
                <w:sz w:val="24"/>
              </w:rPr>
              <w:t>或使用防渗混凝土浇筑地面及池壁。</w:t>
            </w:r>
          </w:p>
          <w:p w14:paraId="06961C58">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本次评价认为，在建设单位严格落实本报告提出的各项环保措施和对策的前提下，本项目建设可行。</w:t>
            </w:r>
          </w:p>
          <w:p w14:paraId="2C26107E">
            <w:pPr>
              <w:pStyle w:val="2"/>
              <w:keepLines w:val="0"/>
              <w:suppressLineNumbers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4声环境保护措施</w:t>
            </w:r>
          </w:p>
          <w:p w14:paraId="49F03C77">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经</w:t>
            </w:r>
            <w:r>
              <w:rPr>
                <w:rFonts w:hint="eastAsia"/>
                <w:sz w:val="24"/>
              </w:rPr>
              <w:t>现场勘查</w:t>
            </w:r>
            <w:r>
              <w:rPr>
                <w:rFonts w:hint="default"/>
                <w:sz w:val="24"/>
              </w:rPr>
              <w:t>，项目区周围</w:t>
            </w:r>
            <w:r>
              <w:rPr>
                <w:rFonts w:hint="eastAsia"/>
                <w:sz w:val="24"/>
              </w:rPr>
              <w:t>5</w:t>
            </w:r>
            <w:r>
              <w:rPr>
                <w:rFonts w:hint="default"/>
                <w:sz w:val="24"/>
              </w:rPr>
              <w:t>0m范围内</w:t>
            </w:r>
            <w:r>
              <w:rPr>
                <w:rFonts w:hint="eastAsia"/>
                <w:sz w:val="24"/>
              </w:rPr>
              <w:t>无居民区等声环境</w:t>
            </w:r>
            <w:r>
              <w:rPr>
                <w:rFonts w:hint="default"/>
                <w:sz w:val="24"/>
              </w:rPr>
              <w:t>敏感点，本项目受噪声影响的主要为项目区内生产工人。为了减少机械噪声对厂界噪声的贡献值，以及减小噪声对矿区生产工人的影响，本环评提出以下防治措施：</w:t>
            </w:r>
          </w:p>
          <w:p w14:paraId="595B815D">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（1）合理安排生产时间，避开职工午休时间，避免夜间生产。</w:t>
            </w:r>
          </w:p>
          <w:p w14:paraId="2917BDFE">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（2）加强项目区内机械设备的日常保养与维护，闲置设备应立即关闭。按章操作减少碰撞噪声。</w:t>
            </w:r>
          </w:p>
          <w:p w14:paraId="53D81F62">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（3）对于设备振动噪声影响较为显著的设备应加装减震垫，定期维修设备，使其处于良好运行状态。</w:t>
            </w:r>
          </w:p>
          <w:p w14:paraId="3AB6B783">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（4）噪声对于矿区生产工人影响很大，因此，</w:t>
            </w:r>
            <w:r>
              <w:rPr>
                <w:rFonts w:hint="eastAsia"/>
                <w:sz w:val="24"/>
              </w:rPr>
              <w:t>需</w:t>
            </w:r>
            <w:r>
              <w:rPr>
                <w:rFonts w:hint="default"/>
                <w:sz w:val="24"/>
              </w:rPr>
              <w:t>加强对工人的劳动保护工作，减少工人连续工作时间，给工人</w:t>
            </w:r>
            <w:r>
              <w:rPr>
                <w:rFonts w:hint="eastAsia"/>
                <w:sz w:val="24"/>
              </w:rPr>
              <w:t>配备</w:t>
            </w:r>
            <w:r>
              <w:rPr>
                <w:rFonts w:hint="default"/>
                <w:sz w:val="24"/>
              </w:rPr>
              <w:t>随身的防噪设备，如耳塞、耳罩等。</w:t>
            </w:r>
          </w:p>
          <w:p w14:paraId="7234F8D0">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此外，对于进出矿区的成品运输车辆引起的噪声，应通过限速、禁止鸣笛等措施来降低其影响。</w:t>
            </w:r>
          </w:p>
          <w:p w14:paraId="7784D215">
            <w:pPr>
              <w:pStyle w:val="2"/>
              <w:keepLines w:val="0"/>
              <w:suppressLineNumbers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5固体废弃物环境保护措施</w:t>
            </w:r>
          </w:p>
          <w:p w14:paraId="65C5B15F">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本项目产生的固体废弃物主要</w:t>
            </w:r>
            <w:r>
              <w:rPr>
                <w:rFonts w:hint="default"/>
                <w:bCs/>
                <w:sz w:val="24"/>
              </w:rPr>
              <w:t>为开采过程产生的废石</w:t>
            </w:r>
            <w:r>
              <w:rPr>
                <w:rFonts w:hint="eastAsia"/>
                <w:bCs/>
                <w:sz w:val="24"/>
                <w:lang w:eastAsia="zh-CN"/>
              </w:rPr>
              <w:t>、</w:t>
            </w:r>
            <w:r>
              <w:rPr>
                <w:rFonts w:hint="eastAsia"/>
                <w:bCs/>
                <w:sz w:val="24"/>
                <w:lang w:val="en-US" w:eastAsia="zh-CN"/>
              </w:rPr>
              <w:t>剥离的表土</w:t>
            </w:r>
            <w:r>
              <w:rPr>
                <w:rFonts w:hint="default"/>
                <w:sz w:val="24"/>
              </w:rPr>
              <w:t>及员工日常生活产生的生活垃圾。</w:t>
            </w:r>
          </w:p>
          <w:p w14:paraId="28A69D21">
            <w:pPr>
              <w:keepNext w:val="0"/>
              <w:keepLines w:val="0"/>
              <w:suppressLineNumbers w:val="0"/>
              <w:adjustRightInd w:val="0"/>
              <w:snapToGrid w:val="0"/>
              <w:spacing w:before="0" w:beforeAutospacing="0" w:after="0" w:afterAutospacing="0" w:line="520" w:lineRule="exact"/>
              <w:ind w:left="0" w:right="0" w:firstLine="482" w:firstLineChars="200"/>
              <w:jc w:val="left"/>
              <w:rPr>
                <w:rFonts w:hint="default" w:eastAsia="宋体"/>
                <w:b/>
                <w:bCs/>
                <w:color w:val="000000"/>
                <w:sz w:val="24"/>
                <w:lang w:val="en-US" w:eastAsia="zh-CN"/>
              </w:rPr>
            </w:pPr>
            <w:r>
              <w:rPr>
                <w:rFonts w:hint="default"/>
                <w:b/>
                <w:bCs/>
                <w:color w:val="000000"/>
                <w:sz w:val="24"/>
              </w:rPr>
              <w:t>5.</w:t>
            </w:r>
            <w:r>
              <w:rPr>
                <w:rFonts w:hint="eastAsia"/>
                <w:b/>
                <w:bCs/>
                <w:color w:val="000000"/>
                <w:sz w:val="24"/>
                <w:lang w:val="en-US" w:eastAsia="zh-CN"/>
              </w:rPr>
              <w:t>1</w:t>
            </w:r>
            <w:r>
              <w:rPr>
                <w:rFonts w:hint="default"/>
                <w:b/>
                <w:bCs/>
                <w:color w:val="000000"/>
                <w:sz w:val="24"/>
              </w:rPr>
              <w:t>开采废石、</w:t>
            </w:r>
            <w:r>
              <w:rPr>
                <w:rFonts w:hint="eastAsia"/>
                <w:b/>
                <w:bCs/>
                <w:color w:val="000000"/>
                <w:sz w:val="24"/>
              </w:rPr>
              <w:t>剥离物</w:t>
            </w:r>
            <w:r>
              <w:rPr>
                <w:rFonts w:hint="eastAsia"/>
                <w:b/>
                <w:bCs/>
                <w:color w:val="000000"/>
                <w:sz w:val="24"/>
                <w:lang w:eastAsia="zh-CN"/>
              </w:rPr>
              <w:t>、</w:t>
            </w:r>
            <w:r>
              <w:rPr>
                <w:rFonts w:hint="eastAsia"/>
                <w:b/>
                <w:bCs/>
                <w:color w:val="000000"/>
                <w:sz w:val="24"/>
                <w:lang w:val="en-US" w:eastAsia="zh-CN"/>
              </w:rPr>
              <w:t>生活垃圾</w:t>
            </w:r>
          </w:p>
          <w:p w14:paraId="5BEEFD05">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sz w:val="24"/>
                <w:lang w:val="en-US" w:eastAsia="zh-CN"/>
              </w:rPr>
            </w:pPr>
            <w:r>
              <w:rPr>
                <w:rFonts w:hint="eastAsia"/>
                <w:color w:val="000000"/>
                <w:sz w:val="24"/>
                <w:lang w:val="en-US" w:eastAsia="zh-CN"/>
              </w:rPr>
              <w:t>本项目</w:t>
            </w:r>
            <w:r>
              <w:rPr>
                <w:rFonts w:hint="default"/>
                <w:color w:val="000000"/>
                <w:sz w:val="24"/>
              </w:rPr>
              <w:t>开采过程中产生的</w:t>
            </w:r>
            <w:r>
              <w:rPr>
                <w:rFonts w:hint="eastAsia"/>
                <w:color w:val="000000"/>
                <w:sz w:val="24"/>
                <w:lang w:val="en-US" w:eastAsia="zh-CN"/>
              </w:rPr>
              <w:t>废</w:t>
            </w:r>
            <w:r>
              <w:rPr>
                <w:rFonts w:hint="default"/>
                <w:color w:val="000000"/>
                <w:sz w:val="24"/>
              </w:rPr>
              <w:t>石</w:t>
            </w:r>
            <w:r>
              <w:rPr>
                <w:rFonts w:hint="eastAsia"/>
                <w:color w:val="000000"/>
                <w:sz w:val="24"/>
                <w:lang w:val="en-US" w:eastAsia="zh-CN"/>
              </w:rPr>
              <w:t>约为75.92万吨（28.43万立方米），平均年产生废石3.84万吨（1.44万立方米）；矿山道路、生活区、排土场、临时堆料场与破碎筛分场地，在基建前对地表表土进行剥离</w:t>
            </w:r>
            <w:r>
              <w:rPr>
                <w:rFonts w:hint="default"/>
                <w:color w:val="000000"/>
                <w:sz w:val="24"/>
              </w:rPr>
              <w:t>，剥离平均厚度0.</w:t>
            </w:r>
            <w:r>
              <w:rPr>
                <w:rFonts w:hint="default"/>
                <w:color w:val="000000"/>
                <w:sz w:val="24"/>
                <w:lang w:val="en-US" w:eastAsia="zh-CN"/>
              </w:rPr>
              <w:t>3</w:t>
            </w:r>
            <w:r>
              <w:rPr>
                <w:rFonts w:hint="default"/>
                <w:color w:val="000000"/>
                <w:sz w:val="24"/>
              </w:rPr>
              <w:t>米</w:t>
            </w:r>
            <w:r>
              <w:rPr>
                <w:rFonts w:hint="eastAsia"/>
                <w:color w:val="000000"/>
                <w:sz w:val="24"/>
                <w:lang w:eastAsia="zh-CN"/>
              </w:rPr>
              <w:t>，</w:t>
            </w:r>
            <w:r>
              <w:rPr>
                <w:rFonts w:hint="eastAsia"/>
                <w:color w:val="000000"/>
                <w:sz w:val="24"/>
                <w:lang w:val="en-US" w:eastAsia="zh-CN"/>
              </w:rPr>
              <w:t>产生剥离表土量约为5300立方米，废石及剥离表土暂时堆存于排土场内，</w:t>
            </w:r>
            <w:r>
              <w:rPr>
                <w:rFonts w:hint="default"/>
                <w:color w:val="000000"/>
                <w:sz w:val="24"/>
              </w:rPr>
              <w:t>用于</w:t>
            </w:r>
            <w:r>
              <w:rPr>
                <w:rFonts w:hint="eastAsia"/>
                <w:color w:val="000000"/>
                <w:sz w:val="24"/>
              </w:rPr>
              <w:t>矿</w:t>
            </w:r>
            <w:r>
              <w:rPr>
                <w:rFonts w:hint="eastAsia"/>
                <w:color w:val="000000"/>
                <w:sz w:val="24"/>
                <w:lang w:val="en-US" w:eastAsia="zh-CN"/>
              </w:rPr>
              <w:t>区</w:t>
            </w:r>
            <w:r>
              <w:rPr>
                <w:rFonts w:hint="default"/>
                <w:color w:val="000000"/>
                <w:sz w:val="24"/>
              </w:rPr>
              <w:t>回填</w:t>
            </w:r>
            <w:r>
              <w:rPr>
                <w:rFonts w:hint="eastAsia"/>
                <w:color w:val="000000"/>
                <w:sz w:val="24"/>
                <w:lang w:val="en-US" w:eastAsia="zh-CN"/>
              </w:rPr>
              <w:t>复垦；生活垃圾年产生量为12.3t/a，生活垃圾统一收集后交由当地环卫部门统一处理。</w:t>
            </w:r>
          </w:p>
          <w:p w14:paraId="0C45FE80">
            <w:pPr>
              <w:keepNext w:val="0"/>
              <w:keepLines w:val="0"/>
              <w:suppressLineNumbers w:val="0"/>
              <w:adjustRightInd w:val="0"/>
              <w:snapToGrid w:val="0"/>
              <w:spacing w:before="0" w:beforeAutospacing="0" w:after="0" w:afterAutospacing="0" w:line="520" w:lineRule="exact"/>
              <w:ind w:left="0" w:right="0" w:firstLine="482" w:firstLineChars="200"/>
              <w:jc w:val="left"/>
              <w:rPr>
                <w:rFonts w:hint="default"/>
                <w:b/>
                <w:bCs/>
                <w:color w:val="000000"/>
                <w:sz w:val="24"/>
              </w:rPr>
            </w:pPr>
            <w:r>
              <w:rPr>
                <w:rFonts w:hint="default"/>
                <w:b/>
                <w:bCs/>
                <w:color w:val="000000"/>
                <w:sz w:val="24"/>
              </w:rPr>
              <w:t>5.</w:t>
            </w:r>
            <w:r>
              <w:rPr>
                <w:rFonts w:hint="eastAsia"/>
                <w:b/>
                <w:bCs/>
                <w:color w:val="000000"/>
                <w:sz w:val="24"/>
                <w:lang w:val="en-US" w:eastAsia="zh-CN"/>
              </w:rPr>
              <w:t>1</w:t>
            </w:r>
            <w:r>
              <w:rPr>
                <w:rFonts w:hint="default"/>
                <w:b/>
                <w:bCs/>
                <w:color w:val="000000"/>
                <w:sz w:val="24"/>
              </w:rPr>
              <w:t>.1</w:t>
            </w:r>
            <w:r>
              <w:rPr>
                <w:rFonts w:hint="eastAsia"/>
                <w:b/>
                <w:bCs/>
                <w:color w:val="000000"/>
                <w:sz w:val="24"/>
                <w:lang w:val="en-US" w:eastAsia="zh-CN"/>
              </w:rPr>
              <w:t>排土</w:t>
            </w:r>
            <w:r>
              <w:rPr>
                <w:rFonts w:hint="default"/>
                <w:b/>
                <w:bCs/>
                <w:color w:val="000000"/>
                <w:sz w:val="24"/>
              </w:rPr>
              <w:t>场设置要求及建设内容</w:t>
            </w:r>
          </w:p>
          <w:p w14:paraId="35B4242E">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sz w:val="24"/>
              </w:rPr>
            </w:pPr>
            <w:r>
              <w:rPr>
                <w:rFonts w:hint="default"/>
                <w:color w:val="000000"/>
                <w:sz w:val="24"/>
              </w:rPr>
              <w:t>根据《</w:t>
            </w:r>
            <w:r>
              <w:rPr>
                <w:rFonts w:hint="eastAsia"/>
                <w:color w:val="000000"/>
                <w:sz w:val="24"/>
                <w:lang w:val="en-US" w:eastAsia="zh-CN"/>
              </w:rPr>
              <w:t>巴州泽丰矿业有限责任公司新疆和静夏翁沟口水泥用石灰岩</w:t>
            </w:r>
            <w:r>
              <w:rPr>
                <w:rFonts w:hint="eastAsia"/>
                <w:color w:val="000000"/>
                <w:sz w:val="24"/>
              </w:rPr>
              <w:t>矿矿产资源开发利用与生态保护修复方案</w:t>
            </w:r>
            <w:r>
              <w:rPr>
                <w:rFonts w:hint="default"/>
                <w:color w:val="000000"/>
                <w:sz w:val="24"/>
              </w:rPr>
              <w:t>》，该项目年</w:t>
            </w:r>
            <w:r>
              <w:rPr>
                <w:rFonts w:hint="eastAsia"/>
                <w:color w:val="000000"/>
                <w:sz w:val="24"/>
                <w:lang w:val="en-US" w:eastAsia="zh-CN"/>
              </w:rPr>
              <w:t>均</w:t>
            </w:r>
            <w:r>
              <w:rPr>
                <w:rFonts w:hint="default"/>
                <w:color w:val="000000"/>
                <w:sz w:val="24"/>
              </w:rPr>
              <w:t>累计产生废</w:t>
            </w:r>
            <w:r>
              <w:rPr>
                <w:rFonts w:hint="eastAsia"/>
                <w:color w:val="000000"/>
                <w:sz w:val="24"/>
                <w:lang w:val="en-US" w:eastAsia="zh-CN"/>
              </w:rPr>
              <w:t>石</w:t>
            </w:r>
            <w:r>
              <w:rPr>
                <w:rFonts w:hint="eastAsia"/>
                <w:color w:val="000000"/>
                <w:sz w:val="24"/>
              </w:rPr>
              <w:t>、剥离物约</w:t>
            </w:r>
            <w:r>
              <w:rPr>
                <w:rFonts w:hint="eastAsia"/>
                <w:color w:val="000000"/>
                <w:sz w:val="24"/>
                <w:lang w:val="en-US" w:eastAsia="zh-CN"/>
              </w:rPr>
              <w:t>1.44</w:t>
            </w:r>
            <w:r>
              <w:rPr>
                <w:rFonts w:hint="default"/>
                <w:color w:val="000000"/>
                <w:sz w:val="24"/>
              </w:rPr>
              <w:t>万立方米，运距</w:t>
            </w:r>
            <w:r>
              <w:rPr>
                <w:rFonts w:hint="eastAsia"/>
                <w:color w:val="000000"/>
                <w:sz w:val="24"/>
              </w:rPr>
              <w:t>约</w:t>
            </w:r>
            <w:r>
              <w:rPr>
                <w:rFonts w:hint="eastAsia"/>
                <w:color w:val="000000"/>
                <w:sz w:val="24"/>
                <w:lang w:val="en-US" w:eastAsia="zh-CN"/>
              </w:rPr>
              <w:t>1.2km</w:t>
            </w:r>
            <w:r>
              <w:rPr>
                <w:rFonts w:hint="default"/>
                <w:color w:val="000000"/>
                <w:sz w:val="24"/>
              </w:rPr>
              <w:t>，布置在规划露天采矿场外</w:t>
            </w:r>
            <w:r>
              <w:rPr>
                <w:rFonts w:hint="eastAsia"/>
                <w:color w:val="000000"/>
                <w:sz w:val="24"/>
                <w:lang w:val="en-US" w:eastAsia="zh-CN"/>
              </w:rPr>
              <w:t>西南</w:t>
            </w:r>
            <w:r>
              <w:rPr>
                <w:rFonts w:hint="eastAsia"/>
                <w:color w:val="000000"/>
                <w:sz w:val="24"/>
              </w:rPr>
              <w:t>侧</w:t>
            </w:r>
            <w:r>
              <w:rPr>
                <w:rFonts w:hint="default"/>
                <w:color w:val="000000"/>
                <w:sz w:val="24"/>
              </w:rPr>
              <w:t>距离100米宽缓平坦处，地势较平缓，地形坡度约</w:t>
            </w:r>
            <w:r>
              <w:rPr>
                <w:rFonts w:hint="eastAsia"/>
                <w:color w:val="000000"/>
                <w:sz w:val="24"/>
                <w:lang w:val="en-US" w:eastAsia="zh-CN"/>
              </w:rPr>
              <w:t>7</w:t>
            </w:r>
            <w:r>
              <w:rPr>
                <w:rFonts w:hint="default"/>
                <w:color w:val="000000"/>
                <w:sz w:val="24"/>
              </w:rPr>
              <w:t>～</w:t>
            </w:r>
            <w:r>
              <w:rPr>
                <w:rFonts w:hint="eastAsia"/>
                <w:color w:val="000000"/>
                <w:sz w:val="24"/>
                <w:lang w:val="en-US" w:eastAsia="zh-CN"/>
              </w:rPr>
              <w:t>9</w:t>
            </w:r>
            <w:r>
              <w:rPr>
                <w:rFonts w:hint="default"/>
                <w:color w:val="000000"/>
                <w:sz w:val="24"/>
              </w:rPr>
              <w:t>°，占地面积约</w:t>
            </w:r>
            <w:r>
              <w:rPr>
                <w:rFonts w:hint="eastAsia"/>
                <w:color w:val="000000"/>
                <w:sz w:val="24"/>
                <w:lang w:val="en-US" w:eastAsia="zh-CN"/>
              </w:rPr>
              <w:t>0.3419hm</w:t>
            </w:r>
            <w:r>
              <w:rPr>
                <w:rFonts w:hint="eastAsia"/>
                <w:color w:val="000000"/>
                <w:sz w:val="24"/>
                <w:vertAlign w:val="superscript"/>
                <w:lang w:val="en-US" w:eastAsia="zh-CN"/>
              </w:rPr>
              <w:t>2</w:t>
            </w:r>
            <w:r>
              <w:rPr>
                <w:rFonts w:hint="default"/>
                <w:color w:val="000000"/>
                <w:sz w:val="24"/>
              </w:rPr>
              <w:t>；</w:t>
            </w:r>
            <w:r>
              <w:rPr>
                <w:rFonts w:hint="eastAsia"/>
                <w:color w:val="000000"/>
                <w:sz w:val="24"/>
                <w:lang w:eastAsia="zh-CN"/>
              </w:rPr>
              <w:t>排土场</w:t>
            </w:r>
            <w:r>
              <w:rPr>
                <w:rFonts w:hint="default"/>
                <w:color w:val="000000"/>
                <w:sz w:val="24"/>
              </w:rPr>
              <w:t>设计最大堆放高度约</w:t>
            </w:r>
            <w:r>
              <w:rPr>
                <w:rFonts w:hint="eastAsia"/>
                <w:color w:val="000000"/>
                <w:sz w:val="24"/>
                <w:lang w:val="en-US" w:eastAsia="zh-CN"/>
              </w:rPr>
              <w:t>25</w:t>
            </w:r>
            <w:r>
              <w:rPr>
                <w:rFonts w:hint="default"/>
                <w:color w:val="000000"/>
                <w:sz w:val="24"/>
              </w:rPr>
              <w:t>米，堆置边坡角不大于</w:t>
            </w:r>
            <w:r>
              <w:rPr>
                <w:rFonts w:hint="eastAsia"/>
                <w:color w:val="000000"/>
                <w:sz w:val="24"/>
                <w:lang w:val="en-US" w:eastAsia="zh-CN"/>
              </w:rPr>
              <w:t>35</w:t>
            </w:r>
            <w:r>
              <w:rPr>
                <w:rFonts w:hint="default"/>
                <w:color w:val="000000"/>
                <w:sz w:val="24"/>
              </w:rPr>
              <w:t>°。</w:t>
            </w:r>
            <w:r>
              <w:rPr>
                <w:rFonts w:hint="eastAsia"/>
                <w:sz w:val="24"/>
              </w:rPr>
              <w:t>可利用的</w:t>
            </w:r>
            <w:r>
              <w:rPr>
                <w:rFonts w:hint="eastAsia"/>
                <w:sz w:val="24"/>
                <w:lang w:val="en-US" w:eastAsia="zh-CN"/>
              </w:rPr>
              <w:t>废土、</w:t>
            </w:r>
            <w:r>
              <w:rPr>
                <w:rFonts w:hint="eastAsia"/>
                <w:sz w:val="24"/>
              </w:rPr>
              <w:t>废石堆放在</w:t>
            </w:r>
            <w:r>
              <w:rPr>
                <w:rFonts w:hint="eastAsia"/>
                <w:sz w:val="24"/>
                <w:lang w:eastAsia="zh-CN"/>
              </w:rPr>
              <w:t>排土场</w:t>
            </w:r>
            <w:r>
              <w:rPr>
                <w:rFonts w:hint="eastAsia"/>
                <w:sz w:val="24"/>
              </w:rPr>
              <w:t>，矿山闭坑后，</w:t>
            </w:r>
            <w:r>
              <w:rPr>
                <w:rFonts w:hint="eastAsia"/>
                <w:sz w:val="24"/>
                <w:lang w:val="en-US" w:eastAsia="zh-CN"/>
              </w:rPr>
              <w:t>将排土场的所有废石与表土进行回填</w:t>
            </w:r>
            <w:r>
              <w:rPr>
                <w:rFonts w:hint="eastAsia"/>
                <w:sz w:val="24"/>
              </w:rPr>
              <w:t>露天采场</w:t>
            </w:r>
            <w:r>
              <w:rPr>
                <w:rFonts w:hint="eastAsia"/>
                <w:sz w:val="24"/>
                <w:lang w:eastAsia="zh-CN"/>
              </w:rPr>
              <w:t>，</w:t>
            </w:r>
            <w:r>
              <w:rPr>
                <w:rFonts w:hint="eastAsia"/>
                <w:sz w:val="24"/>
                <w:lang w:val="en-US" w:eastAsia="zh-CN"/>
              </w:rPr>
              <w:t>最后对排土场进行平整</w:t>
            </w:r>
            <w:r>
              <w:rPr>
                <w:rFonts w:hint="eastAsia"/>
                <w:sz w:val="24"/>
              </w:rPr>
              <w:t>。</w:t>
            </w:r>
          </w:p>
          <w:p w14:paraId="4D935BDA">
            <w:pPr>
              <w:keepNext w:val="0"/>
              <w:keepLines w:val="0"/>
              <w:suppressLineNumbers w:val="0"/>
              <w:adjustRightInd w:val="0"/>
              <w:snapToGrid w:val="0"/>
              <w:spacing w:before="0" w:beforeAutospacing="0" w:after="0" w:afterAutospacing="0" w:line="520" w:lineRule="exact"/>
              <w:ind w:left="0" w:right="0" w:firstLine="480" w:firstLineChars="200"/>
              <w:jc w:val="left"/>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废石堆场的设置按《</w:t>
            </w:r>
            <w:r>
              <w:rPr>
                <w:rFonts w:hint="eastAsia" w:ascii="Times New Roman" w:hAnsi="Times New Roman" w:eastAsia="宋体" w:cs="Times New Roman"/>
                <w:color w:val="000000"/>
                <w:sz w:val="24"/>
                <w:lang w:val="en-US" w:eastAsia="zh-CN"/>
              </w:rPr>
              <w:fldChar w:fldCharType="begin"/>
            </w:r>
            <w:r>
              <w:rPr>
                <w:rFonts w:hint="eastAsia" w:ascii="Times New Roman" w:hAnsi="Times New Roman" w:eastAsia="宋体" w:cs="Times New Roman"/>
                <w:color w:val="000000"/>
                <w:sz w:val="24"/>
                <w:lang w:val="en-US" w:eastAsia="zh-CN"/>
              </w:rPr>
              <w:instrText xml:space="preserve"> HYPERLINK "http://www.mee.gov.cn/ywgz/fgbz/bz/bzwb/gthw/gtfwwrkzbz/202012/t20201218_813927.shtml" </w:instrText>
            </w:r>
            <w:r>
              <w:rPr>
                <w:rFonts w:hint="eastAsia" w:ascii="Times New Roman" w:hAnsi="Times New Roman" w:eastAsia="宋体" w:cs="Times New Roman"/>
                <w:color w:val="000000"/>
                <w:sz w:val="24"/>
                <w:lang w:val="en-US" w:eastAsia="zh-CN"/>
              </w:rPr>
              <w:fldChar w:fldCharType="separate"/>
            </w:r>
            <w:r>
              <w:rPr>
                <w:rFonts w:hint="eastAsia" w:ascii="Times New Roman" w:hAnsi="Times New Roman" w:eastAsia="宋体" w:cs="Times New Roman"/>
                <w:color w:val="000000"/>
                <w:sz w:val="24"/>
                <w:lang w:val="en-US" w:eastAsia="zh-CN"/>
              </w:rPr>
              <w:t>一般工业固体废物贮存和填埋污染控制标准</w:t>
            </w:r>
            <w:r>
              <w:rPr>
                <w:rFonts w:hint="eastAsia" w:ascii="Times New Roman" w:hAnsi="Times New Roman" w:eastAsia="宋体" w:cs="Times New Roman"/>
                <w:color w:val="000000"/>
                <w:sz w:val="24"/>
                <w:lang w:val="en-US" w:eastAsia="zh-CN"/>
              </w:rPr>
              <w:fldChar w:fldCharType="end"/>
            </w:r>
            <w:r>
              <w:rPr>
                <w:rFonts w:hint="eastAsia" w:ascii="Times New Roman" w:hAnsi="Times New Roman" w:eastAsia="宋体" w:cs="Times New Roman"/>
                <w:color w:val="000000"/>
                <w:sz w:val="24"/>
                <w:lang w:val="en-US" w:eastAsia="zh-CN"/>
              </w:rPr>
              <w:t>》（GB18599—2020）要求建设，矿区废石堆场集中设置、避免同一矿区设置多处</w:t>
            </w:r>
            <w:r>
              <w:rPr>
                <w:rFonts w:hint="eastAsia" w:cs="Times New Roman"/>
                <w:color w:val="000000"/>
                <w:sz w:val="24"/>
                <w:lang w:val="en-US" w:eastAsia="zh-CN"/>
              </w:rPr>
              <w:t>排土场</w:t>
            </w:r>
            <w:r>
              <w:rPr>
                <w:rFonts w:hint="eastAsia" w:ascii="Times New Roman" w:hAnsi="Times New Roman" w:eastAsia="宋体" w:cs="Times New Roman"/>
                <w:color w:val="000000"/>
                <w:sz w:val="24"/>
                <w:lang w:val="en-US" w:eastAsia="zh-CN"/>
              </w:rPr>
              <w:t>。为避免堆场地质灾害，必须重视堆场工程的规范建设，既满足废石堆放要求，确保矿山正常生产，同时防止崩塌灾害发生，对堆场采取以下相应的措施：</w:t>
            </w:r>
          </w:p>
          <w:p w14:paraId="09E92FEF">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sz w:val="24"/>
                <w:lang w:val="zh-CN"/>
              </w:rPr>
            </w:pPr>
            <w:r>
              <w:rPr>
                <w:rFonts w:hint="default"/>
                <w:color w:val="000000"/>
                <w:sz w:val="24"/>
              </w:rPr>
              <w:t xml:space="preserve">①废石堆场与矿山运输道路间应设置安全防护距离，并做好废石堆场临道路段的挡墙防护，避免废石土崩塌占压道路，影响通行和交通安全。 </w:t>
            </w:r>
          </w:p>
          <w:p w14:paraId="2E009C1F">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sz w:val="24"/>
              </w:rPr>
            </w:pPr>
            <w:r>
              <w:rPr>
                <w:rFonts w:hint="default"/>
                <w:color w:val="000000"/>
                <w:sz w:val="24"/>
              </w:rPr>
              <w:t xml:space="preserve">②废石堆场应形成平台、边坡相间的规则地形。应尽量平坦宽阔，禁止形成局部凸起或凹陷。废石按设计合理堆放，确保堆体安全稳定。 </w:t>
            </w:r>
          </w:p>
          <w:p w14:paraId="6AA6972B">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sz w:val="24"/>
              </w:rPr>
            </w:pPr>
            <w:r>
              <w:rPr>
                <w:rFonts w:hint="default"/>
                <w:color w:val="000000"/>
                <w:sz w:val="24"/>
              </w:rPr>
              <w:t>③废石堆场运行之前，企业应制定突发环境事件应急预案或在突发事件应急预案中制定环境应急预案专章，说明各种可能发生的突发环境事件情景及应急处置措施。</w:t>
            </w:r>
          </w:p>
          <w:p w14:paraId="3D007D7A">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sz w:val="24"/>
              </w:rPr>
            </w:pPr>
            <w:r>
              <w:rPr>
                <w:rFonts w:hint="default"/>
                <w:color w:val="000000"/>
                <w:sz w:val="24"/>
              </w:rPr>
              <w:t>④废石堆场应制定运行计划，运行管理人员应定期参加企业的岗位培训。</w:t>
            </w:r>
          </w:p>
          <w:p w14:paraId="76EF7DE6">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sz w:val="24"/>
              </w:rPr>
            </w:pPr>
            <w:r>
              <w:rPr>
                <w:rFonts w:hint="default"/>
                <w:color w:val="000000"/>
                <w:sz w:val="24"/>
              </w:rPr>
              <w:t>⑤废石存放于废石堆放场，最大堆放高度</w:t>
            </w:r>
            <w:r>
              <w:rPr>
                <w:rFonts w:hint="eastAsia"/>
                <w:color w:val="000000"/>
                <w:sz w:val="24"/>
                <w:lang w:val="en-US" w:eastAsia="zh-CN"/>
              </w:rPr>
              <w:t>25</w:t>
            </w:r>
            <w:r>
              <w:rPr>
                <w:rFonts w:hint="default"/>
                <w:color w:val="000000"/>
                <w:sz w:val="24"/>
              </w:rPr>
              <w:t>米，堆放边坡</w:t>
            </w:r>
            <w:r>
              <w:rPr>
                <w:rFonts w:hint="eastAsia"/>
                <w:color w:val="000000"/>
                <w:sz w:val="24"/>
                <w:lang w:val="en-US" w:eastAsia="zh-CN"/>
              </w:rPr>
              <w:t>35</w:t>
            </w:r>
            <w:r>
              <w:rPr>
                <w:rFonts w:hint="default"/>
                <w:color w:val="000000"/>
                <w:sz w:val="24"/>
              </w:rPr>
              <w:t>°，保证边坡稳定，杜绝危岩和浮石。</w:t>
            </w:r>
          </w:p>
          <w:p w14:paraId="53B9D61E">
            <w:pPr>
              <w:keepNext w:val="0"/>
              <w:keepLines w:val="0"/>
              <w:suppressLineNumbers w:val="0"/>
              <w:adjustRightInd w:val="0"/>
              <w:snapToGrid w:val="0"/>
              <w:spacing w:before="0" w:beforeAutospacing="0" w:after="0" w:afterAutospacing="0" w:line="520" w:lineRule="exact"/>
              <w:ind w:left="0" w:right="0" w:firstLine="482" w:firstLineChars="200"/>
              <w:jc w:val="left"/>
              <w:rPr>
                <w:rFonts w:hint="default" w:eastAsia="宋体"/>
                <w:b/>
                <w:bCs/>
                <w:color w:val="000000"/>
                <w:sz w:val="24"/>
                <w:lang w:val="en-US" w:eastAsia="zh-CN"/>
              </w:rPr>
            </w:pPr>
            <w:r>
              <w:rPr>
                <w:rFonts w:hint="default"/>
                <w:b/>
                <w:bCs/>
                <w:color w:val="000000"/>
                <w:sz w:val="24"/>
              </w:rPr>
              <w:t>5.</w:t>
            </w:r>
            <w:r>
              <w:rPr>
                <w:rFonts w:hint="eastAsia"/>
                <w:b/>
                <w:bCs/>
                <w:color w:val="000000"/>
                <w:sz w:val="24"/>
                <w:lang w:val="en-US" w:eastAsia="zh-CN"/>
              </w:rPr>
              <w:t>2危险废物</w:t>
            </w:r>
          </w:p>
          <w:p w14:paraId="162870FF">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sz w:val="24"/>
              </w:rPr>
            </w:pPr>
            <w:r>
              <w:rPr>
                <w:rFonts w:hint="default"/>
                <w:sz w:val="24"/>
              </w:rPr>
              <w:t>本项目产生的危险废物主要</w:t>
            </w:r>
            <w:r>
              <w:rPr>
                <w:rFonts w:hint="eastAsia"/>
                <w:sz w:val="24"/>
              </w:rPr>
              <w:t>是</w:t>
            </w:r>
            <w:r>
              <w:rPr>
                <w:rFonts w:hint="eastAsia"/>
                <w:color w:val="000000"/>
                <w:kern w:val="0"/>
                <w:sz w:val="24"/>
              </w:rPr>
              <w:t>废润滑油</w:t>
            </w:r>
            <w:r>
              <w:rPr>
                <w:rFonts w:hint="eastAsia"/>
                <w:sz w:val="24"/>
              </w:rPr>
              <w:t>。按照《危险废物贮存污染控制标准》（GB18597-2023）要求，本项目应建造专用的危险废物贮存设施，用于暂存危险废物。</w:t>
            </w:r>
          </w:p>
          <w:p w14:paraId="38171417">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sz w:val="24"/>
              </w:rPr>
            </w:pPr>
            <w:r>
              <w:rPr>
                <w:rFonts w:hint="eastAsia"/>
                <w:sz w:val="24"/>
              </w:rPr>
              <w:t>（1）危险废物环境管理要求</w:t>
            </w:r>
          </w:p>
          <w:p w14:paraId="0ECB53DE">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本工程</w:t>
            </w:r>
            <w:r>
              <w:rPr>
                <w:rFonts w:hint="eastAsia"/>
                <w:sz w:val="24"/>
              </w:rPr>
              <w:t>计划建设一座</w:t>
            </w:r>
            <w:r>
              <w:rPr>
                <w:rFonts w:hint="eastAsia"/>
                <w:sz w:val="24"/>
                <w:lang w:val="en-US" w:eastAsia="zh-CN"/>
              </w:rPr>
              <w:t>1</w:t>
            </w:r>
            <w:r>
              <w:rPr>
                <w:rFonts w:hint="eastAsia"/>
                <w:sz w:val="24"/>
              </w:rPr>
              <w:t>0m</w:t>
            </w:r>
            <w:r>
              <w:rPr>
                <w:rFonts w:hint="eastAsia"/>
                <w:sz w:val="24"/>
                <w:vertAlign w:val="superscript"/>
              </w:rPr>
              <w:t>3</w:t>
            </w:r>
            <w:r>
              <w:rPr>
                <w:rFonts w:hint="eastAsia"/>
                <w:sz w:val="24"/>
              </w:rPr>
              <w:t>危废</w:t>
            </w:r>
            <w:r>
              <w:rPr>
                <w:rFonts w:hint="eastAsia"/>
                <w:sz w:val="24"/>
                <w:lang w:val="en-US" w:eastAsia="zh-CN"/>
              </w:rPr>
              <w:t>贮存</w:t>
            </w:r>
            <w:r>
              <w:rPr>
                <w:rFonts w:hint="eastAsia"/>
                <w:sz w:val="24"/>
              </w:rPr>
              <w:t>间</w:t>
            </w:r>
            <w:r>
              <w:rPr>
                <w:rFonts w:hint="default"/>
                <w:sz w:val="24"/>
              </w:rPr>
              <w:t>，</w:t>
            </w:r>
            <w:r>
              <w:rPr>
                <w:rFonts w:hint="eastAsia"/>
                <w:sz w:val="24"/>
              </w:rPr>
              <w:t>暂存运营过程中产生的危险废物。</w:t>
            </w:r>
            <w:r>
              <w:rPr>
                <w:rFonts w:hint="default"/>
                <w:sz w:val="24"/>
              </w:rPr>
              <w:t>危险废物在厂内贮存时，执行《危险废物贮存污染控制标准》（GB18597-20</w:t>
            </w:r>
            <w:r>
              <w:rPr>
                <w:rFonts w:hint="eastAsia"/>
                <w:sz w:val="24"/>
              </w:rPr>
              <w:t>23</w:t>
            </w:r>
            <w:r>
              <w:rPr>
                <w:rFonts w:hint="default"/>
                <w:sz w:val="24"/>
              </w:rPr>
              <w:t>）中相关规定，规范建设危险废物暂存间，具体措施如下：</w:t>
            </w:r>
          </w:p>
          <w:p w14:paraId="291BDF67">
            <w:pPr>
              <w:keepNext w:val="0"/>
              <w:keepLines w:val="0"/>
              <w:numPr>
                <w:ilvl w:val="0"/>
                <w:numId w:val="11"/>
              </w:numPr>
              <w:suppressLineNumbers w:val="0"/>
              <w:tabs>
                <w:tab w:val="left" w:pos="0"/>
              </w:tabs>
              <w:adjustRightInd w:val="0"/>
              <w:snapToGrid w:val="0"/>
              <w:spacing w:before="0" w:beforeAutospacing="0" w:after="0" w:afterAutospacing="0" w:line="520" w:lineRule="exact"/>
              <w:ind w:left="0" w:leftChars="0" w:right="0" w:rightChars="0" w:firstLine="480" w:firstLineChars="200"/>
              <w:rPr>
                <w:rFonts w:hint="default"/>
                <w:sz w:val="24"/>
              </w:rPr>
            </w:pPr>
            <w:r>
              <w:rPr>
                <w:rFonts w:hint="default"/>
                <w:sz w:val="24"/>
                <w:lang w:val="en-US" w:eastAsia="zh-CN"/>
              </w:rPr>
              <w:t>贮存设施或场所、容器和包装物应按HJ 1276要求设置危险废物贮存设施或场所标志、危险废物贮存分区标志和危险废物标签等危险废物识别标志。</w:t>
            </w:r>
          </w:p>
          <w:p w14:paraId="35E47CC1">
            <w:pPr>
              <w:keepNext w:val="0"/>
              <w:keepLines w:val="0"/>
              <w:numPr>
                <w:ilvl w:val="0"/>
                <w:numId w:val="11"/>
              </w:numPr>
              <w:suppressLineNumbers w:val="0"/>
              <w:adjustRightInd w:val="0"/>
              <w:snapToGrid w:val="0"/>
              <w:spacing w:before="0" w:beforeAutospacing="0" w:after="0" w:afterAutospacing="0" w:line="520" w:lineRule="exact"/>
              <w:ind w:left="0" w:leftChars="0" w:right="0" w:firstLine="480" w:firstLineChars="200"/>
              <w:rPr>
                <w:rFonts w:hint="default" w:eastAsia="宋体"/>
                <w:sz w:val="24"/>
                <w:lang w:val="en-US" w:eastAsia="zh-CN"/>
              </w:rPr>
            </w:pPr>
            <w:r>
              <w:rPr>
                <w:rFonts w:hint="default"/>
                <w:sz w:val="24"/>
                <w:lang w:val="en-US" w:eastAsia="zh-CN"/>
              </w:rPr>
              <w:t>贮存设施应根据危险废物的形态、物理化学性质、包装形式和污染物迁移途径，采取必要的防风、防晒、防雨、防漏、防渗、防腐以及其他环境污染防治措施，不应露天堆放危险废物</w:t>
            </w:r>
            <w:r>
              <w:rPr>
                <w:rFonts w:hint="eastAsia"/>
                <w:sz w:val="24"/>
                <w:lang w:val="en-US" w:eastAsia="zh-CN"/>
              </w:rPr>
              <w:t>。</w:t>
            </w:r>
          </w:p>
          <w:p w14:paraId="2A886D39">
            <w:pPr>
              <w:keepNext w:val="0"/>
              <w:keepLines w:val="0"/>
              <w:numPr>
                <w:ilvl w:val="0"/>
                <w:numId w:val="11"/>
              </w:numPr>
              <w:suppressLineNumbers w:val="0"/>
              <w:adjustRightInd w:val="0"/>
              <w:snapToGrid w:val="0"/>
              <w:spacing w:before="0" w:beforeAutospacing="0" w:after="0" w:afterAutospacing="0" w:line="520" w:lineRule="exact"/>
              <w:ind w:left="0" w:leftChars="0" w:right="0" w:firstLine="480" w:firstLineChars="200"/>
              <w:rPr>
                <w:rFonts w:hint="default"/>
                <w:sz w:val="24"/>
              </w:rPr>
            </w:pPr>
            <w:r>
              <w:rPr>
                <w:rFonts w:hint="default"/>
                <w:sz w:val="24"/>
                <w:lang w:val="en-US" w:eastAsia="zh-CN"/>
              </w:rPr>
              <w:t>贮存设施应根据危险废物的类别、数量、形态、物理化学性质和污染防治等要求设置必要的贮存分区，避免不相容的危险废物接触、混合</w:t>
            </w:r>
            <w:r>
              <w:rPr>
                <w:rFonts w:hint="eastAsia"/>
                <w:sz w:val="24"/>
                <w:lang w:val="en-US" w:eastAsia="zh-CN"/>
              </w:rPr>
              <w:t>。</w:t>
            </w:r>
          </w:p>
          <w:p w14:paraId="761A778F">
            <w:pPr>
              <w:keepNext w:val="0"/>
              <w:keepLines w:val="0"/>
              <w:numPr>
                <w:ilvl w:val="0"/>
                <w:numId w:val="11"/>
              </w:numPr>
              <w:suppressLineNumbers w:val="0"/>
              <w:adjustRightInd w:val="0"/>
              <w:snapToGrid w:val="0"/>
              <w:spacing w:before="0" w:beforeAutospacing="0" w:after="0" w:afterAutospacing="0" w:line="520" w:lineRule="exact"/>
              <w:ind w:left="0" w:leftChars="0" w:right="0" w:firstLine="480" w:firstLineChars="200"/>
              <w:rPr>
                <w:rFonts w:hint="default"/>
                <w:sz w:val="24"/>
              </w:rPr>
            </w:pPr>
            <w:r>
              <w:rPr>
                <w:rFonts w:hint="default"/>
                <w:sz w:val="24"/>
                <w:lang w:val="en-US" w:eastAsia="zh-CN"/>
              </w:rPr>
              <w:t>贮存设施或贮存分区内地面、墙面裙脚、堵截泄漏的围堰、接触危险废物的隔板和墙体等应采用坚固的材料建造，表面无裂缝。</w:t>
            </w:r>
          </w:p>
          <w:p w14:paraId="30713AD7">
            <w:pPr>
              <w:keepNext w:val="0"/>
              <w:keepLines w:val="0"/>
              <w:numPr>
                <w:ilvl w:val="0"/>
                <w:numId w:val="11"/>
              </w:numPr>
              <w:suppressLineNumbers w:val="0"/>
              <w:adjustRightInd w:val="0"/>
              <w:snapToGrid w:val="0"/>
              <w:spacing w:before="0" w:beforeAutospacing="0" w:after="0" w:afterAutospacing="0" w:line="520" w:lineRule="exact"/>
              <w:ind w:left="0" w:leftChars="0" w:right="0" w:firstLine="480" w:firstLineChars="200"/>
              <w:rPr>
                <w:rFonts w:hint="default"/>
                <w:sz w:val="24"/>
              </w:rPr>
            </w:pPr>
            <w:r>
              <w:rPr>
                <w:rFonts w:hint="default"/>
                <w:sz w:val="24"/>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sz w:val="24"/>
                <w:vertAlign w:val="superscript"/>
                <w:lang w:val="en-US" w:eastAsia="zh-CN"/>
              </w:rPr>
              <w:t>-7</w:t>
            </w:r>
            <w:r>
              <w:rPr>
                <w:rFonts w:hint="default"/>
                <w:sz w:val="24"/>
                <w:lang w:val="en-US" w:eastAsia="zh-CN"/>
              </w:rPr>
              <w:t xml:space="preserve"> cm/s），或至少2mm厚高密度聚乙烯膜等人工防渗材料（渗透系数不大于 10</w:t>
            </w:r>
            <w:r>
              <w:rPr>
                <w:rFonts w:hint="default"/>
                <w:sz w:val="24"/>
                <w:vertAlign w:val="superscript"/>
                <w:lang w:val="en-US" w:eastAsia="zh-CN"/>
              </w:rPr>
              <w:t>-10</w:t>
            </w:r>
            <w:r>
              <w:rPr>
                <w:rFonts w:hint="default"/>
                <w:sz w:val="24"/>
                <w:lang w:val="en-US" w:eastAsia="zh-CN"/>
              </w:rPr>
              <w:t>cm/s），或其他防渗性能等效的材料。</w:t>
            </w:r>
          </w:p>
          <w:p w14:paraId="7EF8D589">
            <w:pPr>
              <w:keepNext w:val="0"/>
              <w:keepLines w:val="0"/>
              <w:numPr>
                <w:ilvl w:val="0"/>
                <w:numId w:val="11"/>
              </w:numPr>
              <w:suppressLineNumbers w:val="0"/>
              <w:adjustRightInd w:val="0"/>
              <w:snapToGrid w:val="0"/>
              <w:spacing w:before="0" w:beforeAutospacing="0" w:after="0" w:afterAutospacing="0" w:line="520" w:lineRule="exact"/>
              <w:ind w:left="0" w:leftChars="0" w:right="0" w:firstLine="480" w:firstLineChars="200"/>
              <w:rPr>
                <w:rFonts w:hint="default"/>
                <w:sz w:val="24"/>
              </w:rPr>
            </w:pPr>
            <w:r>
              <w:rPr>
                <w:rFonts w:hint="default"/>
                <w:sz w:val="24"/>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p>
          <w:p w14:paraId="07CC2ADE">
            <w:pPr>
              <w:keepNext w:val="0"/>
              <w:keepLines w:val="0"/>
              <w:numPr>
                <w:ilvl w:val="0"/>
                <w:numId w:val="11"/>
              </w:numPr>
              <w:suppressLineNumbers w:val="0"/>
              <w:adjustRightInd w:val="0"/>
              <w:snapToGrid w:val="0"/>
              <w:spacing w:before="0" w:beforeAutospacing="0" w:after="0" w:afterAutospacing="0" w:line="520" w:lineRule="exact"/>
              <w:ind w:left="0" w:leftChars="0" w:right="0" w:firstLine="480" w:firstLineChars="200"/>
              <w:rPr>
                <w:rFonts w:hint="default"/>
                <w:sz w:val="24"/>
              </w:rPr>
            </w:pPr>
            <w:r>
              <w:rPr>
                <w:rFonts w:hint="default"/>
                <w:sz w:val="24"/>
                <w:lang w:val="en-US" w:eastAsia="zh-CN"/>
              </w:rPr>
              <w:t>贮存设施应采取技术和管理措施防止无关人员进入</w:t>
            </w:r>
            <w:r>
              <w:rPr>
                <w:rFonts w:hint="default"/>
                <w:sz w:val="24"/>
              </w:rPr>
              <w:t>。</w:t>
            </w:r>
          </w:p>
          <w:p w14:paraId="2EF7A5AD">
            <w:pPr>
              <w:keepNext w:val="0"/>
              <w:keepLines w:val="0"/>
              <w:numPr>
                <w:ilvl w:val="0"/>
                <w:numId w:val="11"/>
              </w:numPr>
              <w:suppressLineNumbers w:val="0"/>
              <w:adjustRightInd w:val="0"/>
              <w:snapToGrid w:val="0"/>
              <w:spacing w:before="0" w:beforeAutospacing="0" w:after="0" w:afterAutospacing="0" w:line="520" w:lineRule="exact"/>
              <w:ind w:left="0" w:leftChars="0" w:right="0" w:firstLine="480" w:firstLineChars="200"/>
              <w:rPr>
                <w:rFonts w:hint="default"/>
                <w:sz w:val="24"/>
              </w:rPr>
            </w:pPr>
            <w:r>
              <w:rPr>
                <w:rFonts w:hint="default"/>
                <w:sz w:val="24"/>
              </w:rPr>
              <w:t>危险废物定期交由有资质的处置单位接收处理，转运过程严格按照有关规定，实行联单制度。</w:t>
            </w:r>
          </w:p>
          <w:p w14:paraId="63F3F287">
            <w:pPr>
              <w:pStyle w:val="50"/>
              <w:keepNext w:val="0"/>
              <w:keepLines w:val="0"/>
              <w:suppressLineNumbers w:val="0"/>
              <w:spacing w:before="0" w:beforeAutospacing="0" w:after="0" w:afterAutospacing="0"/>
              <w:ind w:left="0" w:right="0" w:firstLine="480"/>
              <w:rPr>
                <w:rFonts w:hint="default"/>
              </w:rPr>
            </w:pPr>
            <w:r>
              <w:rPr>
                <w:rFonts w:hint="eastAsia"/>
              </w:rPr>
              <w:t>（2）危险废物运输措施</w:t>
            </w:r>
          </w:p>
          <w:p w14:paraId="3E250E18">
            <w:pPr>
              <w:pStyle w:val="50"/>
              <w:keepNext w:val="0"/>
              <w:keepLines w:val="0"/>
              <w:suppressLineNumbers w:val="0"/>
              <w:spacing w:before="0" w:beforeAutospacing="0" w:after="0" w:afterAutospacing="0"/>
              <w:ind w:left="0" w:right="0" w:firstLine="480"/>
              <w:rPr>
                <w:rFonts w:hint="default" w:cs="Times New Roman"/>
              </w:rPr>
            </w:pPr>
            <w:r>
              <w:rPr>
                <w:rFonts w:hint="default"/>
              </w:rPr>
              <w:t>防止运输过程中危险废物的污染损害是防止危险废物污染损害的主要环节之一。在运输过程中，如果管理不当或未采取适当的污染防治和安全防护措施，则极易造成污染。我国每年都发生危险废物运输事故，并造成了严重的污染危害。因此，必须对危险废物的运输加以控制和管理。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w:t>
            </w:r>
          </w:p>
          <w:p w14:paraId="27CE5430">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sz w:val="24"/>
              </w:rPr>
            </w:pPr>
            <w:r>
              <w:rPr>
                <w:rFonts w:hint="default"/>
                <w:sz w:val="24"/>
              </w:rPr>
              <w:t>采取上述措施后，能够确保本项目危险废物在厂内贮存时</w:t>
            </w:r>
            <w:r>
              <w:rPr>
                <w:rFonts w:hint="eastAsia"/>
                <w:sz w:val="24"/>
                <w:lang w:eastAsia="zh-CN"/>
              </w:rPr>
              <w:t>得到有效的</w:t>
            </w:r>
            <w:r>
              <w:rPr>
                <w:rFonts w:hint="default"/>
                <w:sz w:val="24"/>
              </w:rPr>
              <w:t>处置，对环境影响较小。</w:t>
            </w:r>
          </w:p>
          <w:p w14:paraId="537132DE">
            <w:pPr>
              <w:keepNext w:val="0"/>
              <w:keepLines w:val="0"/>
              <w:suppressLineNumbers w:val="0"/>
              <w:adjustRightInd w:val="0"/>
              <w:snapToGrid w:val="0"/>
              <w:spacing w:before="0" w:beforeAutospacing="0" w:after="0" w:afterAutospacing="0" w:line="520" w:lineRule="exact"/>
              <w:ind w:left="0" w:right="0" w:firstLine="482" w:firstLineChars="200"/>
              <w:jc w:val="left"/>
              <w:rPr>
                <w:rFonts w:hint="default"/>
                <w:b/>
                <w:bCs/>
                <w:color w:val="000000"/>
                <w:sz w:val="24"/>
              </w:rPr>
            </w:pPr>
            <w:r>
              <w:rPr>
                <w:rFonts w:hint="default"/>
                <w:b/>
                <w:bCs/>
                <w:color w:val="000000"/>
                <w:sz w:val="24"/>
              </w:rPr>
              <w:t>5.</w:t>
            </w:r>
            <w:r>
              <w:rPr>
                <w:rFonts w:hint="eastAsia"/>
                <w:b/>
                <w:bCs/>
                <w:color w:val="000000"/>
                <w:sz w:val="24"/>
              </w:rPr>
              <w:t>3</w:t>
            </w:r>
            <w:r>
              <w:rPr>
                <w:rFonts w:hint="default"/>
                <w:b/>
                <w:bCs/>
                <w:color w:val="000000"/>
                <w:sz w:val="24"/>
              </w:rPr>
              <w:t>生活垃圾</w:t>
            </w:r>
          </w:p>
          <w:p w14:paraId="44964683">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color w:val="000000"/>
                <w:sz w:val="24"/>
              </w:rPr>
            </w:pPr>
            <w:r>
              <w:rPr>
                <w:rFonts w:hint="default"/>
                <w:color w:val="000000"/>
                <w:sz w:val="24"/>
              </w:rPr>
              <w:t>生活垃圾产生量按</w:t>
            </w:r>
            <w:r>
              <w:rPr>
                <w:rFonts w:hint="eastAsia"/>
                <w:color w:val="000000"/>
                <w:sz w:val="24"/>
                <w:lang w:val="en-US" w:eastAsia="zh-CN"/>
              </w:rPr>
              <w:t>1</w:t>
            </w:r>
            <w:r>
              <w:rPr>
                <w:rFonts w:hint="default"/>
                <w:color w:val="000000"/>
                <w:sz w:val="24"/>
              </w:rPr>
              <w:t>kg/d/人计，厂区劳动定员为</w:t>
            </w:r>
            <w:r>
              <w:rPr>
                <w:rFonts w:hint="eastAsia"/>
                <w:color w:val="000000"/>
                <w:sz w:val="24"/>
                <w:lang w:val="en-US" w:eastAsia="zh-CN"/>
              </w:rPr>
              <w:t>41</w:t>
            </w:r>
            <w:r>
              <w:rPr>
                <w:rFonts w:hint="default"/>
                <w:color w:val="000000"/>
                <w:sz w:val="24"/>
              </w:rPr>
              <w:t>人，年工作天数为</w:t>
            </w:r>
            <w:r>
              <w:rPr>
                <w:rFonts w:hint="eastAsia"/>
                <w:color w:val="000000"/>
                <w:sz w:val="24"/>
                <w:lang w:val="en-US" w:eastAsia="zh-CN"/>
              </w:rPr>
              <w:t>300</w:t>
            </w:r>
            <w:r>
              <w:rPr>
                <w:rFonts w:hint="default"/>
                <w:color w:val="000000"/>
                <w:sz w:val="24"/>
              </w:rPr>
              <w:t>天，则生活垃圾年产生量为</w:t>
            </w:r>
            <w:r>
              <w:rPr>
                <w:rFonts w:hint="eastAsia"/>
                <w:color w:val="000000"/>
                <w:sz w:val="24"/>
                <w:lang w:val="en-US" w:eastAsia="zh-CN"/>
              </w:rPr>
              <w:t>12.3</w:t>
            </w:r>
            <w:r>
              <w:rPr>
                <w:rFonts w:hint="default"/>
                <w:color w:val="000000"/>
                <w:sz w:val="24"/>
              </w:rPr>
              <w:t>t/a。建设单位在办公生活区设置生活垃圾箱，将员工产生的生活垃圾分类集中收集，由运输车辆带出矿区交由当地环卫部门统一处理。</w:t>
            </w:r>
          </w:p>
          <w:p w14:paraId="7FEF70CB">
            <w:pPr>
              <w:keepNext w:val="0"/>
              <w:keepLines w:val="0"/>
              <w:suppressLineNumbers w:val="0"/>
              <w:adjustRightInd w:val="0"/>
              <w:snapToGrid w:val="0"/>
              <w:spacing w:before="0" w:beforeAutospacing="0" w:after="0" w:afterAutospacing="0" w:line="520" w:lineRule="exact"/>
              <w:ind w:left="0" w:right="0"/>
              <w:jc w:val="center"/>
              <w:rPr>
                <w:rFonts w:hint="default"/>
                <w:b/>
                <w:bCs/>
                <w:color w:val="000000"/>
                <w:sz w:val="24"/>
                <w:lang w:val="en-US" w:eastAsia="zh-CN"/>
              </w:rPr>
            </w:pPr>
            <w:r>
              <w:rPr>
                <w:rFonts w:hint="eastAsia"/>
                <w:b/>
                <w:bCs/>
                <w:color w:val="000000"/>
                <w:sz w:val="24"/>
                <w:lang w:val="en-US" w:eastAsia="zh-CN"/>
              </w:rPr>
              <w:t xml:space="preserve">表5-1    </w:t>
            </w:r>
            <w:r>
              <w:rPr>
                <w:rFonts w:hint="default"/>
                <w:b/>
                <w:bCs/>
                <w:color w:val="000000"/>
                <w:sz w:val="24"/>
                <w:lang w:val="en-US" w:eastAsia="zh-CN"/>
              </w:rPr>
              <w:t>固体废物产生情况及去向表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4"/>
              <w:gridCol w:w="705"/>
              <w:gridCol w:w="705"/>
              <w:gridCol w:w="562"/>
              <w:gridCol w:w="819"/>
              <w:gridCol w:w="588"/>
              <w:gridCol w:w="868"/>
              <w:gridCol w:w="920"/>
              <w:gridCol w:w="666"/>
              <w:gridCol w:w="1236"/>
            </w:tblGrid>
            <w:tr w14:paraId="7BA5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73" w:type="dxa"/>
                  <w:vAlign w:val="center"/>
                </w:tcPr>
                <w:p w14:paraId="5E3333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废物类别</w:t>
                  </w:r>
                </w:p>
              </w:tc>
              <w:tc>
                <w:tcPr>
                  <w:tcW w:w="773" w:type="dxa"/>
                  <w:vAlign w:val="center"/>
                </w:tcPr>
                <w:p w14:paraId="6E1C83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产生环节</w:t>
                  </w:r>
                </w:p>
              </w:tc>
              <w:tc>
                <w:tcPr>
                  <w:tcW w:w="773" w:type="dxa"/>
                  <w:vAlign w:val="center"/>
                </w:tcPr>
                <w:p w14:paraId="7943D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Style w:val="26"/>
                      <w:rFonts w:hint="default" w:ascii="Times New Roman" w:hAnsi="Times New Roman" w:eastAsia="宋体" w:cs="Segoe UI"/>
                      <w:b w:val="0"/>
                      <w:i w:val="0"/>
                      <w:iCs w:val="0"/>
                      <w:caps w:val="0"/>
                      <w:color w:val="404040"/>
                      <w:spacing w:val="0"/>
                      <w:sz w:val="21"/>
                      <w:szCs w:val="24"/>
                    </w:rPr>
                    <w:t>废物名称</w:t>
                  </w:r>
                </w:p>
              </w:tc>
              <w:tc>
                <w:tcPr>
                  <w:tcW w:w="646" w:type="dxa"/>
                  <w:vAlign w:val="center"/>
                </w:tcPr>
                <w:p w14:paraId="3FD8B2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Style w:val="26"/>
                      <w:rFonts w:hint="default" w:ascii="Times New Roman" w:hAnsi="Times New Roman" w:eastAsia="宋体" w:cs="Segoe UI"/>
                      <w:b w:val="0"/>
                      <w:i w:val="0"/>
                      <w:iCs w:val="0"/>
                      <w:caps w:val="0"/>
                      <w:color w:val="404040"/>
                      <w:spacing w:val="0"/>
                      <w:sz w:val="21"/>
                      <w:szCs w:val="24"/>
                    </w:rPr>
                    <w:t>物理形态</w:t>
                  </w:r>
                </w:p>
              </w:tc>
              <w:tc>
                <w:tcPr>
                  <w:tcW w:w="915" w:type="dxa"/>
                  <w:vAlign w:val="center"/>
                </w:tcPr>
                <w:p w14:paraId="33B3F1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Style w:val="26"/>
                      <w:rFonts w:hint="default" w:ascii="Times New Roman" w:hAnsi="Times New Roman" w:eastAsia="宋体" w:cs="Segoe UI"/>
                      <w:b w:val="0"/>
                      <w:i w:val="0"/>
                      <w:iCs w:val="0"/>
                      <w:caps w:val="0"/>
                      <w:color w:val="404040"/>
                      <w:spacing w:val="0"/>
                      <w:sz w:val="21"/>
                      <w:szCs w:val="24"/>
                    </w:rPr>
                    <w:t>特性（危险特性）</w:t>
                  </w:r>
                </w:p>
              </w:tc>
              <w:tc>
                <w:tcPr>
                  <w:tcW w:w="555" w:type="dxa"/>
                  <w:vAlign w:val="center"/>
                </w:tcPr>
                <w:p w14:paraId="5B971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Style w:val="26"/>
                      <w:rFonts w:hint="default" w:ascii="Times New Roman" w:hAnsi="Times New Roman" w:eastAsia="宋体" w:cs="Segoe UI"/>
                      <w:b w:val="0"/>
                      <w:i w:val="0"/>
                      <w:iCs w:val="0"/>
                      <w:caps w:val="0"/>
                      <w:color w:val="404040"/>
                      <w:spacing w:val="0"/>
                      <w:sz w:val="21"/>
                      <w:szCs w:val="24"/>
                    </w:rPr>
                    <w:t>产生量</w:t>
                  </w:r>
                </w:p>
              </w:tc>
              <w:tc>
                <w:tcPr>
                  <w:tcW w:w="976" w:type="dxa"/>
                  <w:vAlign w:val="center"/>
                </w:tcPr>
                <w:p w14:paraId="3212DE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Style w:val="26"/>
                      <w:rFonts w:hint="default" w:ascii="Times New Roman" w:hAnsi="Times New Roman" w:eastAsia="宋体" w:cs="Segoe UI"/>
                      <w:b w:val="0"/>
                      <w:i w:val="0"/>
                      <w:iCs w:val="0"/>
                      <w:caps w:val="0"/>
                      <w:color w:val="404040"/>
                      <w:spacing w:val="0"/>
                      <w:sz w:val="21"/>
                      <w:szCs w:val="24"/>
                    </w:rPr>
                    <w:t>收集方式</w:t>
                  </w:r>
                </w:p>
              </w:tc>
              <w:tc>
                <w:tcPr>
                  <w:tcW w:w="774" w:type="dxa"/>
                  <w:vAlign w:val="center"/>
                </w:tcPr>
                <w:p w14:paraId="7BDD3D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Style w:val="26"/>
                      <w:rFonts w:hint="default" w:ascii="Times New Roman" w:hAnsi="Times New Roman" w:eastAsia="宋体" w:cs="Segoe UI"/>
                      <w:b w:val="0"/>
                      <w:i w:val="0"/>
                      <w:iCs w:val="0"/>
                      <w:caps w:val="0"/>
                      <w:color w:val="404040"/>
                      <w:spacing w:val="0"/>
                      <w:sz w:val="21"/>
                      <w:szCs w:val="24"/>
                    </w:rPr>
                    <w:t>临时贮存要求</w:t>
                  </w:r>
                </w:p>
              </w:tc>
              <w:tc>
                <w:tcPr>
                  <w:tcW w:w="774" w:type="dxa"/>
                  <w:vAlign w:val="center"/>
                </w:tcPr>
                <w:p w14:paraId="2BA443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Style w:val="26"/>
                      <w:rFonts w:hint="default" w:ascii="Times New Roman" w:hAnsi="Times New Roman" w:eastAsia="宋体" w:cs="Segoe UI"/>
                      <w:b w:val="0"/>
                      <w:i w:val="0"/>
                      <w:iCs w:val="0"/>
                      <w:caps w:val="0"/>
                      <w:color w:val="404040"/>
                      <w:spacing w:val="0"/>
                      <w:sz w:val="21"/>
                      <w:szCs w:val="24"/>
                    </w:rPr>
                    <w:t>最终去向</w:t>
                  </w:r>
                </w:p>
              </w:tc>
              <w:tc>
                <w:tcPr>
                  <w:tcW w:w="774" w:type="dxa"/>
                  <w:vAlign w:val="center"/>
                </w:tcPr>
                <w:p w14:paraId="58504A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Style w:val="26"/>
                      <w:rFonts w:hint="eastAsia" w:ascii="Times New Roman" w:hAnsi="Times New Roman" w:eastAsia="宋体" w:cs="Segoe UI"/>
                      <w:b w:val="0"/>
                      <w:i w:val="0"/>
                      <w:iCs w:val="0"/>
                      <w:caps w:val="0"/>
                      <w:color w:val="404040"/>
                      <w:spacing w:val="0"/>
                      <w:sz w:val="21"/>
                      <w:szCs w:val="24"/>
                      <w:lang w:val="en-US" w:eastAsia="zh-CN"/>
                    </w:rPr>
                    <w:t>标准</w:t>
                  </w:r>
                </w:p>
              </w:tc>
            </w:tr>
            <w:tr w14:paraId="203F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73" w:type="dxa"/>
                  <w:vAlign w:val="center"/>
                </w:tcPr>
                <w:p w14:paraId="688269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一般工业废物</w:t>
                  </w:r>
                </w:p>
              </w:tc>
              <w:tc>
                <w:tcPr>
                  <w:tcW w:w="773" w:type="dxa"/>
                  <w:vAlign w:val="center"/>
                </w:tcPr>
                <w:p w14:paraId="013504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开采及表土剥离</w:t>
                  </w:r>
                </w:p>
              </w:tc>
              <w:tc>
                <w:tcPr>
                  <w:tcW w:w="773" w:type="dxa"/>
                  <w:vAlign w:val="center"/>
                </w:tcPr>
                <w:p w14:paraId="14F0B9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废石、表土</w:t>
                  </w:r>
                </w:p>
              </w:tc>
              <w:tc>
                <w:tcPr>
                  <w:tcW w:w="646" w:type="dxa"/>
                  <w:vAlign w:val="center"/>
                </w:tcPr>
                <w:p w14:paraId="3E9189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固态</w:t>
                  </w:r>
                </w:p>
              </w:tc>
              <w:tc>
                <w:tcPr>
                  <w:tcW w:w="915" w:type="dxa"/>
                  <w:vAlign w:val="center"/>
                </w:tcPr>
                <w:p w14:paraId="11D075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无</w:t>
                  </w:r>
                </w:p>
              </w:tc>
              <w:tc>
                <w:tcPr>
                  <w:tcW w:w="555" w:type="dxa"/>
                  <w:vAlign w:val="center"/>
                </w:tcPr>
                <w:p w14:paraId="07E20A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28.43万立方米废石，</w:t>
                  </w:r>
                  <w:r>
                    <w:rPr>
                      <w:rFonts w:hint="eastAsia"/>
                      <w:b w:val="0"/>
                      <w:color w:val="000000"/>
                      <w:sz w:val="21"/>
                      <w:vertAlign w:val="baseline"/>
                      <w:lang w:val="en-US" w:eastAsia="zh-CN"/>
                    </w:rPr>
                    <w:t>5300</w:t>
                  </w:r>
                  <w:r>
                    <w:rPr>
                      <w:rFonts w:hint="eastAsia" w:ascii="Times New Roman" w:hAnsi="Times New Roman" w:eastAsia="宋体"/>
                      <w:b w:val="0"/>
                      <w:color w:val="000000"/>
                      <w:sz w:val="21"/>
                      <w:vertAlign w:val="baseline"/>
                      <w:lang w:val="en-US" w:eastAsia="zh-CN"/>
                    </w:rPr>
                    <w:t>立方米剥离表土。</w:t>
                  </w:r>
                </w:p>
              </w:tc>
              <w:tc>
                <w:tcPr>
                  <w:tcW w:w="976" w:type="dxa"/>
                  <w:vAlign w:val="center"/>
                </w:tcPr>
                <w:p w14:paraId="47599D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集中堆放，覆盖防尘网</w:t>
                  </w:r>
                </w:p>
              </w:tc>
              <w:tc>
                <w:tcPr>
                  <w:tcW w:w="774" w:type="dxa"/>
                  <w:vAlign w:val="center"/>
                </w:tcPr>
                <w:p w14:paraId="1FF5A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临时堆场设围挡、截排水沟，避免混入生活垃圾</w:t>
                  </w:r>
                  <w:r>
                    <w:rPr>
                      <w:rFonts w:hint="eastAsia" w:ascii="Times New Roman" w:hAnsi="Times New Roman" w:eastAsia="宋体"/>
                      <w:b w:val="0"/>
                      <w:color w:val="000000"/>
                      <w:sz w:val="21"/>
                      <w:vertAlign w:val="baseline"/>
                      <w:lang w:val="en-US" w:eastAsia="zh-CN"/>
                    </w:rPr>
                    <w:t>。</w:t>
                  </w:r>
                </w:p>
              </w:tc>
              <w:tc>
                <w:tcPr>
                  <w:tcW w:w="774" w:type="dxa"/>
                  <w:vAlign w:val="center"/>
                </w:tcPr>
                <w:p w14:paraId="4C005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矿区复垦</w:t>
                  </w:r>
                </w:p>
              </w:tc>
              <w:tc>
                <w:tcPr>
                  <w:tcW w:w="774" w:type="dxa"/>
                  <w:vAlign w:val="center"/>
                </w:tcPr>
                <w:p w14:paraId="4AE2BA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w:t>
                  </w:r>
                </w:p>
              </w:tc>
            </w:tr>
            <w:tr w14:paraId="394E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73" w:type="dxa"/>
                  <w:vAlign w:val="center"/>
                </w:tcPr>
                <w:p w14:paraId="6450AE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危险废物</w:t>
                  </w:r>
                </w:p>
              </w:tc>
              <w:tc>
                <w:tcPr>
                  <w:tcW w:w="773" w:type="dxa"/>
                  <w:vAlign w:val="center"/>
                </w:tcPr>
                <w:p w14:paraId="21CE4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设备维修、保养</w:t>
                  </w:r>
                </w:p>
              </w:tc>
              <w:tc>
                <w:tcPr>
                  <w:tcW w:w="773" w:type="dxa"/>
                  <w:vAlign w:val="center"/>
                </w:tcPr>
                <w:p w14:paraId="2BFF70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废润滑油</w:t>
                  </w:r>
                </w:p>
              </w:tc>
              <w:tc>
                <w:tcPr>
                  <w:tcW w:w="646" w:type="dxa"/>
                  <w:vAlign w:val="center"/>
                </w:tcPr>
                <w:p w14:paraId="081D81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液态</w:t>
                  </w:r>
                </w:p>
              </w:tc>
              <w:tc>
                <w:tcPr>
                  <w:tcW w:w="915" w:type="dxa"/>
                  <w:vAlign w:val="center"/>
                </w:tcPr>
                <w:p w14:paraId="2FE58C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snapToGrid w:val="0"/>
                      <w:sz w:val="21"/>
                    </w:rPr>
                    <w:t>可燃，并有腐蚀性</w:t>
                  </w:r>
                </w:p>
              </w:tc>
              <w:tc>
                <w:tcPr>
                  <w:tcW w:w="555" w:type="dxa"/>
                  <w:vAlign w:val="center"/>
                </w:tcPr>
                <w:p w14:paraId="4FBA6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约为0.3t/a</w:t>
                  </w:r>
                </w:p>
              </w:tc>
              <w:tc>
                <w:tcPr>
                  <w:tcW w:w="976" w:type="dxa"/>
                  <w:vAlign w:val="center"/>
                </w:tcPr>
                <w:p w14:paraId="4C286C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专用密闭容器，张贴危险标识</w:t>
                  </w:r>
                </w:p>
              </w:tc>
              <w:tc>
                <w:tcPr>
                  <w:tcW w:w="774" w:type="dxa"/>
                  <w:vAlign w:val="center"/>
                </w:tcPr>
                <w:p w14:paraId="38D369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贮存于</w:t>
                  </w:r>
                  <w:r>
                    <w:rPr>
                      <w:rFonts w:hint="eastAsia"/>
                      <w:b w:val="0"/>
                      <w:color w:val="000000"/>
                      <w:sz w:val="21"/>
                      <w:vertAlign w:val="baseline"/>
                      <w:lang w:val="en-US" w:eastAsia="zh-CN"/>
                    </w:rPr>
                    <w:t>危废贮存间</w:t>
                  </w:r>
                  <w:r>
                    <w:rPr>
                      <w:rFonts w:hint="default" w:ascii="Times New Roman" w:hAnsi="Times New Roman" w:eastAsia="宋体"/>
                      <w:b w:val="0"/>
                      <w:color w:val="000000"/>
                      <w:sz w:val="21"/>
                      <w:vertAlign w:val="baseline"/>
                      <w:lang w:val="en-US" w:eastAsia="zh-CN"/>
                    </w:rPr>
                    <w:t>（防渗、防腐、防漏），标识符合HJ 1276-2022</w:t>
                  </w:r>
                </w:p>
              </w:tc>
              <w:tc>
                <w:tcPr>
                  <w:tcW w:w="774" w:type="dxa"/>
                  <w:vAlign w:val="center"/>
                </w:tcPr>
                <w:p w14:paraId="580DC1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委托有资质单位处置</w:t>
                  </w:r>
                </w:p>
              </w:tc>
              <w:tc>
                <w:tcPr>
                  <w:tcW w:w="774" w:type="dxa"/>
                  <w:vAlign w:val="center"/>
                </w:tcPr>
                <w:p w14:paraId="631BD3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《危险废物贮存污染控制标准》（GB 18597-2023）</w:t>
                  </w:r>
                </w:p>
              </w:tc>
            </w:tr>
            <w:tr w14:paraId="05D0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73" w:type="dxa"/>
                  <w:vAlign w:val="center"/>
                </w:tcPr>
                <w:p w14:paraId="1D7D6B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生活垃圾</w:t>
                  </w:r>
                </w:p>
              </w:tc>
              <w:tc>
                <w:tcPr>
                  <w:tcW w:w="773" w:type="dxa"/>
                  <w:vAlign w:val="center"/>
                </w:tcPr>
                <w:p w14:paraId="48843B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办公生活</w:t>
                  </w:r>
                </w:p>
              </w:tc>
              <w:tc>
                <w:tcPr>
                  <w:tcW w:w="773" w:type="dxa"/>
                  <w:vAlign w:val="center"/>
                </w:tcPr>
                <w:p w14:paraId="71591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生活垃圾</w:t>
                  </w:r>
                </w:p>
              </w:tc>
              <w:tc>
                <w:tcPr>
                  <w:tcW w:w="646" w:type="dxa"/>
                  <w:vAlign w:val="center"/>
                </w:tcPr>
                <w:p w14:paraId="1B0976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固态</w:t>
                  </w:r>
                </w:p>
              </w:tc>
              <w:tc>
                <w:tcPr>
                  <w:tcW w:w="915" w:type="dxa"/>
                  <w:vAlign w:val="center"/>
                </w:tcPr>
                <w:p w14:paraId="6EE7F7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无</w:t>
                  </w:r>
                </w:p>
              </w:tc>
              <w:tc>
                <w:tcPr>
                  <w:tcW w:w="555" w:type="dxa"/>
                  <w:vAlign w:val="center"/>
                </w:tcPr>
                <w:p w14:paraId="316AB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1</w:t>
                  </w:r>
                  <w:r>
                    <w:rPr>
                      <w:rFonts w:hint="eastAsia"/>
                      <w:b w:val="0"/>
                      <w:color w:val="000000"/>
                      <w:sz w:val="21"/>
                      <w:vertAlign w:val="baseline"/>
                      <w:lang w:val="en-US" w:eastAsia="zh-CN"/>
                    </w:rPr>
                    <w:t>2.3</w:t>
                  </w:r>
                  <w:r>
                    <w:rPr>
                      <w:rFonts w:hint="eastAsia" w:ascii="Times New Roman" w:hAnsi="Times New Roman" w:eastAsia="宋体"/>
                      <w:b w:val="0"/>
                      <w:color w:val="000000"/>
                      <w:sz w:val="21"/>
                      <w:vertAlign w:val="baseline"/>
                      <w:lang w:val="en-US" w:eastAsia="zh-CN"/>
                    </w:rPr>
                    <w:t>t/a</w:t>
                  </w:r>
                </w:p>
              </w:tc>
              <w:tc>
                <w:tcPr>
                  <w:tcW w:w="976" w:type="dxa"/>
                  <w:vAlign w:val="center"/>
                </w:tcPr>
                <w:p w14:paraId="2169C2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统一收集</w:t>
                  </w:r>
                </w:p>
              </w:tc>
              <w:tc>
                <w:tcPr>
                  <w:tcW w:w="774" w:type="dxa"/>
                  <w:vAlign w:val="center"/>
                </w:tcPr>
                <w:p w14:paraId="4FBE8F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eastAsia" w:ascii="Times New Roman" w:hAnsi="Times New Roman" w:eastAsia="宋体"/>
                      <w:b w:val="0"/>
                      <w:color w:val="000000"/>
                      <w:sz w:val="21"/>
                      <w:vertAlign w:val="baseline"/>
                      <w:lang w:val="en-US" w:eastAsia="zh-CN"/>
                    </w:rPr>
                    <w:t>暂存于矿区垃圾箱</w:t>
                  </w:r>
                </w:p>
              </w:tc>
              <w:tc>
                <w:tcPr>
                  <w:tcW w:w="774" w:type="dxa"/>
                  <w:vAlign w:val="center"/>
                </w:tcPr>
                <w:p w14:paraId="45D13F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交由环卫部门清运</w:t>
                  </w:r>
                </w:p>
              </w:tc>
              <w:tc>
                <w:tcPr>
                  <w:tcW w:w="774" w:type="dxa"/>
                  <w:vAlign w:val="center"/>
                </w:tcPr>
                <w:p w14:paraId="3E231E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val="0"/>
                      <w:color w:val="000000"/>
                      <w:sz w:val="21"/>
                      <w:vertAlign w:val="baseline"/>
                      <w:lang w:val="en-US" w:eastAsia="zh-CN"/>
                    </w:rPr>
                  </w:pPr>
                  <w:r>
                    <w:rPr>
                      <w:rFonts w:hint="default" w:ascii="Times New Roman" w:hAnsi="Times New Roman" w:eastAsia="宋体"/>
                      <w:b w:val="0"/>
                      <w:color w:val="000000"/>
                      <w:sz w:val="21"/>
                      <w:vertAlign w:val="baseline"/>
                      <w:lang w:val="en-US" w:eastAsia="zh-CN"/>
                    </w:rPr>
                    <w:t>《中华人民共和国固体废物污染环境防治法》</w:t>
                  </w:r>
                </w:p>
              </w:tc>
            </w:tr>
          </w:tbl>
          <w:p w14:paraId="19F77C56">
            <w:pPr>
              <w:pStyle w:val="2"/>
              <w:keepLines w:val="0"/>
              <w:suppressLineNumbers w:val="0"/>
              <w:adjustRightInd w:val="0"/>
              <w:spacing w:before="0" w:beforeAutospacing="0" w:after="0" w:afterAutospacing="0" w:line="520" w:lineRule="exact"/>
              <w:ind w:right="0"/>
              <w:rPr>
                <w:rFonts w:hint="default" w:eastAsia="宋体"/>
                <w:sz w:val="24"/>
                <w:szCs w:val="24"/>
              </w:rPr>
            </w:pPr>
            <w:r>
              <w:rPr>
                <w:rFonts w:hint="default" w:eastAsia="宋体"/>
                <w:sz w:val="24"/>
                <w:szCs w:val="24"/>
              </w:rPr>
              <w:t>6土壤及地下水环境保护措施</w:t>
            </w:r>
          </w:p>
          <w:p w14:paraId="569D6A84">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sz w:val="24"/>
              </w:rPr>
            </w:pPr>
            <w:r>
              <w:rPr>
                <w:rFonts w:hint="default"/>
                <w:sz w:val="24"/>
              </w:rPr>
              <w:t>为防止项目运行期间废水渗入地下，对项目区土壤及地下水造成影响，应对项目区实施分区防渗措施。</w:t>
            </w:r>
          </w:p>
          <w:p w14:paraId="463AAF12">
            <w:pPr>
              <w:keepNext w:val="0"/>
              <w:keepLines w:val="0"/>
              <w:widowControl/>
              <w:suppressLineNumbers w:val="0"/>
              <w:adjustRightInd w:val="0"/>
              <w:snapToGrid w:val="0"/>
              <w:spacing w:before="0" w:beforeAutospacing="0" w:after="0" w:afterAutospacing="0" w:line="520" w:lineRule="exact"/>
              <w:ind w:left="0" w:right="0" w:firstLine="482" w:firstLineChars="200"/>
              <w:jc w:val="left"/>
              <w:rPr>
                <w:rFonts w:hint="default"/>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6.1</w:t>
            </w:r>
            <w:r>
              <w:rPr>
                <w:rFonts w:hint="default"/>
                <w:b/>
                <w:bCs/>
                <w:color w:val="000000" w:themeColor="text1"/>
                <w:sz w:val="24"/>
                <w14:textFill>
                  <w14:solidFill>
                    <w14:schemeClr w14:val="tx1"/>
                  </w14:solidFill>
                </w14:textFill>
              </w:rPr>
              <w:t>简单防渗区</w:t>
            </w:r>
          </w:p>
          <w:p w14:paraId="376DB1F2">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eastAsia="宋体"/>
                <w:color w:val="000000" w:themeColor="text1"/>
                <w:sz w:val="24"/>
                <w:lang w:val="en-US" w:eastAsia="zh-CN"/>
                <w14:textFill>
                  <w14:solidFill>
                    <w14:schemeClr w14:val="tx1"/>
                  </w14:solidFill>
                </w14:textFill>
              </w:rPr>
            </w:pPr>
            <w:r>
              <w:rPr>
                <w:rFonts w:hint="default"/>
                <w:color w:val="000000" w:themeColor="text1"/>
                <w:sz w:val="24"/>
                <w14:textFill>
                  <w14:solidFill>
                    <w14:schemeClr w14:val="tx1"/>
                  </w14:solidFill>
                </w14:textFill>
              </w:rPr>
              <w:t>生活区、厂区道路为简单防渗区。地面进行水泥</w:t>
            </w:r>
            <w:r>
              <w:rPr>
                <w:rFonts w:hint="eastAsia"/>
                <w:color w:val="000000" w:themeColor="text1"/>
                <w:sz w:val="24"/>
                <w:lang w:val="en-US" w:eastAsia="zh-CN"/>
                <w14:textFill>
                  <w14:solidFill>
                    <w14:schemeClr w14:val="tx1"/>
                  </w14:solidFill>
                </w14:textFill>
              </w:rPr>
              <w:t>及碎石</w:t>
            </w:r>
            <w:r>
              <w:rPr>
                <w:rFonts w:hint="default"/>
                <w:color w:val="000000" w:themeColor="text1"/>
                <w:sz w:val="24"/>
                <w14:textFill>
                  <w14:solidFill>
                    <w14:schemeClr w14:val="tx1"/>
                  </w14:solidFill>
                </w14:textFill>
              </w:rPr>
              <w:t>硬化处理</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见附图10。</w:t>
            </w:r>
          </w:p>
          <w:p w14:paraId="58308615">
            <w:pPr>
              <w:keepNext w:val="0"/>
              <w:keepLines w:val="0"/>
              <w:widowControl/>
              <w:suppressLineNumbers w:val="0"/>
              <w:adjustRightInd w:val="0"/>
              <w:snapToGrid w:val="0"/>
              <w:spacing w:before="0" w:beforeAutospacing="0" w:after="0" w:afterAutospacing="0" w:line="520" w:lineRule="exact"/>
              <w:ind w:left="0" w:right="0" w:firstLine="482" w:firstLineChars="200"/>
              <w:jc w:val="left"/>
              <w:rPr>
                <w:rFonts w:hint="default"/>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6.2一般防渗区</w:t>
            </w:r>
          </w:p>
          <w:p w14:paraId="11060A1C">
            <w:pPr>
              <w:keepNext w:val="0"/>
              <w:keepLines w:val="0"/>
              <w:widowControl/>
              <w:suppressLineNumbers w:val="0"/>
              <w:adjustRightInd w:val="0"/>
              <w:snapToGrid w:val="0"/>
              <w:spacing w:before="0" w:beforeAutospacing="0" w:after="0" w:afterAutospacing="0" w:line="52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化粪</w:t>
            </w:r>
            <w:r>
              <w:rPr>
                <w:rFonts w:hint="default"/>
                <w:color w:val="000000" w:themeColor="text1"/>
                <w:sz w:val="24"/>
                <w14:textFill>
                  <w14:solidFill>
                    <w14:schemeClr w14:val="tx1"/>
                  </w14:solidFill>
                </w14:textFill>
              </w:rPr>
              <w:t>池为一般防渗区，</w:t>
            </w:r>
            <w:r>
              <w:rPr>
                <w:rFonts w:hint="eastAsia"/>
                <w:color w:val="000000" w:themeColor="text1"/>
                <w:sz w:val="24"/>
                <w14:textFill>
                  <w14:solidFill>
                    <w14:schemeClr w14:val="tx1"/>
                  </w14:solidFill>
                </w14:textFill>
              </w:rPr>
              <w:t>设计</w:t>
            </w:r>
            <w:r>
              <w:rPr>
                <w:rFonts w:hint="eastAsia"/>
                <w:color w:val="000000" w:themeColor="text1"/>
                <w:sz w:val="24"/>
                <w:lang w:val="en-US" w:eastAsia="zh-CN"/>
                <w14:textFill>
                  <w14:solidFill>
                    <w14:schemeClr w14:val="tx1"/>
                  </w14:solidFill>
                </w14:textFill>
              </w:rPr>
              <w:t>水泥砂浆抹面防渗</w:t>
            </w:r>
            <w:r>
              <w:rPr>
                <w:rFonts w:hint="eastAsia"/>
                <w:color w:val="000000" w:themeColor="text1"/>
                <w:sz w:val="24"/>
                <w14:textFill>
                  <w14:solidFill>
                    <w14:schemeClr w14:val="tx1"/>
                  </w14:solidFill>
                </w14:textFill>
              </w:rPr>
              <w:t>。</w:t>
            </w:r>
          </w:p>
          <w:p w14:paraId="689DD3D0">
            <w:pPr>
              <w:keepNext w:val="0"/>
              <w:keepLines w:val="0"/>
              <w:widowControl/>
              <w:suppressLineNumbers w:val="0"/>
              <w:adjustRightInd w:val="0"/>
              <w:snapToGrid w:val="0"/>
              <w:spacing w:before="0" w:beforeAutospacing="0" w:after="0" w:afterAutospacing="0" w:line="520" w:lineRule="exact"/>
              <w:ind w:left="0" w:right="0" w:firstLine="482" w:firstLineChars="200"/>
              <w:jc w:val="left"/>
              <w:rPr>
                <w:rFonts w:hint="default"/>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6.3重点防渗区</w:t>
            </w:r>
          </w:p>
          <w:p w14:paraId="700E16AF">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color w:val="000000" w:themeColor="text1"/>
                <w:sz w:val="24"/>
                <w14:textFill>
                  <w14:solidFill>
                    <w14:schemeClr w14:val="tx1"/>
                  </w14:solidFill>
                </w14:textFill>
              </w:rPr>
              <w:t>根据《危险废物贮存污染控制标准》（GB18597-2023）中6.1.4</w:t>
            </w:r>
            <w:r>
              <w:rPr>
                <w:rFonts w:hint="default"/>
                <w:color w:val="000000" w:themeColor="text1"/>
                <w:sz w:val="24"/>
                <w:lang w:val="en-US" w:eastAsia="zh-CN"/>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w:t>
            </w:r>
            <w:r>
              <w:rPr>
                <w:rFonts w:hint="eastAsia"/>
                <w:color w:val="000000" w:themeColor="text1"/>
                <w:sz w:val="24"/>
                <w:lang w:val="en-US" w:eastAsia="zh-CN"/>
                <w14:textFill>
                  <w14:solidFill>
                    <w14:schemeClr w14:val="tx1"/>
                  </w14:solidFill>
                </w14:textFill>
              </w:rPr>
              <w:t>10</w:t>
            </w:r>
            <w:r>
              <w:rPr>
                <w:rFonts w:hint="default"/>
                <w:color w:val="000000" w:themeColor="text1"/>
                <w:sz w:val="24"/>
                <w:vertAlign w:val="superscript"/>
                <w:lang w:val="en-US" w:eastAsia="zh-CN"/>
                <w14:textFill>
                  <w14:solidFill>
                    <w14:schemeClr w14:val="tx1"/>
                  </w14:solidFill>
                </w14:textFill>
              </w:rPr>
              <w:t>-7</w:t>
            </w:r>
            <w:r>
              <w:rPr>
                <w:rFonts w:hint="default"/>
                <w:color w:val="000000" w:themeColor="text1"/>
                <w:sz w:val="24"/>
                <w:lang w:val="en-US" w:eastAsia="zh-CN"/>
                <w14:textFill>
                  <w14:solidFill>
                    <w14:schemeClr w14:val="tx1"/>
                  </w14:solidFill>
                </w14:textFill>
              </w:rPr>
              <w:t>cm/s），或至少2mm厚高密度聚乙烯膜等人工防渗材料（渗透系数不大于</w:t>
            </w:r>
            <w:r>
              <w:rPr>
                <w:rFonts w:hint="eastAsia"/>
                <w:color w:val="000000" w:themeColor="text1"/>
                <w:sz w:val="24"/>
                <w:lang w:val="en-US" w:eastAsia="zh-CN"/>
                <w14:textFill>
                  <w14:solidFill>
                    <w14:schemeClr w14:val="tx1"/>
                  </w14:solidFill>
                </w14:textFill>
              </w:rPr>
              <w:t>10</w:t>
            </w:r>
            <w:r>
              <w:rPr>
                <w:rFonts w:hint="default"/>
                <w:color w:val="000000" w:themeColor="text1"/>
                <w:sz w:val="24"/>
                <w:vertAlign w:val="superscript"/>
                <w:lang w:val="en-US" w:eastAsia="zh-CN"/>
                <w14:textFill>
                  <w14:solidFill>
                    <w14:schemeClr w14:val="tx1"/>
                  </w14:solidFill>
                </w14:textFill>
              </w:rPr>
              <w:t>-10</w:t>
            </w:r>
            <w:r>
              <w:rPr>
                <w:rFonts w:hint="default"/>
                <w:color w:val="000000" w:themeColor="text1"/>
                <w:sz w:val="24"/>
                <w:lang w:val="en-US" w:eastAsia="zh-CN"/>
                <w14:textFill>
                  <w14:solidFill>
                    <w14:schemeClr w14:val="tx1"/>
                  </w14:solidFill>
                </w14:textFill>
              </w:rPr>
              <w:t>cm/s），或其他防渗性能等效的材料</w:t>
            </w:r>
            <w:r>
              <w:rPr>
                <w:rFonts w:hint="default"/>
                <w:color w:val="000000" w:themeColor="text1"/>
                <w:sz w:val="24"/>
                <w14:textFill>
                  <w14:solidFill>
                    <w14:schemeClr w14:val="tx1"/>
                  </w14:solidFill>
                </w14:textFill>
              </w:rPr>
              <w:t>。</w:t>
            </w:r>
          </w:p>
          <w:p w14:paraId="6BBA7E96">
            <w:pPr>
              <w:keepNext w:val="0"/>
              <w:keepLines w:val="0"/>
              <w:widowControl/>
              <w:suppressLineNumbers w:val="0"/>
              <w:adjustRightInd w:val="0"/>
              <w:snapToGrid w:val="0"/>
              <w:spacing w:before="0" w:beforeAutospacing="0" w:after="0" w:afterAutospacing="0" w:line="520" w:lineRule="exact"/>
              <w:ind w:left="0" w:right="0" w:firstLine="480" w:firstLineChars="200"/>
              <w:jc w:val="left"/>
              <w:rPr>
                <w:rFonts w:hint="default"/>
                <w:color w:val="000000" w:themeColor="text1"/>
                <w:sz w:val="24"/>
                <w14:textFill>
                  <w14:solidFill>
                    <w14:schemeClr w14:val="tx1"/>
                  </w14:solidFill>
                </w14:textFill>
              </w:rPr>
            </w:pPr>
            <w:r>
              <w:rPr>
                <w:rFonts w:hint="default"/>
                <w:sz w:val="24"/>
              </w:rPr>
              <w:t>为防止项目运行期间</w:t>
            </w:r>
            <w:r>
              <w:rPr>
                <w:rFonts w:hint="eastAsia"/>
                <w:sz w:val="24"/>
                <w:lang w:val="en-US" w:eastAsia="zh-CN"/>
              </w:rPr>
              <w:t>污染物</w:t>
            </w:r>
            <w:r>
              <w:rPr>
                <w:rFonts w:hint="default"/>
                <w:sz w:val="24"/>
              </w:rPr>
              <w:t>渗入地下，对项目区土壤及地下水造成影响，应实施分区防渗措施。</w:t>
            </w:r>
          </w:p>
          <w:p w14:paraId="532022D8">
            <w:pPr>
              <w:keepNext w:val="0"/>
              <w:keepLines w:val="0"/>
              <w:suppressLineNumbers w:val="0"/>
              <w:spacing w:before="0" w:beforeAutospacing="0" w:after="0" w:afterAutospacing="0" w:line="520" w:lineRule="exact"/>
              <w:ind w:left="0" w:right="0"/>
              <w:rPr>
                <w:rFonts w:hint="default"/>
                <w:b/>
                <w:bCs/>
                <w:sz w:val="24"/>
              </w:rPr>
            </w:pPr>
            <w:r>
              <w:rPr>
                <w:rFonts w:hint="eastAsia"/>
                <w:b/>
                <w:bCs/>
                <w:sz w:val="24"/>
              </w:rPr>
              <w:t>7环境风险分析</w:t>
            </w:r>
          </w:p>
          <w:p w14:paraId="58D960C7">
            <w:pPr>
              <w:keepNext w:val="0"/>
              <w:keepLines w:val="0"/>
              <w:suppressLineNumbers w:val="0"/>
              <w:spacing w:before="0" w:beforeAutospacing="0" w:after="0" w:afterAutospacing="0" w:line="520" w:lineRule="exact"/>
              <w:ind w:left="0" w:right="0" w:firstLine="482" w:firstLineChars="200"/>
              <w:rPr>
                <w:rFonts w:hint="default"/>
                <w:b/>
                <w:bCs/>
                <w:sz w:val="24"/>
              </w:rPr>
            </w:pPr>
            <w:r>
              <w:rPr>
                <w:rFonts w:hint="eastAsia"/>
                <w:b/>
                <w:bCs/>
                <w:sz w:val="24"/>
              </w:rPr>
              <w:t>7.1风险识别</w:t>
            </w:r>
          </w:p>
          <w:p w14:paraId="14DF6F5B">
            <w:pPr>
              <w:keepNext w:val="0"/>
              <w:keepLines w:val="0"/>
              <w:suppressLineNumbers w:val="0"/>
              <w:spacing w:before="0" w:beforeAutospacing="0" w:after="0" w:afterAutospacing="0" w:line="520" w:lineRule="exact"/>
              <w:ind w:left="0" w:right="0" w:firstLine="480" w:firstLineChars="200"/>
              <w:rPr>
                <w:rFonts w:hint="default"/>
                <w:kern w:val="0"/>
                <w:sz w:val="24"/>
              </w:rPr>
            </w:pPr>
            <w:r>
              <w:rPr>
                <w:rFonts w:hint="eastAsia"/>
                <w:bCs/>
                <w:kern w:val="0"/>
                <w:sz w:val="24"/>
              </w:rPr>
              <w:t>环境风险是指突发性事故造成的重大环境污染的事件，其特点是危害大、影响范围广、发生概率具有很大的不确定性</w:t>
            </w:r>
            <w:r>
              <w:rPr>
                <w:rFonts w:hint="eastAsia"/>
                <w:kern w:val="0"/>
                <w:sz w:val="24"/>
              </w:rPr>
              <w:t>。环境风险评价的目的是分析和预测项目存在的潜在危险、有害因素，项目建设和运行期间可能发生的突发性事件或事故（一般不包括人为破坏及自然灾害），引起有毒有害和易燃易爆等物质泄漏，针对所造成的人身安全、环境影响及其损害程度，提出合理可行的防范、应急与减缓措施，以使建设项目事故率、损失和环境影响达到可接受水平。</w:t>
            </w:r>
          </w:p>
          <w:p w14:paraId="07C1049A">
            <w:pPr>
              <w:keepNext w:val="0"/>
              <w:keepLines w:val="0"/>
              <w:suppressLineNumbers w:val="0"/>
              <w:spacing w:before="0" w:beforeAutospacing="0" w:after="0" w:afterAutospacing="0" w:line="520" w:lineRule="exact"/>
              <w:ind w:left="0" w:right="0" w:firstLine="480" w:firstLineChars="200"/>
              <w:rPr>
                <w:rFonts w:hint="eastAsia" w:ascii="Times New Roman" w:hAnsi="Times New Roman" w:eastAsia="宋体" w:cs="Times New Roman"/>
                <w:bCs/>
                <w:kern w:val="0"/>
                <w:sz w:val="24"/>
                <w:lang w:val="en-US" w:eastAsia="zh-CN"/>
              </w:rPr>
            </w:pPr>
            <w:r>
              <w:rPr>
                <w:rFonts w:hint="eastAsia" w:ascii="Times New Roman" w:hAnsi="Times New Roman" w:eastAsia="宋体" w:cs="Times New Roman"/>
                <w:bCs/>
                <w:kern w:val="0"/>
                <w:sz w:val="24"/>
              </w:rPr>
              <w:t>本项目</w:t>
            </w:r>
            <w:r>
              <w:rPr>
                <w:rFonts w:hint="eastAsia" w:ascii="Times New Roman" w:hAnsi="Times New Roman" w:eastAsia="宋体" w:cs="Times New Roman"/>
                <w:bCs/>
                <w:kern w:val="0"/>
                <w:sz w:val="24"/>
                <w:lang w:val="en-US" w:eastAsia="zh-CN"/>
              </w:rPr>
              <w:t>爆破作业委托民爆公司进行，不储存爆破用品；柴油</w:t>
            </w:r>
            <w:r>
              <w:rPr>
                <w:rFonts w:hint="eastAsia" w:cs="Times New Roman"/>
                <w:bCs/>
                <w:kern w:val="0"/>
                <w:sz w:val="24"/>
                <w:lang w:val="en-US" w:eastAsia="zh-CN"/>
              </w:rPr>
              <w:t>委托</w:t>
            </w:r>
            <w:r>
              <w:rPr>
                <w:rFonts w:hint="eastAsia" w:ascii="Times New Roman" w:hAnsi="Times New Roman" w:eastAsia="宋体" w:cs="Times New Roman"/>
                <w:bCs/>
                <w:kern w:val="0"/>
                <w:sz w:val="24"/>
                <w:lang w:val="en-US" w:eastAsia="zh-CN"/>
              </w:rPr>
              <w:t>当地供油公司负责运输，现场不储存柴油；</w:t>
            </w:r>
          </w:p>
          <w:p w14:paraId="74D6FBC7">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Times New Roman"/>
                <w:bCs/>
                <w:kern w:val="0"/>
                <w:sz w:val="24"/>
                <w:lang w:val="en-US" w:eastAsia="zh-CN"/>
              </w:rPr>
            </w:pPr>
            <w:r>
              <w:rPr>
                <w:rFonts w:hint="eastAsia" w:ascii="Times New Roman" w:hAnsi="Times New Roman" w:eastAsia="宋体" w:cs="Times New Roman"/>
                <w:bCs/>
                <w:kern w:val="0"/>
                <w:sz w:val="24"/>
                <w:lang w:val="en-US" w:eastAsia="zh-CN"/>
              </w:rPr>
              <w:t>项目区</w:t>
            </w:r>
            <w:r>
              <w:rPr>
                <w:rFonts w:hint="eastAsia" w:cs="Times New Roman"/>
                <w:bCs/>
                <w:kern w:val="0"/>
                <w:sz w:val="24"/>
                <w:lang w:val="en-US" w:eastAsia="zh-CN"/>
              </w:rPr>
              <w:t>建设有机修间，</w:t>
            </w:r>
            <w:r>
              <w:rPr>
                <w:rFonts w:hint="eastAsia" w:ascii="Times New Roman" w:hAnsi="Times New Roman" w:eastAsia="宋体" w:cs="Times New Roman"/>
                <w:bCs/>
                <w:kern w:val="0"/>
                <w:sz w:val="24"/>
                <w:lang w:val="en-US" w:eastAsia="zh-CN"/>
              </w:rPr>
              <w:t>承担矿山生产设备的简单维修和小修</w:t>
            </w:r>
            <w:r>
              <w:rPr>
                <w:rFonts w:hint="eastAsia" w:cs="Times New Roman"/>
                <w:bCs/>
                <w:kern w:val="0"/>
                <w:sz w:val="24"/>
                <w:lang w:val="en-US" w:eastAsia="zh-CN"/>
              </w:rPr>
              <w:t>，更换下来的危险废物暂存危废贮存间，定期交由有资质单位处置；</w:t>
            </w:r>
            <w:r>
              <w:rPr>
                <w:rFonts w:hint="eastAsia" w:ascii="Times New Roman" w:hAnsi="Times New Roman" w:eastAsia="宋体" w:cs="Times New Roman"/>
                <w:bCs/>
                <w:kern w:val="0"/>
                <w:sz w:val="24"/>
                <w:lang w:val="en-US" w:eastAsia="zh-CN"/>
              </w:rPr>
              <w:t>矿山机械设备的大中修委托</w:t>
            </w:r>
            <w:r>
              <w:rPr>
                <w:rFonts w:hint="eastAsia" w:cs="Times New Roman"/>
                <w:bCs/>
                <w:kern w:val="0"/>
                <w:sz w:val="24"/>
                <w:lang w:val="en-US" w:eastAsia="zh-CN"/>
              </w:rPr>
              <w:t>和静县</w:t>
            </w:r>
            <w:r>
              <w:rPr>
                <w:rFonts w:hint="eastAsia" w:ascii="Times New Roman" w:hAnsi="Times New Roman" w:eastAsia="宋体" w:cs="Times New Roman"/>
                <w:bCs/>
                <w:kern w:val="0"/>
                <w:sz w:val="24"/>
                <w:lang w:val="en-US" w:eastAsia="zh-CN"/>
              </w:rPr>
              <w:t>专业汽修公司上门保养，废机油</w:t>
            </w:r>
            <w:r>
              <w:rPr>
                <w:rFonts w:hint="eastAsia" w:cs="Times New Roman"/>
                <w:bCs/>
                <w:kern w:val="0"/>
                <w:sz w:val="24"/>
                <w:lang w:val="en-US" w:eastAsia="zh-CN"/>
              </w:rPr>
              <w:t>由</w:t>
            </w:r>
            <w:r>
              <w:rPr>
                <w:rFonts w:hint="eastAsia" w:ascii="Times New Roman" w:hAnsi="Times New Roman" w:eastAsia="宋体" w:cs="Times New Roman"/>
                <w:bCs/>
                <w:kern w:val="0"/>
                <w:sz w:val="24"/>
                <w:lang w:val="en-US" w:eastAsia="zh-CN"/>
              </w:rPr>
              <w:t>汽修公司带走。</w:t>
            </w:r>
          </w:p>
          <w:p w14:paraId="7549F5B5">
            <w:pPr>
              <w:keepNext w:val="0"/>
              <w:keepLines w:val="0"/>
              <w:suppressLineNumbers w:val="0"/>
              <w:spacing w:before="0" w:beforeAutospacing="0" w:after="0" w:afterAutospacing="0" w:line="520" w:lineRule="exact"/>
              <w:ind w:left="0" w:right="0" w:firstLine="482" w:firstLineChars="200"/>
              <w:rPr>
                <w:rFonts w:hint="eastAsia"/>
                <w:color w:val="FF0000"/>
                <w:sz w:val="24"/>
                <w:lang w:val="en-US" w:eastAsia="zh-CN"/>
              </w:rPr>
            </w:pPr>
            <w:r>
              <w:rPr>
                <w:rFonts w:hint="eastAsia"/>
                <w:b/>
                <w:kern w:val="0"/>
                <w:sz w:val="24"/>
              </w:rPr>
              <w:t>7.2环境风险</w:t>
            </w:r>
            <w:r>
              <w:rPr>
                <w:rFonts w:hint="eastAsia"/>
                <w:b/>
                <w:kern w:val="0"/>
                <w:sz w:val="24"/>
                <w:lang w:val="en-US" w:eastAsia="zh-CN"/>
              </w:rPr>
              <w:t>分析</w:t>
            </w:r>
          </w:p>
          <w:p w14:paraId="2414ECA0">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在进行采矿工程布置的设计过程中，为了确保其稳妥合理，充分参考了《爆破安全规程》中的相关内容，并结合深孔爆破的特点进行了深入分析，经过严谨的设计与计算，最终确定了最小爆破安全距离为300米（背坡面的最小爆破安全距离则确定为250米）。在这个距离之外，爆破产生的冲击波、飞石等危害因素能够得到有效控制。背坡面的最小爆破安全距离则确定为250米，经过专门的计算和评估，确定在这个距离下，同样能够保障周边的安全。</w:t>
            </w:r>
          </w:p>
          <w:p w14:paraId="1F34B575">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基于上述最小爆破安全距离，项目团队精心圈定了爆破警戒范围。该警戒范围涵盖了排土场以及破碎筛分场地等重要区域。在确定安全距离的过程中，项目团队进行了全面而细致地考量，充分考虑了爆破可能产生的各种影响因素。经过严格的评估与分析，确定在当前设计的安全距离下，对附近工作人员不会造成超压破坏等不良影响。</w:t>
            </w:r>
          </w:p>
          <w:p w14:paraId="23E3EFFB">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2" w:firstLineChars="200"/>
              <w:textAlignment w:val="auto"/>
              <w:rPr>
                <w:rFonts w:hint="eastAsia" w:eastAsia="宋体"/>
                <w:b/>
                <w:bCs/>
                <w:color w:val="auto"/>
                <w:sz w:val="24"/>
                <w:szCs w:val="24"/>
                <w:lang w:eastAsia="zh-CN"/>
              </w:rPr>
            </w:pPr>
            <w:r>
              <w:rPr>
                <w:rFonts w:hint="eastAsia"/>
                <w:b/>
                <w:bCs/>
                <w:color w:val="auto"/>
                <w:sz w:val="24"/>
                <w:szCs w:val="24"/>
                <w:lang w:val="en-US" w:eastAsia="zh-CN"/>
              </w:rPr>
              <w:t>7.3</w:t>
            </w:r>
            <w:r>
              <w:rPr>
                <w:rFonts w:hint="eastAsia"/>
                <w:b/>
                <w:bCs/>
                <w:color w:val="auto"/>
                <w:sz w:val="24"/>
                <w:szCs w:val="24"/>
              </w:rPr>
              <w:t>风险防范措施</w:t>
            </w:r>
          </w:p>
          <w:p w14:paraId="2ACD9E8F">
            <w:pPr>
              <w:pStyle w:val="14"/>
              <w:keepNext w:val="0"/>
              <w:keepLines w:val="0"/>
              <w:pageBreakBefore w:val="0"/>
              <w:widowControl w:val="0"/>
              <w:suppressLineNumbers w:val="0"/>
              <w:kinsoku/>
              <w:wordWrap/>
              <w:overflowPunct/>
              <w:topLinePunct w:val="0"/>
              <w:autoSpaceDE/>
              <w:autoSpaceDN/>
              <w:bidi w:val="0"/>
              <w:spacing w:before="0" w:beforeAutospacing="0" w:after="0" w:afterLines="0" w:afterAutospacing="0" w:line="520" w:lineRule="exact"/>
              <w:ind w:left="0" w:leftChars="0" w:right="0" w:firstLine="482" w:firstLineChars="200"/>
              <w:jc w:val="left"/>
              <w:textAlignment w:val="auto"/>
              <w:rPr>
                <w:rFonts w:hint="eastAsia" w:ascii="Times New Roman" w:hAnsi="Times New Roman" w:cs="Times New Roman"/>
                <w:b/>
                <w:bCs/>
                <w:color w:val="auto"/>
                <w:sz w:val="24"/>
                <w:highlight w:val="none"/>
                <w:lang w:eastAsia="zh-CN"/>
              </w:rPr>
            </w:pPr>
            <w:r>
              <w:rPr>
                <w:rFonts w:hint="eastAsia" w:cs="Times New Roman"/>
                <w:b/>
                <w:bCs/>
                <w:color w:val="auto"/>
                <w:sz w:val="24"/>
                <w:highlight w:val="none"/>
                <w:lang w:val="en-US" w:eastAsia="zh-CN"/>
              </w:rPr>
              <w:t>7.3.1</w:t>
            </w:r>
            <w:r>
              <w:rPr>
                <w:rFonts w:hint="default" w:ascii="宋体" w:hAnsi="宋体"/>
                <w:b/>
                <w:bCs/>
                <w:color w:val="auto"/>
                <w:sz w:val="24"/>
              </w:rPr>
              <w:t>危险警戒与撤离区域及信号标志</w:t>
            </w:r>
          </w:p>
          <w:p w14:paraId="3D4C324D">
            <w:pPr>
              <w:pStyle w:val="14"/>
              <w:keepNext w:val="0"/>
              <w:keepLines w:val="0"/>
              <w:pageBreakBefore w:val="0"/>
              <w:widowControl w:val="0"/>
              <w:suppressLineNumbers w:val="0"/>
              <w:kinsoku/>
              <w:wordWrap/>
              <w:overflowPunct/>
              <w:topLinePunct w:val="0"/>
              <w:autoSpaceDE/>
              <w:autoSpaceDN/>
              <w:bidi w:val="0"/>
              <w:spacing w:before="0" w:beforeAutospacing="0" w:after="0" w:afterLines="0" w:afterAutospacing="0" w:line="520" w:lineRule="exact"/>
              <w:ind w:left="0" w:leftChars="0" w:right="0" w:firstLine="480" w:firstLineChars="200"/>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爆破危险区以外的各个路口设立爆破警示牌或标志，爆破前同时发出音响和视觉信号，使危险区内的所有人员都能清楚地听到或看到：</w:t>
            </w:r>
          </w:p>
          <w:p w14:paraId="3B884CFC">
            <w:pPr>
              <w:pStyle w:val="14"/>
              <w:keepNext w:val="0"/>
              <w:keepLines w:val="0"/>
              <w:pageBreakBefore w:val="0"/>
              <w:widowControl w:val="0"/>
              <w:suppressLineNumbers w:val="0"/>
              <w:kinsoku/>
              <w:wordWrap/>
              <w:overflowPunct/>
              <w:topLinePunct w:val="0"/>
              <w:autoSpaceDE/>
              <w:autoSpaceDN/>
              <w:bidi w:val="0"/>
              <w:spacing w:before="0" w:beforeAutospacing="0" w:after="0" w:afterLines="0" w:afterAutospacing="0" w:line="520" w:lineRule="exact"/>
              <w:ind w:left="0" w:leftChars="0" w:right="0" w:firstLine="480" w:firstLineChars="200"/>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第一次信号：预告信号。所有与爆破无关人员立即撤到危险区外或撤到指定的安全地点，并向危险区边界派出警戒人员；</w:t>
            </w:r>
          </w:p>
          <w:p w14:paraId="33FEE010">
            <w:pPr>
              <w:pStyle w:val="14"/>
              <w:keepNext w:val="0"/>
              <w:keepLines w:val="0"/>
              <w:pageBreakBefore w:val="0"/>
              <w:widowControl w:val="0"/>
              <w:suppressLineNumbers w:val="0"/>
              <w:kinsoku/>
              <w:wordWrap/>
              <w:overflowPunct/>
              <w:topLinePunct w:val="0"/>
              <w:autoSpaceDE/>
              <w:autoSpaceDN/>
              <w:bidi w:val="0"/>
              <w:spacing w:before="0" w:beforeAutospacing="0" w:after="0" w:afterLines="0" w:afterAutospacing="0" w:line="520" w:lineRule="exact"/>
              <w:ind w:left="0" w:leftChars="0" w:right="0" w:firstLine="480" w:firstLineChars="200"/>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第二次信号：起爆信号。确认人员、设备全部撤离危险区，具备安全起爆条件时，方准发出起爆信号。根据该信号准许爆破员起爆；</w:t>
            </w:r>
          </w:p>
          <w:p w14:paraId="6E652A9E">
            <w:pPr>
              <w:pStyle w:val="14"/>
              <w:keepNext w:val="0"/>
              <w:keepLines w:val="0"/>
              <w:pageBreakBefore w:val="0"/>
              <w:widowControl w:val="0"/>
              <w:suppressLineNumbers w:val="0"/>
              <w:kinsoku/>
              <w:wordWrap/>
              <w:overflowPunct/>
              <w:topLinePunct w:val="0"/>
              <w:autoSpaceDE/>
              <w:autoSpaceDN/>
              <w:bidi w:val="0"/>
              <w:spacing w:before="0" w:beforeAutospacing="0" w:after="0" w:afterLines="0" w:afterAutospacing="0" w:line="520" w:lineRule="exact"/>
              <w:ind w:left="0" w:leftChars="0" w:right="0" w:firstLine="480" w:firstLineChars="200"/>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第三次信号：未发出解除警戒信号前，岗哨应坚守岗位，除爆破工作领导人批准的检查人员以外，不准任何人进入危险区。经检查</w:t>
            </w:r>
            <w:r>
              <w:rPr>
                <w:rFonts w:hint="eastAsia" w:cs="Times New Roman"/>
                <w:color w:val="auto"/>
                <w:sz w:val="24"/>
                <w:highlight w:val="none"/>
                <w:lang w:eastAsia="zh-CN"/>
              </w:rPr>
              <w:t>确认</w:t>
            </w:r>
            <w:r>
              <w:rPr>
                <w:rFonts w:hint="eastAsia" w:ascii="Times New Roman" w:hAnsi="Times New Roman" w:cs="Times New Roman"/>
                <w:color w:val="auto"/>
                <w:sz w:val="24"/>
                <w:highlight w:val="none"/>
                <w:lang w:eastAsia="zh-CN"/>
              </w:rPr>
              <w:t>安全后，方准发出解除警戒信号。</w:t>
            </w:r>
          </w:p>
          <w:p w14:paraId="0655272D">
            <w:pPr>
              <w:pStyle w:val="14"/>
              <w:keepNext w:val="0"/>
              <w:keepLines w:val="0"/>
              <w:pageBreakBefore w:val="0"/>
              <w:widowControl w:val="0"/>
              <w:suppressLineNumbers w:val="0"/>
              <w:kinsoku/>
              <w:wordWrap/>
              <w:overflowPunct/>
              <w:topLinePunct w:val="0"/>
              <w:autoSpaceDE/>
              <w:autoSpaceDN/>
              <w:bidi w:val="0"/>
              <w:spacing w:before="0" w:beforeAutospacing="0" w:after="0" w:afterLines="0" w:afterAutospacing="0" w:line="520" w:lineRule="exact"/>
              <w:ind w:left="0" w:leftChars="0" w:right="0" w:firstLine="482" w:firstLineChars="200"/>
              <w:jc w:val="left"/>
              <w:textAlignment w:val="auto"/>
              <w:rPr>
                <w:rFonts w:hint="default" w:ascii="宋体" w:hAnsi="宋体"/>
                <w:b/>
                <w:color w:val="auto"/>
                <w:sz w:val="24"/>
              </w:rPr>
            </w:pPr>
            <w:r>
              <w:rPr>
                <w:rFonts w:hint="eastAsia" w:cs="Times New Roman"/>
                <w:b/>
                <w:bCs/>
                <w:color w:val="auto"/>
                <w:sz w:val="24"/>
                <w:highlight w:val="none"/>
                <w:lang w:val="en-US" w:eastAsia="zh-CN"/>
              </w:rPr>
              <w:t>7.3.2</w:t>
            </w:r>
            <w:r>
              <w:rPr>
                <w:rFonts w:hint="default" w:ascii="宋体" w:hAnsi="宋体"/>
                <w:b/>
                <w:color w:val="auto"/>
                <w:sz w:val="24"/>
              </w:rPr>
              <w:t>主要设施与设备的安全防护</w:t>
            </w:r>
          </w:p>
          <w:p w14:paraId="2899B4B9">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eastAsia="zh-CN"/>
              </w:rPr>
              <w:t>（</w:t>
            </w:r>
            <w:r>
              <w:rPr>
                <w:rFonts w:hint="eastAsia"/>
                <w:bCs/>
                <w:color w:val="auto"/>
                <w:kern w:val="0"/>
                <w:sz w:val="24"/>
                <w:szCs w:val="24"/>
                <w:lang w:val="en-US" w:eastAsia="zh-CN"/>
              </w:rPr>
              <w:t>1</w:t>
            </w:r>
            <w:r>
              <w:rPr>
                <w:rFonts w:hint="eastAsia"/>
                <w:bCs/>
                <w:color w:val="auto"/>
                <w:kern w:val="0"/>
                <w:sz w:val="24"/>
                <w:szCs w:val="24"/>
                <w:lang w:eastAsia="zh-CN"/>
              </w:rPr>
              <w:t>）加强安全教育，贯彻“以人为本”的指导思想，坚持安全发展，坚持“安全第一，预防为主，综合治理”的安全生产方针，严防爆破事故的出现。</w:t>
            </w:r>
          </w:p>
          <w:p w14:paraId="4B2F0C8D">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eastAsia="zh-CN"/>
              </w:rPr>
              <w:t>（</w:t>
            </w:r>
            <w:r>
              <w:rPr>
                <w:rFonts w:hint="eastAsia"/>
                <w:bCs/>
                <w:color w:val="auto"/>
                <w:kern w:val="0"/>
                <w:sz w:val="24"/>
                <w:szCs w:val="24"/>
                <w:lang w:val="en-US" w:eastAsia="zh-CN"/>
              </w:rPr>
              <w:t>2</w:t>
            </w:r>
            <w:r>
              <w:rPr>
                <w:rFonts w:hint="eastAsia"/>
                <w:bCs/>
                <w:color w:val="auto"/>
                <w:kern w:val="0"/>
                <w:sz w:val="24"/>
                <w:szCs w:val="24"/>
                <w:lang w:eastAsia="zh-CN"/>
              </w:rPr>
              <w:t>）爆破作业点有下列情形之一时，禁止进行爆破作业：</w:t>
            </w:r>
          </w:p>
          <w:p w14:paraId="2B5E2129">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①</w:t>
            </w:r>
            <w:r>
              <w:rPr>
                <w:rFonts w:hint="eastAsia"/>
                <w:bCs/>
                <w:color w:val="auto"/>
                <w:kern w:val="0"/>
                <w:sz w:val="24"/>
                <w:szCs w:val="24"/>
                <w:lang w:eastAsia="zh-CN"/>
              </w:rPr>
              <w:t>有边坡滑落危险；</w:t>
            </w:r>
          </w:p>
          <w:p w14:paraId="69C4E1B4">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②</w:t>
            </w:r>
            <w:r>
              <w:rPr>
                <w:rFonts w:hint="eastAsia"/>
                <w:bCs/>
                <w:color w:val="auto"/>
                <w:kern w:val="0"/>
                <w:sz w:val="24"/>
                <w:szCs w:val="24"/>
                <w:lang w:eastAsia="zh-CN"/>
              </w:rPr>
              <w:t>工作面有涌水危险或炮眼温度异常；</w:t>
            </w:r>
          </w:p>
          <w:p w14:paraId="0CA42306">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③</w:t>
            </w:r>
            <w:r>
              <w:rPr>
                <w:rFonts w:hint="eastAsia"/>
                <w:bCs/>
                <w:color w:val="auto"/>
                <w:kern w:val="0"/>
                <w:sz w:val="24"/>
                <w:szCs w:val="24"/>
                <w:lang w:eastAsia="zh-CN"/>
              </w:rPr>
              <w:t>危及设备或建筑物安全，无有效防护措施；</w:t>
            </w:r>
          </w:p>
          <w:p w14:paraId="733F6034">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④</w:t>
            </w:r>
            <w:r>
              <w:rPr>
                <w:rFonts w:hint="eastAsia"/>
                <w:bCs/>
                <w:color w:val="auto"/>
                <w:kern w:val="0"/>
                <w:sz w:val="24"/>
                <w:szCs w:val="24"/>
                <w:lang w:eastAsia="zh-CN"/>
              </w:rPr>
              <w:t>危险区边界上未设警戒；</w:t>
            </w:r>
          </w:p>
          <w:p w14:paraId="5BA691CB">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⑤</w:t>
            </w:r>
            <w:r>
              <w:rPr>
                <w:rFonts w:hint="eastAsia"/>
                <w:bCs/>
                <w:color w:val="auto"/>
                <w:kern w:val="0"/>
                <w:sz w:val="24"/>
                <w:szCs w:val="24"/>
                <w:lang w:eastAsia="zh-CN"/>
              </w:rPr>
              <w:t>作业面杂散电流大于30mA和遇到浓雾、雷雨及黑夜。</w:t>
            </w:r>
          </w:p>
          <w:p w14:paraId="7FE80585">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eastAsia="zh-CN"/>
              </w:rPr>
              <w:t>（</w:t>
            </w:r>
            <w:r>
              <w:rPr>
                <w:rFonts w:hint="eastAsia"/>
                <w:bCs/>
                <w:color w:val="auto"/>
                <w:kern w:val="0"/>
                <w:sz w:val="24"/>
                <w:szCs w:val="24"/>
                <w:lang w:val="en-US" w:eastAsia="zh-CN"/>
              </w:rPr>
              <w:t>3</w:t>
            </w:r>
            <w:r>
              <w:rPr>
                <w:rFonts w:hint="eastAsia"/>
                <w:bCs/>
                <w:color w:val="auto"/>
                <w:kern w:val="0"/>
                <w:sz w:val="24"/>
                <w:szCs w:val="24"/>
                <w:lang w:eastAsia="zh-CN"/>
              </w:rPr>
              <w:t>）禁止进行爆破器材加工和爆破作业的人员穿化纤衣服，爆破员必须持证上岗，严禁在残眼上打眼。</w:t>
            </w:r>
          </w:p>
          <w:p w14:paraId="1B20FA15">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eastAsia="zh-CN"/>
              </w:rPr>
              <w:t>（</w:t>
            </w:r>
            <w:r>
              <w:rPr>
                <w:rFonts w:hint="eastAsia"/>
                <w:bCs/>
                <w:color w:val="auto"/>
                <w:kern w:val="0"/>
                <w:sz w:val="24"/>
                <w:szCs w:val="24"/>
                <w:lang w:val="en-US" w:eastAsia="zh-CN"/>
              </w:rPr>
              <w:t>4</w:t>
            </w:r>
            <w:r>
              <w:rPr>
                <w:rFonts w:hint="eastAsia"/>
                <w:bCs/>
                <w:color w:val="auto"/>
                <w:kern w:val="0"/>
                <w:sz w:val="24"/>
                <w:szCs w:val="24"/>
                <w:lang w:eastAsia="zh-CN"/>
              </w:rPr>
              <w:t>）装药工作必须遵守下列规定：</w:t>
            </w:r>
          </w:p>
          <w:p w14:paraId="40B91945">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①</w:t>
            </w:r>
            <w:r>
              <w:rPr>
                <w:rFonts w:hint="eastAsia"/>
                <w:bCs/>
                <w:color w:val="auto"/>
                <w:kern w:val="0"/>
                <w:sz w:val="24"/>
                <w:szCs w:val="24"/>
                <w:lang w:eastAsia="zh-CN"/>
              </w:rPr>
              <w:t>装药前应对炮孔清理和验收；</w:t>
            </w:r>
          </w:p>
          <w:p w14:paraId="0C4924BA">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②</w:t>
            </w:r>
            <w:r>
              <w:rPr>
                <w:rFonts w:hint="eastAsia"/>
                <w:bCs/>
                <w:color w:val="auto"/>
                <w:kern w:val="0"/>
                <w:sz w:val="24"/>
                <w:szCs w:val="24"/>
                <w:lang w:eastAsia="zh-CN"/>
              </w:rPr>
              <w:t>使用木质或竹质炮棍装药；</w:t>
            </w:r>
          </w:p>
          <w:p w14:paraId="1840B4C9">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③</w:t>
            </w:r>
            <w:r>
              <w:rPr>
                <w:rFonts w:hint="eastAsia"/>
                <w:bCs/>
                <w:color w:val="auto"/>
                <w:kern w:val="0"/>
                <w:sz w:val="24"/>
                <w:szCs w:val="24"/>
                <w:lang w:eastAsia="zh-CN"/>
              </w:rPr>
              <w:t>装起爆药包或起爆药柱时，严禁投掷或冲击；</w:t>
            </w:r>
          </w:p>
          <w:p w14:paraId="413539BB">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④</w:t>
            </w:r>
            <w:r>
              <w:rPr>
                <w:rFonts w:hint="eastAsia"/>
                <w:bCs/>
                <w:color w:val="auto"/>
                <w:kern w:val="0"/>
                <w:sz w:val="24"/>
                <w:szCs w:val="24"/>
                <w:lang w:eastAsia="zh-CN"/>
              </w:rPr>
              <w:t>禁止烟火或明火照明。</w:t>
            </w:r>
          </w:p>
          <w:p w14:paraId="0C6BA63A">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eastAsia="zh-CN"/>
              </w:rPr>
              <w:t>（</w:t>
            </w:r>
            <w:r>
              <w:rPr>
                <w:rFonts w:hint="eastAsia"/>
                <w:bCs/>
                <w:color w:val="auto"/>
                <w:kern w:val="0"/>
                <w:sz w:val="24"/>
                <w:szCs w:val="24"/>
                <w:lang w:val="en-US" w:eastAsia="zh-CN"/>
              </w:rPr>
              <w:t>5</w:t>
            </w:r>
            <w:r>
              <w:rPr>
                <w:rFonts w:hint="eastAsia"/>
                <w:bCs/>
                <w:color w:val="auto"/>
                <w:kern w:val="0"/>
                <w:sz w:val="24"/>
                <w:szCs w:val="24"/>
                <w:lang w:eastAsia="zh-CN"/>
              </w:rPr>
              <w:t>）填塞工作必须遵守下列规定</w:t>
            </w:r>
          </w:p>
          <w:p w14:paraId="773596A4">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①</w:t>
            </w:r>
            <w:r>
              <w:rPr>
                <w:rFonts w:hint="eastAsia"/>
                <w:bCs/>
                <w:color w:val="auto"/>
                <w:kern w:val="0"/>
                <w:sz w:val="24"/>
                <w:szCs w:val="24"/>
                <w:lang w:eastAsia="zh-CN"/>
              </w:rPr>
              <w:t>装药前必须保证填塞质量，禁止使用无填塞爆破；</w:t>
            </w:r>
          </w:p>
          <w:p w14:paraId="6B2C8E0A">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②</w:t>
            </w:r>
            <w:r>
              <w:rPr>
                <w:rFonts w:hint="eastAsia"/>
                <w:bCs/>
                <w:color w:val="auto"/>
                <w:kern w:val="0"/>
                <w:sz w:val="24"/>
                <w:szCs w:val="24"/>
                <w:lang w:eastAsia="zh-CN"/>
              </w:rPr>
              <w:t>禁止使用石块和易燃材料填塞炮孔，填塞时不得破坏起爆线路；</w:t>
            </w:r>
          </w:p>
          <w:p w14:paraId="337F0A88">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③</w:t>
            </w:r>
            <w:r>
              <w:rPr>
                <w:rFonts w:hint="eastAsia"/>
                <w:bCs/>
                <w:color w:val="auto"/>
                <w:kern w:val="0"/>
                <w:sz w:val="24"/>
                <w:szCs w:val="24"/>
                <w:lang w:eastAsia="zh-CN"/>
              </w:rPr>
              <w:t>禁止捣固直接接触药包的填塞材料或用填塞材料冲击起爆药包；</w:t>
            </w:r>
          </w:p>
          <w:p w14:paraId="19C35D44">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④</w:t>
            </w:r>
            <w:r>
              <w:rPr>
                <w:rFonts w:hint="eastAsia"/>
                <w:bCs/>
                <w:color w:val="auto"/>
                <w:kern w:val="0"/>
                <w:sz w:val="24"/>
                <w:szCs w:val="24"/>
                <w:lang w:eastAsia="zh-CN"/>
              </w:rPr>
              <w:t>禁止拔出或硬拉起爆药包或药柱中的雷管脚线。</w:t>
            </w:r>
          </w:p>
          <w:p w14:paraId="11C51707">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eastAsia="zh-CN"/>
              </w:rPr>
              <w:t>（</w:t>
            </w:r>
            <w:r>
              <w:rPr>
                <w:rFonts w:hint="eastAsia"/>
                <w:bCs/>
                <w:color w:val="auto"/>
                <w:kern w:val="0"/>
                <w:sz w:val="24"/>
                <w:szCs w:val="24"/>
                <w:lang w:val="en-US" w:eastAsia="zh-CN"/>
              </w:rPr>
              <w:t>6</w:t>
            </w:r>
            <w:r>
              <w:rPr>
                <w:rFonts w:hint="eastAsia"/>
                <w:bCs/>
                <w:color w:val="auto"/>
                <w:kern w:val="0"/>
                <w:sz w:val="24"/>
                <w:szCs w:val="24"/>
                <w:lang w:eastAsia="zh-CN"/>
              </w:rPr>
              <w:t>）敷设起爆网络时防止错接、漏接，遇雷雨时应使其绝缘并悬空。</w:t>
            </w:r>
          </w:p>
          <w:p w14:paraId="3469CDF0">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eastAsia="zh-CN"/>
              </w:rPr>
              <w:t>（</w:t>
            </w:r>
            <w:r>
              <w:rPr>
                <w:rFonts w:hint="eastAsia"/>
                <w:bCs/>
                <w:color w:val="auto"/>
                <w:kern w:val="0"/>
                <w:sz w:val="24"/>
                <w:szCs w:val="24"/>
                <w:lang w:val="en-US" w:eastAsia="zh-CN"/>
              </w:rPr>
              <w:t>7</w:t>
            </w:r>
            <w:r>
              <w:rPr>
                <w:rFonts w:hint="eastAsia"/>
                <w:bCs/>
                <w:color w:val="auto"/>
                <w:kern w:val="0"/>
                <w:sz w:val="24"/>
                <w:szCs w:val="24"/>
                <w:lang w:eastAsia="zh-CN"/>
              </w:rPr>
              <w:t>）炮响完后，不少于15min，才准爆破工作人员进入爆破作业点。</w:t>
            </w:r>
          </w:p>
          <w:p w14:paraId="3DA5FE83">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eastAsia="zh-CN"/>
              </w:rPr>
              <w:t>（</w:t>
            </w:r>
            <w:r>
              <w:rPr>
                <w:rFonts w:hint="eastAsia"/>
                <w:bCs/>
                <w:color w:val="auto"/>
                <w:kern w:val="0"/>
                <w:sz w:val="24"/>
                <w:szCs w:val="24"/>
                <w:lang w:val="en-US" w:eastAsia="zh-CN"/>
              </w:rPr>
              <w:t>8</w:t>
            </w:r>
            <w:r>
              <w:rPr>
                <w:rFonts w:hint="eastAsia"/>
                <w:bCs/>
                <w:color w:val="auto"/>
                <w:kern w:val="0"/>
                <w:sz w:val="24"/>
                <w:szCs w:val="24"/>
                <w:lang w:eastAsia="zh-CN"/>
              </w:rPr>
              <w:t>）爆破后的安全检查及处理：</w:t>
            </w:r>
          </w:p>
          <w:p w14:paraId="33C8CDD2">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①</w:t>
            </w:r>
            <w:r>
              <w:rPr>
                <w:rFonts w:hint="eastAsia"/>
                <w:bCs/>
                <w:color w:val="auto"/>
                <w:kern w:val="0"/>
                <w:sz w:val="24"/>
                <w:szCs w:val="24"/>
                <w:lang w:eastAsia="zh-CN"/>
              </w:rPr>
              <w:t>爆破员必须按规定的等待时间进入爆破地点，检查有无危石、盲炮等现象。如有，应及时处理；未处理前应在现场设立危险警示或标志；</w:t>
            </w:r>
          </w:p>
          <w:p w14:paraId="4244629D">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②</w:t>
            </w:r>
            <w:r>
              <w:rPr>
                <w:rFonts w:hint="eastAsia"/>
                <w:bCs/>
                <w:color w:val="auto"/>
                <w:kern w:val="0"/>
                <w:sz w:val="24"/>
                <w:szCs w:val="24"/>
                <w:lang w:eastAsia="zh-CN"/>
              </w:rPr>
              <w:t>确认爆破作业点安全，方准人员进入；</w:t>
            </w:r>
          </w:p>
          <w:p w14:paraId="270B6DC1">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③</w:t>
            </w:r>
            <w:r>
              <w:rPr>
                <w:rFonts w:hint="eastAsia"/>
                <w:bCs/>
                <w:color w:val="auto"/>
                <w:kern w:val="0"/>
                <w:sz w:val="24"/>
                <w:szCs w:val="24"/>
                <w:lang w:eastAsia="zh-CN"/>
              </w:rPr>
              <w:t>盲炮处理必须遵守下列规定：</w:t>
            </w:r>
          </w:p>
          <w:p w14:paraId="4DEE755F">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④</w:t>
            </w:r>
            <w:r>
              <w:rPr>
                <w:rFonts w:hint="eastAsia"/>
                <w:bCs/>
                <w:color w:val="auto"/>
                <w:kern w:val="0"/>
                <w:sz w:val="24"/>
                <w:szCs w:val="24"/>
                <w:lang w:eastAsia="zh-CN"/>
              </w:rPr>
              <w:t>发现或怀疑有盲炮时，应立即报告并及时处理，若不能及时处理，应在附近设置明显标志，并采取相应安全措施；</w:t>
            </w:r>
          </w:p>
          <w:p w14:paraId="488A3474">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⑤</w:t>
            </w:r>
            <w:r>
              <w:rPr>
                <w:rFonts w:hint="eastAsia"/>
                <w:bCs/>
                <w:color w:val="auto"/>
                <w:kern w:val="0"/>
                <w:sz w:val="24"/>
                <w:szCs w:val="24"/>
                <w:lang w:eastAsia="zh-CN"/>
              </w:rPr>
              <w:t>处理时，无关人员不准在场，应在危险区边界设警戒，危险区内禁止其他作业；</w:t>
            </w:r>
          </w:p>
          <w:p w14:paraId="31F3921B">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val="en-US" w:eastAsia="zh-CN"/>
              </w:rPr>
              <w:t>⑥</w:t>
            </w:r>
            <w:r>
              <w:rPr>
                <w:rFonts w:hint="eastAsia"/>
                <w:bCs/>
                <w:color w:val="auto"/>
                <w:kern w:val="0"/>
                <w:sz w:val="24"/>
                <w:szCs w:val="24"/>
                <w:lang w:eastAsia="zh-CN"/>
              </w:rPr>
              <w:t>可采取下列方法处理盲炮：经检查确认炮孔起爆线路完好时，可重新起爆；或打平行眼装药后进行殉爆；或轻轻掏出炮眼内大部分填塞物，用聚能爆破诱爆。</w:t>
            </w:r>
          </w:p>
          <w:p w14:paraId="2A207337">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eastAsia"/>
                <w:bCs/>
                <w:color w:val="auto"/>
                <w:kern w:val="0"/>
                <w:sz w:val="24"/>
                <w:szCs w:val="24"/>
                <w:lang w:eastAsia="zh-CN"/>
              </w:rPr>
            </w:pPr>
            <w:r>
              <w:rPr>
                <w:rFonts w:hint="eastAsia"/>
                <w:bCs/>
                <w:color w:val="auto"/>
                <w:kern w:val="0"/>
                <w:sz w:val="24"/>
                <w:szCs w:val="24"/>
                <w:lang w:eastAsia="zh-CN"/>
              </w:rPr>
              <w:t>以上未尽事宜，按《爆破安全规程》（GB6722－2014）有关规定执行。</w:t>
            </w:r>
          </w:p>
          <w:p w14:paraId="3BC3CD9E">
            <w:pPr>
              <w:keepNext w:val="0"/>
              <w:keepLines w:val="0"/>
              <w:pageBreakBefore w:val="0"/>
              <w:widowControl w:val="0"/>
              <w:suppressLineNumbers w:val="0"/>
              <w:kinsoku/>
              <w:wordWrap/>
              <w:overflowPunct/>
              <w:topLinePunct w:val="0"/>
              <w:bidi w:val="0"/>
              <w:snapToGrid/>
              <w:spacing w:before="0" w:beforeAutospacing="0" w:after="0" w:afterAutospacing="0" w:line="520" w:lineRule="exact"/>
              <w:ind w:left="0" w:right="0" w:firstLine="480" w:firstLineChars="200"/>
              <w:textAlignment w:val="auto"/>
              <w:rPr>
                <w:rFonts w:hint="default"/>
              </w:rPr>
            </w:pPr>
            <w:r>
              <w:rPr>
                <w:rFonts w:hint="eastAsia"/>
                <w:bCs/>
                <w:color w:val="auto"/>
                <w:kern w:val="0"/>
                <w:sz w:val="24"/>
                <w:szCs w:val="24"/>
                <w:lang w:eastAsia="zh-CN"/>
              </w:rPr>
              <w:t>（</w:t>
            </w:r>
            <w:r>
              <w:rPr>
                <w:rFonts w:hint="eastAsia"/>
                <w:bCs/>
                <w:color w:val="auto"/>
                <w:kern w:val="0"/>
                <w:sz w:val="24"/>
                <w:szCs w:val="24"/>
                <w:lang w:val="en-US" w:eastAsia="zh-CN"/>
              </w:rPr>
              <w:t>7</w:t>
            </w:r>
            <w:r>
              <w:rPr>
                <w:rFonts w:hint="eastAsia"/>
                <w:bCs/>
                <w:color w:val="auto"/>
                <w:kern w:val="0"/>
                <w:sz w:val="24"/>
                <w:szCs w:val="24"/>
                <w:lang w:eastAsia="zh-CN"/>
              </w:rPr>
              <w:t>）出现雷雨天、浓雾天、六级以上大风天气停止露天爆破作业。</w:t>
            </w:r>
          </w:p>
        </w:tc>
      </w:tr>
      <w:tr w14:paraId="0B88E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02" w:hRule="atLeast"/>
          <w:jc w:val="center"/>
        </w:trPr>
        <w:tc>
          <w:tcPr>
            <w:tcW w:w="351" w:type="pct"/>
            <w:vAlign w:val="center"/>
          </w:tcPr>
          <w:p w14:paraId="5B5565A8">
            <w:pPr>
              <w:keepNext w:val="0"/>
              <w:keepLines w:val="0"/>
              <w:suppressLineNumbers w:val="0"/>
              <w:adjustRightInd w:val="0"/>
              <w:snapToGrid w:val="0"/>
              <w:spacing w:before="0" w:beforeAutospacing="0" w:after="0" w:afterAutospacing="0"/>
              <w:ind w:left="0" w:right="0"/>
              <w:jc w:val="center"/>
              <w:rPr>
                <w:rFonts w:hint="default" w:ascii="宋体" w:hAnsi="宋体" w:cs="宋体"/>
                <w:bCs/>
                <w:spacing w:val="10"/>
                <w:szCs w:val="21"/>
              </w:rPr>
            </w:pPr>
            <w:r>
              <w:rPr>
                <w:rFonts w:hint="eastAsia" w:ascii="宋体" w:hAnsi="宋体"/>
                <w:bCs/>
                <w:szCs w:val="21"/>
              </w:rPr>
              <w:t>其他</w:t>
            </w:r>
          </w:p>
        </w:tc>
        <w:tc>
          <w:tcPr>
            <w:tcW w:w="4648" w:type="pct"/>
          </w:tcPr>
          <w:p w14:paraId="5E06DD3B">
            <w:pPr>
              <w:keepNext w:val="0"/>
              <w:keepLines w:val="0"/>
              <w:suppressLineNumbers w:val="0"/>
              <w:adjustRightInd w:val="0"/>
              <w:snapToGrid w:val="0"/>
              <w:spacing w:before="0" w:beforeAutospacing="0" w:after="0" w:afterAutospacing="0" w:line="520" w:lineRule="exact"/>
              <w:ind w:left="0" w:right="0"/>
              <w:rPr>
                <w:rFonts w:hint="default"/>
                <w:b/>
                <w:sz w:val="24"/>
              </w:rPr>
            </w:pPr>
            <w:r>
              <w:rPr>
                <w:rFonts w:hint="eastAsia"/>
                <w:b/>
                <w:sz w:val="24"/>
              </w:rPr>
              <w:t>1闭矿后对环境的影响分析及复垦措施</w:t>
            </w:r>
          </w:p>
          <w:p w14:paraId="0D37FFB9">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sz w:val="24"/>
              </w:rPr>
            </w:pPr>
            <w:r>
              <w:rPr>
                <w:rFonts w:hint="eastAsia"/>
                <w:b/>
                <w:bCs/>
                <w:sz w:val="24"/>
              </w:rPr>
              <w:t>1.1闭矿后环境影响分析</w:t>
            </w:r>
          </w:p>
          <w:p w14:paraId="74FB971C">
            <w:pPr>
              <w:keepNext w:val="0"/>
              <w:keepLines w:val="0"/>
              <w:suppressLineNumbers w:val="0"/>
              <w:adjustRightInd w:val="0"/>
              <w:snapToGrid w:val="0"/>
              <w:spacing w:before="0" w:beforeAutospacing="0" w:after="0" w:afterAutospacing="0" w:line="520" w:lineRule="exact"/>
              <w:ind w:left="0" w:right="0" w:firstLine="540" w:firstLineChars="225"/>
              <w:rPr>
                <w:rFonts w:hint="default"/>
                <w:sz w:val="24"/>
              </w:rPr>
            </w:pPr>
            <w:r>
              <w:rPr>
                <w:rFonts w:hint="eastAsia"/>
                <w:sz w:val="24"/>
              </w:rPr>
              <w:t>（</w:t>
            </w:r>
            <w:r>
              <w:rPr>
                <w:rFonts w:hint="default"/>
                <w:sz w:val="24"/>
              </w:rPr>
              <w:t>1</w:t>
            </w:r>
            <w:r>
              <w:rPr>
                <w:rFonts w:hint="eastAsia"/>
                <w:sz w:val="24"/>
              </w:rPr>
              <w:t>）大气环境的影响</w:t>
            </w:r>
          </w:p>
          <w:p w14:paraId="47B514B8">
            <w:pPr>
              <w:keepNext w:val="0"/>
              <w:keepLines w:val="0"/>
              <w:suppressLineNumbers w:val="0"/>
              <w:adjustRightInd w:val="0"/>
              <w:snapToGrid w:val="0"/>
              <w:spacing w:before="0" w:beforeAutospacing="0" w:after="0" w:afterAutospacing="0" w:line="520" w:lineRule="exact"/>
              <w:ind w:left="0" w:right="0" w:firstLine="496" w:firstLineChars="200"/>
              <w:rPr>
                <w:rFonts w:hint="default"/>
                <w:sz w:val="24"/>
                <w:szCs w:val="28"/>
              </w:rPr>
            </w:pPr>
            <w:r>
              <w:rPr>
                <w:rFonts w:hint="eastAsia"/>
                <w:spacing w:val="4"/>
                <w:sz w:val="24"/>
              </w:rPr>
              <w:t>建（构）筑物在分拆的过程中，会瞬间产生一定量的扬尘，其属于无组织排放，且因分布地点不同，且分拆的时间不同，产生的扬尘对大气环境影响较小。</w:t>
            </w:r>
          </w:p>
          <w:p w14:paraId="2D8154FF">
            <w:pPr>
              <w:keepNext w:val="0"/>
              <w:keepLines w:val="0"/>
              <w:suppressLineNumbers w:val="0"/>
              <w:adjustRightInd w:val="0"/>
              <w:snapToGrid w:val="0"/>
              <w:spacing w:before="0" w:beforeAutospacing="0" w:after="0" w:afterAutospacing="0" w:line="520" w:lineRule="exact"/>
              <w:ind w:left="0" w:right="0" w:firstLine="540" w:firstLineChars="225"/>
              <w:rPr>
                <w:rFonts w:hint="default"/>
                <w:sz w:val="24"/>
              </w:rPr>
            </w:pPr>
            <w:r>
              <w:rPr>
                <w:rFonts w:hint="eastAsia"/>
                <w:sz w:val="24"/>
              </w:rPr>
              <w:t>（</w:t>
            </w:r>
            <w:r>
              <w:rPr>
                <w:rFonts w:hint="default"/>
                <w:sz w:val="24"/>
              </w:rPr>
              <w:t>2</w:t>
            </w:r>
            <w:r>
              <w:rPr>
                <w:rFonts w:hint="eastAsia"/>
                <w:sz w:val="24"/>
              </w:rPr>
              <w:t>）水环境的影响</w:t>
            </w:r>
          </w:p>
          <w:p w14:paraId="2A052CE6">
            <w:pPr>
              <w:keepNext w:val="0"/>
              <w:keepLines w:val="0"/>
              <w:suppressLineNumbers w:val="0"/>
              <w:adjustRightInd w:val="0"/>
              <w:snapToGrid w:val="0"/>
              <w:spacing w:before="0" w:beforeAutospacing="0" w:after="0" w:afterAutospacing="0" w:line="520" w:lineRule="exact"/>
              <w:ind w:left="0" w:right="0" w:firstLine="496" w:firstLineChars="200"/>
              <w:rPr>
                <w:rFonts w:hint="default"/>
                <w:kern w:val="0"/>
                <w:sz w:val="24"/>
                <w:szCs w:val="28"/>
              </w:rPr>
            </w:pPr>
            <w:r>
              <w:rPr>
                <w:rFonts w:hint="eastAsia"/>
                <w:spacing w:val="4"/>
                <w:sz w:val="24"/>
              </w:rPr>
              <w:t>建（构）筑物</w:t>
            </w:r>
            <w:r>
              <w:rPr>
                <w:rFonts w:hint="eastAsia"/>
                <w:spacing w:val="4"/>
                <w:kern w:val="0"/>
                <w:sz w:val="24"/>
              </w:rPr>
              <w:t>分拆过程中，设备会存在一定量的积水，但其存水量较小，不会对水环境产生影响。</w:t>
            </w:r>
          </w:p>
          <w:p w14:paraId="5DF19798">
            <w:pPr>
              <w:keepNext w:val="0"/>
              <w:keepLines w:val="0"/>
              <w:suppressLineNumbers w:val="0"/>
              <w:adjustRightInd w:val="0"/>
              <w:snapToGrid w:val="0"/>
              <w:spacing w:before="0" w:beforeAutospacing="0" w:after="0" w:afterAutospacing="0" w:line="520" w:lineRule="exact"/>
              <w:ind w:left="0" w:right="0" w:firstLine="540" w:firstLineChars="225"/>
              <w:rPr>
                <w:rFonts w:hint="default"/>
                <w:sz w:val="24"/>
              </w:rPr>
            </w:pPr>
            <w:r>
              <w:rPr>
                <w:rFonts w:hint="eastAsia"/>
                <w:sz w:val="24"/>
              </w:rPr>
              <w:t>（</w:t>
            </w:r>
            <w:r>
              <w:rPr>
                <w:rFonts w:hint="default"/>
                <w:sz w:val="24"/>
              </w:rPr>
              <w:t>3</w:t>
            </w:r>
            <w:r>
              <w:rPr>
                <w:rFonts w:hint="eastAsia"/>
                <w:sz w:val="24"/>
              </w:rPr>
              <w:t>）声环境的影响</w:t>
            </w:r>
          </w:p>
          <w:p w14:paraId="61E8946F">
            <w:pPr>
              <w:keepNext w:val="0"/>
              <w:keepLines w:val="0"/>
              <w:suppressLineNumbers w:val="0"/>
              <w:adjustRightInd w:val="0"/>
              <w:snapToGrid w:val="0"/>
              <w:spacing w:before="0" w:beforeAutospacing="0" w:after="0" w:afterAutospacing="0" w:line="520" w:lineRule="exact"/>
              <w:ind w:left="0" w:right="0" w:firstLine="496" w:firstLineChars="200"/>
              <w:rPr>
                <w:rFonts w:hint="default"/>
                <w:kern w:val="0"/>
                <w:sz w:val="24"/>
                <w:lang w:val="zh-CN"/>
              </w:rPr>
            </w:pPr>
            <w:r>
              <w:rPr>
                <w:rFonts w:hint="eastAsia"/>
                <w:spacing w:val="4"/>
                <w:sz w:val="24"/>
              </w:rPr>
              <w:t>建（构）筑物</w:t>
            </w:r>
            <w:r>
              <w:rPr>
                <w:rFonts w:hint="eastAsia"/>
                <w:spacing w:val="4"/>
                <w:kern w:val="0"/>
                <w:sz w:val="24"/>
              </w:rPr>
              <w:t>在分拆的过程中，会产生瞬时的噪声，但其分拆过程在白天进行，且四周无声环境敏感目标分布，故对周围声环境影响较小。</w:t>
            </w:r>
          </w:p>
          <w:p w14:paraId="645BE70A">
            <w:pPr>
              <w:keepNext w:val="0"/>
              <w:keepLines w:val="0"/>
              <w:suppressLineNumbers w:val="0"/>
              <w:adjustRightInd w:val="0"/>
              <w:snapToGrid w:val="0"/>
              <w:spacing w:before="0" w:beforeAutospacing="0" w:after="0" w:afterAutospacing="0" w:line="520" w:lineRule="exact"/>
              <w:ind w:left="0" w:right="0" w:firstLine="540" w:firstLineChars="225"/>
              <w:rPr>
                <w:rFonts w:hint="default"/>
                <w:sz w:val="24"/>
              </w:rPr>
            </w:pPr>
            <w:r>
              <w:rPr>
                <w:rFonts w:hint="eastAsia"/>
                <w:sz w:val="24"/>
              </w:rPr>
              <w:t>（</w:t>
            </w:r>
            <w:r>
              <w:rPr>
                <w:rFonts w:hint="default"/>
                <w:sz w:val="24"/>
              </w:rPr>
              <w:t>4</w:t>
            </w:r>
            <w:r>
              <w:rPr>
                <w:rFonts w:hint="eastAsia"/>
                <w:sz w:val="24"/>
              </w:rPr>
              <w:t>）固体废物的影响</w:t>
            </w:r>
          </w:p>
          <w:p w14:paraId="76F84C90">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kern w:val="0"/>
                <w:sz w:val="24"/>
              </w:rPr>
              <w:t>建（构）筑物在拆除的过程中，会产生一定量的砾石、渣土，此固体废物可堆放于采矿场采坑内。</w:t>
            </w:r>
          </w:p>
          <w:p w14:paraId="700AF752">
            <w:pPr>
              <w:keepNext w:val="0"/>
              <w:keepLines w:val="0"/>
              <w:suppressLineNumbers w:val="0"/>
              <w:adjustRightInd w:val="0"/>
              <w:snapToGrid w:val="0"/>
              <w:spacing w:before="0" w:beforeAutospacing="0" w:after="0" w:afterAutospacing="0" w:line="520" w:lineRule="exact"/>
              <w:ind w:left="0" w:right="0" w:firstLine="558" w:firstLineChars="225"/>
              <w:rPr>
                <w:rFonts w:hint="default"/>
                <w:sz w:val="24"/>
              </w:rPr>
            </w:pPr>
            <w:r>
              <w:rPr>
                <w:rFonts w:hint="eastAsia"/>
                <w:spacing w:val="4"/>
                <w:sz w:val="24"/>
              </w:rPr>
              <w:t>（</w:t>
            </w:r>
            <w:r>
              <w:rPr>
                <w:rFonts w:hint="default"/>
                <w:spacing w:val="4"/>
                <w:sz w:val="24"/>
              </w:rPr>
              <w:t>5</w:t>
            </w:r>
            <w:r>
              <w:rPr>
                <w:rFonts w:hint="eastAsia"/>
                <w:spacing w:val="4"/>
                <w:sz w:val="24"/>
              </w:rPr>
              <w:t>）</w:t>
            </w:r>
            <w:r>
              <w:rPr>
                <w:rFonts w:hint="eastAsia"/>
                <w:sz w:val="24"/>
              </w:rPr>
              <w:t>对生态环境及景观的影响</w:t>
            </w:r>
          </w:p>
          <w:p w14:paraId="26CF9F28">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项目</w:t>
            </w:r>
            <w:r>
              <w:rPr>
                <w:rFonts w:hint="eastAsia"/>
                <w:sz w:val="24"/>
              </w:rPr>
              <w:t>闭矿期</w:t>
            </w:r>
            <w:r>
              <w:rPr>
                <w:rFonts w:hint="eastAsia"/>
                <w:spacing w:val="4"/>
                <w:sz w:val="24"/>
              </w:rPr>
              <w:t>后，将拆除各种构筑物，其所在地的生态环境将逐渐恢复原有的状况。</w:t>
            </w:r>
          </w:p>
          <w:p w14:paraId="71CC2019">
            <w:pPr>
              <w:keepNext w:val="0"/>
              <w:keepLines w:val="0"/>
              <w:suppressLineNumbers w:val="0"/>
              <w:adjustRightInd w:val="0"/>
              <w:snapToGrid w:val="0"/>
              <w:spacing w:before="0" w:beforeAutospacing="0" w:after="0" w:afterAutospacing="0" w:line="520" w:lineRule="exact"/>
              <w:ind w:left="0" w:right="0" w:firstLine="482" w:firstLineChars="200"/>
              <w:rPr>
                <w:rFonts w:hint="default"/>
                <w:b/>
                <w:bCs/>
                <w:sz w:val="24"/>
              </w:rPr>
            </w:pPr>
            <w:r>
              <w:rPr>
                <w:rFonts w:hint="eastAsia"/>
                <w:b/>
                <w:bCs/>
                <w:sz w:val="24"/>
              </w:rPr>
              <w:t>1.2闭矿的生态恢复建设</w:t>
            </w:r>
          </w:p>
          <w:p w14:paraId="7859F487">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按照边开采边恢复、终止采矿活动时必须完成恢复治理的原则，要做到预防为主，针对存在的问题，制定出预防措施，对生产中出现的问题要及时采取相应的措施予以解决，达到防灾、减灾的目的。</w:t>
            </w:r>
          </w:p>
          <w:p w14:paraId="178B795E">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矿山开采闭坑后必须按照矿山安全、水土保持、地质恢复、环境保护工作的有关规定拆除无用的地面建筑物，受破坏的地表尽量恢复原貌等工作。提取环境保护治理恢复保证金，用于矿山环境治理恢复。</w:t>
            </w:r>
          </w:p>
          <w:p w14:paraId="4AB862D3">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在采矿场营运期进行一些生态恢复的基础工作，闭矿后要做的主要工作就是全场修整、表土覆盖等。对可能出现的滑坡、崩塌、泥石流相应的位置设置有多种文字的警示标志和围栏，防止人、畜误入。拆除矿山生产设施，全场整理，恢复地表原貌。</w:t>
            </w:r>
          </w:p>
          <w:p w14:paraId="6C442AD5">
            <w:pPr>
              <w:keepNext w:val="0"/>
              <w:keepLines w:val="0"/>
              <w:numPr>
                <w:ilvl w:val="0"/>
                <w:numId w:val="12"/>
              </w:numPr>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采场生态恢复措施</w:t>
            </w:r>
          </w:p>
          <w:p w14:paraId="7ACD479F">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闭矿后应加强对矿坑的生态治理恢复。必须为植被的自然恢复提供条件，减轻水土流失造成的影响。</w:t>
            </w:r>
          </w:p>
          <w:p w14:paraId="2E12A2B0">
            <w:pPr>
              <w:keepNext w:val="0"/>
              <w:keepLines w:val="0"/>
              <w:numPr>
                <w:ilvl w:val="0"/>
                <w:numId w:val="12"/>
              </w:numPr>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景观恢复措施</w:t>
            </w:r>
          </w:p>
          <w:p w14:paraId="5AB34D70">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采矿活动结束后，拆除地表建筑物，地表进行复垦，恢复原有地表形态，采场尽量恢复与周边地貌相协调，保护区域自然景观。</w:t>
            </w:r>
          </w:p>
          <w:p w14:paraId="7ABDDB70">
            <w:pPr>
              <w:keepNext w:val="0"/>
              <w:keepLines w:val="0"/>
              <w:numPr>
                <w:ilvl w:val="0"/>
                <w:numId w:val="12"/>
              </w:numPr>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矿区专用道路生态恢复</w:t>
            </w:r>
          </w:p>
          <w:p w14:paraId="095D107C">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cs="宋体"/>
                <w:spacing w:val="4"/>
                <w:sz w:val="24"/>
              </w:rPr>
              <w:t>①</w:t>
            </w:r>
            <w:r>
              <w:rPr>
                <w:rFonts w:hint="eastAsia"/>
                <w:spacing w:val="4"/>
                <w:sz w:val="24"/>
                <w:szCs w:val="22"/>
              </w:rPr>
              <w:t>道路</w:t>
            </w:r>
            <w:r>
              <w:rPr>
                <w:rFonts w:hint="eastAsia"/>
                <w:spacing w:val="4"/>
                <w:sz w:val="24"/>
              </w:rPr>
              <w:t>建设施工结束后，临时占地应及时恢复，与原有地貌和景观协调。</w:t>
            </w:r>
          </w:p>
          <w:p w14:paraId="060B39A9">
            <w:pPr>
              <w:keepNext w:val="0"/>
              <w:keepLines w:val="0"/>
              <w:numPr>
                <w:ilvl w:val="0"/>
                <w:numId w:val="12"/>
              </w:numPr>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矿山大气污染防治</w:t>
            </w:r>
          </w:p>
          <w:p w14:paraId="3208D113">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cs="宋体"/>
                <w:spacing w:val="4"/>
                <w:sz w:val="24"/>
              </w:rPr>
              <w:t>①</w:t>
            </w:r>
            <w:r>
              <w:rPr>
                <w:rFonts w:hint="eastAsia"/>
                <w:spacing w:val="4"/>
                <w:sz w:val="24"/>
              </w:rPr>
              <w:t>矿山采选过程中产生的大气污染物排放应符合《水泥工业大气污染物排放标准》（GB4951-2013）排放标准。</w:t>
            </w:r>
          </w:p>
          <w:p w14:paraId="324EDB0D">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cs="宋体"/>
                <w:spacing w:val="4"/>
                <w:sz w:val="24"/>
              </w:rPr>
              <w:t>②</w:t>
            </w:r>
            <w:r>
              <w:rPr>
                <w:rFonts w:hint="eastAsia"/>
                <w:spacing w:val="4"/>
                <w:sz w:val="24"/>
              </w:rPr>
              <w:t>矿山企业应采取如下措施避免或减轻大气污染：</w:t>
            </w:r>
          </w:p>
          <w:p w14:paraId="66DDFFB6">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default"/>
                <w:spacing w:val="4"/>
                <w:sz w:val="24"/>
              </w:rPr>
              <w:t>a</w:t>
            </w:r>
            <w:r>
              <w:rPr>
                <w:rFonts w:hint="eastAsia"/>
                <w:spacing w:val="4"/>
                <w:sz w:val="24"/>
              </w:rPr>
              <w:t>采矿清理地面植被时，禁止燃烧植被。运输剥离土的道路应洒水或采取其他措施减少粉尘。</w:t>
            </w:r>
          </w:p>
          <w:p w14:paraId="403D39E1">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default"/>
                <w:spacing w:val="4"/>
                <w:sz w:val="24"/>
              </w:rPr>
              <w:t>b</w:t>
            </w:r>
            <w:r>
              <w:rPr>
                <w:rFonts w:hint="eastAsia"/>
                <w:spacing w:val="4"/>
                <w:sz w:val="24"/>
              </w:rPr>
              <w:t>采矿及选矿作业中所用设备应配备粉尘收集或降尘设施。</w:t>
            </w:r>
          </w:p>
          <w:p w14:paraId="12662E62">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default"/>
                <w:spacing w:val="4"/>
                <w:sz w:val="24"/>
              </w:rPr>
              <w:t>c</w:t>
            </w:r>
            <w:r>
              <w:rPr>
                <w:rFonts w:hint="eastAsia"/>
                <w:spacing w:val="4"/>
                <w:sz w:val="24"/>
              </w:rPr>
              <w:t>矿物和矿渣运输道路应硬化并洒水防尘，运输车辆应采取围挡、遮盖等措施。</w:t>
            </w:r>
          </w:p>
          <w:p w14:paraId="6609AAAE">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default"/>
                <w:spacing w:val="4"/>
                <w:sz w:val="24"/>
              </w:rPr>
              <w:t>d</w:t>
            </w:r>
            <w:r>
              <w:rPr>
                <w:rFonts w:hint="eastAsia"/>
                <w:spacing w:val="4"/>
                <w:sz w:val="24"/>
              </w:rPr>
              <w:t>废料堆放场应采取防止风蚀和扬尘措施。</w:t>
            </w:r>
          </w:p>
          <w:p w14:paraId="1230E569">
            <w:pPr>
              <w:keepNext w:val="0"/>
              <w:keepLines w:val="0"/>
              <w:numPr>
                <w:ilvl w:val="0"/>
                <w:numId w:val="12"/>
              </w:numPr>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加强矿山的管理</w:t>
            </w:r>
          </w:p>
          <w:p w14:paraId="2C7F1097">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矿山的生态恢复是采掘行业环境保护工作的重要内容之一，企业领导一定要将矿山的生态恢复工作落到实处。</w:t>
            </w:r>
          </w:p>
          <w:p w14:paraId="3C475AF1">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spacing w:val="4"/>
                <w:sz w:val="24"/>
              </w:rPr>
              <w:t>首先要委托具有专业资质的单位制定出生态补偿设计方案、实施计划和进度安排，并给予资金上的保证。其次是建立相应的监督管理制度，负责生态恢复计划的落实，对生态恢复的效果及时进行检查和总结，推广成绩，改正不足。</w:t>
            </w:r>
          </w:p>
          <w:p w14:paraId="20EF5CD8">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cs="宋体"/>
                <w:spacing w:val="4"/>
                <w:sz w:val="24"/>
              </w:rPr>
              <w:t>①</w:t>
            </w:r>
            <w:r>
              <w:rPr>
                <w:rFonts w:hint="eastAsia"/>
                <w:spacing w:val="4"/>
                <w:sz w:val="24"/>
              </w:rPr>
              <w:t>必须建立健全的用火制度，消防设施、用具配置齐全，严防发生火灾。</w:t>
            </w:r>
          </w:p>
          <w:p w14:paraId="573020C9">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cs="宋体"/>
                <w:spacing w:val="4"/>
                <w:sz w:val="24"/>
              </w:rPr>
              <w:t>②</w:t>
            </w:r>
            <w:r>
              <w:rPr>
                <w:rFonts w:hint="eastAsia"/>
                <w:spacing w:val="4"/>
                <w:sz w:val="24"/>
              </w:rPr>
              <w:t>高度重视原有地表对维护本区生态稳定的重要性，加强对生产队伍的宣传、教育和管理。做好生产组织规划工作，划定适宜的</w:t>
            </w:r>
            <w:r>
              <w:rPr>
                <w:rFonts w:hint="eastAsia"/>
                <w:color w:val="000000"/>
                <w:sz w:val="24"/>
                <w:lang w:val="en-US" w:eastAsia="zh-CN"/>
              </w:rPr>
              <w:t>临时</w:t>
            </w:r>
            <w:r>
              <w:rPr>
                <w:rFonts w:hint="eastAsia"/>
                <w:spacing w:val="4"/>
                <w:sz w:val="24"/>
              </w:rPr>
              <w:t>堆料场及生活区等场所；运输工具应在规划的道路上行驶，严禁随意行驶，以防止表层土壤的破坏范围增大。</w:t>
            </w:r>
          </w:p>
          <w:p w14:paraId="7948A902">
            <w:pPr>
              <w:keepNext w:val="0"/>
              <w:keepLines w:val="0"/>
              <w:suppressLineNumbers w:val="0"/>
              <w:adjustRightInd w:val="0"/>
              <w:snapToGrid w:val="0"/>
              <w:spacing w:before="0" w:beforeAutospacing="0" w:after="0" w:afterAutospacing="0" w:line="520" w:lineRule="exact"/>
              <w:ind w:left="0" w:right="0" w:firstLine="496" w:firstLineChars="200"/>
              <w:rPr>
                <w:rFonts w:hint="default"/>
                <w:spacing w:val="4"/>
                <w:sz w:val="24"/>
              </w:rPr>
            </w:pPr>
            <w:r>
              <w:rPr>
                <w:rFonts w:hint="eastAsia" w:cs="宋体"/>
                <w:spacing w:val="4"/>
                <w:sz w:val="24"/>
              </w:rPr>
              <w:t>③</w:t>
            </w:r>
            <w:r>
              <w:rPr>
                <w:rFonts w:hint="eastAsia"/>
                <w:spacing w:val="4"/>
                <w:sz w:val="24"/>
              </w:rPr>
              <w:t>矿山安全环保科，应配有专职安全员定期检查维护堤、坝、截洪沟等设施，发现有损坏可能或异常，及时采取必要措施，以保障正常运行。</w:t>
            </w:r>
          </w:p>
          <w:p w14:paraId="6D5DC8B1">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eastAsia" w:cs="宋体"/>
                <w:sz w:val="24"/>
              </w:rPr>
              <w:t>④</w:t>
            </w:r>
            <w:r>
              <w:rPr>
                <w:rFonts w:hint="eastAsia"/>
                <w:sz w:val="24"/>
              </w:rPr>
              <w:t>本项目产生的生态影响的防护和恢复应按照</w:t>
            </w:r>
            <w:r>
              <w:rPr>
                <w:rFonts w:hint="default"/>
                <w:sz w:val="24"/>
              </w:rPr>
              <w:t>“</w:t>
            </w:r>
            <w:r>
              <w:rPr>
                <w:rFonts w:hint="eastAsia"/>
                <w:sz w:val="24"/>
              </w:rPr>
              <w:t>避免、消减、补偿</w:t>
            </w:r>
            <w:r>
              <w:rPr>
                <w:rFonts w:hint="default"/>
                <w:sz w:val="24"/>
              </w:rPr>
              <w:t>”</w:t>
            </w:r>
            <w:r>
              <w:rPr>
                <w:rFonts w:hint="eastAsia"/>
                <w:sz w:val="24"/>
              </w:rPr>
              <w:t>的顺序最大限度地减少人为开发活动对生态环境的破坏，以实现</w:t>
            </w:r>
            <w:r>
              <w:rPr>
                <w:rFonts w:hint="default"/>
                <w:sz w:val="24"/>
              </w:rPr>
              <w:t>“</w:t>
            </w:r>
            <w:r>
              <w:rPr>
                <w:rFonts w:hint="eastAsia"/>
                <w:sz w:val="24"/>
              </w:rPr>
              <w:t>开发中保护、保护中开发</w:t>
            </w:r>
            <w:r>
              <w:rPr>
                <w:rFonts w:hint="default"/>
                <w:sz w:val="24"/>
              </w:rPr>
              <w:t>”</w:t>
            </w:r>
            <w:r>
              <w:rPr>
                <w:rFonts w:hint="eastAsia"/>
                <w:sz w:val="24"/>
              </w:rPr>
              <w:t>的目标。</w:t>
            </w:r>
          </w:p>
          <w:p w14:paraId="31D1E54D">
            <w:pPr>
              <w:keepNext w:val="0"/>
              <w:keepLines w:val="0"/>
              <w:suppressLineNumbers w:val="0"/>
              <w:adjustRightInd w:val="0"/>
              <w:snapToGrid w:val="0"/>
              <w:spacing w:before="0" w:beforeAutospacing="0" w:after="0" w:afterAutospacing="0" w:line="520" w:lineRule="exact"/>
              <w:ind w:left="0" w:right="0"/>
              <w:rPr>
                <w:rFonts w:hint="default"/>
                <w:b/>
                <w:bCs/>
                <w:sz w:val="24"/>
              </w:rPr>
            </w:pPr>
            <w:r>
              <w:rPr>
                <w:rFonts w:hint="eastAsia"/>
                <w:b/>
                <w:bCs/>
                <w:sz w:val="24"/>
              </w:rPr>
              <w:t>2环境监测计划</w:t>
            </w:r>
          </w:p>
          <w:p w14:paraId="54421015">
            <w:pPr>
              <w:keepNext w:val="0"/>
              <w:keepLines w:val="0"/>
              <w:suppressLineNumbers w:val="0"/>
              <w:spacing w:before="0" w:beforeAutospacing="0" w:after="0" w:afterAutospacing="0" w:line="520" w:lineRule="exact"/>
              <w:ind w:left="0" w:right="0" w:firstLine="482" w:firstLineChars="200"/>
              <w:rPr>
                <w:rFonts w:hint="eastAsia"/>
                <w:b/>
                <w:bCs/>
                <w:sz w:val="24"/>
              </w:rPr>
            </w:pPr>
            <w:r>
              <w:rPr>
                <w:rFonts w:hint="eastAsia"/>
                <w:b/>
                <w:bCs/>
                <w:sz w:val="24"/>
              </w:rPr>
              <w:t>2.1污染源监控</w:t>
            </w:r>
          </w:p>
          <w:p w14:paraId="4209E1EA">
            <w:pPr>
              <w:keepNext w:val="0"/>
              <w:keepLines w:val="0"/>
              <w:numPr>
                <w:ilvl w:val="0"/>
                <w:numId w:val="13"/>
              </w:numPr>
              <w:suppressLineNumbers w:val="0"/>
              <w:spacing w:before="0" w:beforeAutospacing="0" w:after="0" w:afterAutospacing="0" w:line="520" w:lineRule="exact"/>
              <w:ind w:left="0" w:right="0" w:firstLine="480" w:firstLineChars="200"/>
              <w:rPr>
                <w:rFonts w:hint="eastAsia"/>
                <w:b w:val="0"/>
                <w:bCs w:val="0"/>
                <w:sz w:val="24"/>
                <w:lang w:val="en-US" w:eastAsia="zh-CN"/>
              </w:rPr>
            </w:pPr>
            <w:r>
              <w:rPr>
                <w:rFonts w:hint="eastAsia"/>
                <w:b w:val="0"/>
                <w:bCs w:val="0"/>
                <w:sz w:val="24"/>
                <w:lang w:val="en-US" w:eastAsia="zh-CN"/>
              </w:rPr>
              <w:t>地下水检测</w:t>
            </w:r>
          </w:p>
          <w:p w14:paraId="125FAA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eastAsia"/>
                <w:b w:val="0"/>
                <w:bCs w:val="0"/>
                <w:sz w:val="24"/>
                <w:lang w:val="en-US" w:eastAsia="zh-CN"/>
              </w:rPr>
              <w:t>监测因子：浑浊度、pH、溶解性总固体、氯化物、硝酸盐（以N计）、亚硝酸盐（以N计）。</w:t>
            </w:r>
          </w:p>
          <w:p w14:paraId="7E3540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eastAsia"/>
                <w:b w:val="0"/>
                <w:bCs w:val="0"/>
                <w:sz w:val="24"/>
                <w:lang w:val="en-US" w:eastAsia="zh-CN"/>
              </w:rPr>
              <w:t>监测频次：运行期间，企业自行监测频次至少每季度1次，每两次监测之间间隔不少于1个月。</w:t>
            </w:r>
          </w:p>
          <w:p w14:paraId="733AC2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eastAsia"/>
                <w:b w:val="0"/>
                <w:bCs w:val="0"/>
                <w:sz w:val="24"/>
                <w:lang w:val="en-US" w:eastAsia="zh-CN"/>
              </w:rPr>
              <w:t>监测点位：地下水监测井需避开已有取水井，布设于地下水下游方向及污染物扩散路径上。</w:t>
            </w:r>
          </w:p>
          <w:p w14:paraId="27C48C22">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eastAsia"/>
                <w:b w:val="0"/>
                <w:bCs w:val="0"/>
                <w:sz w:val="24"/>
                <w:lang w:val="en-US" w:eastAsia="zh-CN"/>
              </w:rPr>
              <w:t>无组织废气监测</w:t>
            </w:r>
          </w:p>
          <w:p w14:paraId="439898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eastAsia"/>
                <w:b w:val="0"/>
                <w:bCs w:val="0"/>
                <w:sz w:val="24"/>
                <w:lang w:val="en-US" w:eastAsia="zh-CN"/>
              </w:rPr>
              <w:t>监测因子：总悬浮颗粒物（TSP）。</w:t>
            </w:r>
          </w:p>
          <w:p w14:paraId="42A38B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default"/>
                <w:b w:val="0"/>
                <w:bCs w:val="0"/>
                <w:sz w:val="24"/>
                <w:lang w:val="en-US" w:eastAsia="zh-CN"/>
              </w:rPr>
              <w:t>监测频次</w:t>
            </w:r>
            <w:r>
              <w:rPr>
                <w:rFonts w:hint="eastAsia"/>
                <w:b w:val="0"/>
                <w:bCs w:val="0"/>
                <w:sz w:val="24"/>
                <w:lang w:val="en-US" w:eastAsia="zh-CN"/>
              </w:rPr>
              <w:t>：至少每季度1次，并安装TSP浓度监测设施，保存1年以上数据记录。</w:t>
            </w:r>
          </w:p>
          <w:p w14:paraId="64F7FB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default"/>
                <w:b w:val="0"/>
                <w:bCs w:val="0"/>
                <w:sz w:val="24"/>
                <w:lang w:val="en-US" w:eastAsia="zh-CN"/>
              </w:rPr>
              <w:t>监测点位</w:t>
            </w:r>
            <w:r>
              <w:rPr>
                <w:rFonts w:hint="eastAsia"/>
                <w:b w:val="0"/>
                <w:bCs w:val="0"/>
                <w:sz w:val="24"/>
                <w:lang w:val="en-US" w:eastAsia="zh-CN"/>
              </w:rPr>
              <w:t>：依据HJ 819原则，布设在厂界及敏感区域，重点关注主导风向和污染扩散路径。</w:t>
            </w:r>
          </w:p>
          <w:p w14:paraId="2FF3FF01">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default"/>
                <w:b w:val="0"/>
                <w:bCs w:val="0"/>
                <w:sz w:val="24"/>
                <w:lang w:val="en-US" w:eastAsia="zh-CN"/>
              </w:rPr>
            </w:pPr>
            <w:r>
              <w:rPr>
                <w:rFonts w:hint="eastAsia"/>
                <w:b w:val="0"/>
                <w:bCs w:val="0"/>
                <w:sz w:val="24"/>
                <w:lang w:val="en-US" w:eastAsia="zh-CN"/>
              </w:rPr>
              <w:t>土壤监测</w:t>
            </w:r>
          </w:p>
          <w:p w14:paraId="0C8EAC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default"/>
                <w:b w:val="0"/>
                <w:bCs w:val="0"/>
                <w:sz w:val="24"/>
                <w:lang w:val="en-US" w:eastAsia="zh-CN"/>
              </w:rPr>
              <w:t>监测因子</w:t>
            </w:r>
            <w:r>
              <w:rPr>
                <w:rFonts w:hint="eastAsia"/>
                <w:b w:val="0"/>
                <w:bCs w:val="0"/>
                <w:sz w:val="24"/>
                <w:lang w:val="en-US" w:eastAsia="zh-CN"/>
              </w:rPr>
              <w:t>：根据废物特性选择代表性指标（如重金属、有机物等），需能表征固体废物特性。</w:t>
            </w:r>
          </w:p>
          <w:p w14:paraId="1D66C8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default"/>
                <w:b w:val="0"/>
                <w:bCs w:val="0"/>
                <w:sz w:val="24"/>
                <w:lang w:val="en-US" w:eastAsia="zh-CN"/>
              </w:rPr>
              <w:t>监测频次</w:t>
            </w:r>
            <w:r>
              <w:rPr>
                <w:rFonts w:hint="eastAsia"/>
                <w:b w:val="0"/>
                <w:bCs w:val="0"/>
                <w:sz w:val="24"/>
                <w:lang w:val="en-US" w:eastAsia="zh-CN"/>
              </w:rPr>
              <w:t>：运行期间每3年1次，重点监测表层土壤，采样深度根据污染影响范围调整。</w:t>
            </w:r>
          </w:p>
          <w:p w14:paraId="5899C5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eastAsia"/>
                <w:b w:val="0"/>
                <w:bCs w:val="0"/>
                <w:sz w:val="24"/>
                <w:lang w:val="en-US" w:eastAsia="zh-CN"/>
              </w:rPr>
            </w:pPr>
            <w:r>
              <w:rPr>
                <w:rFonts w:hint="default"/>
                <w:b w:val="0"/>
                <w:bCs w:val="0"/>
                <w:sz w:val="24"/>
                <w:lang w:val="en-US" w:eastAsia="zh-CN"/>
              </w:rPr>
              <w:t>监测点位</w:t>
            </w:r>
            <w:r>
              <w:rPr>
                <w:rFonts w:hint="eastAsia"/>
                <w:b w:val="0"/>
                <w:bCs w:val="0"/>
                <w:sz w:val="24"/>
                <w:lang w:val="en-US" w:eastAsia="zh-CN"/>
              </w:rPr>
              <w:t>：布设1个对照点，确保不受企业生产影响，作为背景值参考；</w:t>
            </w:r>
          </w:p>
          <w:p w14:paraId="467175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rPr>
                <w:rFonts w:hint="default"/>
                <w:b w:val="0"/>
                <w:bCs w:val="0"/>
                <w:sz w:val="24"/>
                <w:lang w:val="en-US" w:eastAsia="zh-CN"/>
              </w:rPr>
            </w:pPr>
            <w:r>
              <w:rPr>
                <w:rFonts w:hint="default"/>
                <w:b w:val="0"/>
                <w:bCs w:val="0"/>
                <w:sz w:val="24"/>
                <w:lang w:val="en-US" w:eastAsia="zh-CN"/>
              </w:rPr>
              <w:t>在土壤环境敏感目标处增设监测点，依据地形、风向及径流方向确定</w:t>
            </w:r>
            <w:r>
              <w:rPr>
                <w:rFonts w:hint="eastAsia"/>
                <w:b w:val="0"/>
                <w:bCs w:val="0"/>
                <w:sz w:val="24"/>
                <w:lang w:val="en-US" w:eastAsia="zh-CN"/>
              </w:rPr>
              <w:t>。</w:t>
            </w:r>
          </w:p>
          <w:p w14:paraId="1B9530A1">
            <w:pPr>
              <w:keepNext w:val="0"/>
              <w:keepLines w:val="0"/>
              <w:suppressLineNumbers w:val="0"/>
              <w:spacing w:before="0" w:beforeAutospacing="0" w:after="0" w:afterAutospacing="0" w:line="520" w:lineRule="exact"/>
              <w:ind w:left="0" w:right="0" w:firstLine="482" w:firstLineChars="200"/>
              <w:rPr>
                <w:rFonts w:hint="default"/>
                <w:b/>
                <w:bCs/>
                <w:sz w:val="24"/>
              </w:rPr>
            </w:pPr>
            <w:r>
              <w:rPr>
                <w:rFonts w:hint="eastAsia"/>
                <w:b/>
                <w:bCs/>
                <w:color w:val="000000"/>
                <w:kern w:val="0"/>
                <w:sz w:val="24"/>
                <w:lang w:bidi="ar"/>
              </w:rPr>
              <w:t>2.2</w:t>
            </w:r>
            <w:r>
              <w:rPr>
                <w:rFonts w:hint="eastAsia"/>
                <w:b/>
                <w:bCs/>
                <w:sz w:val="24"/>
              </w:rPr>
              <w:t>生态监控计划</w:t>
            </w:r>
          </w:p>
          <w:p w14:paraId="460E5150">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rPr>
              <w:t>（</w:t>
            </w:r>
            <w:r>
              <w:rPr>
                <w:rFonts w:hint="default"/>
                <w:sz w:val="24"/>
              </w:rPr>
              <w:t>1</w:t>
            </w:r>
            <w:r>
              <w:rPr>
                <w:rFonts w:hint="eastAsia"/>
                <w:sz w:val="24"/>
              </w:rPr>
              <w:t>）监测点的布设</w:t>
            </w:r>
          </w:p>
          <w:p w14:paraId="42FC5E8E">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rPr>
              <w:t>根据工程水土流失预测结果，水土流失主要发生在道路、采场、堆场，在道路、采场、堆场较近的敏感地带可选择断面布置监测点。</w:t>
            </w:r>
          </w:p>
          <w:p w14:paraId="75BCF9A2">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rPr>
              <w:t>（</w:t>
            </w:r>
            <w:r>
              <w:rPr>
                <w:rFonts w:hint="default"/>
                <w:sz w:val="24"/>
              </w:rPr>
              <w:t>2</w:t>
            </w:r>
            <w:r>
              <w:rPr>
                <w:rFonts w:hint="eastAsia"/>
                <w:sz w:val="24"/>
              </w:rPr>
              <w:t>）监测时段及频率</w:t>
            </w:r>
          </w:p>
          <w:p w14:paraId="79EB32B7">
            <w:pPr>
              <w:keepNext w:val="0"/>
              <w:keepLines w:val="0"/>
              <w:suppressLineNumbers w:val="0"/>
              <w:spacing w:before="0" w:beforeAutospacing="0" w:after="0" w:afterAutospacing="0" w:line="520" w:lineRule="exact"/>
              <w:ind w:left="0" w:right="0" w:firstLine="480" w:firstLineChars="200"/>
              <w:rPr>
                <w:rFonts w:hint="default"/>
                <w:kern w:val="0"/>
                <w:sz w:val="24"/>
              </w:rPr>
            </w:pPr>
            <w:r>
              <w:rPr>
                <w:rFonts w:hint="eastAsia"/>
                <w:kern w:val="0"/>
                <w:sz w:val="24"/>
              </w:rPr>
              <w:t>本工程水土流失类型以风力侵蚀为主，因此水土保持监测的主要时段在风季，监测频次每年</w:t>
            </w:r>
            <w:r>
              <w:rPr>
                <w:rFonts w:hint="default"/>
                <w:kern w:val="0"/>
                <w:sz w:val="24"/>
              </w:rPr>
              <w:t>1</w:t>
            </w:r>
            <w:r>
              <w:rPr>
                <w:rFonts w:hint="eastAsia"/>
                <w:kern w:val="0"/>
                <w:sz w:val="24"/>
              </w:rPr>
              <w:t>次。</w:t>
            </w:r>
          </w:p>
          <w:p w14:paraId="7B67C332">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rPr>
              <w:t>（</w:t>
            </w:r>
            <w:r>
              <w:rPr>
                <w:rFonts w:hint="default"/>
                <w:sz w:val="24"/>
              </w:rPr>
              <w:t>3</w:t>
            </w:r>
            <w:r>
              <w:rPr>
                <w:rFonts w:hint="eastAsia"/>
                <w:sz w:val="24"/>
              </w:rPr>
              <w:t>）监测内容及方法</w:t>
            </w:r>
          </w:p>
          <w:p w14:paraId="377B23A0">
            <w:pPr>
              <w:keepNext w:val="0"/>
              <w:keepLines w:val="0"/>
              <w:suppressLineNumbers w:val="0"/>
              <w:spacing w:before="0" w:beforeAutospacing="0" w:after="0" w:afterAutospacing="0" w:line="520" w:lineRule="exact"/>
              <w:ind w:left="0" w:right="0" w:firstLine="480" w:firstLineChars="200"/>
              <w:rPr>
                <w:rFonts w:hint="default"/>
                <w:kern w:val="0"/>
                <w:sz w:val="24"/>
              </w:rPr>
            </w:pPr>
            <w:r>
              <w:rPr>
                <w:rFonts w:hint="eastAsia"/>
                <w:kern w:val="0"/>
                <w:sz w:val="24"/>
              </w:rPr>
              <w:t>水土保持监测方法采用地面观测法和实地调查法。</w:t>
            </w:r>
          </w:p>
          <w:p w14:paraId="07F72258">
            <w:pPr>
              <w:keepNext w:val="0"/>
              <w:keepLines w:val="0"/>
              <w:suppressLineNumbers w:val="0"/>
              <w:spacing w:before="0" w:beforeAutospacing="0" w:after="0" w:afterAutospacing="0" w:line="520" w:lineRule="exact"/>
              <w:ind w:left="0" w:right="0" w:firstLine="480" w:firstLineChars="200"/>
              <w:rPr>
                <w:rFonts w:hint="default"/>
                <w:kern w:val="0"/>
                <w:sz w:val="24"/>
              </w:rPr>
            </w:pPr>
            <w:r>
              <w:rPr>
                <w:rFonts w:hint="eastAsia"/>
                <w:kern w:val="0"/>
                <w:sz w:val="24"/>
              </w:rPr>
              <w:t>水土流失量的监测：弃渣流失量采用体积法。</w:t>
            </w:r>
          </w:p>
          <w:p w14:paraId="678702DF">
            <w:pPr>
              <w:keepNext w:val="0"/>
              <w:keepLines w:val="0"/>
              <w:suppressLineNumbers w:val="0"/>
              <w:spacing w:before="0" w:beforeAutospacing="0" w:after="0" w:afterAutospacing="0" w:line="520" w:lineRule="exact"/>
              <w:ind w:left="0" w:right="0" w:firstLine="480" w:firstLineChars="200"/>
              <w:rPr>
                <w:rFonts w:hint="default"/>
                <w:kern w:val="0"/>
                <w:sz w:val="24"/>
              </w:rPr>
            </w:pPr>
            <w:r>
              <w:rPr>
                <w:rFonts w:hint="eastAsia"/>
                <w:kern w:val="0"/>
                <w:sz w:val="24"/>
              </w:rPr>
              <w:t>水土流失灾害监测：主要包括植被及生态环境的变化，对项目及周边地区经济、社会发展的影响等。采用调查法。</w:t>
            </w:r>
          </w:p>
          <w:p w14:paraId="624B8312">
            <w:pPr>
              <w:keepNext w:val="0"/>
              <w:keepLines w:val="0"/>
              <w:suppressLineNumbers w:val="0"/>
              <w:spacing w:before="0" w:beforeAutospacing="0" w:after="0" w:afterAutospacing="0" w:line="520" w:lineRule="exact"/>
              <w:ind w:left="0" w:right="0" w:firstLine="480" w:firstLineChars="200"/>
              <w:rPr>
                <w:rFonts w:hint="default"/>
                <w:kern w:val="0"/>
                <w:sz w:val="24"/>
              </w:rPr>
            </w:pPr>
            <w:r>
              <w:rPr>
                <w:rFonts w:hint="eastAsia"/>
                <w:kern w:val="0"/>
                <w:sz w:val="24"/>
              </w:rPr>
              <w:t>水土保持设施效益监测：对实施的各类防治措施效果、控制水土流失、改善生态环境的作用等进行监测。采用调查法。</w:t>
            </w:r>
          </w:p>
          <w:p w14:paraId="293CC939">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rPr>
              <w:t>（</w:t>
            </w:r>
            <w:r>
              <w:rPr>
                <w:rFonts w:hint="default"/>
                <w:sz w:val="24"/>
              </w:rPr>
              <w:t>4</w:t>
            </w:r>
            <w:r>
              <w:rPr>
                <w:rFonts w:hint="eastAsia"/>
                <w:sz w:val="24"/>
              </w:rPr>
              <w:t>）监测机构</w:t>
            </w:r>
          </w:p>
          <w:p w14:paraId="0D5D3E53">
            <w:pPr>
              <w:keepNext w:val="0"/>
              <w:keepLines w:val="0"/>
              <w:suppressLineNumbers w:val="0"/>
              <w:spacing w:before="0" w:beforeAutospacing="0" w:after="0" w:afterAutospacing="0" w:line="520" w:lineRule="exact"/>
              <w:ind w:left="0" w:right="0" w:firstLine="480" w:firstLineChars="200"/>
              <w:rPr>
                <w:rFonts w:hint="default" w:ascii="宋体" w:hAnsi="宋体" w:cs="宋体"/>
                <w:bCs/>
                <w:spacing w:val="10"/>
                <w:szCs w:val="21"/>
              </w:rPr>
            </w:pPr>
            <w:r>
              <w:rPr>
                <w:rFonts w:hint="eastAsia"/>
                <w:kern w:val="0"/>
                <w:sz w:val="24"/>
              </w:rPr>
              <w:t>水土流失各项监测工作，可由建设单位委托具有相应资质的监测机构完成，并将监测结果报告当地水行政主管部门。</w:t>
            </w:r>
          </w:p>
        </w:tc>
      </w:tr>
      <w:tr w14:paraId="49206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05" w:hRule="atLeast"/>
          <w:jc w:val="center"/>
        </w:trPr>
        <w:tc>
          <w:tcPr>
            <w:tcW w:w="351" w:type="pct"/>
            <w:vAlign w:val="center"/>
          </w:tcPr>
          <w:p w14:paraId="1E316B77">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000000" w:themeColor="text1"/>
                <w:spacing w:val="1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环保投资</w:t>
            </w:r>
          </w:p>
        </w:tc>
        <w:tc>
          <w:tcPr>
            <w:tcW w:w="4648" w:type="pct"/>
          </w:tcPr>
          <w:p w14:paraId="7D738184">
            <w:pPr>
              <w:keepNext w:val="0"/>
              <w:keepLines w:val="0"/>
              <w:suppressLineNumbers w:val="0"/>
              <w:adjustRightInd w:val="0"/>
              <w:snapToGrid w:val="0"/>
              <w:spacing w:before="0" w:beforeAutospacing="0" w:after="0" w:afterAutospacing="0" w:line="520" w:lineRule="exact"/>
              <w:ind w:left="0" w:right="0" w:firstLine="560"/>
              <w:outlineLvl w:val="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本项目环境保护措施投资估算合计</w:t>
            </w:r>
            <w:r>
              <w:rPr>
                <w:rFonts w:hint="eastAsia"/>
                <w:color w:val="000000" w:themeColor="text1"/>
                <w:sz w:val="24"/>
                <w:lang w:val="en-US" w:eastAsia="zh-CN"/>
                <w14:textFill>
                  <w14:solidFill>
                    <w14:schemeClr w14:val="tx1"/>
                  </w14:solidFill>
                </w14:textFill>
              </w:rPr>
              <w:t>149</w:t>
            </w:r>
            <w:r>
              <w:rPr>
                <w:rFonts w:hint="default"/>
                <w:color w:val="000000" w:themeColor="text1"/>
                <w:sz w:val="24"/>
                <w14:textFill>
                  <w14:solidFill>
                    <w14:schemeClr w14:val="tx1"/>
                  </w14:solidFill>
                </w14:textFill>
              </w:rPr>
              <w:t>万元，占总投资</w:t>
            </w:r>
            <w:r>
              <w:rPr>
                <w:rFonts w:hint="eastAsia"/>
                <w:color w:val="000000" w:themeColor="text1"/>
                <w:sz w:val="24"/>
                <w:lang w:val="en-US" w:eastAsia="zh-CN"/>
                <w14:textFill>
                  <w14:solidFill>
                    <w14:schemeClr w14:val="tx1"/>
                  </w14:solidFill>
                </w14:textFill>
              </w:rPr>
              <w:t>1143.99万元</w:t>
            </w:r>
            <w:r>
              <w:rPr>
                <w:rFonts w:hint="default"/>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13.02</w:t>
            </w:r>
            <w:r>
              <w:rPr>
                <w:rFonts w:hint="default"/>
                <w:color w:val="000000" w:themeColor="text1"/>
                <w:sz w:val="24"/>
                <w14:textFill>
                  <w14:solidFill>
                    <w14:schemeClr w14:val="tx1"/>
                  </w14:solidFill>
                </w14:textFill>
              </w:rPr>
              <w:t>%。具体见表</w:t>
            </w:r>
            <w:r>
              <w:rPr>
                <w:rFonts w:hint="eastAsia"/>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2</w:t>
            </w:r>
            <w:r>
              <w:rPr>
                <w:rFonts w:hint="default"/>
                <w:color w:val="000000" w:themeColor="text1"/>
                <w:sz w:val="24"/>
                <w14:textFill>
                  <w14:solidFill>
                    <w14:schemeClr w14:val="tx1"/>
                  </w14:solidFill>
                </w14:textFill>
              </w:rPr>
              <w:t>。</w:t>
            </w:r>
          </w:p>
          <w:p w14:paraId="7CAB64CE">
            <w:pPr>
              <w:keepNext w:val="0"/>
              <w:keepLines w:val="0"/>
              <w:suppressLineNumbers w:val="0"/>
              <w:adjustRightInd w:val="0"/>
              <w:snapToGrid w:val="0"/>
              <w:spacing w:before="0" w:beforeAutospacing="0" w:after="0" w:afterAutospacing="0" w:line="520" w:lineRule="exact"/>
              <w:ind w:left="0" w:right="0"/>
              <w:jc w:val="center"/>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2</w:t>
            </w:r>
            <w:r>
              <w:rPr>
                <w:rFonts w:hint="eastAsia"/>
                <w:b/>
                <w:bCs/>
                <w:color w:val="000000" w:themeColor="text1"/>
                <w:sz w:val="24"/>
                <w14:textFill>
                  <w14:solidFill>
                    <w14:schemeClr w14:val="tx1"/>
                  </w14:solidFill>
                </w14:textFill>
              </w:rPr>
              <w:t xml:space="preserve"> </w:t>
            </w:r>
            <w:r>
              <w:rPr>
                <w:rFonts w:hint="default"/>
                <w:b/>
                <w:bCs/>
                <w:color w:val="000000" w:themeColor="text1"/>
                <w:sz w:val="24"/>
                <w14:textFill>
                  <w14:solidFill>
                    <w14:schemeClr w14:val="tx1"/>
                  </w14:solidFill>
                </w14:textFill>
              </w:rPr>
              <w:t xml:space="preserve">  环境保护措施投资估算</w:t>
            </w:r>
          </w:p>
          <w:tbl>
            <w:tblPr>
              <w:tblStyle w:val="23"/>
              <w:tblW w:w="485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1" w:type="dxa"/>
                <w:bottom w:w="0" w:type="dxa"/>
                <w:right w:w="11" w:type="dxa"/>
              </w:tblCellMar>
            </w:tblPr>
            <w:tblGrid>
              <w:gridCol w:w="679"/>
              <w:gridCol w:w="1094"/>
              <w:gridCol w:w="1313"/>
              <w:gridCol w:w="3222"/>
              <w:gridCol w:w="1203"/>
            </w:tblGrid>
            <w:tr w14:paraId="3458DD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Align w:val="center"/>
                </w:tcPr>
                <w:p w14:paraId="3F4EAC91">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工程类别</w:t>
                  </w:r>
                </w:p>
              </w:tc>
              <w:tc>
                <w:tcPr>
                  <w:tcW w:w="1602" w:type="pct"/>
                  <w:gridSpan w:val="2"/>
                  <w:vAlign w:val="center"/>
                </w:tcPr>
                <w:p w14:paraId="16394436">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污染类别</w:t>
                  </w:r>
                </w:p>
              </w:tc>
              <w:tc>
                <w:tcPr>
                  <w:tcW w:w="2143" w:type="pct"/>
                  <w:vAlign w:val="center"/>
                </w:tcPr>
                <w:p w14:paraId="0297C69F">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环保设施</w:t>
                  </w:r>
                </w:p>
              </w:tc>
              <w:tc>
                <w:tcPr>
                  <w:tcW w:w="801" w:type="pct"/>
                  <w:vAlign w:val="center"/>
                </w:tcPr>
                <w:p w14:paraId="012BE571">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投资</w:t>
                  </w:r>
                </w:p>
              </w:tc>
            </w:tr>
            <w:tr w14:paraId="37B90C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Merge w:val="restart"/>
                  <w:vAlign w:val="center"/>
                </w:tcPr>
                <w:p w14:paraId="0BD184E4">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施工期</w:t>
                  </w:r>
                </w:p>
              </w:tc>
              <w:tc>
                <w:tcPr>
                  <w:tcW w:w="1602" w:type="pct"/>
                  <w:gridSpan w:val="2"/>
                  <w:vAlign w:val="center"/>
                </w:tcPr>
                <w:p w14:paraId="35E16D75">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废气</w:t>
                  </w:r>
                </w:p>
              </w:tc>
              <w:tc>
                <w:tcPr>
                  <w:tcW w:w="2143" w:type="pct"/>
                  <w:vAlign w:val="center"/>
                </w:tcPr>
                <w:p w14:paraId="738BEC25">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围挡、苫布、洒水</w:t>
                  </w:r>
                </w:p>
              </w:tc>
              <w:tc>
                <w:tcPr>
                  <w:tcW w:w="801" w:type="pct"/>
                  <w:vAlign w:val="center"/>
                </w:tcPr>
                <w:p w14:paraId="504B7423">
                  <w:pPr>
                    <w:pStyle w:val="51"/>
                    <w:keepNext w:val="0"/>
                    <w:keepLines w:val="0"/>
                    <w:suppressLineNumbers w:val="0"/>
                    <w:spacing w:before="24" w:beforeAutospacing="0" w:after="24" w:afterAutospacing="0"/>
                    <w:ind w:left="0" w:right="0"/>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2</w:t>
                  </w:r>
                </w:p>
              </w:tc>
            </w:tr>
            <w:tr w14:paraId="027E86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Merge w:val="continue"/>
                  <w:vAlign w:val="center"/>
                </w:tcPr>
                <w:p w14:paraId="58A20A36">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1602" w:type="pct"/>
                  <w:gridSpan w:val="2"/>
                  <w:vAlign w:val="center"/>
                </w:tcPr>
                <w:p w14:paraId="316CE1B3">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废水</w:t>
                  </w:r>
                </w:p>
              </w:tc>
              <w:tc>
                <w:tcPr>
                  <w:tcW w:w="2143" w:type="pct"/>
                  <w:vAlign w:val="center"/>
                </w:tcPr>
                <w:p w14:paraId="1981653E">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临时化粪池</w:t>
                  </w:r>
                </w:p>
              </w:tc>
              <w:tc>
                <w:tcPr>
                  <w:tcW w:w="801" w:type="pct"/>
                  <w:vAlign w:val="center"/>
                </w:tcPr>
                <w:p w14:paraId="3F012ED6">
                  <w:pPr>
                    <w:pStyle w:val="51"/>
                    <w:keepNext w:val="0"/>
                    <w:keepLines w:val="0"/>
                    <w:suppressLineNumbers w:val="0"/>
                    <w:spacing w:before="24" w:beforeAutospacing="0" w:after="24" w:afterAutospacing="0"/>
                    <w:ind w:left="0" w:right="0"/>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3</w:t>
                  </w:r>
                </w:p>
              </w:tc>
            </w:tr>
            <w:tr w14:paraId="5041E2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11" w:hRule="atLeast"/>
                <w:tblHeader/>
                <w:jc w:val="center"/>
              </w:trPr>
              <w:tc>
                <w:tcPr>
                  <w:tcW w:w="452" w:type="pct"/>
                  <w:vMerge w:val="continue"/>
                  <w:vAlign w:val="center"/>
                </w:tcPr>
                <w:p w14:paraId="03AD1230">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1602" w:type="pct"/>
                  <w:gridSpan w:val="2"/>
                  <w:vAlign w:val="center"/>
                </w:tcPr>
                <w:p w14:paraId="39793911">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噪声</w:t>
                  </w:r>
                </w:p>
              </w:tc>
              <w:tc>
                <w:tcPr>
                  <w:tcW w:w="2143" w:type="pct"/>
                  <w:vAlign w:val="center"/>
                </w:tcPr>
                <w:p w14:paraId="43BD2810">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lang w:val="en-US" w:eastAsia="zh-CN"/>
                      <w14:textFill>
                        <w14:solidFill>
                          <w14:schemeClr w14:val="tx1"/>
                        </w14:solidFill>
                      </w14:textFill>
                    </w:rPr>
                  </w:pPr>
                  <w:r>
                    <w:rPr>
                      <w:rFonts w:hint="default" w:ascii="Times New Roman" w:hAnsi="Times New Roman" w:eastAsia="宋体"/>
                      <w:color w:val="000000" w:themeColor="text1"/>
                      <w:sz w:val="21"/>
                      <w:lang w:val="en-US" w:eastAsia="zh-CN"/>
                      <w14:textFill>
                        <w14:solidFill>
                          <w14:schemeClr w14:val="tx1"/>
                        </w14:solidFill>
                      </w14:textFill>
                    </w:rPr>
                    <w:t>合理布局、采用低噪声机械或设备、加强设备维护、合理安排施工时间</w:t>
                  </w:r>
                </w:p>
              </w:tc>
              <w:tc>
                <w:tcPr>
                  <w:tcW w:w="801" w:type="pct"/>
                  <w:vAlign w:val="center"/>
                </w:tcPr>
                <w:p w14:paraId="4C977C56">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3</w:t>
                  </w:r>
                </w:p>
              </w:tc>
            </w:tr>
            <w:tr w14:paraId="44DE71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Merge w:val="continue"/>
                  <w:vAlign w:val="center"/>
                </w:tcPr>
                <w:p w14:paraId="74594A34">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1602" w:type="pct"/>
                  <w:gridSpan w:val="2"/>
                  <w:vAlign w:val="center"/>
                </w:tcPr>
                <w:p w14:paraId="7B660F53">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固体废物</w:t>
                  </w:r>
                </w:p>
              </w:tc>
              <w:tc>
                <w:tcPr>
                  <w:tcW w:w="2143" w:type="pct"/>
                  <w:vAlign w:val="center"/>
                </w:tcPr>
                <w:p w14:paraId="51391D30">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建筑垃圾</w:t>
                  </w:r>
                  <w:r>
                    <w:rPr>
                      <w:rFonts w:hint="eastAsia" w:ascii="Times New Roman" w:hAnsi="Times New Roman" w:eastAsia="宋体"/>
                      <w:color w:val="000000" w:themeColor="text1"/>
                      <w:sz w:val="21"/>
                      <w14:textFill>
                        <w14:solidFill>
                          <w14:schemeClr w14:val="tx1"/>
                        </w14:solidFill>
                      </w14:textFill>
                    </w:rPr>
                    <w:t>、生活垃圾</w:t>
                  </w:r>
                  <w:r>
                    <w:rPr>
                      <w:rFonts w:hint="default" w:ascii="Times New Roman" w:hAnsi="Times New Roman" w:eastAsia="宋体"/>
                      <w:color w:val="000000" w:themeColor="text1"/>
                      <w:sz w:val="21"/>
                      <w14:textFill>
                        <w14:solidFill>
                          <w14:schemeClr w14:val="tx1"/>
                        </w14:solidFill>
                      </w14:textFill>
                    </w:rPr>
                    <w:t>清运</w:t>
                  </w:r>
                </w:p>
              </w:tc>
              <w:tc>
                <w:tcPr>
                  <w:tcW w:w="801" w:type="pct"/>
                  <w:vAlign w:val="center"/>
                </w:tcPr>
                <w:p w14:paraId="429BEA7B">
                  <w:pPr>
                    <w:pStyle w:val="51"/>
                    <w:keepNext w:val="0"/>
                    <w:keepLines w:val="0"/>
                    <w:suppressLineNumbers w:val="0"/>
                    <w:spacing w:before="24" w:beforeAutospacing="0" w:after="24" w:afterAutospacing="0"/>
                    <w:ind w:left="0" w:right="0"/>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w:t>
                  </w:r>
                </w:p>
              </w:tc>
            </w:tr>
            <w:tr w14:paraId="64D120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Merge w:val="restart"/>
                  <w:vAlign w:val="center"/>
                </w:tcPr>
                <w:p w14:paraId="0BDD79A5">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运营期</w:t>
                  </w:r>
                </w:p>
              </w:tc>
              <w:tc>
                <w:tcPr>
                  <w:tcW w:w="728" w:type="pct"/>
                  <w:vAlign w:val="center"/>
                </w:tcPr>
                <w:p w14:paraId="4F094354">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废气</w:t>
                  </w:r>
                </w:p>
              </w:tc>
              <w:tc>
                <w:tcPr>
                  <w:tcW w:w="873" w:type="pct"/>
                  <w:vAlign w:val="center"/>
                </w:tcPr>
                <w:p w14:paraId="40E4F1CD">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粉尘</w:t>
                  </w:r>
                </w:p>
              </w:tc>
              <w:tc>
                <w:tcPr>
                  <w:tcW w:w="2143" w:type="pct"/>
                  <w:vAlign w:val="center"/>
                </w:tcPr>
                <w:p w14:paraId="0FA0A552">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lang w:val="en-US"/>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洒水抑尘</w:t>
                  </w:r>
                  <w:r>
                    <w:rPr>
                      <w:rFonts w:hint="eastAsia" w:ascii="Times New Roman" w:hAnsi="Times New Roman" w:eastAsia="宋体"/>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防风抑尘网</w:t>
                  </w:r>
                  <w:r>
                    <w:rPr>
                      <w:rFonts w:hint="default" w:ascii="Times New Roman" w:hAnsi="Times New Roman" w:eastAsia="宋体"/>
                      <w:color w:val="000000" w:themeColor="text1"/>
                      <w:szCs w:val="21"/>
                      <w14:textFill>
                        <w14:solidFill>
                          <w14:schemeClr w14:val="tx1"/>
                        </w14:solidFill>
                      </w14:textFill>
                    </w:rPr>
                    <w:t>苫盖</w:t>
                  </w:r>
                  <w:r>
                    <w:rPr>
                      <w:rFonts w:hint="eastAsia" w:ascii="Times New Roman" w:hAnsi="Times New Roman" w:eastAsia="宋体"/>
                      <w:color w:val="000000" w:themeColor="text1"/>
                      <w:szCs w:val="21"/>
                      <w14:textFill>
                        <w14:solidFill>
                          <w14:schemeClr w14:val="tx1"/>
                        </w14:solidFill>
                      </w14:textFill>
                    </w:rPr>
                    <w:t>、</w:t>
                  </w:r>
                  <w:r>
                    <w:rPr>
                      <w:rFonts w:hint="default" w:ascii="Times New Roman" w:hAnsi="Times New Roman" w:eastAsia="宋体"/>
                      <w:color w:val="000000" w:themeColor="text1"/>
                      <w:szCs w:val="21"/>
                      <w14:textFill>
                        <w14:solidFill>
                          <w14:schemeClr w14:val="tx1"/>
                        </w14:solidFill>
                      </w14:textFill>
                    </w:rPr>
                    <w:t>人工防护</w:t>
                  </w:r>
                  <w:r>
                    <w:rPr>
                      <w:rFonts w:hint="eastAsia" w:ascii="Times New Roman" w:hAnsi="Times New Roman" w:eastAsia="宋体"/>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密闭车间及</w:t>
                  </w:r>
                  <w:r>
                    <w:rPr>
                      <w:rFonts w:hint="eastAsia" w:ascii="Times New Roman" w:hAnsi="Times New Roman" w:eastAsia="宋体"/>
                      <w:color w:val="000000" w:themeColor="text1"/>
                      <w:szCs w:val="21"/>
                      <w:lang w:val="en-US" w:eastAsia="zh-CN"/>
                      <w14:textFill>
                        <w14:solidFill>
                          <w14:schemeClr w14:val="tx1"/>
                        </w14:solidFill>
                      </w14:textFill>
                    </w:rPr>
                    <w:t>布袋式除尘器+排气筒</w:t>
                  </w:r>
                </w:p>
              </w:tc>
              <w:tc>
                <w:tcPr>
                  <w:tcW w:w="801" w:type="pct"/>
                  <w:vAlign w:val="center"/>
                </w:tcPr>
                <w:p w14:paraId="3FCE5EE5">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48</w:t>
                  </w:r>
                </w:p>
              </w:tc>
            </w:tr>
            <w:tr w14:paraId="0463DF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Merge w:val="continue"/>
                  <w:vAlign w:val="center"/>
                </w:tcPr>
                <w:p w14:paraId="7593B474">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728" w:type="pct"/>
                  <w:vAlign w:val="center"/>
                </w:tcPr>
                <w:p w14:paraId="4EB29D1B">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废水</w:t>
                  </w:r>
                </w:p>
              </w:tc>
              <w:tc>
                <w:tcPr>
                  <w:tcW w:w="873" w:type="pct"/>
                  <w:vAlign w:val="center"/>
                </w:tcPr>
                <w:p w14:paraId="0EB48B4D">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生活</w:t>
                  </w:r>
                  <w:r>
                    <w:rPr>
                      <w:rFonts w:hint="eastAsia" w:ascii="Times New Roman" w:hAnsi="Times New Roman" w:eastAsia="宋体"/>
                      <w:color w:val="000000" w:themeColor="text1"/>
                      <w:szCs w:val="21"/>
                      <w14:textFill>
                        <w14:solidFill>
                          <w14:schemeClr w14:val="tx1"/>
                        </w14:solidFill>
                      </w14:textFill>
                    </w:rPr>
                    <w:t>污水</w:t>
                  </w:r>
                </w:p>
              </w:tc>
              <w:tc>
                <w:tcPr>
                  <w:tcW w:w="2143" w:type="pct"/>
                  <w:vAlign w:val="center"/>
                </w:tcPr>
                <w:p w14:paraId="568F9C73">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18m</w:t>
                  </w:r>
                  <w:r>
                    <w:rPr>
                      <w:rFonts w:hint="eastAsia" w:ascii="Times New Roman" w:hAnsi="Times New Roman" w:eastAsia="宋体"/>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olor w:val="000000" w:themeColor="text1"/>
                      <w:szCs w:val="21"/>
                      <w:lang w:val="en-US" w:eastAsia="zh-CN"/>
                      <w14:textFill>
                        <w14:solidFill>
                          <w14:schemeClr w14:val="tx1"/>
                        </w14:solidFill>
                      </w14:textFill>
                    </w:rPr>
                    <w:t>化粪池</w:t>
                  </w:r>
                </w:p>
              </w:tc>
              <w:tc>
                <w:tcPr>
                  <w:tcW w:w="801" w:type="pct"/>
                  <w:vAlign w:val="center"/>
                </w:tcPr>
                <w:p w14:paraId="7AD85B36">
                  <w:pPr>
                    <w:keepNext w:val="0"/>
                    <w:keepLines w:val="0"/>
                    <w:suppressLineNumbers w:val="0"/>
                    <w:spacing w:before="0" w:beforeAutospacing="0" w:after="0" w:afterAutospacing="0"/>
                    <w:ind w:left="0" w:right="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r>
            <w:tr w14:paraId="1879A5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Merge w:val="continue"/>
                  <w:vAlign w:val="center"/>
                </w:tcPr>
                <w:p w14:paraId="5544A884">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1602" w:type="pct"/>
                  <w:gridSpan w:val="2"/>
                  <w:vAlign w:val="center"/>
                </w:tcPr>
                <w:p w14:paraId="77955AED">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噪声</w:t>
                  </w:r>
                </w:p>
              </w:tc>
              <w:tc>
                <w:tcPr>
                  <w:tcW w:w="2143" w:type="pct"/>
                  <w:vAlign w:val="center"/>
                </w:tcPr>
                <w:p w14:paraId="3EA902CB">
                  <w:pPr>
                    <w:pStyle w:val="51"/>
                    <w:keepNext w:val="0"/>
                    <w:keepLines w:val="0"/>
                    <w:suppressLineNumbers w:val="0"/>
                    <w:spacing w:before="24" w:beforeAutospacing="0" w:after="24" w:afterAutospacing="0"/>
                    <w:ind w:left="0" w:right="0"/>
                    <w:rPr>
                      <w:rFonts w:hint="default" w:ascii="Times New Roman" w:hAnsi="Times New Roman" w:eastAsia="宋体"/>
                      <w:color w:val="000000" w:themeColor="text1"/>
                      <w:sz w:val="21"/>
                      <w14:textFill>
                        <w14:solidFill>
                          <w14:schemeClr w14:val="tx1"/>
                        </w14:solidFill>
                      </w14:textFill>
                    </w:rPr>
                  </w:pPr>
                  <w:r>
                    <w:rPr>
                      <w:rFonts w:hint="default" w:ascii="Times New Roman" w:hAnsi="Times New Roman" w:eastAsia="宋体"/>
                      <w:color w:val="000000" w:themeColor="text1"/>
                      <w:sz w:val="21"/>
                      <w14:textFill>
                        <w14:solidFill>
                          <w14:schemeClr w14:val="tx1"/>
                        </w14:solidFill>
                      </w14:textFill>
                    </w:rPr>
                    <w:t>距离衰减、减震垫</w:t>
                  </w:r>
                </w:p>
              </w:tc>
              <w:tc>
                <w:tcPr>
                  <w:tcW w:w="801" w:type="pct"/>
                  <w:vAlign w:val="center"/>
                </w:tcPr>
                <w:p w14:paraId="01284D16">
                  <w:pPr>
                    <w:pStyle w:val="51"/>
                    <w:keepNext w:val="0"/>
                    <w:keepLines w:val="0"/>
                    <w:suppressLineNumbers w:val="0"/>
                    <w:spacing w:before="24" w:beforeAutospacing="0" w:after="24" w:afterAutospacing="0"/>
                    <w:ind w:left="0" w:right="0"/>
                    <w:rPr>
                      <w:rFonts w:hint="eastAsia" w:ascii="Times New Roman" w:hAnsi="Times New Roman" w:eastAsia="宋体"/>
                      <w:color w:val="000000" w:themeColor="text1"/>
                      <w:sz w:val="21"/>
                      <w:lang w:eastAsia="zh-CN"/>
                      <w14:textFill>
                        <w14:solidFill>
                          <w14:schemeClr w14:val="tx1"/>
                        </w14:solidFill>
                      </w14:textFill>
                    </w:rPr>
                  </w:pPr>
                  <w:r>
                    <w:rPr>
                      <w:rFonts w:hint="eastAsia" w:ascii="Times New Roman" w:hAnsi="Times New Roman" w:eastAsia="宋体"/>
                      <w:color w:val="000000" w:themeColor="text1"/>
                      <w:sz w:val="21"/>
                      <w:lang w:val="en-US" w:eastAsia="zh-CN"/>
                      <w14:textFill>
                        <w14:solidFill>
                          <w14:schemeClr w14:val="tx1"/>
                        </w14:solidFill>
                      </w14:textFill>
                    </w:rPr>
                    <w:t>2</w:t>
                  </w:r>
                </w:p>
              </w:tc>
            </w:tr>
            <w:tr w14:paraId="1F6FD6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Merge w:val="continue"/>
                  <w:vAlign w:val="center"/>
                </w:tcPr>
                <w:p w14:paraId="1EC41BBA">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728" w:type="pct"/>
                  <w:vMerge w:val="restart"/>
                  <w:vAlign w:val="center"/>
                </w:tcPr>
                <w:p w14:paraId="742308D4">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固废</w:t>
                  </w:r>
                </w:p>
              </w:tc>
              <w:tc>
                <w:tcPr>
                  <w:tcW w:w="873" w:type="pct"/>
                  <w:vAlign w:val="center"/>
                </w:tcPr>
                <w:p w14:paraId="51DCDE02">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生活垃圾</w:t>
                  </w:r>
                </w:p>
              </w:tc>
              <w:tc>
                <w:tcPr>
                  <w:tcW w:w="2143" w:type="pct"/>
                  <w:vAlign w:val="center"/>
                </w:tcPr>
                <w:p w14:paraId="2322645D">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生活垃圾箱</w:t>
                  </w:r>
                </w:p>
              </w:tc>
              <w:tc>
                <w:tcPr>
                  <w:tcW w:w="801" w:type="pct"/>
                  <w:vAlign w:val="center"/>
                </w:tcPr>
                <w:p w14:paraId="6A4C95C5">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p>
              </w:tc>
            </w:tr>
            <w:tr w14:paraId="776FCB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Merge w:val="continue"/>
                  <w:vAlign w:val="center"/>
                </w:tcPr>
                <w:p w14:paraId="2C1F10C1">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728" w:type="pct"/>
                  <w:vMerge w:val="continue"/>
                  <w:vAlign w:val="center"/>
                </w:tcPr>
                <w:p w14:paraId="79C65A55">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873" w:type="pct"/>
                  <w:vAlign w:val="center"/>
                </w:tcPr>
                <w:p w14:paraId="6D09D1EA">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废石</w:t>
                  </w:r>
                </w:p>
              </w:tc>
              <w:tc>
                <w:tcPr>
                  <w:tcW w:w="2143" w:type="pct"/>
                  <w:vAlign w:val="center"/>
                </w:tcPr>
                <w:p w14:paraId="229497A8">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产生的废石暂存废石场，用于</w:t>
                  </w:r>
                  <w:r>
                    <w:rPr>
                      <w:rFonts w:hint="eastAsia" w:ascii="Times New Roman" w:hAnsi="Times New Roman" w:eastAsia="宋体"/>
                      <w:color w:val="000000" w:themeColor="text1"/>
                      <w:szCs w:val="21"/>
                      <w14:textFill>
                        <w14:solidFill>
                          <w14:schemeClr w14:val="tx1"/>
                        </w14:solidFill>
                      </w14:textFill>
                    </w:rPr>
                    <w:t>回填采坑</w:t>
                  </w:r>
                </w:p>
              </w:tc>
              <w:tc>
                <w:tcPr>
                  <w:tcW w:w="801" w:type="pct"/>
                  <w:vAlign w:val="center"/>
                </w:tcPr>
                <w:p w14:paraId="0300B1B1">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环境修复、土地复垦</w:t>
                  </w:r>
                  <w:r>
                    <w:rPr>
                      <w:rFonts w:hint="eastAsia" w:ascii="Times New Roman" w:hAnsi="Times New Roman" w:eastAsia="宋体"/>
                      <w:color w:val="000000" w:themeColor="text1"/>
                      <w:szCs w:val="21"/>
                      <w14:textFill>
                        <w14:solidFill>
                          <w14:schemeClr w14:val="tx1"/>
                        </w14:solidFill>
                      </w14:textFill>
                    </w:rPr>
                    <w:t>中包括</w:t>
                  </w:r>
                </w:p>
              </w:tc>
            </w:tr>
            <w:tr w14:paraId="494493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tblHeader/>
                <w:jc w:val="center"/>
              </w:trPr>
              <w:tc>
                <w:tcPr>
                  <w:tcW w:w="452" w:type="pct"/>
                  <w:vMerge w:val="continue"/>
                  <w:vAlign w:val="center"/>
                </w:tcPr>
                <w:p w14:paraId="721F7112">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728" w:type="pct"/>
                  <w:vMerge w:val="continue"/>
                  <w:vAlign w:val="center"/>
                </w:tcPr>
                <w:p w14:paraId="0BC34499">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873" w:type="pct"/>
                  <w:vAlign w:val="center"/>
                </w:tcPr>
                <w:p w14:paraId="1ACC2DB5">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废润滑油</w:t>
                  </w:r>
                </w:p>
              </w:tc>
              <w:tc>
                <w:tcPr>
                  <w:tcW w:w="2143" w:type="pct"/>
                  <w:vAlign w:val="center"/>
                </w:tcPr>
                <w:p w14:paraId="410EBA58">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危废贮存间</w:t>
                  </w:r>
                </w:p>
              </w:tc>
              <w:tc>
                <w:tcPr>
                  <w:tcW w:w="801" w:type="pct"/>
                  <w:vAlign w:val="center"/>
                </w:tcPr>
                <w:p w14:paraId="760850F0">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2</w:t>
                  </w:r>
                </w:p>
              </w:tc>
            </w:tr>
            <w:tr w14:paraId="35E4E2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jc w:val="center"/>
              </w:trPr>
              <w:tc>
                <w:tcPr>
                  <w:tcW w:w="452" w:type="pct"/>
                  <w:vMerge w:val="continue"/>
                  <w:vAlign w:val="center"/>
                </w:tcPr>
                <w:p w14:paraId="07C0BF49">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Cs w:val="21"/>
                      <w14:textFill>
                        <w14:solidFill>
                          <w14:schemeClr w14:val="tx1"/>
                        </w14:solidFill>
                      </w14:textFill>
                    </w:rPr>
                  </w:pPr>
                </w:p>
              </w:tc>
              <w:tc>
                <w:tcPr>
                  <w:tcW w:w="1602" w:type="pct"/>
                  <w:gridSpan w:val="2"/>
                  <w:vAlign w:val="center"/>
                </w:tcPr>
                <w:p w14:paraId="4646CD2E">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环境监测</w:t>
                  </w:r>
                </w:p>
              </w:tc>
              <w:tc>
                <w:tcPr>
                  <w:tcW w:w="2143" w:type="pct"/>
                  <w:vAlign w:val="center"/>
                </w:tcPr>
                <w:p w14:paraId="4843FB89">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运营期间定期进行环境监测</w:t>
                  </w:r>
                </w:p>
              </w:tc>
              <w:tc>
                <w:tcPr>
                  <w:tcW w:w="801" w:type="pct"/>
                  <w:vAlign w:val="center"/>
                </w:tcPr>
                <w:p w14:paraId="498BA9FE">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r>
            <w:tr w14:paraId="77DD7B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jc w:val="center"/>
              </w:trPr>
              <w:tc>
                <w:tcPr>
                  <w:tcW w:w="452" w:type="pct"/>
                  <w:vMerge w:val="continue"/>
                  <w:vAlign w:val="center"/>
                </w:tcPr>
                <w:p w14:paraId="7ABFCE64">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Cs w:val="21"/>
                      <w14:textFill>
                        <w14:solidFill>
                          <w14:schemeClr w14:val="tx1"/>
                        </w14:solidFill>
                      </w14:textFill>
                    </w:rPr>
                  </w:pPr>
                </w:p>
              </w:tc>
              <w:tc>
                <w:tcPr>
                  <w:tcW w:w="1602" w:type="pct"/>
                  <w:gridSpan w:val="2"/>
                  <w:vAlign w:val="center"/>
                </w:tcPr>
                <w:p w14:paraId="2DBF0F67">
                  <w:pPr>
                    <w:keepNext w:val="0"/>
                    <w:keepLines w:val="0"/>
                    <w:widowControl/>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风险管理</w:t>
                  </w:r>
                </w:p>
              </w:tc>
              <w:tc>
                <w:tcPr>
                  <w:tcW w:w="2143" w:type="pct"/>
                  <w:vAlign w:val="center"/>
                </w:tcPr>
                <w:p w14:paraId="5C4E189C">
                  <w:pPr>
                    <w:keepNext w:val="0"/>
                    <w:keepLines w:val="0"/>
                    <w:widowControl/>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安装监控设施、安全培训、做好防渗工作，储备环境风险应急物资；设置应急预案体系</w:t>
                  </w:r>
                </w:p>
              </w:tc>
              <w:tc>
                <w:tcPr>
                  <w:tcW w:w="801" w:type="pct"/>
                  <w:vAlign w:val="center"/>
                </w:tcPr>
                <w:p w14:paraId="4317141B">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r w14:paraId="3EA9E7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jc w:val="center"/>
              </w:trPr>
              <w:tc>
                <w:tcPr>
                  <w:tcW w:w="452" w:type="pct"/>
                  <w:vMerge w:val="restart"/>
                  <w:vAlign w:val="center"/>
                </w:tcPr>
                <w:p w14:paraId="68D19574">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闭矿期</w:t>
                  </w:r>
                </w:p>
              </w:tc>
              <w:tc>
                <w:tcPr>
                  <w:tcW w:w="1602" w:type="pct"/>
                  <w:gridSpan w:val="2"/>
                  <w:vAlign w:val="center"/>
                </w:tcPr>
                <w:p w14:paraId="4E76D539">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生态保护与恢复措施</w:t>
                  </w:r>
                </w:p>
              </w:tc>
              <w:tc>
                <w:tcPr>
                  <w:tcW w:w="2143" w:type="pct"/>
                  <w:vAlign w:val="center"/>
                </w:tcPr>
                <w:p w14:paraId="73DCA90B">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环境修复、土地复垦</w:t>
                  </w:r>
                </w:p>
              </w:tc>
              <w:tc>
                <w:tcPr>
                  <w:tcW w:w="801" w:type="pct"/>
                  <w:vAlign w:val="center"/>
                </w:tcPr>
                <w:p w14:paraId="0187B63C">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63</w:t>
                  </w:r>
                </w:p>
              </w:tc>
            </w:tr>
            <w:tr w14:paraId="4BC93E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jc w:val="center"/>
              </w:trPr>
              <w:tc>
                <w:tcPr>
                  <w:tcW w:w="452" w:type="pct"/>
                  <w:vMerge w:val="continue"/>
                  <w:vAlign w:val="center"/>
                </w:tcPr>
                <w:p w14:paraId="4775FF7E">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p>
              </w:tc>
              <w:tc>
                <w:tcPr>
                  <w:tcW w:w="1602" w:type="pct"/>
                  <w:gridSpan w:val="2"/>
                  <w:tcBorders>
                    <w:left w:val="single" w:color="auto" w:sz="4" w:space="0"/>
                    <w:right w:val="single" w:color="auto" w:sz="4" w:space="0"/>
                  </w:tcBorders>
                  <w:vAlign w:val="center"/>
                </w:tcPr>
                <w:p w14:paraId="4F8553E4">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水土保持</w:t>
                  </w:r>
                </w:p>
              </w:tc>
              <w:tc>
                <w:tcPr>
                  <w:tcW w:w="2143" w:type="pct"/>
                  <w:tcBorders>
                    <w:left w:val="single" w:color="auto" w:sz="4" w:space="0"/>
                  </w:tcBorders>
                  <w:vAlign w:val="center"/>
                </w:tcPr>
                <w:p w14:paraId="31F1D9A6">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水土保持措施</w:t>
                  </w:r>
                </w:p>
              </w:tc>
              <w:tc>
                <w:tcPr>
                  <w:tcW w:w="801" w:type="pct"/>
                  <w:vAlign w:val="center"/>
                </w:tcPr>
                <w:p w14:paraId="35B6EB4F">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r>
            <w:tr w14:paraId="48084C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 w:type="dxa"/>
                  <w:bottom w:w="0" w:type="dxa"/>
                  <w:right w:w="11" w:type="dxa"/>
                </w:tblCellMar>
              </w:tblPrEx>
              <w:trPr>
                <w:trHeight w:val="337" w:hRule="atLeast"/>
                <w:jc w:val="center"/>
              </w:trPr>
              <w:tc>
                <w:tcPr>
                  <w:tcW w:w="4198" w:type="pct"/>
                  <w:gridSpan w:val="4"/>
                  <w:vAlign w:val="center"/>
                </w:tcPr>
                <w:p w14:paraId="57E9F9E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合计</w:t>
                  </w:r>
                </w:p>
              </w:tc>
              <w:tc>
                <w:tcPr>
                  <w:tcW w:w="801" w:type="pct"/>
                  <w:vAlign w:val="center"/>
                </w:tcPr>
                <w:p w14:paraId="31722A68">
                  <w:pPr>
                    <w:keepNext w:val="0"/>
                    <w:keepLines w:val="0"/>
                    <w:suppressLineNumbers w:val="0"/>
                    <w:spacing w:before="0" w:beforeAutospacing="0" w:after="0" w:afterAutospacing="0"/>
                    <w:ind w:left="0" w:leftChars="0" w:right="0" w:rightChars="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149</w:t>
                  </w:r>
                </w:p>
              </w:tc>
            </w:tr>
          </w:tbl>
          <w:p w14:paraId="317D4ED6">
            <w:pPr>
              <w:keepNext w:val="0"/>
              <w:keepLines w:val="0"/>
              <w:suppressLineNumbers w:val="0"/>
              <w:adjustRightInd w:val="0"/>
              <w:snapToGrid w:val="0"/>
              <w:spacing w:before="0" w:beforeAutospacing="0" w:after="0" w:afterAutospacing="0"/>
              <w:ind w:left="0" w:right="0"/>
              <w:rPr>
                <w:rFonts w:hint="default" w:ascii="宋体" w:hAnsi="宋体" w:cs="宋体"/>
                <w:bCs/>
                <w:color w:val="000000" w:themeColor="text1"/>
                <w:spacing w:val="10"/>
                <w:szCs w:val="21"/>
                <w14:textFill>
                  <w14:solidFill>
                    <w14:schemeClr w14:val="tx1"/>
                  </w14:solidFill>
                </w14:textFill>
              </w:rPr>
            </w:pPr>
          </w:p>
        </w:tc>
      </w:tr>
    </w:tbl>
    <w:p w14:paraId="71A51C29">
      <w:pPr>
        <w:rPr>
          <w:color w:val="000000" w:themeColor="text1"/>
          <w14:textFill>
            <w14:solidFill>
              <w14:schemeClr w14:val="tx1"/>
            </w14:solidFill>
          </w14:textFill>
        </w:rPr>
      </w:pPr>
    </w:p>
    <w:p w14:paraId="4387BC24">
      <w:pPr>
        <w:rPr>
          <w:color w:val="000000" w:themeColor="text1"/>
          <w14:textFill>
            <w14:solidFill>
              <w14:schemeClr w14:val="tx1"/>
            </w14:solidFill>
          </w14:textFill>
        </w:rPr>
      </w:pPr>
    </w:p>
    <w:p w14:paraId="3ED92C90">
      <w:pPr>
        <w:rPr>
          <w:color w:val="000000" w:themeColor="text1"/>
          <w14:textFill>
            <w14:solidFill>
              <w14:schemeClr w14:val="tx1"/>
            </w14:solidFill>
          </w14:textFill>
        </w:rPr>
      </w:pPr>
    </w:p>
    <w:p w14:paraId="61356DC1">
      <w:pPr>
        <w:adjustRightInd w:val="0"/>
        <w:snapToGrid w:val="0"/>
        <w:spacing w:line="14" w:lineRule="auto"/>
        <w:jc w:val="center"/>
        <w:outlineLvl w:val="0"/>
        <w:rPr>
          <w:rFonts w:ascii="黑体" w:hAnsi="黑体" w:eastAsia="黑体"/>
          <w:snapToGrid w:val="0"/>
          <w:color w:val="000000" w:themeColor="text1"/>
          <w:sz w:val="30"/>
          <w:szCs w:val="30"/>
          <w14:textFill>
            <w14:solidFill>
              <w14:schemeClr w14:val="tx1"/>
            </w14:solidFill>
          </w14:textFill>
        </w:rPr>
      </w:pPr>
    </w:p>
    <w:p w14:paraId="0812A4AD">
      <w:pPr>
        <w:sectPr>
          <w:pgSz w:w="11907" w:h="16840"/>
          <w:pgMar w:top="1440" w:right="1797" w:bottom="1440" w:left="1797" w:header="851" w:footer="1077" w:gutter="0"/>
          <w:pgNumType w:fmt="decimal"/>
          <w:cols w:space="720" w:num="1"/>
          <w:docGrid w:linePitch="312" w:charSpace="0"/>
        </w:sectPr>
      </w:pPr>
    </w:p>
    <w:p w14:paraId="02F25AF7">
      <w:pPr>
        <w:spacing w:line="360" w:lineRule="auto"/>
        <w:jc w:val="center"/>
        <w:outlineLvl w:val="0"/>
        <w:rPr>
          <w:rFonts w:ascii="黑体" w:hAnsi="黑体" w:eastAsia="黑体"/>
          <w:snapToGrid w:val="0"/>
          <w:sz w:val="30"/>
          <w:szCs w:val="30"/>
        </w:rPr>
      </w:pPr>
      <w:r>
        <w:rPr>
          <w:rFonts w:hint="eastAsia" w:ascii="黑体" w:hAnsi="黑体" w:eastAsia="黑体"/>
          <w:snapToGrid w:val="0"/>
          <w:sz w:val="30"/>
          <w:szCs w:val="30"/>
        </w:rPr>
        <w:t>六、生态环境保护措施监督检查清单</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15"/>
        <w:gridCol w:w="1584"/>
        <w:gridCol w:w="1737"/>
        <w:gridCol w:w="2245"/>
        <w:gridCol w:w="1742"/>
      </w:tblGrid>
      <w:tr w14:paraId="49ACF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709" w:type="pct"/>
            <w:vMerge w:val="restart"/>
            <w:tcBorders>
              <w:tl2br w:val="single" w:color="auto" w:sz="4" w:space="0"/>
            </w:tcBorders>
            <w:vAlign w:val="center"/>
          </w:tcPr>
          <w:p w14:paraId="5D3C6D40">
            <w:pPr>
              <w:keepNext w:val="0"/>
              <w:keepLines w:val="0"/>
              <w:suppressLineNumbers w:val="0"/>
              <w:adjustRightInd w:val="0"/>
              <w:snapToGrid w:val="0"/>
              <w:spacing w:before="72" w:beforeLines="30" w:beforeAutospacing="0" w:after="0" w:afterAutospacing="0"/>
              <w:ind w:left="0" w:right="0"/>
              <w:jc w:val="center"/>
              <w:outlineLvl w:val="0"/>
              <w:rPr>
                <w:rFonts w:hint="default" w:ascii="Times New Roman" w:hAnsi="Times New Roman" w:eastAsia="宋体"/>
                <w:szCs w:val="21"/>
              </w:rPr>
            </w:pPr>
            <w:r>
              <w:rPr>
                <w:rFonts w:hint="eastAsia" w:ascii="Times New Roman" w:hAnsi="Times New Roman" w:eastAsia="宋体"/>
                <w:szCs w:val="21"/>
                <w:lang w:val="en-US" w:eastAsia="zh-CN"/>
              </w:rPr>
              <w:t xml:space="preserve">     </w:t>
            </w:r>
            <w:r>
              <w:rPr>
                <w:rFonts w:hint="default" w:ascii="Times New Roman" w:hAnsi="Times New Roman" w:eastAsia="宋体"/>
                <w:szCs w:val="21"/>
              </w:rPr>
              <w:t>内容</w:t>
            </w:r>
          </w:p>
          <w:p w14:paraId="1122A36F">
            <w:pPr>
              <w:keepNext w:val="0"/>
              <w:keepLines w:val="0"/>
              <w:suppressLineNumbers w:val="0"/>
              <w:adjustRightInd w:val="0"/>
              <w:snapToGrid w:val="0"/>
              <w:spacing w:before="0" w:beforeAutospacing="0" w:after="0" w:afterAutospacing="0" w:line="14" w:lineRule="auto"/>
              <w:ind w:left="0" w:right="0"/>
              <w:jc w:val="center"/>
              <w:outlineLvl w:val="0"/>
              <w:rPr>
                <w:rFonts w:hint="default" w:ascii="Times New Roman" w:hAnsi="Times New Roman" w:eastAsia="宋体"/>
                <w:szCs w:val="21"/>
              </w:rPr>
            </w:pPr>
          </w:p>
          <w:p w14:paraId="33FC20E4">
            <w:pPr>
              <w:keepNext w:val="0"/>
              <w:keepLines w:val="0"/>
              <w:suppressLineNumbers w:val="0"/>
              <w:adjustRightInd w:val="0"/>
              <w:snapToGrid w:val="0"/>
              <w:spacing w:before="0" w:beforeAutospacing="0" w:after="0" w:afterAutospacing="0"/>
              <w:ind w:left="0" w:right="0"/>
              <w:jc w:val="both"/>
              <w:outlineLvl w:val="0"/>
              <w:rPr>
                <w:rFonts w:hint="default" w:ascii="Times New Roman" w:hAnsi="Times New Roman" w:eastAsia="宋体"/>
                <w:szCs w:val="21"/>
              </w:rPr>
            </w:pPr>
            <w:r>
              <w:rPr>
                <w:rFonts w:hint="default" w:ascii="Times New Roman" w:hAnsi="Times New Roman" w:eastAsia="宋体"/>
                <w:szCs w:val="21"/>
              </w:rPr>
              <w:t>要素</w:t>
            </w:r>
          </w:p>
        </w:tc>
        <w:tc>
          <w:tcPr>
            <w:tcW w:w="1876" w:type="pct"/>
            <w:gridSpan w:val="2"/>
            <w:vAlign w:val="center"/>
          </w:tcPr>
          <w:p w14:paraId="61150C7E">
            <w:pPr>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szCs w:val="21"/>
              </w:rPr>
            </w:pPr>
            <w:r>
              <w:rPr>
                <w:rFonts w:hint="default" w:ascii="Times New Roman" w:hAnsi="Times New Roman" w:eastAsia="宋体"/>
                <w:szCs w:val="21"/>
              </w:rPr>
              <w:t>施工期</w:t>
            </w:r>
          </w:p>
        </w:tc>
        <w:tc>
          <w:tcPr>
            <w:tcW w:w="2413" w:type="pct"/>
            <w:gridSpan w:val="2"/>
            <w:vAlign w:val="center"/>
          </w:tcPr>
          <w:p w14:paraId="3CF1DAD8">
            <w:pPr>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szCs w:val="21"/>
              </w:rPr>
            </w:pPr>
            <w:r>
              <w:rPr>
                <w:rFonts w:hint="default" w:ascii="Times New Roman" w:hAnsi="Times New Roman" w:eastAsia="宋体"/>
                <w:szCs w:val="21"/>
              </w:rPr>
              <w:t>运营期</w:t>
            </w:r>
            <w:r>
              <w:rPr>
                <w:rFonts w:hint="eastAsia" w:ascii="Times New Roman" w:hAnsi="Times New Roman" w:eastAsia="宋体"/>
                <w:szCs w:val="21"/>
              </w:rPr>
              <w:t>及闭矿期</w:t>
            </w:r>
          </w:p>
        </w:tc>
      </w:tr>
      <w:tr w14:paraId="6281E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709" w:type="pct"/>
            <w:vMerge w:val="continue"/>
            <w:vAlign w:val="center"/>
          </w:tcPr>
          <w:p w14:paraId="66D99A02">
            <w:pPr>
              <w:keepNext w:val="0"/>
              <w:keepLines w:val="0"/>
              <w:suppressLineNumbers w:val="0"/>
              <w:adjustRightInd w:val="0"/>
              <w:snapToGrid w:val="0"/>
              <w:spacing w:before="0" w:beforeAutospacing="0" w:after="0" w:afterAutospacing="0"/>
              <w:ind w:left="0" w:right="0" w:firstLine="840"/>
              <w:jc w:val="center"/>
              <w:outlineLvl w:val="0"/>
              <w:rPr>
                <w:rFonts w:hint="default" w:ascii="Times New Roman" w:hAnsi="Times New Roman" w:eastAsia="宋体"/>
                <w:szCs w:val="21"/>
              </w:rPr>
            </w:pPr>
          </w:p>
        </w:tc>
        <w:tc>
          <w:tcPr>
            <w:tcW w:w="1051" w:type="pct"/>
            <w:vAlign w:val="center"/>
          </w:tcPr>
          <w:p w14:paraId="58F0E8B9">
            <w:pPr>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szCs w:val="21"/>
              </w:rPr>
            </w:pPr>
            <w:r>
              <w:rPr>
                <w:rFonts w:hint="default" w:ascii="Times New Roman" w:hAnsi="Times New Roman" w:eastAsia="宋体"/>
                <w:szCs w:val="21"/>
              </w:rPr>
              <w:t>环境保护措施</w:t>
            </w:r>
          </w:p>
        </w:tc>
        <w:tc>
          <w:tcPr>
            <w:tcW w:w="825" w:type="pct"/>
            <w:vAlign w:val="center"/>
          </w:tcPr>
          <w:p w14:paraId="08F9A45C">
            <w:pPr>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szCs w:val="21"/>
              </w:rPr>
            </w:pPr>
            <w:r>
              <w:rPr>
                <w:rFonts w:hint="default" w:ascii="Times New Roman" w:hAnsi="Times New Roman" w:eastAsia="宋体"/>
                <w:szCs w:val="21"/>
              </w:rPr>
              <w:t>验收要求</w:t>
            </w:r>
          </w:p>
        </w:tc>
        <w:tc>
          <w:tcPr>
            <w:tcW w:w="1448" w:type="pct"/>
            <w:vAlign w:val="center"/>
          </w:tcPr>
          <w:p w14:paraId="533459B2">
            <w:pPr>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szCs w:val="21"/>
              </w:rPr>
            </w:pPr>
            <w:r>
              <w:rPr>
                <w:rFonts w:hint="default" w:ascii="Times New Roman" w:hAnsi="Times New Roman" w:eastAsia="宋体"/>
                <w:szCs w:val="21"/>
              </w:rPr>
              <w:t>环境保护措施</w:t>
            </w:r>
          </w:p>
        </w:tc>
        <w:tc>
          <w:tcPr>
            <w:tcW w:w="964" w:type="pct"/>
            <w:vAlign w:val="center"/>
          </w:tcPr>
          <w:p w14:paraId="2BCA0A2B">
            <w:pPr>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宋体"/>
                <w:szCs w:val="21"/>
              </w:rPr>
            </w:pPr>
            <w:r>
              <w:rPr>
                <w:rFonts w:hint="default" w:ascii="Times New Roman" w:hAnsi="Times New Roman" w:eastAsia="宋体"/>
                <w:szCs w:val="21"/>
              </w:rPr>
              <w:t>验收要求</w:t>
            </w:r>
          </w:p>
        </w:tc>
      </w:tr>
      <w:tr w14:paraId="4145C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1035B3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陆生生态</w:t>
            </w:r>
          </w:p>
        </w:tc>
        <w:tc>
          <w:tcPr>
            <w:tcW w:w="1051" w:type="pct"/>
            <w:vAlign w:val="center"/>
          </w:tcPr>
          <w:p w14:paraId="2EA7BBAB">
            <w:pPr>
              <w:pStyle w:val="9"/>
              <w:keepNext w:val="0"/>
              <w:keepLines w:val="0"/>
              <w:suppressLineNumbers w:val="0"/>
              <w:spacing w:before="0" w:beforeAutospacing="0" w:after="0" w:afterAutospacing="0"/>
              <w:ind w:left="0" w:right="0"/>
              <w:jc w:val="center"/>
              <w:rPr>
                <w:rFonts w:hint="eastAsia" w:ascii="Times New Roman" w:hAnsi="Times New Roman" w:eastAsia="宋体"/>
                <w:kern w:val="2"/>
                <w:sz w:val="21"/>
                <w:szCs w:val="21"/>
                <w:lang w:eastAsia="zh-CN"/>
              </w:rPr>
            </w:pPr>
            <w:r>
              <w:rPr>
                <w:rFonts w:hint="eastAsia" w:ascii="Times New Roman" w:hAnsi="Times New Roman" w:eastAsia="宋体"/>
                <w:sz w:val="21"/>
                <w:szCs w:val="21"/>
              </w:rPr>
              <w:t>优化施工布置，控制施工占地，严禁施工材料乱堆乱放，加强对施工人员的宣传教育</w:t>
            </w:r>
            <w:r>
              <w:rPr>
                <w:rFonts w:hint="eastAsia"/>
                <w:sz w:val="21"/>
                <w:szCs w:val="21"/>
                <w:lang w:eastAsia="zh-CN"/>
              </w:rPr>
              <w:t>。</w:t>
            </w:r>
          </w:p>
        </w:tc>
        <w:tc>
          <w:tcPr>
            <w:tcW w:w="825" w:type="pct"/>
            <w:vAlign w:val="center"/>
          </w:tcPr>
          <w:p w14:paraId="5FD55524">
            <w:pPr>
              <w:pStyle w:val="9"/>
              <w:keepNext w:val="0"/>
              <w:keepLines w:val="0"/>
              <w:suppressLineNumbers w:val="0"/>
              <w:spacing w:before="0" w:beforeAutospacing="0" w:after="0" w:afterAutospacing="0"/>
              <w:ind w:left="0" w:right="0"/>
              <w:jc w:val="center"/>
              <w:rPr>
                <w:rFonts w:hint="eastAsia" w:ascii="Times New Roman" w:hAnsi="Times New Roman" w:eastAsia="宋体"/>
                <w:kern w:val="2"/>
                <w:sz w:val="21"/>
                <w:szCs w:val="21"/>
                <w:lang w:eastAsia="zh-CN"/>
              </w:rPr>
            </w:pPr>
            <w:r>
              <w:rPr>
                <w:rFonts w:hint="eastAsia" w:ascii="Times New Roman" w:hAnsi="Times New Roman" w:eastAsia="宋体"/>
                <w:sz w:val="21"/>
                <w:szCs w:val="21"/>
                <w:lang w:val="en-US" w:eastAsia="zh-CN"/>
              </w:rPr>
              <w:t>/</w:t>
            </w:r>
          </w:p>
        </w:tc>
        <w:tc>
          <w:tcPr>
            <w:tcW w:w="1448" w:type="pct"/>
            <w:vAlign w:val="center"/>
          </w:tcPr>
          <w:p w14:paraId="7260A04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default" w:ascii="Times New Roman" w:hAnsi="Times New Roman" w:eastAsia="宋体"/>
                <w:szCs w:val="21"/>
              </w:rPr>
              <w:t>边开采边复垦，尽早对裸露地表进行复垦，严格执行矿山地质环境恢复治理方案，矿区开采终了时，应全部回填于采坑，并进行覆土绿化</w:t>
            </w:r>
            <w:r>
              <w:rPr>
                <w:rFonts w:hint="eastAsia"/>
                <w:szCs w:val="21"/>
                <w:lang w:eastAsia="zh-CN"/>
              </w:rPr>
              <w:t>。</w:t>
            </w:r>
          </w:p>
        </w:tc>
        <w:tc>
          <w:tcPr>
            <w:tcW w:w="964" w:type="pct"/>
            <w:vAlign w:val="center"/>
          </w:tcPr>
          <w:p w14:paraId="2792AAF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w:t>
            </w:r>
          </w:p>
        </w:tc>
      </w:tr>
      <w:tr w14:paraId="53DD5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45F25D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水生生态</w:t>
            </w:r>
          </w:p>
        </w:tc>
        <w:tc>
          <w:tcPr>
            <w:tcW w:w="1051" w:type="pct"/>
            <w:vAlign w:val="center"/>
          </w:tcPr>
          <w:p w14:paraId="680381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825" w:type="pct"/>
            <w:vAlign w:val="center"/>
          </w:tcPr>
          <w:p w14:paraId="38E7D1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1448" w:type="pct"/>
            <w:vAlign w:val="center"/>
          </w:tcPr>
          <w:p w14:paraId="7C804A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964" w:type="pct"/>
            <w:vAlign w:val="center"/>
          </w:tcPr>
          <w:p w14:paraId="09C09A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14:paraId="6DDC1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1C1B98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地表水环境</w:t>
            </w:r>
          </w:p>
        </w:tc>
        <w:tc>
          <w:tcPr>
            <w:tcW w:w="1051" w:type="pct"/>
            <w:vAlign w:val="center"/>
          </w:tcPr>
          <w:p w14:paraId="0651491C">
            <w:pPr>
              <w:pStyle w:val="9"/>
              <w:keepNext w:val="0"/>
              <w:keepLines w:val="0"/>
              <w:suppressLineNumbers w:val="0"/>
              <w:spacing w:before="0" w:beforeAutospacing="0" w:after="0" w:afterAutospacing="0"/>
              <w:ind w:left="0" w:right="0"/>
              <w:jc w:val="center"/>
              <w:rPr>
                <w:rFonts w:hint="eastAsia" w:ascii="Times New Roman" w:hAnsi="Times New Roman" w:eastAsia="宋体"/>
                <w:kern w:val="2"/>
                <w:sz w:val="21"/>
                <w:szCs w:val="21"/>
                <w:lang w:eastAsia="zh-CN"/>
              </w:rPr>
            </w:pPr>
            <w:r>
              <w:rPr>
                <w:rFonts w:hint="default" w:ascii="Times New Roman" w:hAnsi="Times New Roman" w:eastAsia="宋体"/>
                <w:sz w:val="21"/>
                <w:szCs w:val="21"/>
              </w:rPr>
              <w:t>施工废水沉淀后回用于场地洒水抑尘，不外排</w:t>
            </w:r>
            <w:r>
              <w:rPr>
                <w:rFonts w:hint="eastAsia"/>
                <w:sz w:val="21"/>
                <w:szCs w:val="21"/>
                <w:lang w:eastAsia="zh-CN"/>
              </w:rPr>
              <w:t>。</w:t>
            </w:r>
          </w:p>
        </w:tc>
        <w:tc>
          <w:tcPr>
            <w:tcW w:w="825" w:type="pct"/>
            <w:vAlign w:val="center"/>
          </w:tcPr>
          <w:p w14:paraId="3FC49C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1448" w:type="pct"/>
            <w:vAlign w:val="center"/>
          </w:tcPr>
          <w:p w14:paraId="219605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eastAsia" w:ascii="Times New Roman" w:hAnsi="Times New Roman" w:eastAsia="宋体" w:cs="Times New Roman"/>
                <w:color w:val="auto"/>
                <w:kern w:val="2"/>
                <w:sz w:val="21"/>
                <w:szCs w:val="21"/>
                <w:lang w:val="en-US" w:eastAsia="zh-CN" w:bidi="ar-SA"/>
              </w:rPr>
              <w:t>抑尘用水自然蒸发，不外排</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；生活污水排入</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防渗化粪池预处理</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后定期拉运处理</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964" w:type="pct"/>
            <w:vAlign w:val="center"/>
          </w:tcPr>
          <w:p w14:paraId="61275F8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w:t>
            </w:r>
          </w:p>
        </w:tc>
      </w:tr>
      <w:tr w14:paraId="197CA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29746D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地下水及土壤环境</w:t>
            </w:r>
          </w:p>
        </w:tc>
        <w:tc>
          <w:tcPr>
            <w:tcW w:w="1051" w:type="pct"/>
            <w:vAlign w:val="center"/>
          </w:tcPr>
          <w:p w14:paraId="5FC1DB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825" w:type="pct"/>
            <w:vAlign w:val="center"/>
          </w:tcPr>
          <w:p w14:paraId="0EA99B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1448" w:type="pct"/>
            <w:vAlign w:val="center"/>
          </w:tcPr>
          <w:p w14:paraId="57443C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964" w:type="pct"/>
            <w:vAlign w:val="center"/>
          </w:tcPr>
          <w:p w14:paraId="5CB392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14:paraId="0170A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128E6F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声环境</w:t>
            </w:r>
          </w:p>
        </w:tc>
        <w:tc>
          <w:tcPr>
            <w:tcW w:w="1051" w:type="pct"/>
            <w:vAlign w:val="center"/>
          </w:tcPr>
          <w:p w14:paraId="76CD8E34">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1）合理安排施工时间、禁止夜间施工、合理规划施工场地，合理分布施工机械；</w:t>
            </w:r>
          </w:p>
          <w:p w14:paraId="1EC065DA">
            <w:pPr>
              <w:pStyle w:val="9"/>
              <w:keepNext w:val="0"/>
              <w:keepLines w:val="0"/>
              <w:suppressLineNumbers w:val="0"/>
              <w:spacing w:before="0" w:beforeAutospacing="0" w:after="0" w:afterAutospacing="0"/>
              <w:ind w:left="0" w:right="0"/>
              <w:jc w:val="center"/>
              <w:rPr>
                <w:rFonts w:hint="eastAsia" w:ascii="Times New Roman" w:hAnsi="Times New Roman" w:eastAsia="宋体"/>
                <w:sz w:val="21"/>
                <w:szCs w:val="21"/>
                <w:lang w:eastAsia="zh-CN"/>
              </w:rPr>
            </w:pPr>
            <w:r>
              <w:rPr>
                <w:rFonts w:hint="default" w:ascii="Times New Roman" w:hAnsi="Times New Roman" w:eastAsia="宋体"/>
                <w:sz w:val="21"/>
                <w:szCs w:val="21"/>
              </w:rPr>
              <w:t>（2）施工单位应采用噪声水平满足国家相应标准的施工机械设备，加强施工机械的维修、管理，保证施工机械处于低噪声、高效率的良好工作状态</w:t>
            </w:r>
            <w:r>
              <w:rPr>
                <w:rFonts w:hint="eastAsia"/>
                <w:sz w:val="21"/>
                <w:szCs w:val="21"/>
                <w:lang w:eastAsia="zh-CN"/>
              </w:rPr>
              <w:t>。</w:t>
            </w:r>
          </w:p>
        </w:tc>
        <w:tc>
          <w:tcPr>
            <w:tcW w:w="825" w:type="pct"/>
            <w:vAlign w:val="center"/>
          </w:tcPr>
          <w:p w14:paraId="041A04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kern w:val="0"/>
                <w:szCs w:val="21"/>
              </w:rPr>
              <w:t>满足执行《建筑施工场界环境噪声排放标准》（GB12523-2011）</w:t>
            </w:r>
          </w:p>
        </w:tc>
        <w:tc>
          <w:tcPr>
            <w:tcW w:w="1448" w:type="pct"/>
            <w:vAlign w:val="center"/>
          </w:tcPr>
          <w:p w14:paraId="34CF09E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default" w:ascii="Times New Roman" w:hAnsi="Times New Roman" w:eastAsia="宋体"/>
                <w:szCs w:val="21"/>
              </w:rPr>
              <w:t>低噪声设备、基础减振等措施</w:t>
            </w:r>
            <w:r>
              <w:rPr>
                <w:rFonts w:hint="eastAsia"/>
                <w:szCs w:val="21"/>
                <w:lang w:eastAsia="zh-CN"/>
              </w:rPr>
              <w:t>。</w:t>
            </w:r>
          </w:p>
        </w:tc>
        <w:tc>
          <w:tcPr>
            <w:tcW w:w="964" w:type="pct"/>
            <w:vAlign w:val="center"/>
          </w:tcPr>
          <w:p w14:paraId="6C4BC38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default" w:ascii="Times New Roman" w:hAnsi="Times New Roman" w:eastAsia="宋体"/>
                <w:szCs w:val="21"/>
              </w:rPr>
              <w:t>满足《工业企业厂界环境噪声排放标准》（GB12348-2008）2类标准</w:t>
            </w:r>
            <w:r>
              <w:rPr>
                <w:rFonts w:hint="eastAsia"/>
                <w:szCs w:val="21"/>
                <w:lang w:eastAsia="zh-CN"/>
              </w:rPr>
              <w:t>。</w:t>
            </w:r>
          </w:p>
        </w:tc>
      </w:tr>
      <w:tr w14:paraId="3FA54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354D3F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振动</w:t>
            </w:r>
          </w:p>
        </w:tc>
        <w:tc>
          <w:tcPr>
            <w:tcW w:w="1051" w:type="pct"/>
            <w:vAlign w:val="center"/>
          </w:tcPr>
          <w:p w14:paraId="0FBBCF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825" w:type="pct"/>
            <w:vAlign w:val="center"/>
          </w:tcPr>
          <w:p w14:paraId="6936CE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1448" w:type="pct"/>
            <w:vAlign w:val="center"/>
          </w:tcPr>
          <w:p w14:paraId="343541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964" w:type="pct"/>
            <w:vAlign w:val="center"/>
          </w:tcPr>
          <w:p w14:paraId="3D2640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14:paraId="55111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684D49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大气环境</w:t>
            </w:r>
          </w:p>
        </w:tc>
        <w:tc>
          <w:tcPr>
            <w:tcW w:w="1051" w:type="pct"/>
            <w:vAlign w:val="center"/>
          </w:tcPr>
          <w:p w14:paraId="4BE72E2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eastAsia" w:ascii="Times New Roman" w:hAnsi="Times New Roman" w:eastAsia="宋体"/>
                <w:szCs w:val="21"/>
              </w:rPr>
              <w:t>定期洒水、规范施工。</w:t>
            </w:r>
            <w:r>
              <w:rPr>
                <w:rFonts w:hint="default" w:ascii="Times New Roman" w:hAnsi="Times New Roman" w:eastAsia="宋体"/>
                <w:szCs w:val="21"/>
              </w:rPr>
              <w:t>由于施工期粉尘污染源多为间接性分散源，排尘点低，扬尘排放在施工区及其周边距离范围内形成局部污染，对外界环境影响较小</w:t>
            </w:r>
            <w:r>
              <w:rPr>
                <w:rFonts w:hint="eastAsia"/>
                <w:szCs w:val="21"/>
                <w:lang w:eastAsia="zh-CN"/>
              </w:rPr>
              <w:t>。</w:t>
            </w:r>
          </w:p>
        </w:tc>
        <w:tc>
          <w:tcPr>
            <w:tcW w:w="825" w:type="pct"/>
            <w:vAlign w:val="center"/>
          </w:tcPr>
          <w:p w14:paraId="220ACD5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default" w:ascii="Times New Roman" w:hAnsi="Times New Roman" w:eastAsia="宋体"/>
                <w:szCs w:val="21"/>
              </w:rPr>
              <w:t>粉尘（颗粒物）排放满足《水泥工业大气污染物排放标准》（GB4951-2013）表</w:t>
            </w:r>
            <w:r>
              <w:rPr>
                <w:rFonts w:hint="eastAsia"/>
                <w:szCs w:val="21"/>
                <w:lang w:val="en-US" w:eastAsia="zh-CN"/>
              </w:rPr>
              <w:t>3</w:t>
            </w:r>
            <w:r>
              <w:rPr>
                <w:rFonts w:hint="default" w:ascii="Times New Roman" w:hAnsi="Times New Roman" w:eastAsia="宋体"/>
                <w:szCs w:val="21"/>
              </w:rPr>
              <w:t>中的无组织排放监控浓度限值</w:t>
            </w:r>
            <w:r>
              <w:rPr>
                <w:rFonts w:hint="eastAsia"/>
                <w:szCs w:val="21"/>
                <w:lang w:eastAsia="zh-CN"/>
              </w:rPr>
              <w:t>。</w:t>
            </w:r>
          </w:p>
        </w:tc>
        <w:tc>
          <w:tcPr>
            <w:tcW w:w="1448" w:type="pct"/>
            <w:vAlign w:val="center"/>
          </w:tcPr>
          <w:p w14:paraId="3944540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default" w:ascii="Times New Roman" w:hAnsi="Times New Roman" w:eastAsia="宋体"/>
                <w:szCs w:val="21"/>
              </w:rPr>
              <w:t>采矿区洒水降尘</w:t>
            </w:r>
            <w:r>
              <w:rPr>
                <w:rFonts w:hint="eastAsia"/>
                <w:szCs w:val="21"/>
                <w:lang w:eastAsia="zh-CN"/>
              </w:rPr>
              <w:t>；</w:t>
            </w:r>
            <w:r>
              <w:rPr>
                <w:rFonts w:hint="eastAsia"/>
                <w:szCs w:val="21"/>
                <w:lang w:val="en-US" w:eastAsia="zh-CN"/>
              </w:rPr>
              <w:t>临时堆料场采取防尘抑尘网（墙）加洒水抑尘；排土场采取洒水抑尘＋覆盖；</w:t>
            </w:r>
            <w:r>
              <w:rPr>
                <w:rFonts w:hint="eastAsia" w:ascii="Times New Roman" w:hAnsi="Times New Roman" w:eastAsia="宋体"/>
                <w:szCs w:val="21"/>
              </w:rPr>
              <w:t>项目</w:t>
            </w:r>
            <w:r>
              <w:rPr>
                <w:rFonts w:hint="eastAsia"/>
                <w:szCs w:val="21"/>
                <w:lang w:val="en-US" w:eastAsia="zh-CN"/>
              </w:rPr>
              <w:t>破碎、筛分</w:t>
            </w:r>
            <w:r>
              <w:rPr>
                <w:rFonts w:hint="eastAsia" w:ascii="Times New Roman" w:hAnsi="Times New Roman" w:eastAsia="宋体"/>
                <w:szCs w:val="21"/>
              </w:rPr>
              <w:t>工序</w:t>
            </w:r>
            <w:r>
              <w:rPr>
                <w:rFonts w:hint="default" w:ascii="Times New Roman" w:hAnsi="Times New Roman" w:eastAsia="宋体"/>
                <w:szCs w:val="21"/>
              </w:rPr>
              <w:t>采取</w:t>
            </w:r>
            <w:r>
              <w:rPr>
                <w:rFonts w:hint="eastAsia"/>
                <w:szCs w:val="21"/>
                <w:lang w:val="en-US" w:eastAsia="zh-CN"/>
              </w:rPr>
              <w:t>密闭车间及袋式除尘</w:t>
            </w:r>
            <w:r>
              <w:rPr>
                <w:rFonts w:hint="default" w:ascii="Times New Roman" w:hAnsi="Times New Roman" w:eastAsia="宋体"/>
                <w:szCs w:val="21"/>
              </w:rPr>
              <w:t>等措施；矿石运输过程中加强路面清扫，根据路面情况及时洒水</w:t>
            </w:r>
            <w:r>
              <w:rPr>
                <w:rFonts w:hint="eastAsia"/>
                <w:szCs w:val="21"/>
                <w:lang w:eastAsia="zh-CN"/>
              </w:rPr>
              <w:t>，</w:t>
            </w:r>
            <w:r>
              <w:rPr>
                <w:rFonts w:hint="default" w:ascii="Times New Roman" w:hAnsi="Times New Roman" w:eastAsia="宋体"/>
                <w:szCs w:val="21"/>
              </w:rPr>
              <w:t>能够有效减少扬尘产生。运输车辆均使用篷布遮盖，减少运输扬尘</w:t>
            </w:r>
            <w:r>
              <w:rPr>
                <w:rFonts w:hint="eastAsia"/>
                <w:szCs w:val="21"/>
                <w:lang w:eastAsia="zh-CN"/>
              </w:rPr>
              <w:t>。</w:t>
            </w:r>
          </w:p>
        </w:tc>
        <w:tc>
          <w:tcPr>
            <w:tcW w:w="964" w:type="pct"/>
            <w:vAlign w:val="center"/>
          </w:tcPr>
          <w:p w14:paraId="13A477C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eastAsia" w:ascii="Times New Roman" w:hAnsi="Times New Roman" w:eastAsia="宋体"/>
                <w:szCs w:val="21"/>
              </w:rPr>
              <w:t>颗粒物</w:t>
            </w:r>
            <w:r>
              <w:rPr>
                <w:rFonts w:hint="default" w:ascii="Times New Roman" w:hAnsi="Times New Roman" w:eastAsia="宋体"/>
                <w:szCs w:val="21"/>
              </w:rPr>
              <w:t>执行《水泥工业大气污染物排放标准》（GB4951-2013）污染源大气污染物浓度限值；食堂油烟执行《饮食</w:t>
            </w:r>
            <w:r>
              <w:rPr>
                <w:rFonts w:hint="eastAsia" w:ascii="Times New Roman" w:hAnsi="Times New Roman" w:eastAsia="宋体"/>
                <w:szCs w:val="21"/>
                <w:lang w:val="en-US" w:eastAsia="zh-CN"/>
              </w:rPr>
              <w:t>行</w:t>
            </w:r>
            <w:r>
              <w:rPr>
                <w:rFonts w:hint="default" w:ascii="Times New Roman" w:hAnsi="Times New Roman" w:eastAsia="宋体"/>
                <w:szCs w:val="21"/>
              </w:rPr>
              <w:t>业油烟排放标准（试行）》（GB184</w:t>
            </w:r>
            <w:r>
              <w:rPr>
                <w:rFonts w:hint="eastAsia" w:ascii="Times New Roman" w:hAnsi="Times New Roman" w:eastAsia="宋体"/>
                <w:szCs w:val="21"/>
                <w:lang w:val="en-US" w:eastAsia="zh-CN"/>
              </w:rPr>
              <w:t>8</w:t>
            </w:r>
            <w:r>
              <w:rPr>
                <w:rFonts w:hint="default" w:ascii="Times New Roman" w:hAnsi="Times New Roman" w:eastAsia="宋体"/>
                <w:szCs w:val="21"/>
              </w:rPr>
              <w:t>3-2001）的要求</w:t>
            </w:r>
            <w:r>
              <w:rPr>
                <w:rFonts w:hint="eastAsia"/>
                <w:szCs w:val="21"/>
                <w:lang w:eastAsia="zh-CN"/>
              </w:rPr>
              <w:t>。</w:t>
            </w:r>
          </w:p>
        </w:tc>
      </w:tr>
      <w:tr w14:paraId="45DEE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7B27BC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固体废物</w:t>
            </w:r>
          </w:p>
        </w:tc>
        <w:tc>
          <w:tcPr>
            <w:tcW w:w="1051" w:type="pct"/>
            <w:vAlign w:val="center"/>
          </w:tcPr>
          <w:p w14:paraId="7CECBB6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default" w:ascii="Times New Roman" w:hAnsi="Times New Roman" w:eastAsia="宋体"/>
                <w:szCs w:val="21"/>
              </w:rPr>
              <w:t>建筑垃圾及时清运至建筑垃圾填埋场填埋处置，生活垃圾集中收集后，运往生活垃圾场填埋处理</w:t>
            </w:r>
            <w:r>
              <w:rPr>
                <w:rFonts w:hint="eastAsia"/>
                <w:szCs w:val="21"/>
                <w:lang w:eastAsia="zh-CN"/>
              </w:rPr>
              <w:t>。</w:t>
            </w:r>
          </w:p>
        </w:tc>
        <w:tc>
          <w:tcPr>
            <w:tcW w:w="825" w:type="pct"/>
            <w:vAlign w:val="center"/>
          </w:tcPr>
          <w:p w14:paraId="1FA2FB6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default" w:ascii="Times New Roman" w:hAnsi="Times New Roman" w:eastAsia="宋体"/>
                <w:szCs w:val="21"/>
              </w:rPr>
              <w:t>及时清运，现场无施工固废遗留</w:t>
            </w:r>
            <w:r>
              <w:rPr>
                <w:rFonts w:hint="eastAsia"/>
                <w:szCs w:val="21"/>
                <w:lang w:eastAsia="zh-CN"/>
              </w:rPr>
              <w:t>。</w:t>
            </w:r>
          </w:p>
        </w:tc>
        <w:tc>
          <w:tcPr>
            <w:tcW w:w="1448" w:type="pct"/>
            <w:vAlign w:val="center"/>
          </w:tcPr>
          <w:p w14:paraId="61E86D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eastAsia" w:ascii="Times New Roman" w:hAnsi="Times New Roman" w:eastAsia="宋体"/>
                <w:szCs w:val="21"/>
                <w:lang w:val="en-US" w:eastAsia="zh-CN"/>
              </w:rPr>
              <w:t>开采过程</w:t>
            </w:r>
            <w:r>
              <w:rPr>
                <w:rFonts w:hint="eastAsia"/>
                <w:szCs w:val="21"/>
                <w:lang w:val="en-US" w:eastAsia="zh-CN"/>
              </w:rPr>
              <w:t>中产生的废土、</w:t>
            </w:r>
            <w:r>
              <w:rPr>
                <w:rFonts w:hint="eastAsia" w:ascii="Times New Roman" w:hAnsi="Times New Roman" w:eastAsia="宋体"/>
                <w:szCs w:val="21"/>
                <w:lang w:val="en-US" w:eastAsia="zh-CN"/>
              </w:rPr>
              <w:t>废石用于</w:t>
            </w:r>
            <w:r>
              <w:rPr>
                <w:rFonts w:hint="eastAsia"/>
                <w:szCs w:val="21"/>
                <w:lang w:val="en-US" w:eastAsia="zh-CN"/>
              </w:rPr>
              <w:t>采坑回填</w:t>
            </w:r>
            <w:r>
              <w:rPr>
                <w:rFonts w:hint="default" w:ascii="Times New Roman" w:hAnsi="Times New Roman" w:eastAsia="宋体"/>
                <w:szCs w:val="21"/>
              </w:rPr>
              <w:t>；生活垃圾集中收集后</w:t>
            </w:r>
            <w:r>
              <w:rPr>
                <w:rFonts w:hint="eastAsia" w:ascii="Times New Roman" w:hAnsi="Times New Roman" w:eastAsia="宋体"/>
                <w:szCs w:val="21"/>
                <w:lang w:val="en-US" w:eastAsia="zh-CN"/>
              </w:rPr>
              <w:t>定期交由环卫部门处置，危险废物暂存在</w:t>
            </w:r>
            <w:r>
              <w:rPr>
                <w:rFonts w:hint="eastAsia"/>
                <w:szCs w:val="21"/>
                <w:lang w:val="en-US" w:eastAsia="zh-CN"/>
              </w:rPr>
              <w:t>危废贮存间</w:t>
            </w:r>
            <w:r>
              <w:rPr>
                <w:rFonts w:hint="eastAsia" w:ascii="Times New Roman" w:hAnsi="Times New Roman" w:eastAsia="宋体"/>
                <w:szCs w:val="21"/>
                <w:lang w:val="en-US" w:eastAsia="zh-CN"/>
              </w:rPr>
              <w:t>，定期交由有资质的处置单位处置。</w:t>
            </w:r>
          </w:p>
        </w:tc>
        <w:tc>
          <w:tcPr>
            <w:tcW w:w="964" w:type="pct"/>
            <w:vAlign w:val="center"/>
          </w:tcPr>
          <w:p w14:paraId="4FE6E59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val="en-US" w:eastAsia="zh-CN"/>
              </w:rPr>
            </w:pPr>
            <w:r>
              <w:rPr>
                <w:rFonts w:hint="eastAsia" w:ascii="Times New Roman" w:hAnsi="Times New Roman" w:eastAsia="宋体"/>
                <w:szCs w:val="21"/>
                <w:lang w:eastAsia="zh-CN"/>
              </w:rPr>
              <w:t>危险废物应符合《危险废物贮存污染控制标准》（GB18957-2023）要求</w:t>
            </w:r>
            <w:r>
              <w:rPr>
                <w:rFonts w:hint="eastAsia"/>
                <w:szCs w:val="21"/>
                <w:lang w:eastAsia="zh-CN"/>
              </w:rPr>
              <w:t>。</w:t>
            </w:r>
          </w:p>
        </w:tc>
      </w:tr>
      <w:tr w14:paraId="11C1C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48B09D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电磁环境</w:t>
            </w:r>
          </w:p>
        </w:tc>
        <w:tc>
          <w:tcPr>
            <w:tcW w:w="1051" w:type="pct"/>
            <w:vAlign w:val="center"/>
          </w:tcPr>
          <w:p w14:paraId="401024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825" w:type="pct"/>
            <w:vAlign w:val="center"/>
          </w:tcPr>
          <w:p w14:paraId="480DF9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1448" w:type="pct"/>
            <w:vAlign w:val="center"/>
          </w:tcPr>
          <w:p w14:paraId="7EE840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964" w:type="pct"/>
            <w:vAlign w:val="center"/>
          </w:tcPr>
          <w:p w14:paraId="595DB1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14:paraId="29F51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5928C4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环境风险</w:t>
            </w:r>
          </w:p>
        </w:tc>
        <w:tc>
          <w:tcPr>
            <w:tcW w:w="1051" w:type="pct"/>
            <w:vAlign w:val="center"/>
          </w:tcPr>
          <w:p w14:paraId="0E79C4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825" w:type="pct"/>
            <w:vAlign w:val="center"/>
          </w:tcPr>
          <w:p w14:paraId="4E8178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1448" w:type="pct"/>
            <w:vAlign w:val="center"/>
          </w:tcPr>
          <w:p w14:paraId="05E727E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default" w:ascii="Times New Roman" w:hAnsi="Times New Roman" w:eastAsia="宋体"/>
                <w:szCs w:val="21"/>
              </w:rPr>
              <w:t>建立健全突发环境事件应急预案；加强设备保养，保证设备设施的正常运行</w:t>
            </w:r>
            <w:r>
              <w:rPr>
                <w:rFonts w:hint="eastAsia"/>
                <w:szCs w:val="21"/>
                <w:lang w:eastAsia="zh-CN"/>
              </w:rPr>
              <w:t>。</w:t>
            </w:r>
          </w:p>
        </w:tc>
        <w:tc>
          <w:tcPr>
            <w:tcW w:w="964" w:type="pct"/>
            <w:vAlign w:val="center"/>
          </w:tcPr>
          <w:p w14:paraId="3C30BB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14:paraId="15324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7AC00B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环境监测</w:t>
            </w:r>
          </w:p>
        </w:tc>
        <w:tc>
          <w:tcPr>
            <w:tcW w:w="1051" w:type="pct"/>
            <w:vAlign w:val="center"/>
          </w:tcPr>
          <w:p w14:paraId="3C7D98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825" w:type="pct"/>
            <w:vAlign w:val="center"/>
          </w:tcPr>
          <w:p w14:paraId="15E7A1C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w:t>
            </w:r>
          </w:p>
        </w:tc>
        <w:tc>
          <w:tcPr>
            <w:tcW w:w="1448" w:type="pct"/>
            <w:vAlign w:val="center"/>
          </w:tcPr>
          <w:p w14:paraId="1AF2D4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lang w:val="en-US"/>
              </w:rPr>
            </w:pPr>
            <w:r>
              <w:rPr>
                <w:rFonts w:hint="eastAsia" w:ascii="Times New Roman" w:hAnsi="Times New Roman" w:eastAsia="宋体" w:cs="Times New Roman"/>
                <w:color w:val="auto"/>
                <w:kern w:val="2"/>
                <w:sz w:val="21"/>
                <w:szCs w:val="21"/>
                <w:lang w:val="en-US" w:eastAsia="zh-CN" w:bidi="ar-SA"/>
              </w:rPr>
              <w:t>厂界无组织颗粒物在厂界上风向设置1个监测点、下风向设置3个监测点，1季度监测一次；厂界噪声在厂界四周各设置1个监测点，1季度监测一次昼夜噪声</w:t>
            </w:r>
            <w:r>
              <w:rPr>
                <w:rFonts w:hint="eastAsia" w:cs="Times New Roman"/>
                <w:color w:val="auto"/>
                <w:kern w:val="2"/>
                <w:sz w:val="21"/>
                <w:szCs w:val="21"/>
                <w:lang w:val="en-US" w:eastAsia="zh-CN" w:bidi="ar-SA"/>
              </w:rPr>
              <w:t>。</w:t>
            </w:r>
          </w:p>
        </w:tc>
        <w:tc>
          <w:tcPr>
            <w:tcW w:w="964" w:type="pct"/>
            <w:vAlign w:val="center"/>
          </w:tcPr>
          <w:p w14:paraId="5995681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eastAsia="zh-CN"/>
              </w:rPr>
            </w:pPr>
            <w:r>
              <w:rPr>
                <w:rFonts w:hint="eastAsia" w:ascii="Times New Roman" w:hAnsi="Times New Roman" w:eastAsia="宋体" w:cs="Times New Roman"/>
                <w:color w:val="auto"/>
                <w:kern w:val="2"/>
                <w:sz w:val="21"/>
                <w:szCs w:val="21"/>
                <w:lang w:val="en-US" w:eastAsia="zh-CN" w:bidi="ar-SA"/>
              </w:rPr>
              <w:t>颗粒物满足《水泥工业大气污染物排放标准》（GB4951-2013）</w:t>
            </w:r>
            <w:r>
              <w:rPr>
                <w:rFonts w:hint="eastAsia" w:ascii="Times New Roman" w:hAnsi="Times New Roman" w:eastAsia="宋体"/>
                <w:color w:val="auto"/>
                <w:szCs w:val="21"/>
              </w:rPr>
              <w:t>排放限值</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厂界噪声满足</w:t>
            </w:r>
            <w:r>
              <w:rPr>
                <w:rFonts w:hint="default" w:ascii="Times New Roman" w:hAnsi="Times New Roman" w:eastAsia="宋体"/>
                <w:color w:val="auto"/>
                <w:sz w:val="21"/>
              </w:rPr>
              <w:t>《工业企业厂界环境噪声排放标准》（GB12348-2008）</w:t>
            </w:r>
            <w:r>
              <w:rPr>
                <w:rFonts w:hint="eastAsia" w:ascii="Times New Roman" w:hAnsi="Times New Roman" w:eastAsia="宋体"/>
                <w:color w:val="auto"/>
                <w:sz w:val="21"/>
              </w:rPr>
              <w:t>2</w:t>
            </w:r>
            <w:r>
              <w:rPr>
                <w:rFonts w:hint="default" w:ascii="Times New Roman" w:hAnsi="Times New Roman" w:eastAsia="宋体"/>
                <w:color w:val="auto"/>
                <w:sz w:val="21"/>
              </w:rPr>
              <w:t>类标准</w:t>
            </w:r>
            <w:r>
              <w:rPr>
                <w:rFonts w:hint="eastAsia"/>
                <w:color w:val="auto"/>
                <w:sz w:val="21"/>
                <w:lang w:eastAsia="zh-CN"/>
              </w:rPr>
              <w:t>。</w:t>
            </w:r>
          </w:p>
        </w:tc>
      </w:tr>
      <w:tr w14:paraId="7EB3F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09" w:type="pct"/>
            <w:vAlign w:val="center"/>
          </w:tcPr>
          <w:p w14:paraId="67B25A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其他</w:t>
            </w:r>
          </w:p>
        </w:tc>
        <w:tc>
          <w:tcPr>
            <w:tcW w:w="1051" w:type="pct"/>
            <w:vAlign w:val="center"/>
          </w:tcPr>
          <w:p w14:paraId="67E3C6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825" w:type="pct"/>
            <w:vAlign w:val="center"/>
          </w:tcPr>
          <w:p w14:paraId="3F3B09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1448" w:type="pct"/>
            <w:vAlign w:val="center"/>
          </w:tcPr>
          <w:p w14:paraId="788474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c>
          <w:tcPr>
            <w:tcW w:w="964" w:type="pct"/>
            <w:vAlign w:val="center"/>
          </w:tcPr>
          <w:p w14:paraId="477550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bl>
    <w:p w14:paraId="268BA70C">
      <w:pPr>
        <w:jc w:val="center"/>
        <w:outlineLvl w:val="0"/>
        <w:rPr>
          <w:rFonts w:ascii="黑体" w:hAnsi="黑体" w:eastAsia="黑体"/>
          <w:snapToGrid w:val="0"/>
          <w:sz w:val="30"/>
          <w:szCs w:val="30"/>
        </w:rPr>
      </w:pPr>
    </w:p>
    <w:p w14:paraId="72F4256B">
      <w:pPr>
        <w:spacing w:line="14" w:lineRule="auto"/>
        <w:jc w:val="center"/>
        <w:outlineLvl w:val="0"/>
        <w:rPr>
          <w:rFonts w:ascii="黑体" w:hAnsi="黑体" w:eastAsia="黑体"/>
          <w:snapToGrid w:val="0"/>
          <w:sz w:val="30"/>
          <w:szCs w:val="30"/>
        </w:rPr>
      </w:pPr>
      <w:r>
        <w:rPr>
          <w:rFonts w:ascii="黑体" w:hAnsi="黑体" w:eastAsia="黑体"/>
          <w:snapToGrid w:val="0"/>
          <w:sz w:val="30"/>
          <w:szCs w:val="30"/>
        </w:rPr>
        <w:br w:type="page"/>
      </w:r>
    </w:p>
    <w:p w14:paraId="6DA8DB70">
      <w:pPr>
        <w:spacing w:before="192" w:beforeLines="8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3"/>
        <w:tblW w:w="88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30"/>
      </w:tblGrid>
      <w:tr w14:paraId="0151E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830" w:type="dxa"/>
          </w:tcPr>
          <w:p w14:paraId="512B6B7F">
            <w:pPr>
              <w:keepNext w:val="0"/>
              <w:keepLines w:val="0"/>
              <w:suppressLineNumbers w:val="0"/>
              <w:adjustRightInd w:val="0"/>
              <w:snapToGrid w:val="0"/>
              <w:spacing w:before="0" w:beforeAutospacing="0" w:after="0" w:afterAutospacing="0" w:line="520" w:lineRule="exact"/>
              <w:ind w:left="0" w:right="0" w:firstLine="480" w:firstLineChars="200"/>
              <w:jc w:val="left"/>
              <w:rPr>
                <w:rFonts w:hint="default" w:ascii="宋体" w:hAnsi="宋体" w:cs="宋体"/>
                <w:szCs w:val="21"/>
              </w:rPr>
            </w:pPr>
            <w:r>
              <w:rPr>
                <w:rFonts w:hint="default" w:ascii="宋体" w:hAnsi="宋体" w:cs="宋体"/>
                <w:sz w:val="24"/>
              </w:rPr>
              <w:t>本项目建设符合国家产业政策，在严格采取环评报告规定的环境保护对策后，各污染源所排放污染物可以达标排放，对环境影响较小。只要在日常运转管理中，切实落实好本评价提出的有关环境保护的对策和措施，从环境保护的角度而言，该项目是可行的。</w:t>
            </w:r>
          </w:p>
        </w:tc>
      </w:tr>
    </w:tbl>
    <w:p w14:paraId="33860A58">
      <w:pPr>
        <w:widowControl/>
        <w:adjustRightInd w:val="0"/>
        <w:snapToGrid w:val="0"/>
        <w:spacing w:before="192" w:beforeLines="80"/>
        <w:jc w:val="left"/>
        <w:rPr>
          <w:rFonts w:ascii="宋体"/>
        </w:rPr>
      </w:pPr>
    </w:p>
    <w:sectPr>
      <w:pgSz w:w="11906" w:h="16838"/>
      <w:pgMar w:top="1440" w:right="1800" w:bottom="1440" w:left="1800" w:header="851" w:footer="107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7E1A46-BB9F-4677-9889-1A17AC60B8D7}"/>
  </w:font>
  <w:font w:name="黑体">
    <w:panose1 w:val="02010609060101010101"/>
    <w:charset w:val="86"/>
    <w:family w:val="auto"/>
    <w:pitch w:val="default"/>
    <w:sig w:usb0="800002BF" w:usb1="38CF7CFA" w:usb2="00000016" w:usb3="00000000" w:csb0="00040001" w:csb1="00000000"/>
    <w:embedRegular r:id="rId2" w:fontKey="{17CD06F4-49C3-445C-825E-211D549A24E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F235C4D7-FCEE-4453-BF07-DCC48F8FCC2B}"/>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552CA169-7616-4CE8-9BBD-5A325D13EA35}"/>
  </w:font>
  <w:font w:name="方正小标宋_GBK">
    <w:panose1 w:val="03000509000000000000"/>
    <w:charset w:val="86"/>
    <w:family w:val="script"/>
    <w:pitch w:val="default"/>
    <w:sig w:usb0="00000001" w:usb1="080E0000" w:usb2="00000000" w:usb3="00000000" w:csb0="00040000" w:csb1="00000000"/>
    <w:embedRegular r:id="rId5" w:fontKey="{35F27FF8-BC47-4C0A-B300-7D28521E0C18}"/>
  </w:font>
  <w:font w:name="楷体_GB2312">
    <w:panose1 w:val="02010609030101010101"/>
    <w:charset w:val="86"/>
    <w:family w:val="modern"/>
    <w:pitch w:val="default"/>
    <w:sig w:usb0="00000001" w:usb1="080E0000" w:usb2="00000000" w:usb3="00000000" w:csb0="00040000" w:csb1="00000000"/>
    <w:embedRegular r:id="rId6" w:fontKey="{64FA57FA-AFB3-4AD9-AE4E-C123FAE2A99E}"/>
  </w:font>
  <w:font w:name="华文仿宋">
    <w:panose1 w:val="02010600040101010101"/>
    <w:charset w:val="86"/>
    <w:family w:val="auto"/>
    <w:pitch w:val="default"/>
    <w:sig w:usb0="00000287" w:usb1="080F0000" w:usb2="00000000" w:usb3="00000000" w:csb0="0004009F" w:csb1="DFD70000"/>
    <w:embedRegular r:id="rId7" w:fontKey="{D61C96B9-5390-4B53-A480-474013BBAAFF}"/>
  </w:font>
  <w:font w:name="微软雅黑">
    <w:panose1 w:val="020B0503020204020204"/>
    <w:charset w:val="86"/>
    <w:family w:val="auto"/>
    <w:pitch w:val="default"/>
    <w:sig w:usb0="80000287" w:usb1="2ACF3C50" w:usb2="00000016" w:usb3="00000000" w:csb0="0004001F" w:csb1="00000000"/>
    <w:embedRegular r:id="rId8" w:fontKey="{AE2D7B01-D901-40FC-8A66-C7B0E8939634}"/>
  </w:font>
  <w:font w:name="Segoe UI">
    <w:panose1 w:val="020B0502040204020203"/>
    <w:charset w:val="00"/>
    <w:family w:val="auto"/>
    <w:pitch w:val="default"/>
    <w:sig w:usb0="E4002EFF" w:usb1="C000E47F" w:usb2="00000009" w:usb3="00000000" w:csb0="200001FF" w:csb1="00000000"/>
    <w:embedRegular r:id="rId9" w:fontKey="{67CADA59-711E-475E-B1C6-96B92B9F8E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5E787">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64E11">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936DE">
    <w:pPr>
      <w:pStyle w:val="1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C9700">
                          <w:pPr>
                            <w:pStyle w:val="16"/>
                            <w:rPr>
                              <w:rStyle w:val="27"/>
                              <w:rFonts w:ascii="宋体" w:hAnsi="宋体"/>
                              <w:sz w:val="28"/>
                              <w:szCs w:val="28"/>
                            </w:rPr>
                          </w:pPr>
                          <w:r>
                            <w:rPr>
                              <w:rStyle w:val="27"/>
                              <w:rFonts w:ascii="宋体" w:hAnsi="宋体"/>
                              <w:sz w:val="28"/>
                              <w:szCs w:val="28"/>
                            </w:rPr>
                            <w:t xml:space="preserve">— </w:t>
                          </w:r>
                          <w:r>
                            <w:rPr>
                              <w:rStyle w:val="27"/>
                              <w:rFonts w:ascii="宋体" w:hAnsi="宋体"/>
                              <w:sz w:val="28"/>
                              <w:szCs w:val="28"/>
                            </w:rPr>
                            <w:fldChar w:fldCharType="begin"/>
                          </w:r>
                          <w:r>
                            <w:rPr>
                              <w:rStyle w:val="27"/>
                              <w:rFonts w:ascii="宋体" w:hAnsi="宋体"/>
                              <w:sz w:val="28"/>
                              <w:szCs w:val="28"/>
                            </w:rPr>
                            <w:instrText xml:space="preserve"> PAGE  \* MERGEFORMAT </w:instrText>
                          </w:r>
                          <w:r>
                            <w:rPr>
                              <w:rStyle w:val="27"/>
                              <w:rFonts w:ascii="宋体" w:hAnsi="宋体"/>
                              <w:sz w:val="28"/>
                              <w:szCs w:val="28"/>
                            </w:rPr>
                            <w:fldChar w:fldCharType="separate"/>
                          </w:r>
                          <w:r>
                            <w:rPr>
                              <w:rStyle w:val="27"/>
                              <w:rFonts w:ascii="宋体" w:hAnsi="宋体"/>
                              <w:sz w:val="28"/>
                              <w:szCs w:val="28"/>
                            </w:rPr>
                            <w:t>1</w:t>
                          </w:r>
                          <w:r>
                            <w:rPr>
                              <w:rStyle w:val="27"/>
                              <w:rFonts w:ascii="宋体" w:hAnsi="宋体"/>
                              <w:sz w:val="28"/>
                              <w:szCs w:val="28"/>
                            </w:rPr>
                            <w:fldChar w:fldCharType="end"/>
                          </w:r>
                          <w:r>
                            <w:rPr>
                              <w:rStyle w:val="27"/>
                              <w:rFonts w:ascii="宋体" w:hAnsi="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0C9700">
                    <w:pPr>
                      <w:pStyle w:val="16"/>
                      <w:rPr>
                        <w:rStyle w:val="27"/>
                        <w:rFonts w:ascii="宋体" w:hAnsi="宋体"/>
                        <w:sz w:val="28"/>
                        <w:szCs w:val="28"/>
                      </w:rPr>
                    </w:pPr>
                    <w:r>
                      <w:rPr>
                        <w:rStyle w:val="27"/>
                        <w:rFonts w:ascii="宋体" w:hAnsi="宋体"/>
                        <w:sz w:val="28"/>
                        <w:szCs w:val="28"/>
                      </w:rPr>
                      <w:t xml:space="preserve">— </w:t>
                    </w:r>
                    <w:r>
                      <w:rPr>
                        <w:rStyle w:val="27"/>
                        <w:rFonts w:ascii="宋体" w:hAnsi="宋体"/>
                        <w:sz w:val="28"/>
                        <w:szCs w:val="28"/>
                      </w:rPr>
                      <w:fldChar w:fldCharType="begin"/>
                    </w:r>
                    <w:r>
                      <w:rPr>
                        <w:rStyle w:val="27"/>
                        <w:rFonts w:ascii="宋体" w:hAnsi="宋体"/>
                        <w:sz w:val="28"/>
                        <w:szCs w:val="28"/>
                      </w:rPr>
                      <w:instrText xml:space="preserve"> PAGE  \* MERGEFORMAT </w:instrText>
                    </w:r>
                    <w:r>
                      <w:rPr>
                        <w:rStyle w:val="27"/>
                        <w:rFonts w:ascii="宋体" w:hAnsi="宋体"/>
                        <w:sz w:val="28"/>
                        <w:szCs w:val="28"/>
                      </w:rPr>
                      <w:fldChar w:fldCharType="separate"/>
                    </w:r>
                    <w:r>
                      <w:rPr>
                        <w:rStyle w:val="27"/>
                        <w:rFonts w:ascii="宋体" w:hAnsi="宋体"/>
                        <w:sz w:val="28"/>
                        <w:szCs w:val="28"/>
                      </w:rPr>
                      <w:t>1</w:t>
                    </w:r>
                    <w:r>
                      <w:rPr>
                        <w:rStyle w:val="27"/>
                        <w:rFonts w:ascii="宋体" w:hAnsi="宋体"/>
                        <w:sz w:val="28"/>
                        <w:szCs w:val="28"/>
                      </w:rPr>
                      <w:fldChar w:fldCharType="end"/>
                    </w:r>
                    <w:r>
                      <w:rPr>
                        <w:rStyle w:val="27"/>
                        <w:rFonts w:ascii="宋体" w:hAnsi="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109C2">
    <w:pPr>
      <w:pStyle w:val="16"/>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E514E">
                          <w:pPr>
                            <w:pStyle w:val="16"/>
                            <w:keepNext w:val="0"/>
                            <w:keepLines w:val="0"/>
                            <w:pageBreakBefore w:val="0"/>
                            <w:widowControl w:val="0"/>
                            <w:kinsoku/>
                            <w:wordWrap/>
                            <w:overflowPunct/>
                            <w:topLinePunct w:val="0"/>
                            <w:bidi w:val="0"/>
                            <w:adjustRightInd/>
                            <w:snapToGrid w:val="0"/>
                            <w:textAlignment w:val="auto"/>
                            <w:rPr>
                              <w:rStyle w:val="27"/>
                              <w:sz w:val="28"/>
                              <w:szCs w:val="28"/>
                            </w:rPr>
                          </w:pPr>
                          <w:r>
                            <w:rPr>
                              <w:rStyle w:val="27"/>
                              <w:sz w:val="28"/>
                              <w:szCs w:val="28"/>
                            </w:rPr>
                            <w:t>—</w:t>
                          </w:r>
                          <w:r>
                            <w:rPr>
                              <w:rStyle w:val="27"/>
                              <w:rFonts w:hint="eastAsia" w:ascii="宋体" w:hAnsi="宋体"/>
                              <w:sz w:val="28"/>
                              <w:szCs w:val="28"/>
                              <w:lang w:val="en-US" w:eastAsia="zh-CN"/>
                            </w:rPr>
                            <w:t xml:space="preserve"> </w:t>
                          </w:r>
                          <w:r>
                            <w:rPr>
                              <w:rStyle w:val="27"/>
                              <w:sz w:val="28"/>
                              <w:szCs w:val="28"/>
                            </w:rPr>
                            <w:fldChar w:fldCharType="begin"/>
                          </w:r>
                          <w:r>
                            <w:rPr>
                              <w:rStyle w:val="27"/>
                              <w:sz w:val="28"/>
                              <w:szCs w:val="28"/>
                            </w:rPr>
                            <w:instrText xml:space="preserve"> PAGE  \* MERGEFORMAT </w:instrText>
                          </w:r>
                          <w:r>
                            <w:rPr>
                              <w:rStyle w:val="27"/>
                              <w:sz w:val="28"/>
                              <w:szCs w:val="28"/>
                            </w:rPr>
                            <w:fldChar w:fldCharType="separate"/>
                          </w:r>
                          <w:r>
                            <w:rPr>
                              <w:rStyle w:val="27"/>
                              <w:sz w:val="28"/>
                              <w:szCs w:val="28"/>
                            </w:rPr>
                            <w:t>2</w:t>
                          </w:r>
                          <w:r>
                            <w:rPr>
                              <w:rStyle w:val="27"/>
                              <w:sz w:val="28"/>
                              <w:szCs w:val="28"/>
                            </w:rPr>
                            <w:fldChar w:fldCharType="end"/>
                          </w:r>
                          <w:r>
                            <w:rPr>
                              <w:rStyle w:val="27"/>
                              <w:rFonts w:hint="eastAsia" w:ascii="宋体" w:hAnsi="宋体"/>
                              <w:sz w:val="28"/>
                              <w:szCs w:val="28"/>
                              <w:lang w:val="en-US" w:eastAsia="zh-CN"/>
                            </w:rPr>
                            <w:t xml:space="preserve"> </w:t>
                          </w:r>
                          <w:r>
                            <w:rPr>
                              <w:rStyle w:val="27"/>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CEE514E">
                    <w:pPr>
                      <w:pStyle w:val="16"/>
                      <w:keepNext w:val="0"/>
                      <w:keepLines w:val="0"/>
                      <w:pageBreakBefore w:val="0"/>
                      <w:widowControl w:val="0"/>
                      <w:kinsoku/>
                      <w:wordWrap/>
                      <w:overflowPunct/>
                      <w:topLinePunct w:val="0"/>
                      <w:bidi w:val="0"/>
                      <w:adjustRightInd/>
                      <w:snapToGrid w:val="0"/>
                      <w:textAlignment w:val="auto"/>
                      <w:rPr>
                        <w:rStyle w:val="27"/>
                        <w:sz w:val="28"/>
                        <w:szCs w:val="28"/>
                      </w:rPr>
                    </w:pPr>
                    <w:r>
                      <w:rPr>
                        <w:rStyle w:val="27"/>
                        <w:sz w:val="28"/>
                        <w:szCs w:val="28"/>
                      </w:rPr>
                      <w:t>—</w:t>
                    </w:r>
                    <w:r>
                      <w:rPr>
                        <w:rStyle w:val="27"/>
                        <w:rFonts w:hint="eastAsia" w:ascii="宋体" w:hAnsi="宋体"/>
                        <w:sz w:val="28"/>
                        <w:szCs w:val="28"/>
                        <w:lang w:val="en-US" w:eastAsia="zh-CN"/>
                      </w:rPr>
                      <w:t xml:space="preserve"> </w:t>
                    </w:r>
                    <w:r>
                      <w:rPr>
                        <w:rStyle w:val="27"/>
                        <w:sz w:val="28"/>
                        <w:szCs w:val="28"/>
                      </w:rPr>
                      <w:fldChar w:fldCharType="begin"/>
                    </w:r>
                    <w:r>
                      <w:rPr>
                        <w:rStyle w:val="27"/>
                        <w:sz w:val="28"/>
                        <w:szCs w:val="28"/>
                      </w:rPr>
                      <w:instrText xml:space="preserve"> PAGE  \* MERGEFORMAT </w:instrText>
                    </w:r>
                    <w:r>
                      <w:rPr>
                        <w:rStyle w:val="27"/>
                        <w:sz w:val="28"/>
                        <w:szCs w:val="28"/>
                      </w:rPr>
                      <w:fldChar w:fldCharType="separate"/>
                    </w:r>
                    <w:r>
                      <w:rPr>
                        <w:rStyle w:val="27"/>
                        <w:sz w:val="28"/>
                        <w:szCs w:val="28"/>
                      </w:rPr>
                      <w:t>2</w:t>
                    </w:r>
                    <w:r>
                      <w:rPr>
                        <w:rStyle w:val="27"/>
                        <w:sz w:val="28"/>
                        <w:szCs w:val="28"/>
                      </w:rPr>
                      <w:fldChar w:fldCharType="end"/>
                    </w:r>
                    <w:r>
                      <w:rPr>
                        <w:rStyle w:val="27"/>
                        <w:rFonts w:hint="eastAsia" w:ascii="宋体" w:hAnsi="宋体"/>
                        <w:sz w:val="28"/>
                        <w:szCs w:val="28"/>
                        <w:lang w:val="en-US" w:eastAsia="zh-CN"/>
                      </w:rPr>
                      <w:t xml:space="preserve"> </w:t>
                    </w:r>
                    <w:r>
                      <w:rPr>
                        <w:rStyle w:val="27"/>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91EC4"/>
    <w:multiLevelType w:val="singleLevel"/>
    <w:tmpl w:val="8AE91EC4"/>
    <w:lvl w:ilvl="0" w:tentative="0">
      <w:start w:val="5"/>
      <w:numFmt w:val="decimal"/>
      <w:suff w:val="nothing"/>
      <w:lvlText w:val="（%1）"/>
      <w:lvlJc w:val="left"/>
    </w:lvl>
  </w:abstractNum>
  <w:abstractNum w:abstractNumId="1">
    <w:nsid w:val="92BEB58A"/>
    <w:multiLevelType w:val="singleLevel"/>
    <w:tmpl w:val="92BEB58A"/>
    <w:lvl w:ilvl="0" w:tentative="0">
      <w:start w:val="6"/>
      <w:numFmt w:val="decimal"/>
      <w:suff w:val="nothing"/>
      <w:lvlText w:val="（%1）"/>
      <w:lvlJc w:val="left"/>
    </w:lvl>
  </w:abstractNum>
  <w:abstractNum w:abstractNumId="2">
    <w:nsid w:val="A42AAA9E"/>
    <w:multiLevelType w:val="singleLevel"/>
    <w:tmpl w:val="A42AAA9E"/>
    <w:lvl w:ilvl="0" w:tentative="0">
      <w:start w:val="1"/>
      <w:numFmt w:val="decimalEnclosedCircleChinese"/>
      <w:lvlText w:val="%1"/>
      <w:lvlJc w:val="left"/>
      <w:pPr>
        <w:tabs>
          <w:tab w:val="left" w:pos="420"/>
        </w:tabs>
        <w:ind w:left="0" w:firstLine="397"/>
      </w:pPr>
      <w:rPr>
        <w:rFonts w:hint="eastAsia"/>
        <w:sz w:val="24"/>
      </w:rPr>
    </w:lvl>
  </w:abstractNum>
  <w:abstractNum w:abstractNumId="3">
    <w:nsid w:val="B1070608"/>
    <w:multiLevelType w:val="singleLevel"/>
    <w:tmpl w:val="B1070608"/>
    <w:lvl w:ilvl="0" w:tentative="0">
      <w:start w:val="2"/>
      <w:numFmt w:val="decimal"/>
      <w:lvlText w:val="%1."/>
      <w:lvlJc w:val="left"/>
      <w:pPr>
        <w:tabs>
          <w:tab w:val="left" w:pos="312"/>
        </w:tabs>
      </w:pPr>
    </w:lvl>
  </w:abstractNum>
  <w:abstractNum w:abstractNumId="4">
    <w:nsid w:val="BE14C9AB"/>
    <w:multiLevelType w:val="singleLevel"/>
    <w:tmpl w:val="BE14C9AB"/>
    <w:lvl w:ilvl="0" w:tentative="0">
      <w:start w:val="1"/>
      <w:numFmt w:val="decimal"/>
      <w:suff w:val="nothing"/>
      <w:lvlText w:val="（%1）"/>
      <w:lvlJc w:val="left"/>
    </w:lvl>
  </w:abstractNum>
  <w:abstractNum w:abstractNumId="5">
    <w:nsid w:val="C4D07440"/>
    <w:multiLevelType w:val="multilevel"/>
    <w:tmpl w:val="C4D07440"/>
    <w:lvl w:ilvl="0" w:tentative="0">
      <w:start w:val="1"/>
      <w:numFmt w:val="decimal"/>
      <w:lvlText w:val="表1-%1"/>
      <w:lvlJc w:val="left"/>
      <w:pPr>
        <w:ind w:left="425" w:hanging="425"/>
      </w:pPr>
      <w:rPr>
        <w:rFonts w:hint="default"/>
      </w:rPr>
    </w:lvl>
    <w:lvl w:ilvl="1" w:tentative="0">
      <w:start w:val="1"/>
      <w:numFmt w:val="decimal"/>
      <w:lvlText w:val="表%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DEDD89EC"/>
    <w:multiLevelType w:val="singleLevel"/>
    <w:tmpl w:val="DEDD89EC"/>
    <w:lvl w:ilvl="0" w:tentative="0">
      <w:start w:val="1"/>
      <w:numFmt w:val="decimal"/>
      <w:lvlText w:val="%1."/>
      <w:lvlJc w:val="left"/>
      <w:pPr>
        <w:tabs>
          <w:tab w:val="left" w:pos="312"/>
        </w:tabs>
      </w:pPr>
    </w:lvl>
  </w:abstractNum>
  <w:abstractNum w:abstractNumId="7">
    <w:nsid w:val="0AA68C30"/>
    <w:multiLevelType w:val="singleLevel"/>
    <w:tmpl w:val="0AA68C30"/>
    <w:lvl w:ilvl="0" w:tentative="0">
      <w:start w:val="1"/>
      <w:numFmt w:val="decimal"/>
      <w:suff w:val="nothing"/>
      <w:lvlText w:val="%1）"/>
      <w:lvlJc w:val="left"/>
    </w:lvl>
  </w:abstractNum>
  <w:abstractNum w:abstractNumId="8">
    <w:nsid w:val="36236052"/>
    <w:multiLevelType w:val="singleLevel"/>
    <w:tmpl w:val="36236052"/>
    <w:lvl w:ilvl="0" w:tentative="0">
      <w:start w:val="1"/>
      <w:numFmt w:val="decimal"/>
      <w:pStyle w:val="13"/>
      <w:lvlText w:val="%1."/>
      <w:lvlJc w:val="left"/>
      <w:pPr>
        <w:tabs>
          <w:tab w:val="left" w:pos="2040"/>
        </w:tabs>
        <w:ind w:left="2040" w:hanging="360"/>
      </w:pPr>
    </w:lvl>
  </w:abstractNum>
  <w:abstractNum w:abstractNumId="9">
    <w:nsid w:val="387F2130"/>
    <w:multiLevelType w:val="singleLevel"/>
    <w:tmpl w:val="387F2130"/>
    <w:lvl w:ilvl="0" w:tentative="0">
      <w:start w:val="1"/>
      <w:numFmt w:val="decimal"/>
      <w:suff w:val="nothing"/>
      <w:lvlText w:val="%1）"/>
      <w:lvlJc w:val="left"/>
    </w:lvl>
  </w:abstractNum>
  <w:abstractNum w:abstractNumId="10">
    <w:nsid w:val="4A6EAD7B"/>
    <w:multiLevelType w:val="singleLevel"/>
    <w:tmpl w:val="4A6EAD7B"/>
    <w:lvl w:ilvl="0" w:tentative="0">
      <w:start w:val="1"/>
      <w:numFmt w:val="decimal"/>
      <w:suff w:val="nothing"/>
      <w:lvlText w:val="（%1）"/>
      <w:lvlJc w:val="left"/>
    </w:lvl>
  </w:abstractNum>
  <w:abstractNum w:abstractNumId="11">
    <w:nsid w:val="5DEE6AB3"/>
    <w:multiLevelType w:val="singleLevel"/>
    <w:tmpl w:val="5DEE6AB3"/>
    <w:lvl w:ilvl="0" w:tentative="0">
      <w:start w:val="1"/>
      <w:numFmt w:val="decimal"/>
      <w:suff w:val="nothing"/>
      <w:lvlText w:val="（%1）"/>
      <w:lvlJc w:val="left"/>
    </w:lvl>
  </w:abstractNum>
  <w:abstractNum w:abstractNumId="12">
    <w:nsid w:val="660ACD95"/>
    <w:multiLevelType w:val="singleLevel"/>
    <w:tmpl w:val="660ACD95"/>
    <w:lvl w:ilvl="0" w:tentative="0">
      <w:start w:val="2"/>
      <w:numFmt w:val="decimal"/>
      <w:lvlText w:val="%1."/>
      <w:lvlJc w:val="left"/>
      <w:pPr>
        <w:tabs>
          <w:tab w:val="left" w:pos="312"/>
        </w:tabs>
      </w:pPr>
    </w:lvl>
  </w:abstractNum>
  <w:num w:numId="1">
    <w:abstractNumId w:val="8"/>
  </w:num>
  <w:num w:numId="2">
    <w:abstractNumId w:val="5"/>
  </w:num>
  <w:num w:numId="3">
    <w:abstractNumId w:val="1"/>
  </w:num>
  <w:num w:numId="4">
    <w:abstractNumId w:val="7"/>
  </w:num>
  <w:num w:numId="5">
    <w:abstractNumId w:val="9"/>
  </w:num>
  <w:num w:numId="6">
    <w:abstractNumId w:val="0"/>
  </w:num>
  <w:num w:numId="7">
    <w:abstractNumId w:val="4"/>
  </w:num>
  <w:num w:numId="8">
    <w:abstractNumId w:val="6"/>
  </w:num>
  <w:num w:numId="9">
    <w:abstractNumId w:val="12"/>
  </w:num>
  <w:num w:numId="10">
    <w:abstractNumId w:val="3"/>
  </w:num>
  <w:num w:numId="11">
    <w:abstractNumId w:val="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oNotHyphenateCaps/>
  <w:evenAndOddHeaders w:val="1"/>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4NDJkMDJkZjQwODBjZDk1YjJlNjQ1OTMyNzEwZDAifQ=="/>
    <w:docVar w:name="KSO_WPS_MARK_KEY" w:val="1a472808-0588-42f9-a921-a0acff145b5a"/>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C468C"/>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2A74"/>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CE2822"/>
    <w:rsid w:val="00D0072E"/>
    <w:rsid w:val="00D10E3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0966"/>
    <w:rsid w:val="00EF2759"/>
    <w:rsid w:val="00EF45EB"/>
    <w:rsid w:val="00EF5099"/>
    <w:rsid w:val="00EF5E33"/>
    <w:rsid w:val="00F00075"/>
    <w:rsid w:val="00F07822"/>
    <w:rsid w:val="00F15C95"/>
    <w:rsid w:val="00F22985"/>
    <w:rsid w:val="00F241AB"/>
    <w:rsid w:val="00F31382"/>
    <w:rsid w:val="00F32698"/>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E52B9"/>
    <w:rsid w:val="00FF6FCE"/>
    <w:rsid w:val="00FF7518"/>
    <w:rsid w:val="00FF7FD8"/>
    <w:rsid w:val="012A2737"/>
    <w:rsid w:val="014418DF"/>
    <w:rsid w:val="02F63430"/>
    <w:rsid w:val="03170155"/>
    <w:rsid w:val="0349632E"/>
    <w:rsid w:val="04CF46B1"/>
    <w:rsid w:val="04F64013"/>
    <w:rsid w:val="04F977A0"/>
    <w:rsid w:val="05742AC8"/>
    <w:rsid w:val="0582635F"/>
    <w:rsid w:val="05A2666F"/>
    <w:rsid w:val="05E70FD6"/>
    <w:rsid w:val="061E168D"/>
    <w:rsid w:val="06311A1E"/>
    <w:rsid w:val="06352F05"/>
    <w:rsid w:val="063E7D85"/>
    <w:rsid w:val="06C3356C"/>
    <w:rsid w:val="0701218C"/>
    <w:rsid w:val="070875E0"/>
    <w:rsid w:val="07293586"/>
    <w:rsid w:val="07295285"/>
    <w:rsid w:val="07723960"/>
    <w:rsid w:val="07770C56"/>
    <w:rsid w:val="08363E86"/>
    <w:rsid w:val="08521D30"/>
    <w:rsid w:val="092217DD"/>
    <w:rsid w:val="093A7294"/>
    <w:rsid w:val="097D1E68"/>
    <w:rsid w:val="09813C58"/>
    <w:rsid w:val="0B1269A5"/>
    <w:rsid w:val="0B160CEA"/>
    <w:rsid w:val="0B3D4555"/>
    <w:rsid w:val="0BAD2282"/>
    <w:rsid w:val="0BD27BF6"/>
    <w:rsid w:val="0C5E67B3"/>
    <w:rsid w:val="0CD712D8"/>
    <w:rsid w:val="0CE340E1"/>
    <w:rsid w:val="0CFE5595"/>
    <w:rsid w:val="0D913B3D"/>
    <w:rsid w:val="0DAC7C5B"/>
    <w:rsid w:val="0DBF06AB"/>
    <w:rsid w:val="0E110D06"/>
    <w:rsid w:val="0E1F281A"/>
    <w:rsid w:val="0E2F2B00"/>
    <w:rsid w:val="0E8A112B"/>
    <w:rsid w:val="0EB14497"/>
    <w:rsid w:val="0F13775A"/>
    <w:rsid w:val="0F1C1F2E"/>
    <w:rsid w:val="0F4942A2"/>
    <w:rsid w:val="0F6B4DDF"/>
    <w:rsid w:val="0F9A112B"/>
    <w:rsid w:val="0FC1507C"/>
    <w:rsid w:val="0FEF6A5D"/>
    <w:rsid w:val="10395867"/>
    <w:rsid w:val="103C4234"/>
    <w:rsid w:val="10426B57"/>
    <w:rsid w:val="106D2F64"/>
    <w:rsid w:val="10AA457B"/>
    <w:rsid w:val="10B63710"/>
    <w:rsid w:val="10DB57FB"/>
    <w:rsid w:val="111C2F7A"/>
    <w:rsid w:val="113013DE"/>
    <w:rsid w:val="115941D6"/>
    <w:rsid w:val="11643A43"/>
    <w:rsid w:val="11C774A1"/>
    <w:rsid w:val="11EA07B6"/>
    <w:rsid w:val="122B06C2"/>
    <w:rsid w:val="125948BB"/>
    <w:rsid w:val="13951726"/>
    <w:rsid w:val="14396509"/>
    <w:rsid w:val="1447165C"/>
    <w:rsid w:val="144D06E2"/>
    <w:rsid w:val="1454311D"/>
    <w:rsid w:val="14C30A80"/>
    <w:rsid w:val="163F1670"/>
    <w:rsid w:val="17735226"/>
    <w:rsid w:val="183103F7"/>
    <w:rsid w:val="18A83FE2"/>
    <w:rsid w:val="18F16D12"/>
    <w:rsid w:val="19A448B4"/>
    <w:rsid w:val="19E4528C"/>
    <w:rsid w:val="1A1C66C0"/>
    <w:rsid w:val="1A42393B"/>
    <w:rsid w:val="1AD516DC"/>
    <w:rsid w:val="1B046F80"/>
    <w:rsid w:val="1B0E45B3"/>
    <w:rsid w:val="1B3267B5"/>
    <w:rsid w:val="1B954F4A"/>
    <w:rsid w:val="1B9E4E60"/>
    <w:rsid w:val="1BC25DC8"/>
    <w:rsid w:val="1BE30E30"/>
    <w:rsid w:val="1C2B17DF"/>
    <w:rsid w:val="1C5E7925"/>
    <w:rsid w:val="1C887FC8"/>
    <w:rsid w:val="1CB14FA3"/>
    <w:rsid w:val="1CC836C9"/>
    <w:rsid w:val="1D246914"/>
    <w:rsid w:val="1D5A03F0"/>
    <w:rsid w:val="1D5F6196"/>
    <w:rsid w:val="1D6132A5"/>
    <w:rsid w:val="1D6A3995"/>
    <w:rsid w:val="1D8E56D5"/>
    <w:rsid w:val="1D930F04"/>
    <w:rsid w:val="1DB84052"/>
    <w:rsid w:val="1E2D1660"/>
    <w:rsid w:val="1E3267C1"/>
    <w:rsid w:val="1E7A43DA"/>
    <w:rsid w:val="1EA66965"/>
    <w:rsid w:val="1EB277FE"/>
    <w:rsid w:val="1FE7539E"/>
    <w:rsid w:val="200C6AA5"/>
    <w:rsid w:val="20402A2C"/>
    <w:rsid w:val="20776022"/>
    <w:rsid w:val="20963CB8"/>
    <w:rsid w:val="20B07FB6"/>
    <w:rsid w:val="20D115C0"/>
    <w:rsid w:val="213B74B1"/>
    <w:rsid w:val="215A2310"/>
    <w:rsid w:val="216D06F2"/>
    <w:rsid w:val="21883D6B"/>
    <w:rsid w:val="2192748C"/>
    <w:rsid w:val="21DE318A"/>
    <w:rsid w:val="21EF5B80"/>
    <w:rsid w:val="22206F51"/>
    <w:rsid w:val="22576990"/>
    <w:rsid w:val="229C4EAB"/>
    <w:rsid w:val="22E449E3"/>
    <w:rsid w:val="23102F12"/>
    <w:rsid w:val="235651B5"/>
    <w:rsid w:val="239F405C"/>
    <w:rsid w:val="23A11CCC"/>
    <w:rsid w:val="23C73CDC"/>
    <w:rsid w:val="23DA5527"/>
    <w:rsid w:val="24875E0B"/>
    <w:rsid w:val="24F7589E"/>
    <w:rsid w:val="25056ADA"/>
    <w:rsid w:val="252D53FE"/>
    <w:rsid w:val="2554037E"/>
    <w:rsid w:val="25BD32CA"/>
    <w:rsid w:val="25E05A40"/>
    <w:rsid w:val="25EC2D81"/>
    <w:rsid w:val="2639427E"/>
    <w:rsid w:val="264528BD"/>
    <w:rsid w:val="2675142B"/>
    <w:rsid w:val="279539BA"/>
    <w:rsid w:val="27D15DD1"/>
    <w:rsid w:val="288B74EB"/>
    <w:rsid w:val="28A76295"/>
    <w:rsid w:val="28AE3DF9"/>
    <w:rsid w:val="2912392D"/>
    <w:rsid w:val="29206EB8"/>
    <w:rsid w:val="29E325E0"/>
    <w:rsid w:val="2A452503"/>
    <w:rsid w:val="2A5875A0"/>
    <w:rsid w:val="2AC52ABA"/>
    <w:rsid w:val="2B563B05"/>
    <w:rsid w:val="2BA936A8"/>
    <w:rsid w:val="2BC2672A"/>
    <w:rsid w:val="2C073654"/>
    <w:rsid w:val="2C315A5A"/>
    <w:rsid w:val="2CA86A82"/>
    <w:rsid w:val="2CA91BAE"/>
    <w:rsid w:val="2CD515F4"/>
    <w:rsid w:val="2CE17ACE"/>
    <w:rsid w:val="2CFE77F3"/>
    <w:rsid w:val="2D0800D4"/>
    <w:rsid w:val="2D9E56F5"/>
    <w:rsid w:val="2DDB4C35"/>
    <w:rsid w:val="2DED12F6"/>
    <w:rsid w:val="2DF86DC2"/>
    <w:rsid w:val="2E132621"/>
    <w:rsid w:val="2E3E2BCC"/>
    <w:rsid w:val="2E667F96"/>
    <w:rsid w:val="2E8226AB"/>
    <w:rsid w:val="2EBA0CC6"/>
    <w:rsid w:val="2F011E9A"/>
    <w:rsid w:val="2F832C79"/>
    <w:rsid w:val="2FB83480"/>
    <w:rsid w:val="2FEE6EA1"/>
    <w:rsid w:val="2FEF2D58"/>
    <w:rsid w:val="2FF06F33"/>
    <w:rsid w:val="302C1580"/>
    <w:rsid w:val="30580BC9"/>
    <w:rsid w:val="311E2ED7"/>
    <w:rsid w:val="315C449C"/>
    <w:rsid w:val="31A966C7"/>
    <w:rsid w:val="31A97182"/>
    <w:rsid w:val="31B41A25"/>
    <w:rsid w:val="31B82709"/>
    <w:rsid w:val="31C823B9"/>
    <w:rsid w:val="32400B34"/>
    <w:rsid w:val="324F7738"/>
    <w:rsid w:val="329E6876"/>
    <w:rsid w:val="332640AC"/>
    <w:rsid w:val="33D934D4"/>
    <w:rsid w:val="33FE2F6A"/>
    <w:rsid w:val="349A28DA"/>
    <w:rsid w:val="35294AE4"/>
    <w:rsid w:val="358B08AD"/>
    <w:rsid w:val="36074A7F"/>
    <w:rsid w:val="36923549"/>
    <w:rsid w:val="36B75FBF"/>
    <w:rsid w:val="36F03278"/>
    <w:rsid w:val="36FB4891"/>
    <w:rsid w:val="37EB72B3"/>
    <w:rsid w:val="383733B0"/>
    <w:rsid w:val="38C34C43"/>
    <w:rsid w:val="38D534B1"/>
    <w:rsid w:val="38F12CD3"/>
    <w:rsid w:val="38F94775"/>
    <w:rsid w:val="392971ED"/>
    <w:rsid w:val="39C11183"/>
    <w:rsid w:val="39E10677"/>
    <w:rsid w:val="39F83C5D"/>
    <w:rsid w:val="3A002C14"/>
    <w:rsid w:val="3A716474"/>
    <w:rsid w:val="3B2D1CC3"/>
    <w:rsid w:val="3B3763D1"/>
    <w:rsid w:val="3B58377B"/>
    <w:rsid w:val="3B5F7477"/>
    <w:rsid w:val="3BAF1147"/>
    <w:rsid w:val="3BD772D1"/>
    <w:rsid w:val="3C3B47C1"/>
    <w:rsid w:val="3C5230D7"/>
    <w:rsid w:val="3CDA245A"/>
    <w:rsid w:val="3CEE0A37"/>
    <w:rsid w:val="3D05582A"/>
    <w:rsid w:val="3F47212A"/>
    <w:rsid w:val="3F660E74"/>
    <w:rsid w:val="4021514C"/>
    <w:rsid w:val="407A6407"/>
    <w:rsid w:val="40943ADC"/>
    <w:rsid w:val="41914505"/>
    <w:rsid w:val="41A24C3E"/>
    <w:rsid w:val="423A3BCC"/>
    <w:rsid w:val="433A6FE6"/>
    <w:rsid w:val="4350713C"/>
    <w:rsid w:val="436653E0"/>
    <w:rsid w:val="43CF59F9"/>
    <w:rsid w:val="44CD14E0"/>
    <w:rsid w:val="45525326"/>
    <w:rsid w:val="45840DA3"/>
    <w:rsid w:val="458946E9"/>
    <w:rsid w:val="45895823"/>
    <w:rsid w:val="4622744D"/>
    <w:rsid w:val="46D955A7"/>
    <w:rsid w:val="46F43A37"/>
    <w:rsid w:val="47133957"/>
    <w:rsid w:val="4779329E"/>
    <w:rsid w:val="47A07E0C"/>
    <w:rsid w:val="47E43DC2"/>
    <w:rsid w:val="48177E3D"/>
    <w:rsid w:val="483268E3"/>
    <w:rsid w:val="4870272E"/>
    <w:rsid w:val="48CD29B6"/>
    <w:rsid w:val="493A685C"/>
    <w:rsid w:val="49DC7715"/>
    <w:rsid w:val="4A023139"/>
    <w:rsid w:val="4A7B576F"/>
    <w:rsid w:val="4A7C2E60"/>
    <w:rsid w:val="4A8B270D"/>
    <w:rsid w:val="4A9A1DFF"/>
    <w:rsid w:val="4B1F5D09"/>
    <w:rsid w:val="4C2855F5"/>
    <w:rsid w:val="4C4A0649"/>
    <w:rsid w:val="4CE470D3"/>
    <w:rsid w:val="4CF03A71"/>
    <w:rsid w:val="4DEC4FB0"/>
    <w:rsid w:val="4E075D8A"/>
    <w:rsid w:val="4E2B2F67"/>
    <w:rsid w:val="4E672721"/>
    <w:rsid w:val="4E7B594C"/>
    <w:rsid w:val="4ED326A4"/>
    <w:rsid w:val="4EEC54F3"/>
    <w:rsid w:val="4EF448A6"/>
    <w:rsid w:val="4F2D2E05"/>
    <w:rsid w:val="4F37710C"/>
    <w:rsid w:val="4F582267"/>
    <w:rsid w:val="4F882341"/>
    <w:rsid w:val="4FC62A8C"/>
    <w:rsid w:val="4FE20F0D"/>
    <w:rsid w:val="500F7513"/>
    <w:rsid w:val="50504C4B"/>
    <w:rsid w:val="505B5E9B"/>
    <w:rsid w:val="509C6E7C"/>
    <w:rsid w:val="50C51101"/>
    <w:rsid w:val="50FB6874"/>
    <w:rsid w:val="51413156"/>
    <w:rsid w:val="5162104E"/>
    <w:rsid w:val="51FC74B1"/>
    <w:rsid w:val="52DC5653"/>
    <w:rsid w:val="52EB4BD4"/>
    <w:rsid w:val="534376B5"/>
    <w:rsid w:val="538B63B2"/>
    <w:rsid w:val="53A039CC"/>
    <w:rsid w:val="53A1505A"/>
    <w:rsid w:val="53D931F5"/>
    <w:rsid w:val="54063E08"/>
    <w:rsid w:val="542C7436"/>
    <w:rsid w:val="543437E8"/>
    <w:rsid w:val="54B95A6F"/>
    <w:rsid w:val="54CE426D"/>
    <w:rsid w:val="54D768C5"/>
    <w:rsid w:val="55137593"/>
    <w:rsid w:val="55367CA2"/>
    <w:rsid w:val="55920183"/>
    <w:rsid w:val="559B174B"/>
    <w:rsid w:val="55CE0CF4"/>
    <w:rsid w:val="56554059"/>
    <w:rsid w:val="56571653"/>
    <w:rsid w:val="56B22A9C"/>
    <w:rsid w:val="56C06424"/>
    <w:rsid w:val="56D44D5C"/>
    <w:rsid w:val="57094424"/>
    <w:rsid w:val="57B72A76"/>
    <w:rsid w:val="58B7361D"/>
    <w:rsid w:val="58BB6C89"/>
    <w:rsid w:val="58C0464C"/>
    <w:rsid w:val="5A3C747D"/>
    <w:rsid w:val="5A86212A"/>
    <w:rsid w:val="5AB12B1E"/>
    <w:rsid w:val="5AB6510A"/>
    <w:rsid w:val="5ABE2233"/>
    <w:rsid w:val="5B276D18"/>
    <w:rsid w:val="5BB22A30"/>
    <w:rsid w:val="5BDF5D95"/>
    <w:rsid w:val="5C05006B"/>
    <w:rsid w:val="5DF87A0F"/>
    <w:rsid w:val="5E3131D9"/>
    <w:rsid w:val="5E9141DF"/>
    <w:rsid w:val="5EE86175"/>
    <w:rsid w:val="5F1A2B43"/>
    <w:rsid w:val="5FB213EA"/>
    <w:rsid w:val="5FB837BB"/>
    <w:rsid w:val="60065292"/>
    <w:rsid w:val="607246D5"/>
    <w:rsid w:val="60995615"/>
    <w:rsid w:val="60AC50F9"/>
    <w:rsid w:val="610039AE"/>
    <w:rsid w:val="61582F41"/>
    <w:rsid w:val="62364782"/>
    <w:rsid w:val="623B7383"/>
    <w:rsid w:val="62555001"/>
    <w:rsid w:val="63367C3C"/>
    <w:rsid w:val="63CB6D14"/>
    <w:rsid w:val="63D40BE9"/>
    <w:rsid w:val="63DF1E18"/>
    <w:rsid w:val="63E0211F"/>
    <w:rsid w:val="63F144BB"/>
    <w:rsid w:val="649656AB"/>
    <w:rsid w:val="64AA2690"/>
    <w:rsid w:val="64E8140A"/>
    <w:rsid w:val="650430D3"/>
    <w:rsid w:val="65373578"/>
    <w:rsid w:val="65B903FF"/>
    <w:rsid w:val="65FB64DD"/>
    <w:rsid w:val="66371654"/>
    <w:rsid w:val="66936AB2"/>
    <w:rsid w:val="67340937"/>
    <w:rsid w:val="673F2C7A"/>
    <w:rsid w:val="67B57D3B"/>
    <w:rsid w:val="67BF111B"/>
    <w:rsid w:val="67C16798"/>
    <w:rsid w:val="67E55E87"/>
    <w:rsid w:val="681F6961"/>
    <w:rsid w:val="682409AB"/>
    <w:rsid w:val="68610A2F"/>
    <w:rsid w:val="68805514"/>
    <w:rsid w:val="68E73E66"/>
    <w:rsid w:val="693469CC"/>
    <w:rsid w:val="694E2071"/>
    <w:rsid w:val="697A3B33"/>
    <w:rsid w:val="699E2456"/>
    <w:rsid w:val="6A1B7B8C"/>
    <w:rsid w:val="6B09716E"/>
    <w:rsid w:val="6B322639"/>
    <w:rsid w:val="6B8D3905"/>
    <w:rsid w:val="6BEA07D1"/>
    <w:rsid w:val="6C2677FD"/>
    <w:rsid w:val="6C537AB1"/>
    <w:rsid w:val="6C636C38"/>
    <w:rsid w:val="6C68584A"/>
    <w:rsid w:val="6C930412"/>
    <w:rsid w:val="6CE807A1"/>
    <w:rsid w:val="6D3703DA"/>
    <w:rsid w:val="6D463042"/>
    <w:rsid w:val="6D4B2AB3"/>
    <w:rsid w:val="6DB34098"/>
    <w:rsid w:val="6DB545B6"/>
    <w:rsid w:val="6DC57A66"/>
    <w:rsid w:val="6DEF510F"/>
    <w:rsid w:val="6E4375A0"/>
    <w:rsid w:val="6E514CED"/>
    <w:rsid w:val="6E79491A"/>
    <w:rsid w:val="6E990564"/>
    <w:rsid w:val="6EB563D5"/>
    <w:rsid w:val="6F225983"/>
    <w:rsid w:val="6FFC5590"/>
    <w:rsid w:val="702A2703"/>
    <w:rsid w:val="70301DA3"/>
    <w:rsid w:val="706D1DD0"/>
    <w:rsid w:val="708140D6"/>
    <w:rsid w:val="70856B87"/>
    <w:rsid w:val="70903E3E"/>
    <w:rsid w:val="70D527EE"/>
    <w:rsid w:val="70E1568B"/>
    <w:rsid w:val="70E65351"/>
    <w:rsid w:val="715B5300"/>
    <w:rsid w:val="715F4BD7"/>
    <w:rsid w:val="71752277"/>
    <w:rsid w:val="71D27F8A"/>
    <w:rsid w:val="71F744C6"/>
    <w:rsid w:val="71F960CF"/>
    <w:rsid w:val="72904CB5"/>
    <w:rsid w:val="72C31C72"/>
    <w:rsid w:val="72E43211"/>
    <w:rsid w:val="731F5D5E"/>
    <w:rsid w:val="737C4621"/>
    <w:rsid w:val="73BF77DA"/>
    <w:rsid w:val="73E627C6"/>
    <w:rsid w:val="741E793C"/>
    <w:rsid w:val="74982505"/>
    <w:rsid w:val="7516167C"/>
    <w:rsid w:val="752B15CB"/>
    <w:rsid w:val="755A3F84"/>
    <w:rsid w:val="756E1D94"/>
    <w:rsid w:val="758D75E2"/>
    <w:rsid w:val="75D7340B"/>
    <w:rsid w:val="76612DCA"/>
    <w:rsid w:val="7667014D"/>
    <w:rsid w:val="76E06F6E"/>
    <w:rsid w:val="775536AD"/>
    <w:rsid w:val="77762421"/>
    <w:rsid w:val="779C7F24"/>
    <w:rsid w:val="77D5430E"/>
    <w:rsid w:val="780F09F4"/>
    <w:rsid w:val="78400714"/>
    <w:rsid w:val="788C2381"/>
    <w:rsid w:val="78990200"/>
    <w:rsid w:val="789C4F47"/>
    <w:rsid w:val="78A90480"/>
    <w:rsid w:val="790D1242"/>
    <w:rsid w:val="791E4FA3"/>
    <w:rsid w:val="79711576"/>
    <w:rsid w:val="79811327"/>
    <w:rsid w:val="79E70B78"/>
    <w:rsid w:val="7A202934"/>
    <w:rsid w:val="7A364017"/>
    <w:rsid w:val="7A44186E"/>
    <w:rsid w:val="7A7B08FF"/>
    <w:rsid w:val="7A8265E1"/>
    <w:rsid w:val="7ABA17BE"/>
    <w:rsid w:val="7B143EE7"/>
    <w:rsid w:val="7B3E36DA"/>
    <w:rsid w:val="7B5A080F"/>
    <w:rsid w:val="7B686D42"/>
    <w:rsid w:val="7B841746"/>
    <w:rsid w:val="7BBD6CF5"/>
    <w:rsid w:val="7BEF5AB3"/>
    <w:rsid w:val="7C1E50EE"/>
    <w:rsid w:val="7CAE55AC"/>
    <w:rsid w:val="7D0239FF"/>
    <w:rsid w:val="7D21037E"/>
    <w:rsid w:val="7D5E40CD"/>
    <w:rsid w:val="7D693BED"/>
    <w:rsid w:val="7D777DBB"/>
    <w:rsid w:val="7DBB3636"/>
    <w:rsid w:val="7DE314DD"/>
    <w:rsid w:val="7E682F48"/>
    <w:rsid w:val="7EC5039A"/>
    <w:rsid w:val="7FB85B2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ocked="1"/>
    <w:lsdException w:qFormat="1" w:unhideWhenUsed="0" w:uiPriority="0"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autoRedefine/>
    <w:qFormat/>
    <w:locked/>
    <w:uiPriority w:val="0"/>
    <w:pPr>
      <w:keepNext/>
      <w:keepLines/>
      <w:spacing w:line="520" w:lineRule="exact"/>
      <w:outlineLvl w:val="2"/>
    </w:pPr>
    <w:rPr>
      <w:b/>
      <w:bCs/>
      <w:szCs w:val="32"/>
    </w:rPr>
  </w:style>
  <w:style w:type="paragraph" w:styleId="4">
    <w:name w:val="heading 4"/>
    <w:basedOn w:val="1"/>
    <w:next w:val="1"/>
    <w:autoRedefine/>
    <w:qFormat/>
    <w:locked/>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autoRedefine/>
    <w:qFormat/>
    <w:uiPriority w:val="0"/>
    <w:pPr>
      <w:ind w:firstLine="420" w:firstLineChars="200"/>
    </w:pPr>
    <w:rPr>
      <w:sz w:val="28"/>
    </w:rPr>
  </w:style>
  <w:style w:type="paragraph" w:customStyle="1" w:styleId="6">
    <w:name w:val="Char Char Char Char Char Char Char Char Char1 Char"/>
    <w:basedOn w:val="1"/>
    <w:next w:val="7"/>
    <w:autoRedefine/>
    <w:qFormat/>
    <w:uiPriority w:val="0"/>
    <w:pPr>
      <w:spacing w:line="360" w:lineRule="auto"/>
      <w:ind w:firstLine="200" w:firstLineChars="200"/>
    </w:pPr>
    <w:rPr>
      <w:rFonts w:hAnsi="宋体" w:cs="宋体"/>
      <w:spacing w:val="5"/>
      <w:sz w:val="24"/>
    </w:rPr>
  </w:style>
  <w:style w:type="paragraph" w:customStyle="1" w:styleId="7">
    <w:name w:val="Body Text First Indent1"/>
    <w:next w:val="1"/>
    <w:autoRedefine/>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styleId="8">
    <w:name w:val="caption"/>
    <w:basedOn w:val="1"/>
    <w:next w:val="1"/>
    <w:qFormat/>
    <w:locked/>
    <w:uiPriority w:val="0"/>
    <w:rPr>
      <w:rFonts w:ascii="Arial" w:hAnsi="Arial" w:eastAsia="黑体"/>
      <w:sz w:val="20"/>
    </w:rPr>
  </w:style>
  <w:style w:type="paragraph" w:styleId="9">
    <w:name w:val="annotation text"/>
    <w:basedOn w:val="1"/>
    <w:link w:val="34"/>
    <w:autoRedefine/>
    <w:semiHidden/>
    <w:qFormat/>
    <w:uiPriority w:val="0"/>
    <w:pPr>
      <w:jc w:val="left"/>
    </w:pPr>
    <w:rPr>
      <w:kern w:val="0"/>
      <w:sz w:val="20"/>
    </w:rPr>
  </w:style>
  <w:style w:type="paragraph" w:styleId="10">
    <w:name w:val="Body Text"/>
    <w:basedOn w:val="1"/>
    <w:link w:val="64"/>
    <w:autoRedefine/>
    <w:qFormat/>
    <w:uiPriority w:val="0"/>
    <w:pPr>
      <w:widowControl/>
      <w:snapToGrid w:val="0"/>
      <w:spacing w:before="60" w:after="160" w:line="259" w:lineRule="auto"/>
      <w:ind w:right="113"/>
    </w:pPr>
    <w:rPr>
      <w:kern w:val="0"/>
      <w:sz w:val="18"/>
      <w:szCs w:val="18"/>
    </w:rPr>
  </w:style>
  <w:style w:type="paragraph" w:styleId="11">
    <w:name w:val="Body Text Indent"/>
    <w:basedOn w:val="1"/>
    <w:next w:val="4"/>
    <w:autoRedefine/>
    <w:semiHidden/>
    <w:qFormat/>
    <w:uiPriority w:val="0"/>
    <w:pPr>
      <w:spacing w:after="120"/>
      <w:ind w:left="420" w:leftChars="200"/>
    </w:pPr>
  </w:style>
  <w:style w:type="paragraph" w:styleId="12">
    <w:name w:val="Plain Text"/>
    <w:basedOn w:val="1"/>
    <w:next w:val="13"/>
    <w:autoRedefine/>
    <w:qFormat/>
    <w:uiPriority w:val="0"/>
    <w:pPr>
      <w:spacing w:line="360" w:lineRule="auto"/>
      <w:ind w:firstLine="200" w:firstLineChars="200"/>
    </w:pPr>
    <w:rPr>
      <w:rFonts w:ascii="宋体" w:hAnsi="Courier New"/>
      <w:sz w:val="28"/>
    </w:rPr>
  </w:style>
  <w:style w:type="paragraph" w:styleId="13">
    <w:name w:val="List Number 5"/>
    <w:basedOn w:val="1"/>
    <w:autoRedefine/>
    <w:qFormat/>
    <w:uiPriority w:val="0"/>
    <w:pPr>
      <w:numPr>
        <w:ilvl w:val="0"/>
        <w:numId w:val="1"/>
      </w:numPr>
    </w:pPr>
  </w:style>
  <w:style w:type="paragraph" w:styleId="14">
    <w:name w:val="Body Text Indent 2"/>
    <w:basedOn w:val="1"/>
    <w:autoRedefine/>
    <w:qFormat/>
    <w:uiPriority w:val="0"/>
    <w:pPr>
      <w:spacing w:after="120" w:line="480" w:lineRule="auto"/>
      <w:ind w:left="420" w:leftChars="200"/>
    </w:pPr>
  </w:style>
  <w:style w:type="paragraph" w:styleId="15">
    <w:name w:val="Balloon Text"/>
    <w:basedOn w:val="1"/>
    <w:link w:val="35"/>
    <w:autoRedefine/>
    <w:semiHidden/>
    <w:qFormat/>
    <w:uiPriority w:val="0"/>
    <w:rPr>
      <w:sz w:val="18"/>
      <w:szCs w:val="18"/>
    </w:rPr>
  </w:style>
  <w:style w:type="paragraph" w:styleId="16">
    <w:name w:val="footer"/>
    <w:basedOn w:val="1"/>
    <w:link w:val="36"/>
    <w:autoRedefine/>
    <w:qFormat/>
    <w:uiPriority w:val="0"/>
    <w:pPr>
      <w:tabs>
        <w:tab w:val="center" w:pos="4153"/>
        <w:tab w:val="right" w:pos="8306"/>
      </w:tabs>
      <w:snapToGrid w:val="0"/>
      <w:jc w:val="left"/>
    </w:pPr>
    <w:rPr>
      <w:sz w:val="18"/>
      <w:szCs w:val="18"/>
    </w:rPr>
  </w:style>
  <w:style w:type="paragraph" w:styleId="17">
    <w:name w:val="header"/>
    <w:basedOn w:val="1"/>
    <w:link w:val="37"/>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locked/>
    <w:uiPriority w:val="39"/>
  </w:style>
  <w:style w:type="paragraph" w:styleId="19">
    <w:name w:val="List"/>
    <w:basedOn w:val="1"/>
    <w:autoRedefine/>
    <w:qFormat/>
    <w:uiPriority w:val="0"/>
    <w:pPr>
      <w:spacing w:line="360" w:lineRule="auto"/>
      <w:ind w:left="200" w:hanging="200" w:hangingChars="200"/>
    </w:pPr>
    <w:rPr>
      <w:sz w:val="24"/>
    </w:r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1">
    <w:name w:val="annotation subject"/>
    <w:basedOn w:val="9"/>
    <w:next w:val="9"/>
    <w:link w:val="38"/>
    <w:autoRedefine/>
    <w:semiHidden/>
    <w:qFormat/>
    <w:uiPriority w:val="0"/>
    <w:rPr>
      <w:b/>
      <w:bCs/>
    </w:rPr>
  </w:style>
  <w:style w:type="paragraph" w:styleId="22">
    <w:name w:val="Body Text First Indent 2"/>
    <w:basedOn w:val="11"/>
    <w:next w:val="1"/>
    <w:autoRedefine/>
    <w:qFormat/>
    <w:uiPriority w:val="0"/>
    <w:pPr>
      <w:ind w:firstLine="420" w:firstLineChars="200"/>
    </w:pPr>
  </w:style>
  <w:style w:type="table" w:styleId="24">
    <w:name w:val="Table Grid"/>
    <w:basedOn w:val="2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0"/>
    <w:rPr>
      <w:b/>
    </w:rPr>
  </w:style>
  <w:style w:type="character" w:styleId="27">
    <w:name w:val="page number"/>
    <w:basedOn w:val="25"/>
    <w:autoRedefine/>
    <w:qFormat/>
    <w:uiPriority w:val="0"/>
  </w:style>
  <w:style w:type="character" w:styleId="28">
    <w:name w:val="Hyperlink"/>
    <w:basedOn w:val="25"/>
    <w:qFormat/>
    <w:uiPriority w:val="0"/>
    <w:rPr>
      <w:color w:val="0000FF"/>
      <w:u w:val="single"/>
    </w:rPr>
  </w:style>
  <w:style w:type="character" w:styleId="29">
    <w:name w:val="annotation reference"/>
    <w:basedOn w:val="25"/>
    <w:autoRedefine/>
    <w:semiHidden/>
    <w:qFormat/>
    <w:uiPriority w:val="0"/>
    <w:rPr>
      <w:sz w:val="21"/>
    </w:rPr>
  </w:style>
  <w:style w:type="paragraph" w:customStyle="1" w:styleId="30">
    <w:name w:val="Default"/>
    <w:basedOn w:val="31"/>
    <w:next w:val="1"/>
    <w:autoRedefine/>
    <w:qFormat/>
    <w:uiPriority w:val="0"/>
    <w:pPr>
      <w:autoSpaceDE w:val="0"/>
      <w:autoSpaceDN w:val="0"/>
      <w:adjustRightInd w:val="0"/>
    </w:pPr>
    <w:rPr>
      <w:rFonts w:ascii="宋体" w:cs="宋体"/>
      <w:sz w:val="24"/>
      <w:szCs w:val="24"/>
    </w:rPr>
  </w:style>
  <w:style w:type="paragraph" w:customStyle="1" w:styleId="31">
    <w:name w:val="1 表头"/>
    <w:basedOn w:val="1"/>
    <w:autoRedefine/>
    <w:qFormat/>
    <w:uiPriority w:val="0"/>
    <w:pPr>
      <w:jc w:val="center"/>
    </w:pPr>
    <w:rPr>
      <w:b/>
      <w:color w:val="000000"/>
      <w:szCs w:val="21"/>
    </w:rPr>
  </w:style>
  <w:style w:type="paragraph" w:customStyle="1" w:styleId="32">
    <w:name w:val="xl27"/>
    <w:basedOn w:val="1"/>
    <w:next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3">
    <w:name w:val="！正文"/>
    <w:basedOn w:val="1"/>
    <w:autoRedefine/>
    <w:qFormat/>
    <w:uiPriority w:val="0"/>
    <w:rPr>
      <w:kern w:val="0"/>
    </w:rPr>
  </w:style>
  <w:style w:type="character" w:customStyle="1" w:styleId="34">
    <w:name w:val="批注文字 Char"/>
    <w:link w:val="9"/>
    <w:autoRedefine/>
    <w:qFormat/>
    <w:locked/>
    <w:uiPriority w:val="0"/>
    <w:rPr>
      <w:rFonts w:ascii="Times New Roman" w:hAnsi="Times New Roman" w:eastAsia="宋体"/>
      <w:sz w:val="24"/>
    </w:rPr>
  </w:style>
  <w:style w:type="character" w:customStyle="1" w:styleId="35">
    <w:name w:val="批注框文本 Char"/>
    <w:basedOn w:val="25"/>
    <w:link w:val="15"/>
    <w:autoRedefine/>
    <w:semiHidden/>
    <w:qFormat/>
    <w:locked/>
    <w:uiPriority w:val="0"/>
    <w:rPr>
      <w:rFonts w:ascii="Times New Roman" w:hAnsi="Times New Roman" w:eastAsia="宋体" w:cs="Times New Roman"/>
      <w:sz w:val="18"/>
      <w:szCs w:val="18"/>
    </w:rPr>
  </w:style>
  <w:style w:type="character" w:customStyle="1" w:styleId="36">
    <w:name w:val="页脚 Char"/>
    <w:basedOn w:val="25"/>
    <w:link w:val="16"/>
    <w:autoRedefine/>
    <w:qFormat/>
    <w:locked/>
    <w:uiPriority w:val="0"/>
    <w:rPr>
      <w:rFonts w:cs="Times New Roman"/>
      <w:sz w:val="18"/>
      <w:szCs w:val="18"/>
    </w:rPr>
  </w:style>
  <w:style w:type="character" w:customStyle="1" w:styleId="37">
    <w:name w:val="页眉 Char"/>
    <w:basedOn w:val="25"/>
    <w:link w:val="17"/>
    <w:autoRedefine/>
    <w:qFormat/>
    <w:locked/>
    <w:uiPriority w:val="0"/>
    <w:rPr>
      <w:rFonts w:cs="Times New Roman"/>
      <w:sz w:val="18"/>
      <w:szCs w:val="18"/>
    </w:rPr>
  </w:style>
  <w:style w:type="character" w:customStyle="1" w:styleId="38">
    <w:name w:val="批注主题 Char"/>
    <w:basedOn w:val="34"/>
    <w:link w:val="21"/>
    <w:autoRedefine/>
    <w:semiHidden/>
    <w:qFormat/>
    <w:locked/>
    <w:uiPriority w:val="0"/>
    <w:rPr>
      <w:rFonts w:ascii="Times New Roman" w:hAnsi="Times New Roman" w:eastAsia="宋体" w:cs="Times New Roman"/>
      <w:b/>
      <w:bCs/>
      <w:kern w:val="2"/>
      <w:sz w:val="24"/>
      <w:szCs w:val="24"/>
    </w:rPr>
  </w:style>
  <w:style w:type="character" w:customStyle="1" w:styleId="39">
    <w:name w:val="日期 字符"/>
    <w:basedOn w:val="25"/>
    <w:autoRedefine/>
    <w:semiHidden/>
    <w:qFormat/>
    <w:uiPriority w:val="0"/>
    <w:rPr>
      <w:rFonts w:ascii="Times New Roman" w:hAnsi="Times New Roman" w:eastAsia="宋体" w:cs="Times New Roman"/>
      <w:sz w:val="24"/>
      <w:szCs w:val="24"/>
    </w:rPr>
  </w:style>
  <w:style w:type="character" w:customStyle="1" w:styleId="40">
    <w:name w:val="批注文字 字符1"/>
    <w:basedOn w:val="25"/>
    <w:autoRedefine/>
    <w:semiHidden/>
    <w:qFormat/>
    <w:uiPriority w:val="0"/>
    <w:rPr>
      <w:rFonts w:ascii="Times New Roman" w:hAnsi="Times New Roman" w:eastAsia="宋体" w:cs="Times New Roman"/>
      <w:sz w:val="24"/>
      <w:szCs w:val="24"/>
    </w:rPr>
  </w:style>
  <w:style w:type="paragraph" w:customStyle="1" w:styleId="41">
    <w:name w:val="Table Paragraph"/>
    <w:basedOn w:val="1"/>
    <w:autoRedefine/>
    <w:qFormat/>
    <w:uiPriority w:val="1"/>
    <w:pPr>
      <w:jc w:val="left"/>
    </w:pPr>
    <w:rPr>
      <w:rFonts w:ascii="Calibri" w:hAnsi="Calibri"/>
      <w:kern w:val="0"/>
      <w:sz w:val="22"/>
      <w:szCs w:val="22"/>
      <w:lang w:eastAsia="en-US"/>
    </w:rPr>
  </w:style>
  <w:style w:type="paragraph" w:customStyle="1" w:styleId="42">
    <w:name w:val="表头"/>
    <w:basedOn w:val="43"/>
    <w:next w:val="10"/>
    <w:autoRedefine/>
    <w:qFormat/>
    <w:uiPriority w:val="0"/>
    <w:rPr>
      <w:rFonts w:eastAsia="黑体"/>
      <w:sz w:val="24"/>
    </w:rPr>
  </w:style>
  <w:style w:type="paragraph" w:customStyle="1" w:styleId="43">
    <w:name w:val="报告表格"/>
    <w:basedOn w:val="1"/>
    <w:autoRedefine/>
    <w:qFormat/>
    <w:uiPriority w:val="0"/>
    <w:pPr>
      <w:autoSpaceDE w:val="0"/>
      <w:autoSpaceDN w:val="0"/>
      <w:adjustRightInd w:val="0"/>
      <w:jc w:val="center"/>
      <w:textAlignment w:val="baseline"/>
    </w:pPr>
    <w:rPr>
      <w:kern w:val="0"/>
      <w:szCs w:val="20"/>
    </w:rPr>
  </w:style>
  <w:style w:type="paragraph" w:customStyle="1" w:styleId="44">
    <w:name w:val="常用正文"/>
    <w:basedOn w:val="1"/>
    <w:autoRedefine/>
    <w:qFormat/>
    <w:uiPriority w:val="0"/>
    <w:pPr>
      <w:widowControl/>
      <w:wordWrap w:val="0"/>
      <w:topLinePunct/>
      <w:adjustRightInd w:val="0"/>
      <w:snapToGrid w:val="0"/>
      <w:spacing w:line="360" w:lineRule="auto"/>
      <w:ind w:firstLine="720" w:firstLineChars="200"/>
    </w:pPr>
    <w:rPr>
      <w:szCs w:val="20"/>
    </w:rPr>
  </w:style>
  <w:style w:type="paragraph" w:customStyle="1" w:styleId="45">
    <w:name w:val="表格内容"/>
    <w:basedOn w:val="1"/>
    <w:next w:val="1"/>
    <w:autoRedefine/>
    <w:qFormat/>
    <w:uiPriority w:val="0"/>
    <w:pPr>
      <w:jc w:val="center"/>
    </w:pPr>
  </w:style>
  <w:style w:type="paragraph" w:customStyle="1" w:styleId="46">
    <w:name w:val="表格内文字"/>
    <w:autoRedefine/>
    <w:qFormat/>
    <w:uiPriority w:val="0"/>
    <w:pPr>
      <w:jc w:val="center"/>
    </w:pPr>
    <w:rPr>
      <w:rFonts w:ascii="Times New Roman" w:hAnsi="Times New Roman" w:eastAsia="宋体" w:cs="Times New Roman"/>
      <w:kern w:val="2"/>
      <w:sz w:val="21"/>
      <w:lang w:val="en-US" w:eastAsia="zh-CN" w:bidi="ar-SA"/>
    </w:rPr>
  </w:style>
  <w:style w:type="table" w:customStyle="1" w:styleId="47">
    <w:name w:val="Table Normal"/>
    <w:autoRedefine/>
    <w:unhideWhenUsed/>
    <w:qFormat/>
    <w:uiPriority w:val="0"/>
    <w:tblPr>
      <w:tblCellMar>
        <w:top w:w="0" w:type="dxa"/>
        <w:left w:w="0" w:type="dxa"/>
        <w:bottom w:w="0" w:type="dxa"/>
        <w:right w:w="0" w:type="dxa"/>
      </w:tblCellMar>
    </w:tblPr>
  </w:style>
  <w:style w:type="paragraph" w:customStyle="1" w:styleId="48">
    <w:name w:val="正文格式"/>
    <w:basedOn w:val="1"/>
    <w:autoRedefine/>
    <w:qFormat/>
    <w:uiPriority w:val="0"/>
    <w:pPr>
      <w:wordWrap w:val="0"/>
      <w:spacing w:line="520" w:lineRule="exact"/>
      <w:ind w:firstLine="720" w:firstLineChars="200"/>
    </w:pPr>
    <w:rPr>
      <w:rFonts w:hint="eastAsia"/>
      <w:sz w:val="24"/>
    </w:rPr>
  </w:style>
  <w:style w:type="paragraph" w:customStyle="1" w:styleId="49">
    <w:name w:val="Table Text"/>
    <w:basedOn w:val="1"/>
    <w:autoRedefine/>
    <w:semiHidden/>
    <w:qFormat/>
    <w:uiPriority w:val="0"/>
    <w:rPr>
      <w:rFonts w:ascii="宋体" w:hAnsi="宋体" w:cs="宋体"/>
      <w:sz w:val="24"/>
      <w:lang w:eastAsia="en-US"/>
    </w:rPr>
  </w:style>
  <w:style w:type="paragraph" w:customStyle="1" w:styleId="50">
    <w:name w:val="正文啊啊"/>
    <w:basedOn w:val="1"/>
    <w:autoRedefine/>
    <w:qFormat/>
    <w:uiPriority w:val="0"/>
    <w:pPr>
      <w:spacing w:line="520" w:lineRule="exact"/>
      <w:ind w:firstLine="720" w:firstLineChars="200"/>
    </w:pPr>
    <w:rPr>
      <w:rFonts w:cs="宋体"/>
      <w:sz w:val="24"/>
    </w:rPr>
  </w:style>
  <w:style w:type="paragraph" w:customStyle="1" w:styleId="51">
    <w:name w:val="表格"/>
    <w:basedOn w:val="1"/>
    <w:next w:val="1"/>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52">
    <w:name w:val="font11"/>
    <w:basedOn w:val="25"/>
    <w:autoRedefine/>
    <w:qFormat/>
    <w:uiPriority w:val="0"/>
    <w:rPr>
      <w:rFonts w:hint="eastAsia" w:ascii="宋体" w:hAnsi="宋体" w:eastAsia="宋体" w:cs="宋体"/>
      <w:color w:val="000000"/>
      <w:sz w:val="21"/>
      <w:szCs w:val="21"/>
      <w:u w:val="none"/>
    </w:rPr>
  </w:style>
  <w:style w:type="paragraph" w:customStyle="1" w:styleId="53">
    <w:name w:val="图表标题"/>
    <w:basedOn w:val="1"/>
    <w:autoRedefine/>
    <w:qFormat/>
    <w:uiPriority w:val="0"/>
    <w:pPr>
      <w:spacing w:line="480" w:lineRule="exact"/>
      <w:jc w:val="center"/>
    </w:pPr>
    <w:rPr>
      <w:b/>
      <w:bCs/>
    </w:rPr>
  </w:style>
  <w:style w:type="paragraph" w:customStyle="1" w:styleId="54">
    <w:name w:val="表内文字"/>
    <w:basedOn w:val="1"/>
    <w:autoRedefine/>
    <w:qFormat/>
    <w:uiPriority w:val="0"/>
    <w:pPr>
      <w:adjustRightInd w:val="0"/>
      <w:snapToGrid w:val="0"/>
      <w:jc w:val="center"/>
    </w:pPr>
    <w:rPr>
      <w:szCs w:val="21"/>
    </w:rPr>
  </w:style>
  <w:style w:type="paragraph" w:customStyle="1" w:styleId="55">
    <w:name w:val="正文+宋体"/>
    <w:basedOn w:val="1"/>
    <w:autoRedefine/>
    <w:qFormat/>
    <w:uiPriority w:val="0"/>
    <w:pPr>
      <w:spacing w:line="360" w:lineRule="auto"/>
      <w:ind w:firstLine="480" w:firstLineChars="200"/>
    </w:pPr>
    <w:rPr>
      <w:rFonts w:ascii="宋体" w:hAnsi="宋体"/>
      <w:snapToGrid w:val="0"/>
      <w:kern w:val="24"/>
      <w:sz w:val="24"/>
    </w:rPr>
  </w:style>
  <w:style w:type="paragraph" w:customStyle="1" w:styleId="56">
    <w:name w:val="正文1"/>
    <w:basedOn w:val="1"/>
    <w:next w:val="1"/>
    <w:autoRedefine/>
    <w:qFormat/>
    <w:uiPriority w:val="0"/>
    <w:pPr>
      <w:adjustRightInd w:val="0"/>
      <w:snapToGrid w:val="0"/>
      <w:spacing w:line="520" w:lineRule="exact"/>
      <w:ind w:firstLine="584" w:firstLineChars="200"/>
      <w:textAlignment w:val="baseline"/>
    </w:pPr>
    <w:rPr>
      <w:rFonts w:ascii="宋体" w:hAnsi="宋体"/>
      <w:snapToGrid w:val="0"/>
      <w:color w:val="000000"/>
      <w:spacing w:val="6"/>
      <w:kern w:val="0"/>
      <w:sz w:val="28"/>
    </w:rPr>
  </w:style>
  <w:style w:type="paragraph" w:customStyle="1" w:styleId="57">
    <w:name w:val="表标头jophy"/>
    <w:autoRedefine/>
    <w:qFormat/>
    <w:uiPriority w:val="0"/>
    <w:pPr>
      <w:adjustRightInd w:val="0"/>
      <w:snapToGrid w:val="0"/>
      <w:jc w:val="center"/>
    </w:pPr>
    <w:rPr>
      <w:rFonts w:ascii="Times New Roman" w:hAnsi="Times New Roman" w:eastAsia="Times New Roman" w:cs="Times New Roman"/>
      <w:b/>
      <w:bCs/>
      <w:kern w:val="2"/>
      <w:sz w:val="24"/>
      <w:szCs w:val="28"/>
      <w:lang w:val="en-US" w:eastAsia="zh-CN" w:bidi="ar-SA"/>
    </w:rPr>
  </w:style>
  <w:style w:type="paragraph" w:customStyle="1" w:styleId="58">
    <w:name w:val="表格头jophy"/>
    <w:basedOn w:val="1"/>
    <w:autoRedefine/>
    <w:qFormat/>
    <w:uiPriority w:val="0"/>
    <w:pPr>
      <w:adjustRightInd w:val="0"/>
      <w:snapToGrid w:val="0"/>
      <w:jc w:val="center"/>
      <w:textAlignment w:val="baseline"/>
    </w:pPr>
    <w:rPr>
      <w:b/>
      <w:bCs/>
      <w:spacing w:val="-10"/>
      <w:kern w:val="0"/>
      <w:szCs w:val="28"/>
    </w:rPr>
  </w:style>
  <w:style w:type="paragraph" w:customStyle="1" w:styleId="59">
    <w:name w:val="表格内容jophy"/>
    <w:basedOn w:val="1"/>
    <w:autoRedefine/>
    <w:qFormat/>
    <w:uiPriority w:val="0"/>
    <w:pPr>
      <w:adjustRightInd w:val="0"/>
      <w:snapToGrid w:val="0"/>
      <w:jc w:val="center"/>
    </w:pPr>
    <w:rPr>
      <w:szCs w:val="18"/>
    </w:rPr>
  </w:style>
  <w:style w:type="table" w:customStyle="1" w:styleId="60">
    <w:name w:val="TableGrid"/>
    <w:basedOn w:val="23"/>
    <w:autoRedefine/>
    <w:qFormat/>
    <w:uiPriority w:val="0"/>
    <w:rPr>
      <w:rFonts w:ascii="等线" w:hAnsi="等线" w:eastAsia="等线" w:cs="等线"/>
      <w:kern w:val="2"/>
      <w:sz w:val="21"/>
      <w:szCs w:val="22"/>
    </w:rPr>
    <w:tblPr>
      <w:tblCellMar>
        <w:left w:w="0" w:type="dxa"/>
        <w:right w:w="0" w:type="dxa"/>
      </w:tblCellMar>
    </w:tblPr>
  </w:style>
  <w:style w:type="paragraph" w:customStyle="1" w:styleId="61">
    <w:name w:val="1正文段落"/>
    <w:basedOn w:val="1"/>
    <w:autoRedefine/>
    <w:qFormat/>
    <w:uiPriority w:val="0"/>
    <w:pPr>
      <w:spacing w:line="360" w:lineRule="auto"/>
      <w:ind w:firstLine="480" w:firstLineChars="200"/>
      <w:jc w:val="left"/>
    </w:pPr>
    <w:rPr>
      <w:snapToGrid w:val="0"/>
      <w:kern w:val="0"/>
      <w:sz w:val="24"/>
    </w:rPr>
  </w:style>
  <w:style w:type="paragraph" w:customStyle="1" w:styleId="62">
    <w:name w:val="表内居左"/>
    <w:autoRedefine/>
    <w:qFormat/>
    <w:uiPriority w:val="0"/>
    <w:pPr>
      <w:adjustRightInd w:val="0"/>
      <w:snapToGrid w:val="0"/>
      <w:jc w:val="both"/>
    </w:pPr>
    <w:rPr>
      <w:rFonts w:hAnsi="Times New Roman" w:cs="Times New Roman" w:asciiTheme="minorEastAsia" w:eastAsiaTheme="minorEastAsia"/>
      <w:sz w:val="21"/>
      <w:lang w:val="en-US" w:eastAsia="zh-CN" w:bidi="ar-SA"/>
    </w:rPr>
  </w:style>
  <w:style w:type="character" w:customStyle="1" w:styleId="63">
    <w:name w:val="fontstyle01"/>
    <w:basedOn w:val="25"/>
    <w:autoRedefine/>
    <w:qFormat/>
    <w:uiPriority w:val="0"/>
    <w:rPr>
      <w:rFonts w:ascii="仿宋" w:hAnsi="仿宋" w:eastAsia="仿宋" w:cs="仿宋"/>
      <w:color w:val="000000"/>
      <w:sz w:val="30"/>
      <w:szCs w:val="30"/>
    </w:rPr>
  </w:style>
  <w:style w:type="character" w:customStyle="1" w:styleId="64">
    <w:name w:val="正文文本 Char"/>
    <w:basedOn w:val="25"/>
    <w:link w:val="10"/>
    <w:qFormat/>
    <w:uiPriority w:val="0"/>
    <w:rPr>
      <w:sz w:val="18"/>
      <w:szCs w:val="18"/>
    </w:rPr>
  </w:style>
  <w:style w:type="character" w:customStyle="1" w:styleId="65">
    <w:name w:val="15"/>
    <w:basedOn w:val="25"/>
    <w:qFormat/>
    <w:uiPriority w:val="0"/>
    <w:rPr>
      <w:rFonts w:hint="default" w:ascii="Times New Roman" w:hAnsi="Times New Roman" w:cs="Times New Roman"/>
    </w:rPr>
  </w:style>
  <w:style w:type="character" w:customStyle="1" w:styleId="66">
    <w:name w:val="10"/>
    <w:basedOn w:val="25"/>
    <w:qFormat/>
    <w:uiPriority w:val="0"/>
    <w:rPr>
      <w:rFonts w:hint="default" w:ascii="Times New Roman" w:hAnsi="Times New Roman" w:cs="Times New Roman"/>
    </w:rPr>
  </w:style>
  <w:style w:type="paragraph" w:customStyle="1" w:styleId="67">
    <w:name w:val="表格四号字"/>
    <w:basedOn w:val="1"/>
    <w:next w:val="1"/>
    <w:qFormat/>
    <w:uiPriority w:val="0"/>
    <w:pPr>
      <w:jc w:val="center"/>
    </w:pPr>
    <w:rPr>
      <w:rFonts w:ascii="宋体" w:cs="宋体"/>
      <w:kern w:val="0"/>
      <w:szCs w:val="21"/>
    </w:rPr>
  </w:style>
  <w:style w:type="paragraph" w:customStyle="1" w:styleId="68">
    <w:name w:val="。正文格式"/>
    <w:autoRedefine/>
    <w:qFormat/>
    <w:uiPriority w:val="0"/>
    <w:pPr>
      <w:widowControl w:val="0"/>
      <w:spacing w:line="360" w:lineRule="auto"/>
      <w:ind w:firstLine="200" w:firstLineChars="200"/>
    </w:pPr>
    <w:rPr>
      <w:rFonts w:ascii="Times New Roman" w:hAnsi="Times New Roman" w:eastAsia="宋体" w:cs="Times New Roman"/>
      <w:sz w:val="24"/>
      <w:lang w:val="en-US" w:eastAsia="zh-CN" w:bidi="ar-SA"/>
    </w:rPr>
  </w:style>
  <w:style w:type="paragraph" w:customStyle="1" w:styleId="69">
    <w:name w:val="表格里面啊啊啊啊"/>
    <w:basedOn w:val="1"/>
    <w:autoRedefine/>
    <w:qFormat/>
    <w:uiPriority w:val="0"/>
    <w:pPr>
      <w:jc w:val="center"/>
    </w:pPr>
    <w:rPr>
      <w:rFonts w:ascii="Times New Roman" w:hAnsi="Times New Roman" w:eastAsia="宋体" w:cs="Times New Roman"/>
      <w:szCs w:val="21"/>
    </w:rPr>
  </w:style>
  <w:style w:type="paragraph" w:customStyle="1" w:styleId="70">
    <w:name w:val="表格后空行"/>
    <w:basedOn w:val="1"/>
    <w:qFormat/>
    <w:uiPriority w:val="0"/>
    <w:pPr>
      <w:widowControl/>
      <w:spacing w:line="240" w:lineRule="exact"/>
      <w:textAlignment w:val="baseline"/>
    </w:pPr>
    <w:rPr>
      <w:rFonts w:ascii="宋体" w:cs="宋体"/>
      <w:color w:val="000000"/>
      <w:kern w:val="0"/>
      <w:sz w:val="18"/>
      <w:szCs w:val="20"/>
      <w:u w:val="none" w:color="000000"/>
    </w:rPr>
  </w:style>
  <w:style w:type="paragraph" w:customStyle="1" w:styleId="71">
    <w:name w:val=" Char"/>
    <w:basedOn w:val="1"/>
    <w:autoRedefine/>
    <w:qFormat/>
    <w:uiPriority w:val="0"/>
    <w:pPr>
      <w:spacing w:line="240" w:lineRule="auto"/>
      <w:ind w:firstLine="0" w:firstLineChars="0"/>
      <w:jc w:val="both"/>
    </w:pPr>
    <w:rPr>
      <w:rFonts w:cs="Times New Roman"/>
      <w:sz w:val="21"/>
    </w:rPr>
  </w:style>
  <w:style w:type="paragraph" w:customStyle="1" w:styleId="72">
    <w:name w:val="默认段落"/>
    <w:unhideWhenUsed/>
    <w:qFormat/>
    <w:uiPriority w:val="0"/>
    <w:pPr>
      <w:widowControl w:val="0"/>
      <w:spacing w:beforeLines="0" w:afterLines="0"/>
      <w:jc w:val="both"/>
    </w:pPr>
    <w:rPr>
      <w:rFonts w:hint="default"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wmf"/><Relationship Id="rId25" Type="http://schemas.openxmlformats.org/officeDocument/2006/relationships/oleObject" Target="embeddings/oleObject4.bin"/><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wmf"/><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94</Pages>
  <Words>20704</Words>
  <Characters>22816</Characters>
  <Lines>1</Lines>
  <Paragraphs>1</Paragraphs>
  <TotalTime>5</TotalTime>
  <ScaleCrop>false</ScaleCrop>
  <LinksUpToDate>false</LinksUpToDate>
  <CharactersWithSpaces>22876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2024-05-27T10:13:00Z</dcterms:created>
  <dc:creator>lhj</dc:creator>
  <cp:lastModifiedBy>影</cp:lastModifiedBy>
  <cp:lastPrinted>2020-12-24T01:50:00Z</cp:lastPrinted>
  <dcterms:modified xsi:type="dcterms:W3CDTF">2025-03-28T12:50:28Z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767568FBBAF4479BADCF974153429000_13</vt:lpwstr>
  </property>
  <property fmtid="{D5CDD505-2E9C-101B-9397-08002B2CF9AE}" pid="4" name="KSOTemplateDocerSaveRecord">
    <vt:lpwstr>eyJoZGlkIjoiMzc4NDJkMDJkZjQwODBjZDk1YjJlNjQ1OTMyNzEwZDAiLCJ1c2VySWQiOiI2NzAxMzIzNDMifQ==</vt:lpwstr>
  </property>
</Properties>
</file>